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50" w:rsidRDefault="00C66550" w:rsidP="00C66550">
      <w:pPr>
        <w:pStyle w:val="Heading1-IPR"/>
        <w:jc w:val="left"/>
      </w:pPr>
      <w:bookmarkStart w:id="0" w:name="_Toc408182185"/>
      <w:bookmarkStart w:id="1" w:name="_Toc405791583"/>
      <w:bookmarkStart w:id="2" w:name="_GoBack"/>
      <w:bookmarkEnd w:id="2"/>
      <w:r>
        <w:rPr>
          <w:noProof/>
        </w:rPr>
        <w:drawing>
          <wp:anchor distT="0" distB="0" distL="114300" distR="114300" simplePos="0" relativeHeight="251659264" behindDoc="0" locked="0" layoutInCell="1" allowOverlap="1" wp14:anchorId="1EB36A43" wp14:editId="64005F95">
            <wp:simplePos x="0" y="0"/>
            <wp:positionH relativeFrom="column">
              <wp:posOffset>4972050</wp:posOffset>
            </wp:positionH>
            <wp:positionV relativeFrom="paragraph">
              <wp:posOffset>-19050</wp:posOffset>
            </wp:positionV>
            <wp:extent cx="974090" cy="27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ight Logo No Backgroun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7" t="33333" r="6944" b="31771"/>
                    <a:stretch/>
                  </pic:blipFill>
                  <pic:spPr bwMode="auto">
                    <a:xfrm>
                      <a:off x="0" y="0"/>
                      <a:ext cx="974090" cy="27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703">
        <w:t>M</w:t>
      </w:r>
      <w:r w:rsidRPr="009E6F62">
        <w:t>emorandum</w:t>
      </w:r>
    </w:p>
    <w:p w:rsidR="00C66550" w:rsidRPr="00BC353F" w:rsidRDefault="00C66550" w:rsidP="00C66550">
      <w:pPr>
        <w:pStyle w:val="BodyText-IPR"/>
        <w:tabs>
          <w:tab w:val="left" w:pos="1440"/>
        </w:tabs>
      </w:pPr>
      <w:r w:rsidRPr="005A5665">
        <w:rPr>
          <w:rStyle w:val="MemoLabels-IPRChar"/>
        </w:rPr>
        <w:t>Date:</w:t>
      </w:r>
      <w:r w:rsidRPr="005E0028">
        <w:rPr>
          <w:rFonts w:eastAsiaTheme="minorEastAsia" w:cs="Times New Roman"/>
          <w:color w:val="DD2230"/>
        </w:rPr>
        <w:tab/>
      </w:r>
      <w:r>
        <w:t>July 2</w:t>
      </w:r>
      <w:r w:rsidR="00CC230E">
        <w:t>2</w:t>
      </w:r>
      <w:r>
        <w:t>, 2016</w:t>
      </w:r>
    </w:p>
    <w:p w:rsidR="00C66550" w:rsidRPr="00BC353F" w:rsidRDefault="00C66550" w:rsidP="00C66550">
      <w:pPr>
        <w:pStyle w:val="BodyText-IPR"/>
        <w:tabs>
          <w:tab w:val="left" w:pos="1440"/>
        </w:tabs>
      </w:pPr>
      <w:r w:rsidRPr="005A5665">
        <w:rPr>
          <w:rStyle w:val="MemoLabels-IPRChar"/>
        </w:rPr>
        <w:t xml:space="preserve">To: </w:t>
      </w:r>
      <w:r w:rsidRPr="00BC353F">
        <w:tab/>
      </w:r>
      <w:r>
        <w:t>Ronald Hill, Calvin Johnson (HUD)</w:t>
      </w:r>
    </w:p>
    <w:p w:rsidR="00C66550" w:rsidRPr="00BC353F" w:rsidRDefault="00C66550" w:rsidP="00C66550">
      <w:pPr>
        <w:pStyle w:val="BodyText-IPR"/>
        <w:tabs>
          <w:tab w:val="left" w:pos="1440"/>
        </w:tabs>
        <w:ind w:left="1440" w:hanging="1440"/>
      </w:pPr>
      <w:r w:rsidRPr="009C5707">
        <w:rPr>
          <w:rFonts w:eastAsiaTheme="minorEastAsia" w:cs="Times New Roman"/>
          <w:b/>
        </w:rPr>
        <w:t>From:</w:t>
      </w:r>
      <w:r w:rsidRPr="007E17D4">
        <w:t xml:space="preserve"> </w:t>
      </w:r>
      <w:r w:rsidRPr="00BC353F">
        <w:tab/>
      </w:r>
      <w:r>
        <w:t>Rachel Gaddes, Brittany McGill (Insight Policy Research)</w:t>
      </w:r>
    </w:p>
    <w:p w:rsidR="00C66550" w:rsidRDefault="00C66550" w:rsidP="00C66550">
      <w:pPr>
        <w:pStyle w:val="BodyText-IPR"/>
        <w:tabs>
          <w:tab w:val="left" w:pos="1440"/>
        </w:tabs>
      </w:pPr>
      <w:r w:rsidRPr="005A5665">
        <w:rPr>
          <w:rStyle w:val="MemoLabels-IPRChar"/>
        </w:rPr>
        <w:t>Subject:</w:t>
      </w:r>
      <w:r w:rsidRPr="009C5707">
        <w:rPr>
          <w:b/>
        </w:rPr>
        <w:tab/>
      </w:r>
      <w:r w:rsidR="007F038A" w:rsidRPr="003E3699">
        <w:t>Pre-test Results for ConnectHome Internet Subscribers Tele</w:t>
      </w:r>
      <w:r w:rsidR="007F038A" w:rsidRPr="00A53CC8">
        <w:t>p</w:t>
      </w:r>
      <w:r w:rsidRPr="00924AFE">
        <w:t>hone</w:t>
      </w:r>
      <w:r w:rsidRPr="00D03DE6">
        <w:t xml:space="preserve"> Survey </w:t>
      </w:r>
    </w:p>
    <w:p w:rsidR="00C66550" w:rsidRPr="00BC353F" w:rsidRDefault="00C66550" w:rsidP="00C66550">
      <w:pPr>
        <w:pStyle w:val="Page1MemoBoldTableText"/>
        <w:pBdr>
          <w:bottom w:val="dotted" w:sz="2" w:space="1" w:color="auto"/>
        </w:pBdr>
        <w:ind w:left="1440" w:hanging="1440"/>
        <w:rPr>
          <w:rFonts w:asciiTheme="minorHAnsi" w:hAnsiTheme="minorHAnsi"/>
          <w:b w:val="0"/>
          <w:sz w:val="22"/>
        </w:rPr>
      </w:pPr>
    </w:p>
    <w:bookmarkEnd w:id="0"/>
    <w:bookmarkEnd w:id="1"/>
    <w:p w:rsidR="00C66550" w:rsidRPr="00994F82" w:rsidRDefault="00C66550" w:rsidP="00C66550">
      <w:pPr>
        <w:pStyle w:val="Body12ptCalibri-IPR"/>
        <w:spacing w:after="0"/>
        <w:rPr>
          <w:sz w:val="22"/>
          <w:szCs w:val="22"/>
        </w:rPr>
      </w:pPr>
    </w:p>
    <w:p w:rsidR="00C66550" w:rsidRPr="00926ED7" w:rsidRDefault="00C66550" w:rsidP="004262FC">
      <w:pPr>
        <w:pStyle w:val="DropCap-IPR"/>
        <w:framePr w:wrap="around"/>
        <w:rPr>
          <w:b/>
        </w:rPr>
      </w:pPr>
      <w:r>
        <w:t>O</w:t>
      </w:r>
    </w:p>
    <w:p w:rsidR="004262FC" w:rsidRPr="00994F82" w:rsidRDefault="004262FC" w:rsidP="004262FC">
      <w:pPr>
        <w:pStyle w:val="Body12ptCalibri-IPR"/>
        <w:spacing w:after="0"/>
        <w:rPr>
          <w:sz w:val="22"/>
          <w:szCs w:val="22"/>
        </w:rPr>
      </w:pPr>
    </w:p>
    <w:p w:rsidR="004262FC" w:rsidRPr="00926ED7" w:rsidRDefault="004262FC" w:rsidP="00093FB6">
      <w:r>
        <w:t>n July 14, 2016 and July 15, 2016 Insight conducted telephone interviews to pre-test</w:t>
      </w:r>
      <w:r w:rsidRPr="00926ED7">
        <w:t xml:space="preserve"> the </w:t>
      </w:r>
      <w:r w:rsidR="007F038A">
        <w:t>ConnectHome Internet Subscribers Telephone Survey (</w:t>
      </w:r>
      <w:r w:rsidRPr="00917A0D">
        <w:t>Phone Survey</w:t>
      </w:r>
      <w:r w:rsidR="007F038A">
        <w:t>)</w:t>
      </w:r>
      <w:r w:rsidRPr="00917A0D">
        <w:t>.</w:t>
      </w:r>
      <w:r w:rsidRPr="00926ED7">
        <w:t xml:space="preserve"> </w:t>
      </w:r>
      <w:r>
        <w:t>This memo</w:t>
      </w:r>
      <w:r w:rsidR="006E067A">
        <w:t>randum</w:t>
      </w:r>
      <w:r>
        <w:t xml:space="preserve"> </w:t>
      </w:r>
      <w:r w:rsidR="006E067A">
        <w:t>summarizes the results of the pre-test and our</w:t>
      </w:r>
      <w:r w:rsidR="00201BAF">
        <w:t xml:space="preserve"> </w:t>
      </w:r>
      <w:r w:rsidR="006E067A">
        <w:t>recommended changes to the instrument.</w:t>
      </w:r>
      <w:r>
        <w:t xml:space="preserve"> The accompanying survey instrument includes tracked changes and comments </w:t>
      </w:r>
      <w:r w:rsidR="00446696">
        <w:t xml:space="preserve">explaining our </w:t>
      </w:r>
      <w:r w:rsidR="00A13FA0">
        <w:t>recommended changes.</w:t>
      </w:r>
      <w:r>
        <w:t xml:space="preserve"> </w:t>
      </w:r>
      <w:r w:rsidRPr="00926ED7">
        <w:t xml:space="preserve"> </w:t>
      </w:r>
    </w:p>
    <w:p w:rsidR="004262FC" w:rsidRDefault="00924AFE" w:rsidP="00093FB6">
      <w:pPr>
        <w:pStyle w:val="Heading2-IPR"/>
        <w:tabs>
          <w:tab w:val="left" w:pos="360"/>
        </w:tabs>
        <w:ind w:left="360" w:hanging="360"/>
      </w:pPr>
      <w:r>
        <w:t>Pretest Methods</w:t>
      </w:r>
    </w:p>
    <w:p w:rsidR="00103A94" w:rsidRPr="002D5D56" w:rsidRDefault="00103A94" w:rsidP="00103A94">
      <w:pPr>
        <w:pStyle w:val="BodyText-IPR"/>
      </w:pPr>
      <w:r>
        <w:t>Four individuals participated in the pre-test for the Phone Survey. The pretest participants recruited through the Tampa PHA last winter were unable to be reached or were uninterested in participating; however, we were able to recruit additional participants through internal networking. Two pretest participants were Insight employees who were unfamiliar with the survey design, content, and layout</w:t>
      </w:r>
      <w:r w:rsidR="00D953C8">
        <w:t>, and hence were able to give us objective, third-party feedback</w:t>
      </w:r>
      <w:r>
        <w:t xml:space="preserve">. One participant lived in public housing and was not familiar with ConnectHome, and the other participant had previously lived in public housing, currently receives means-tested public assistance benefits, </w:t>
      </w:r>
      <w:r w:rsidR="006628EB">
        <w:t xml:space="preserve">and </w:t>
      </w:r>
      <w:r>
        <w:t xml:space="preserve">was </w:t>
      </w:r>
      <w:r w:rsidR="006628EB">
        <w:t xml:space="preserve">also </w:t>
      </w:r>
      <w:r>
        <w:t xml:space="preserve">not familiar with ConnectHome. The participants’ ages </w:t>
      </w:r>
      <w:r w:rsidR="00D953C8">
        <w:t>r</w:t>
      </w:r>
      <w:r w:rsidR="009F2EC1">
        <w:t>ang</w:t>
      </w:r>
      <w:r w:rsidR="00D953C8">
        <w:t>ed</w:t>
      </w:r>
      <w:r>
        <w:t xml:space="preserve"> from early-20s to early-30s; all four participants were women, and </w:t>
      </w:r>
      <w:r w:rsidR="006628EB">
        <w:t>two</w:t>
      </w:r>
      <w:r>
        <w:t xml:space="preserve"> had children.</w:t>
      </w:r>
      <w:r w:rsidR="00057C1B">
        <w:t xml:space="preserve"> All four pretests were conducted by phone.</w:t>
      </w:r>
      <w:r w:rsidR="00EA4FEB">
        <w:t xml:space="preserve"> In addition, we consulted with an in house survey design expert, Insight’s new Director of Data Collection Services, for further recommendations and guidance on implementing improvements following pretest participant feedback. </w:t>
      </w:r>
      <w:r w:rsidR="00057C1B">
        <w:t xml:space="preserve"> </w:t>
      </w:r>
    </w:p>
    <w:p w:rsidR="004262FC" w:rsidRDefault="00A13FA0" w:rsidP="00093FB6">
      <w:pPr>
        <w:pStyle w:val="Heading2-IPR"/>
        <w:tabs>
          <w:tab w:val="left" w:pos="360"/>
        </w:tabs>
        <w:ind w:left="360" w:hanging="360"/>
      </w:pPr>
      <w:r>
        <w:t xml:space="preserve">Average </w:t>
      </w:r>
      <w:r w:rsidR="001B46C6">
        <w:t xml:space="preserve">Survey Completion </w:t>
      </w:r>
      <w:r>
        <w:t xml:space="preserve">Time </w:t>
      </w:r>
    </w:p>
    <w:p w:rsidR="002E58AB" w:rsidRDefault="004262FC" w:rsidP="004262FC">
      <w:pPr>
        <w:pStyle w:val="BodyText-IPR"/>
      </w:pPr>
      <w:r>
        <w:t xml:space="preserve">The average </w:t>
      </w:r>
      <w:r w:rsidR="00924AFE">
        <w:t>length of the</w:t>
      </w:r>
      <w:r>
        <w:t xml:space="preserve"> </w:t>
      </w:r>
      <w:r w:rsidR="006628EB">
        <w:t>P</w:t>
      </w:r>
      <w:r>
        <w:t xml:space="preserve">hone </w:t>
      </w:r>
      <w:r w:rsidR="006628EB">
        <w:t>S</w:t>
      </w:r>
      <w:r>
        <w:t>urvey was 19 minutes. The average time for each section of the survey can be found in the table below:</w:t>
      </w:r>
    </w:p>
    <w:p w:rsidR="002E58AB" w:rsidRDefault="002E58AB">
      <w:pPr>
        <w:spacing w:after="200" w:line="276" w:lineRule="auto"/>
        <w:rPr>
          <w:rFonts w:ascii="Calibri" w:hAnsi="Calibri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4262FC" w:rsidRPr="004262FC" w:rsidTr="00093FB6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Pr="004262FC" w:rsidRDefault="004262FC" w:rsidP="00851442">
            <w:pPr>
              <w:pStyle w:val="NoSpacing"/>
              <w:spacing w:line="276" w:lineRule="auto"/>
              <w:rPr>
                <w:b/>
              </w:rPr>
            </w:pPr>
            <w:r w:rsidRPr="004262FC">
              <w:rPr>
                <w:b/>
              </w:rPr>
              <w:lastRenderedPageBreak/>
              <w:t>Section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Pr="004262FC" w:rsidRDefault="004262FC" w:rsidP="00851442">
            <w:pPr>
              <w:pStyle w:val="NoSpacing"/>
              <w:spacing w:line="276" w:lineRule="auto"/>
              <w:rPr>
                <w:b/>
              </w:rPr>
            </w:pPr>
            <w:r w:rsidRPr="004262FC">
              <w:rPr>
                <w:b/>
              </w:rPr>
              <w:t>Average time to complete</w:t>
            </w:r>
          </w:p>
        </w:tc>
      </w:tr>
      <w:tr w:rsidR="004262FC" w:rsidTr="00093FB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Default="004262FC" w:rsidP="00851442">
            <w:pPr>
              <w:pStyle w:val="NoSpacing"/>
              <w:spacing w:line="276" w:lineRule="auto"/>
            </w:pPr>
            <w:r>
              <w:t>A: Introductory phone script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2FC" w:rsidRDefault="004262FC" w:rsidP="00851442">
            <w:pPr>
              <w:pStyle w:val="NoSpacing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35 s</w:t>
            </w:r>
            <w:r w:rsidR="00A13FA0">
              <w:rPr>
                <w:color w:val="000000"/>
              </w:rPr>
              <w:t>econds</w:t>
            </w:r>
          </w:p>
        </w:tc>
      </w:tr>
      <w:tr w:rsidR="004262FC" w:rsidTr="00093FB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Default="004262FC" w:rsidP="00851442">
            <w:pPr>
              <w:pStyle w:val="NoSpacing"/>
              <w:spacing w:line="276" w:lineRule="auto"/>
            </w:pPr>
            <w:r>
              <w:t>B: Screener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2FC" w:rsidRDefault="004262FC" w:rsidP="00851442">
            <w:pPr>
              <w:pStyle w:val="NoSpacing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 s</w:t>
            </w:r>
            <w:r w:rsidR="009F2EC1">
              <w:rPr>
                <w:color w:val="000000"/>
              </w:rPr>
              <w:t>econds</w:t>
            </w:r>
            <w:r>
              <w:rPr>
                <w:color w:val="000000"/>
              </w:rPr>
              <w:t xml:space="preserve"> </w:t>
            </w:r>
          </w:p>
        </w:tc>
      </w:tr>
      <w:tr w:rsidR="004262FC" w:rsidTr="00093FB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Default="004262FC" w:rsidP="00851442">
            <w:pPr>
              <w:pStyle w:val="NoSpacing"/>
              <w:spacing w:line="276" w:lineRule="auto"/>
            </w:pPr>
            <w:r>
              <w:t>C: Internet and technology access and use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2FC" w:rsidRDefault="004262FC" w:rsidP="00851442">
            <w:pPr>
              <w:pStyle w:val="NoSpacing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9F2EC1">
              <w:t>minutes</w:t>
            </w:r>
            <w:r w:rsidR="009F2EC1" w:rsidDel="009F2E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11 </w:t>
            </w:r>
            <w:r w:rsidR="009F2EC1">
              <w:rPr>
                <w:color w:val="000000"/>
              </w:rPr>
              <w:t xml:space="preserve">seconds </w:t>
            </w:r>
          </w:p>
        </w:tc>
      </w:tr>
      <w:tr w:rsidR="004262FC" w:rsidTr="00093FB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Default="004262FC" w:rsidP="00851442">
            <w:pPr>
              <w:pStyle w:val="NoSpacing"/>
              <w:spacing w:line="276" w:lineRule="auto"/>
            </w:pPr>
            <w:r>
              <w:t>D: Education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2FC" w:rsidRDefault="004262FC" w:rsidP="00851442">
            <w:pPr>
              <w:pStyle w:val="NoSpacing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9F2EC1">
              <w:t>minutes</w:t>
            </w:r>
            <w:r w:rsidR="009F2EC1" w:rsidDel="009F2E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26 </w:t>
            </w:r>
            <w:r w:rsidR="009F2EC1">
              <w:rPr>
                <w:color w:val="000000"/>
              </w:rPr>
              <w:t xml:space="preserve">seconds </w:t>
            </w:r>
          </w:p>
        </w:tc>
      </w:tr>
      <w:tr w:rsidR="004262FC" w:rsidTr="00093FB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Default="004262FC" w:rsidP="00851442">
            <w:pPr>
              <w:pStyle w:val="NoSpacing"/>
              <w:spacing w:line="276" w:lineRule="auto"/>
            </w:pPr>
            <w:r>
              <w:t>E: Employment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2FC" w:rsidRDefault="004262FC" w:rsidP="00851442">
            <w:pPr>
              <w:pStyle w:val="NoSpacing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 w:rsidR="009F2EC1">
              <w:t>minutes</w:t>
            </w:r>
            <w:r w:rsidR="009F2EC1" w:rsidDel="009F2E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26 </w:t>
            </w:r>
            <w:r w:rsidR="009F2EC1">
              <w:rPr>
                <w:color w:val="000000"/>
              </w:rPr>
              <w:t xml:space="preserve">seconds </w:t>
            </w:r>
          </w:p>
        </w:tc>
      </w:tr>
      <w:tr w:rsidR="004262FC" w:rsidTr="00093FB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Default="004262FC" w:rsidP="00851442">
            <w:pPr>
              <w:pStyle w:val="NoSpacing"/>
              <w:spacing w:line="276" w:lineRule="auto"/>
            </w:pPr>
            <w:r>
              <w:t>F: Health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2FC" w:rsidRDefault="004262FC" w:rsidP="00851442">
            <w:pPr>
              <w:pStyle w:val="NoSpacing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9F2EC1">
              <w:t>minutes</w:t>
            </w:r>
            <w:r w:rsidR="009F2EC1" w:rsidDel="009F2E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10 </w:t>
            </w:r>
            <w:r w:rsidR="009F2EC1">
              <w:rPr>
                <w:color w:val="000000"/>
              </w:rPr>
              <w:t xml:space="preserve">seconds </w:t>
            </w:r>
          </w:p>
        </w:tc>
      </w:tr>
      <w:tr w:rsidR="004262FC" w:rsidTr="00093FB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Default="004262FC" w:rsidP="00851442">
            <w:pPr>
              <w:pStyle w:val="NoSpacing"/>
              <w:spacing w:line="276" w:lineRule="auto"/>
            </w:pPr>
            <w:r>
              <w:t>G: Other uses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2FC" w:rsidRDefault="004262FC" w:rsidP="00851442">
            <w:pPr>
              <w:pStyle w:val="NoSpacing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9F2EC1">
              <w:t>minutes</w:t>
            </w:r>
            <w:r w:rsidR="009F2EC1" w:rsidDel="009F2E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24 </w:t>
            </w:r>
            <w:r w:rsidR="009F2EC1">
              <w:rPr>
                <w:color w:val="000000"/>
              </w:rPr>
              <w:t xml:space="preserve">seconds </w:t>
            </w:r>
          </w:p>
        </w:tc>
      </w:tr>
      <w:tr w:rsidR="004262FC" w:rsidTr="00093FB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Default="004262FC" w:rsidP="00851442">
            <w:pPr>
              <w:pStyle w:val="NoSpacing"/>
              <w:spacing w:line="276" w:lineRule="auto"/>
            </w:pPr>
            <w:r>
              <w:t xml:space="preserve">H: Technological and Internet Literacy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2FC" w:rsidRDefault="004262FC" w:rsidP="00851442">
            <w:pPr>
              <w:pStyle w:val="NoSpacing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9F2EC1">
              <w:t>minutes</w:t>
            </w:r>
            <w:r w:rsidR="009F2EC1" w:rsidDel="009F2E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11 </w:t>
            </w:r>
            <w:r w:rsidR="009F2EC1">
              <w:rPr>
                <w:color w:val="000000"/>
              </w:rPr>
              <w:t xml:space="preserve">seconds </w:t>
            </w:r>
          </w:p>
        </w:tc>
      </w:tr>
      <w:tr w:rsidR="004262FC" w:rsidTr="00093FB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Default="004262FC" w:rsidP="00851442">
            <w:pPr>
              <w:pStyle w:val="NoSpacing"/>
              <w:spacing w:line="276" w:lineRule="auto"/>
            </w:pPr>
            <w:r>
              <w:t>I: Demographics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2FC" w:rsidRDefault="004262FC" w:rsidP="00851442">
            <w:pPr>
              <w:pStyle w:val="NoSpacing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9F2EC1">
              <w:t>minutes</w:t>
            </w:r>
            <w:r w:rsidR="009F2EC1" w:rsidDel="009F2E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41 </w:t>
            </w:r>
            <w:r w:rsidR="009F2EC1">
              <w:rPr>
                <w:color w:val="000000"/>
              </w:rPr>
              <w:t xml:space="preserve">seconds </w:t>
            </w:r>
          </w:p>
        </w:tc>
      </w:tr>
      <w:tr w:rsidR="004262FC" w:rsidTr="00093FB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Default="004262FC" w:rsidP="00851442">
            <w:pPr>
              <w:pStyle w:val="NoSpacing"/>
              <w:spacing w:line="276" w:lineRule="auto"/>
            </w:pPr>
            <w:r>
              <w:t>J: Wrap up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2FC" w:rsidRDefault="004262FC" w:rsidP="00851442">
            <w:pPr>
              <w:pStyle w:val="NoSpacing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  <w:r w:rsidR="009F2EC1">
              <w:rPr>
                <w:color w:val="000000"/>
              </w:rPr>
              <w:t xml:space="preserve">seconds </w:t>
            </w:r>
          </w:p>
        </w:tc>
      </w:tr>
    </w:tbl>
    <w:p w:rsidR="004262FC" w:rsidRDefault="004262FC" w:rsidP="004262FC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4674"/>
      </w:tblGrid>
      <w:tr w:rsidR="004262FC" w:rsidTr="00851442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Default="004262FC" w:rsidP="00851442">
            <w:pPr>
              <w:pStyle w:val="NoSpacing"/>
            </w:pPr>
            <w:r>
              <w:t>Total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2FC" w:rsidRDefault="004262FC" w:rsidP="00851442">
            <w:pPr>
              <w:pStyle w:val="NoSpacing"/>
            </w:pPr>
            <w:r>
              <w:t>19 min</w:t>
            </w:r>
            <w:r w:rsidR="009F2EC1">
              <w:t>ute</w:t>
            </w:r>
            <w:r>
              <w:t>s</w:t>
            </w:r>
          </w:p>
        </w:tc>
      </w:tr>
    </w:tbl>
    <w:p w:rsidR="004262FC" w:rsidRDefault="004262FC" w:rsidP="00093FB6">
      <w:pPr>
        <w:pStyle w:val="Heading1-IPR"/>
        <w:jc w:val="left"/>
      </w:pPr>
    </w:p>
    <w:p w:rsidR="007423E2" w:rsidRPr="00093FB6" w:rsidRDefault="007423E2" w:rsidP="00093FB6">
      <w:pPr>
        <w:pStyle w:val="Heading1-IPR"/>
        <w:jc w:val="left"/>
        <w:rPr>
          <w:color w:val="B12732"/>
          <w:sz w:val="28"/>
          <w:szCs w:val="26"/>
        </w:rPr>
      </w:pPr>
      <w:r w:rsidRPr="00093FB6">
        <w:rPr>
          <w:color w:val="B12732"/>
          <w:sz w:val="28"/>
          <w:szCs w:val="26"/>
        </w:rPr>
        <w:t>Results and Recommendations</w:t>
      </w:r>
    </w:p>
    <w:p w:rsidR="00276360" w:rsidRPr="002E2838" w:rsidRDefault="00276360" w:rsidP="002E58AB">
      <w:pPr>
        <w:pStyle w:val="BodyText-IPR"/>
      </w:pPr>
      <w:r>
        <w:t xml:space="preserve">After </w:t>
      </w:r>
      <w:r w:rsidRPr="002E58AB">
        <w:t>analyzing</w:t>
      </w:r>
      <w:r>
        <w:t xml:space="preserve"> the </w:t>
      </w:r>
      <w:r w:rsidRPr="002E58AB">
        <w:rPr>
          <w:rFonts w:asciiTheme="minorHAnsi" w:hAnsiTheme="minorHAnsi"/>
          <w:sz w:val="24"/>
          <w:szCs w:val="24"/>
        </w:rPr>
        <w:t>results</w:t>
      </w:r>
      <w:r>
        <w:t xml:space="preserve"> from the pre-test, we propose the </w:t>
      </w:r>
      <w:r w:rsidRPr="002E2838">
        <w:t>following recommendations to improve the survey instrument:</w:t>
      </w:r>
    </w:p>
    <w:p w:rsidR="00B61592" w:rsidRPr="00093FB6" w:rsidRDefault="002E58AB" w:rsidP="002E58AB">
      <w:pPr>
        <w:pStyle w:val="BulletsRed-IPR"/>
        <w:numPr>
          <w:ilvl w:val="0"/>
          <w:numId w:val="10"/>
        </w:numPr>
        <w:rPr>
          <w:szCs w:val="22"/>
        </w:rPr>
      </w:pPr>
      <w:r w:rsidRPr="00093FB6">
        <w:rPr>
          <w:b/>
          <w:szCs w:val="22"/>
        </w:rPr>
        <w:t>Reduce reading level.</w:t>
      </w:r>
      <w:r w:rsidRPr="00093FB6">
        <w:rPr>
          <w:szCs w:val="22"/>
        </w:rPr>
        <w:t xml:space="preserve"> </w:t>
      </w:r>
      <w:r w:rsidR="00B61592" w:rsidRPr="00093FB6">
        <w:rPr>
          <w:szCs w:val="22"/>
        </w:rPr>
        <w:t>Throughout the survey, we have suggested some changes to the wording to reduce the reading level and ensure participants can understand the questions</w:t>
      </w:r>
      <w:r w:rsidR="007F4B90" w:rsidRPr="00093FB6">
        <w:rPr>
          <w:szCs w:val="22"/>
        </w:rPr>
        <w:t>.</w:t>
      </w:r>
    </w:p>
    <w:p w:rsidR="00C66550" w:rsidRPr="00093FB6" w:rsidRDefault="001B46C6" w:rsidP="002E58AB">
      <w:pPr>
        <w:pStyle w:val="ListParagraph"/>
        <w:numPr>
          <w:ilvl w:val="0"/>
          <w:numId w:val="10"/>
        </w:numPr>
        <w:spacing w:after="200" w:line="276" w:lineRule="auto"/>
      </w:pPr>
      <w:r w:rsidRPr="00093FB6">
        <w:rPr>
          <w:b/>
        </w:rPr>
        <w:t>Clarify</w:t>
      </w:r>
      <w:r w:rsidR="002E58AB" w:rsidRPr="00093FB6">
        <w:rPr>
          <w:b/>
        </w:rPr>
        <w:t xml:space="preserve"> </w:t>
      </w:r>
      <w:r w:rsidR="00093FB6">
        <w:rPr>
          <w:b/>
        </w:rPr>
        <w:t>language to improve comprehension</w:t>
      </w:r>
      <w:r w:rsidR="002E58AB" w:rsidRPr="00093FB6">
        <w:rPr>
          <w:b/>
        </w:rPr>
        <w:t>.</w:t>
      </w:r>
      <w:r w:rsidR="002E58AB" w:rsidRPr="00093FB6">
        <w:t xml:space="preserve"> </w:t>
      </w:r>
      <w:r w:rsidR="00C66550" w:rsidRPr="00093FB6">
        <w:t xml:space="preserve">For all </w:t>
      </w:r>
      <w:r w:rsidR="007F4B90" w:rsidRPr="00093FB6">
        <w:t xml:space="preserve">questions </w:t>
      </w:r>
      <w:r w:rsidR="00C66550" w:rsidRPr="00093FB6">
        <w:t xml:space="preserve">about online activities, we recommend adding </w:t>
      </w:r>
      <w:r w:rsidR="006E067A" w:rsidRPr="00093FB6">
        <w:t xml:space="preserve">language </w:t>
      </w:r>
      <w:r w:rsidR="00C66550" w:rsidRPr="00093FB6">
        <w:t xml:space="preserve">to ensure that the participant understands that the question is </w:t>
      </w:r>
      <w:r w:rsidR="003B657A" w:rsidRPr="00093FB6">
        <w:t xml:space="preserve">explicitly </w:t>
      </w:r>
      <w:r w:rsidR="00C66550" w:rsidRPr="00093FB6">
        <w:t>about activities conducted online</w:t>
      </w:r>
      <w:r w:rsidRPr="00093FB6">
        <w:t xml:space="preserve"> rather than activities conducted in general</w:t>
      </w:r>
      <w:r w:rsidR="002E58AB" w:rsidRPr="00093FB6">
        <w:t>.</w:t>
      </w:r>
      <w:r w:rsidR="00093FB6" w:rsidRPr="00093FB6">
        <w:t xml:space="preserve"> In the question about applying for health insurance online, we recommend taking out the phrase “through the federal or state health insurance exchange” to improve understanding and simplicity. Pre-test participants did not know what insurance exchanges were.</w:t>
      </w:r>
    </w:p>
    <w:p w:rsidR="00C66550" w:rsidRPr="00093FB6" w:rsidRDefault="002E58AB" w:rsidP="002E58AB">
      <w:pPr>
        <w:pStyle w:val="ListParagraph"/>
        <w:numPr>
          <w:ilvl w:val="0"/>
          <w:numId w:val="10"/>
        </w:numPr>
        <w:spacing w:after="200" w:line="276" w:lineRule="auto"/>
      </w:pPr>
      <w:r w:rsidRPr="00093FB6">
        <w:rPr>
          <w:b/>
        </w:rPr>
        <w:t>Add skip patterns.</w:t>
      </w:r>
      <w:r w:rsidRPr="00093FB6">
        <w:t xml:space="preserve"> </w:t>
      </w:r>
      <w:r w:rsidR="00276360" w:rsidRPr="00093FB6">
        <w:t>The demographics section included a question about the ages of all children living in the household. We suggest moving this question to the beginning of the survey allowing for the use of skip</w:t>
      </w:r>
      <w:r w:rsidR="002E2838">
        <w:t xml:space="preserve"> </w:t>
      </w:r>
      <w:r w:rsidR="00276360" w:rsidRPr="00093FB6">
        <w:t>patterns</w:t>
      </w:r>
      <w:r w:rsidR="00C66550" w:rsidRPr="00093FB6">
        <w:t xml:space="preserve"> </w:t>
      </w:r>
      <w:r w:rsidR="00276360" w:rsidRPr="00093FB6">
        <w:t xml:space="preserve">on children’s education questions that are linked to their ages. For example, two of the pre-test participants had children who were all under age 5. They did not feel that the questions about looking for information about college or financial aid applied to their children.  </w:t>
      </w:r>
    </w:p>
    <w:p w:rsidR="00A7642C" w:rsidRPr="00093FB6" w:rsidRDefault="00761ACB" w:rsidP="002E58AB">
      <w:pPr>
        <w:pStyle w:val="ListParagraph"/>
        <w:numPr>
          <w:ilvl w:val="0"/>
          <w:numId w:val="10"/>
        </w:numPr>
        <w:spacing w:after="200" w:line="276" w:lineRule="auto"/>
      </w:pPr>
      <w:r w:rsidRPr="00093FB6">
        <w:rPr>
          <w:b/>
        </w:rPr>
        <w:t>Move</w:t>
      </w:r>
      <w:r w:rsidR="002E58AB" w:rsidRPr="00093FB6">
        <w:rPr>
          <w:b/>
        </w:rPr>
        <w:t xml:space="preserve"> adult education and </w:t>
      </w:r>
      <w:r w:rsidRPr="00093FB6">
        <w:rPr>
          <w:b/>
        </w:rPr>
        <w:t xml:space="preserve">training questions </w:t>
      </w:r>
      <w:r w:rsidR="00426FEC" w:rsidRPr="00093FB6">
        <w:rPr>
          <w:b/>
        </w:rPr>
        <w:t xml:space="preserve">out of </w:t>
      </w:r>
      <w:r w:rsidR="00057C1B" w:rsidRPr="00093FB6">
        <w:rPr>
          <w:b/>
        </w:rPr>
        <w:t xml:space="preserve">the </w:t>
      </w:r>
      <w:r w:rsidR="00426FEC" w:rsidRPr="00093FB6">
        <w:rPr>
          <w:b/>
        </w:rPr>
        <w:t>education section and into</w:t>
      </w:r>
      <w:r w:rsidR="00057C1B" w:rsidRPr="00093FB6">
        <w:rPr>
          <w:b/>
        </w:rPr>
        <w:t xml:space="preserve"> a</w:t>
      </w:r>
      <w:r w:rsidR="00426FEC" w:rsidRPr="00093FB6">
        <w:rPr>
          <w:b/>
        </w:rPr>
        <w:t xml:space="preserve"> </w:t>
      </w:r>
      <w:r w:rsidR="00234575" w:rsidRPr="00093FB6">
        <w:rPr>
          <w:b/>
        </w:rPr>
        <w:t xml:space="preserve">separate section </w:t>
      </w:r>
      <w:r w:rsidR="00426FEC" w:rsidRPr="00093FB6">
        <w:rPr>
          <w:b/>
        </w:rPr>
        <w:t>following</w:t>
      </w:r>
      <w:r w:rsidRPr="00093FB6">
        <w:rPr>
          <w:b/>
        </w:rPr>
        <w:t xml:space="preserve"> </w:t>
      </w:r>
      <w:r w:rsidR="002E58AB" w:rsidRPr="00093FB6">
        <w:rPr>
          <w:b/>
        </w:rPr>
        <w:t>employment.</w:t>
      </w:r>
      <w:r w:rsidR="002E58AB" w:rsidRPr="00093FB6">
        <w:t xml:space="preserve"> </w:t>
      </w:r>
      <w:r w:rsidR="00234575" w:rsidRPr="00093FB6">
        <w:t>P</w:t>
      </w:r>
      <w:r w:rsidR="00426FEC" w:rsidRPr="00093FB6">
        <w:t>re-test participants felt that th</w:t>
      </w:r>
      <w:r w:rsidR="00234575" w:rsidRPr="00093FB6">
        <w:t xml:space="preserve">e </w:t>
      </w:r>
      <w:r w:rsidR="00426FEC" w:rsidRPr="00093FB6">
        <w:t>adult education</w:t>
      </w:r>
      <w:r w:rsidR="00234575" w:rsidRPr="00093FB6">
        <w:t xml:space="preserve"> and training</w:t>
      </w:r>
      <w:r w:rsidR="00426FEC" w:rsidRPr="00093FB6">
        <w:t xml:space="preserve"> </w:t>
      </w:r>
      <w:r w:rsidR="00234575" w:rsidRPr="00093FB6">
        <w:t>questions were more related to employment than to education.  Therefore,</w:t>
      </w:r>
      <w:r w:rsidR="00426FEC" w:rsidRPr="00093FB6">
        <w:t xml:space="preserve"> we recommend moving the adult education</w:t>
      </w:r>
      <w:r w:rsidR="00234575" w:rsidRPr="00093FB6">
        <w:t xml:space="preserve"> and training questions</w:t>
      </w:r>
      <w:r w:rsidR="00426FEC" w:rsidRPr="00093FB6">
        <w:t xml:space="preserve"> </w:t>
      </w:r>
      <w:r w:rsidR="00234575" w:rsidRPr="00093FB6">
        <w:t xml:space="preserve">into </w:t>
      </w:r>
      <w:r w:rsidR="009F2EC1" w:rsidRPr="00093FB6">
        <w:t>their</w:t>
      </w:r>
      <w:r w:rsidR="00234575" w:rsidRPr="00093FB6">
        <w:t xml:space="preserve"> own section following the employment questions. </w:t>
      </w:r>
    </w:p>
    <w:p w:rsidR="00C66550" w:rsidRPr="00093FB6" w:rsidRDefault="002E58AB" w:rsidP="002E58AB">
      <w:pPr>
        <w:pStyle w:val="ListParagraph"/>
        <w:numPr>
          <w:ilvl w:val="0"/>
          <w:numId w:val="10"/>
        </w:numPr>
        <w:spacing w:after="200" w:line="276" w:lineRule="auto"/>
      </w:pPr>
      <w:r w:rsidRPr="00093FB6">
        <w:rPr>
          <w:b/>
        </w:rPr>
        <w:t>Balance frequency categories.</w:t>
      </w:r>
      <w:r w:rsidRPr="00093FB6">
        <w:t xml:space="preserve"> </w:t>
      </w:r>
      <w:r w:rsidR="00276360" w:rsidRPr="00093FB6">
        <w:t xml:space="preserve">For frequency </w:t>
      </w:r>
      <w:r w:rsidR="00C66550" w:rsidRPr="00093FB6">
        <w:t>categories throughout</w:t>
      </w:r>
      <w:r w:rsidR="00276360" w:rsidRPr="00093FB6">
        <w:t xml:space="preserve"> the survey,</w:t>
      </w:r>
      <w:r w:rsidR="00C66550" w:rsidRPr="00093FB6">
        <w:t xml:space="preserve"> </w:t>
      </w:r>
      <w:r w:rsidR="00276360" w:rsidRPr="00093FB6">
        <w:t xml:space="preserve">we recommend changing them </w:t>
      </w:r>
      <w:r w:rsidR="00C66550" w:rsidRPr="00093FB6">
        <w:t xml:space="preserve">to </w:t>
      </w:r>
      <w:r w:rsidR="00276360" w:rsidRPr="00093FB6">
        <w:t>be</w:t>
      </w:r>
      <w:r w:rsidR="00C66550" w:rsidRPr="00093FB6">
        <w:t xml:space="preserve"> less skewed to the high end</w:t>
      </w:r>
      <w:r w:rsidR="00276360" w:rsidRPr="00093FB6">
        <w:t>. We propose the following new categories</w:t>
      </w:r>
      <w:r w:rsidR="00C66550" w:rsidRPr="00093FB6">
        <w:t xml:space="preserve">: every day, a few times a week, a few times </w:t>
      </w:r>
      <w:r w:rsidR="00276360" w:rsidRPr="00093FB6">
        <w:t>in the past 30 days</w:t>
      </w:r>
      <w:r w:rsidR="00C66550" w:rsidRPr="00093FB6">
        <w:t>, not at all</w:t>
      </w:r>
      <w:r w:rsidR="00276360" w:rsidRPr="00093FB6">
        <w:t xml:space="preserve"> in the past 30 days</w:t>
      </w:r>
      <w:r w:rsidRPr="00093FB6">
        <w:t>.</w:t>
      </w:r>
    </w:p>
    <w:p w:rsidR="00C66550" w:rsidRPr="00093FB6" w:rsidRDefault="002E58AB" w:rsidP="002E58AB">
      <w:pPr>
        <w:pStyle w:val="ListParagraph"/>
        <w:numPr>
          <w:ilvl w:val="0"/>
          <w:numId w:val="10"/>
        </w:numPr>
        <w:spacing w:after="200" w:line="276" w:lineRule="auto"/>
      </w:pPr>
      <w:r w:rsidRPr="00093FB6">
        <w:rPr>
          <w:b/>
        </w:rPr>
        <w:lastRenderedPageBreak/>
        <w:t>Reinforce household representation.</w:t>
      </w:r>
      <w:r w:rsidRPr="00093FB6">
        <w:t xml:space="preserve"> </w:t>
      </w:r>
      <w:r w:rsidR="00B61592" w:rsidRPr="00093FB6">
        <w:t>To ensure that participants answer the questions on behalf of</w:t>
      </w:r>
      <w:r w:rsidR="00C66550" w:rsidRPr="00093FB6">
        <w:t xml:space="preserve"> every adult in the</w:t>
      </w:r>
      <w:r w:rsidR="00257ABC" w:rsidRPr="00093FB6">
        <w:t>ir</w:t>
      </w:r>
      <w:r w:rsidR="00C66550" w:rsidRPr="00093FB6">
        <w:t xml:space="preserve"> household</w:t>
      </w:r>
      <w:r w:rsidR="00501932" w:rsidRPr="00093FB6">
        <w:t>,</w:t>
      </w:r>
      <w:r w:rsidR="00257ABC" w:rsidRPr="00093FB6">
        <w:t xml:space="preserve"> not just themselves</w:t>
      </w:r>
      <w:r w:rsidR="00B61592" w:rsidRPr="00093FB6">
        <w:t xml:space="preserve">, we recommend adding </w:t>
      </w:r>
      <w:r w:rsidRPr="00093FB6">
        <w:t>language to</w:t>
      </w:r>
      <w:r w:rsidR="00C66550" w:rsidRPr="00093FB6">
        <w:t xml:space="preserve"> emphasize that the questions pertain to all</w:t>
      </w:r>
      <w:r w:rsidRPr="00093FB6">
        <w:t xml:space="preserve"> adult members of the household.</w:t>
      </w:r>
    </w:p>
    <w:p w:rsidR="00C66550" w:rsidRPr="00093FB6" w:rsidRDefault="002E58AB" w:rsidP="002E58AB">
      <w:pPr>
        <w:pStyle w:val="ListParagraph"/>
        <w:numPr>
          <w:ilvl w:val="0"/>
          <w:numId w:val="10"/>
        </w:numPr>
        <w:spacing w:after="200" w:line="276" w:lineRule="auto"/>
      </w:pPr>
      <w:r w:rsidRPr="00093FB6">
        <w:rPr>
          <w:b/>
        </w:rPr>
        <w:t>Ensure emphasis on children when needed.</w:t>
      </w:r>
      <w:r w:rsidRPr="00093FB6">
        <w:t xml:space="preserve"> </w:t>
      </w:r>
      <w:r w:rsidR="00257ABC" w:rsidRPr="00093FB6">
        <w:t>Some participants answered the college and financial aid questions in the children’s education section on their own behalf. Therefore</w:t>
      </w:r>
      <w:r w:rsidR="00C66550" w:rsidRPr="00093FB6">
        <w:t xml:space="preserve">, we recommend adding “for </w:t>
      </w:r>
      <w:r w:rsidR="00257ABC" w:rsidRPr="00093FB6">
        <w:t xml:space="preserve">the </w:t>
      </w:r>
      <w:r w:rsidR="00C66550" w:rsidRPr="00093FB6">
        <w:t>children</w:t>
      </w:r>
      <w:r w:rsidR="00257ABC" w:rsidRPr="00093FB6">
        <w:t xml:space="preserve"> in your household</w:t>
      </w:r>
      <w:r w:rsidR="00C66550" w:rsidRPr="00093FB6">
        <w:t xml:space="preserve">” to reinforce that this question is specifically asking about activities on behalf of the children in the household, not for </w:t>
      </w:r>
      <w:r w:rsidR="00257ABC" w:rsidRPr="00093FB6">
        <w:t xml:space="preserve">adult respondents </w:t>
      </w:r>
      <w:r w:rsidR="00C66550" w:rsidRPr="00093FB6">
        <w:t>or other adults in the household</w:t>
      </w:r>
      <w:r w:rsidR="00257ABC" w:rsidRPr="00093FB6">
        <w:t xml:space="preserve">. </w:t>
      </w:r>
    </w:p>
    <w:p w:rsidR="00C66550" w:rsidRPr="00093FB6" w:rsidRDefault="002E58AB" w:rsidP="002E58AB">
      <w:pPr>
        <w:pStyle w:val="ListParagraph"/>
        <w:numPr>
          <w:ilvl w:val="0"/>
          <w:numId w:val="10"/>
        </w:numPr>
        <w:spacing w:after="200" w:line="276" w:lineRule="auto"/>
      </w:pPr>
      <w:r w:rsidRPr="00093FB6">
        <w:rPr>
          <w:b/>
        </w:rPr>
        <w:t>Provide opportunity for “other” responses.</w:t>
      </w:r>
      <w:r w:rsidRPr="00093FB6">
        <w:t xml:space="preserve"> </w:t>
      </w:r>
      <w:r w:rsidR="00257ABC" w:rsidRPr="00093FB6">
        <w:t xml:space="preserve">For the battery about reasons for not using the internet at home, we recommend adding </w:t>
      </w:r>
      <w:r w:rsidR="00C66550" w:rsidRPr="00093FB6">
        <w:t xml:space="preserve">an “other” </w:t>
      </w:r>
      <w:r w:rsidR="00257ABC" w:rsidRPr="00093FB6">
        <w:t>response option</w:t>
      </w:r>
      <w:r w:rsidR="002E2838">
        <w:t>.</w:t>
      </w:r>
      <w:r w:rsidR="00C66550" w:rsidRPr="00093FB6">
        <w:t xml:space="preserve"> </w:t>
      </w:r>
    </w:p>
    <w:p w:rsidR="00C66550" w:rsidRPr="00093FB6" w:rsidRDefault="002E58AB" w:rsidP="002E58AB">
      <w:pPr>
        <w:pStyle w:val="ListParagraph"/>
        <w:numPr>
          <w:ilvl w:val="0"/>
          <w:numId w:val="10"/>
        </w:numPr>
        <w:spacing w:after="200" w:line="276" w:lineRule="auto"/>
      </w:pPr>
      <w:r w:rsidRPr="00093FB6">
        <w:rPr>
          <w:b/>
        </w:rPr>
        <w:t>Revamp internet skills questions</w:t>
      </w:r>
      <w:r w:rsidRPr="00093FB6">
        <w:t xml:space="preserve">. </w:t>
      </w:r>
      <w:r w:rsidR="00257ABC" w:rsidRPr="00093FB6">
        <w:t>To increase the variance in responses, we recommend replacing</w:t>
      </w:r>
      <w:r w:rsidR="00C66550" w:rsidRPr="00093FB6">
        <w:t xml:space="preserve"> </w:t>
      </w:r>
      <w:r w:rsidR="00257ABC" w:rsidRPr="00093FB6">
        <w:t xml:space="preserve">the confidence in </w:t>
      </w:r>
      <w:r w:rsidR="00201BAF" w:rsidRPr="00093FB6">
        <w:t xml:space="preserve">general </w:t>
      </w:r>
      <w:r w:rsidR="00257ABC" w:rsidRPr="00093FB6">
        <w:t>internet and computer skills questions</w:t>
      </w:r>
      <w:r w:rsidR="00C66550" w:rsidRPr="00093FB6">
        <w:t xml:space="preserve"> with a battery of questions pertaining to confidence levels </w:t>
      </w:r>
      <w:r w:rsidR="006E067A" w:rsidRPr="00093FB6">
        <w:t>in</w:t>
      </w:r>
      <w:r w:rsidR="00C66550" w:rsidRPr="00093FB6">
        <w:t xml:space="preserve"> various </w:t>
      </w:r>
      <w:r w:rsidR="00201BAF" w:rsidRPr="00093FB6">
        <w:t xml:space="preserve">specific </w:t>
      </w:r>
      <w:r w:rsidR="00C66550" w:rsidRPr="00093FB6">
        <w:t>activities related to internet use</w:t>
      </w:r>
      <w:r w:rsidR="00257ABC" w:rsidRPr="00093FB6">
        <w:t xml:space="preserve">. </w:t>
      </w:r>
    </w:p>
    <w:p w:rsidR="00C66550" w:rsidRPr="00093FB6" w:rsidRDefault="002E58AB" w:rsidP="002E58AB">
      <w:pPr>
        <w:pStyle w:val="ListParagraph"/>
        <w:numPr>
          <w:ilvl w:val="0"/>
          <w:numId w:val="10"/>
        </w:numPr>
        <w:spacing w:after="200" w:line="276" w:lineRule="auto"/>
      </w:pPr>
      <w:r w:rsidRPr="00093FB6">
        <w:rPr>
          <w:b/>
        </w:rPr>
        <w:t>Simplify age question.</w:t>
      </w:r>
      <w:r w:rsidRPr="00093FB6">
        <w:t xml:space="preserve"> </w:t>
      </w:r>
      <w:r w:rsidR="00257ABC" w:rsidRPr="00093FB6">
        <w:t xml:space="preserve">To prevent confusion, </w:t>
      </w:r>
      <w:r w:rsidR="00A7642C" w:rsidRPr="00093FB6">
        <w:t>we recommend that the interviewer not read answer choices for the question about participants</w:t>
      </w:r>
      <w:r w:rsidR="002E2838">
        <w:t>’</w:t>
      </w:r>
      <w:r w:rsidR="00A7642C" w:rsidRPr="00093FB6">
        <w:t xml:space="preserve"> ages and instead simply ask “How old are you?” and enter the response into the appropriate category. </w:t>
      </w:r>
    </w:p>
    <w:p w:rsidR="00705121" w:rsidRDefault="007423E2" w:rsidP="007423E2">
      <w:pPr>
        <w:pStyle w:val="BodyText-IPR"/>
      </w:pPr>
      <w:r>
        <w:t xml:space="preserve">These recommended changes have been incorporated into the </w:t>
      </w:r>
      <w:r w:rsidR="002E58AB">
        <w:t>accompanying version of the survey</w:t>
      </w:r>
      <w:r>
        <w:t xml:space="preserve">. </w:t>
      </w:r>
    </w:p>
    <w:sectPr w:rsidR="0070512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5E" w:rsidRDefault="0044555E" w:rsidP="004262FC">
      <w:pPr>
        <w:spacing w:after="0"/>
      </w:pPr>
      <w:r>
        <w:separator/>
      </w:r>
    </w:p>
  </w:endnote>
  <w:endnote w:type="continuationSeparator" w:id="0">
    <w:p w:rsidR="0044555E" w:rsidRDefault="0044555E" w:rsidP="00426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452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62FC" w:rsidRDefault="004262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F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62FC" w:rsidRDefault="00426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5E" w:rsidRDefault="0044555E" w:rsidP="004262FC">
      <w:pPr>
        <w:spacing w:after="0"/>
      </w:pPr>
      <w:r>
        <w:separator/>
      </w:r>
    </w:p>
  </w:footnote>
  <w:footnote w:type="continuationSeparator" w:id="0">
    <w:p w:rsidR="0044555E" w:rsidRDefault="0044555E" w:rsidP="004262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8150E"/>
    <w:multiLevelType w:val="hybridMultilevel"/>
    <w:tmpl w:val="E252E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4D58"/>
    <w:multiLevelType w:val="multilevel"/>
    <w:tmpl w:val="0F5A555C"/>
    <w:numStyleLink w:val="BulletListStyleRed-IPR"/>
  </w:abstractNum>
  <w:abstractNum w:abstractNumId="3" w15:restartNumberingAfterBreak="0">
    <w:nsid w:val="3B6543A5"/>
    <w:multiLevelType w:val="hybridMultilevel"/>
    <w:tmpl w:val="C00AB9BE"/>
    <w:lvl w:ilvl="0" w:tplc="E3B2B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6FAEED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16637"/>
    <w:multiLevelType w:val="hybridMultilevel"/>
    <w:tmpl w:val="1F821D16"/>
    <w:lvl w:ilvl="0" w:tplc="E3B2B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6FAEED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758DD"/>
    <w:multiLevelType w:val="hybridMultilevel"/>
    <w:tmpl w:val="C5C6E344"/>
    <w:lvl w:ilvl="0" w:tplc="E3B2B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6FAEED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47411"/>
    <w:multiLevelType w:val="hybridMultilevel"/>
    <w:tmpl w:val="F766AC00"/>
    <w:lvl w:ilvl="0" w:tplc="E3B2B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6FAEED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61BB1"/>
    <w:multiLevelType w:val="hybridMultilevel"/>
    <w:tmpl w:val="24369C48"/>
    <w:lvl w:ilvl="0" w:tplc="E3B2B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426C7"/>
    <w:multiLevelType w:val="hybridMultilevel"/>
    <w:tmpl w:val="C890C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393298"/>
    <w:multiLevelType w:val="hybridMultilevel"/>
    <w:tmpl w:val="780A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DD2230"/>
        </w:rPr>
      </w:lvl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50"/>
    <w:rsid w:val="00057C1B"/>
    <w:rsid w:val="00093FB6"/>
    <w:rsid w:val="00096CEF"/>
    <w:rsid w:val="00103A94"/>
    <w:rsid w:val="001B46C6"/>
    <w:rsid w:val="00201BAF"/>
    <w:rsid w:val="00234575"/>
    <w:rsid w:val="00257ABC"/>
    <w:rsid w:val="00276360"/>
    <w:rsid w:val="002E2838"/>
    <w:rsid w:val="002E58AB"/>
    <w:rsid w:val="003B657A"/>
    <w:rsid w:val="003D4935"/>
    <w:rsid w:val="003E3699"/>
    <w:rsid w:val="003F496E"/>
    <w:rsid w:val="004262FC"/>
    <w:rsid w:val="00426FEC"/>
    <w:rsid w:val="0044555E"/>
    <w:rsid w:val="00446696"/>
    <w:rsid w:val="00501932"/>
    <w:rsid w:val="006628EB"/>
    <w:rsid w:val="00693CCE"/>
    <w:rsid w:val="006E067A"/>
    <w:rsid w:val="00704624"/>
    <w:rsid w:val="007423E2"/>
    <w:rsid w:val="00761ACB"/>
    <w:rsid w:val="007F038A"/>
    <w:rsid w:val="007F4B90"/>
    <w:rsid w:val="00924AFE"/>
    <w:rsid w:val="00934FBE"/>
    <w:rsid w:val="009F2EC1"/>
    <w:rsid w:val="00A00A96"/>
    <w:rsid w:val="00A13FA0"/>
    <w:rsid w:val="00A53CC8"/>
    <w:rsid w:val="00A7642C"/>
    <w:rsid w:val="00B26755"/>
    <w:rsid w:val="00B61592"/>
    <w:rsid w:val="00C66550"/>
    <w:rsid w:val="00CC230E"/>
    <w:rsid w:val="00CC5C58"/>
    <w:rsid w:val="00D03DE6"/>
    <w:rsid w:val="00D953C8"/>
    <w:rsid w:val="00EA2BA4"/>
    <w:rsid w:val="00EA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54C33-CB50-4B22-AEB9-F99768BF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C66550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Labels-IPR">
    <w:name w:val="Memo Labels-IPR"/>
    <w:link w:val="MemoLabels-IPRChar"/>
    <w:qFormat/>
    <w:rsid w:val="00C66550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Cs w:val="20"/>
    </w:rPr>
  </w:style>
  <w:style w:type="character" w:customStyle="1" w:styleId="MemoLabels-IPRChar">
    <w:name w:val="Memo Labels-IPR Char"/>
    <w:basedOn w:val="DefaultParagraphFont"/>
    <w:link w:val="MemoLabels-IPR"/>
    <w:rsid w:val="00C66550"/>
    <w:rPr>
      <w:rFonts w:ascii="Calibri" w:eastAsiaTheme="minorEastAsia" w:hAnsi="Calibri" w:cs="Times New Roman"/>
      <w:b/>
      <w:szCs w:val="20"/>
    </w:rPr>
  </w:style>
  <w:style w:type="paragraph" w:customStyle="1" w:styleId="BulletsRed-IPR">
    <w:name w:val="BulletsRed-IPR"/>
    <w:link w:val="BulletsRed-IPRChar"/>
    <w:qFormat/>
    <w:rsid w:val="00C66550"/>
    <w:pPr>
      <w:numPr>
        <w:numId w:val="2"/>
      </w:numPr>
      <w:spacing w:after="120" w:line="240" w:lineRule="auto"/>
    </w:pPr>
    <w:rPr>
      <w:rFonts w:ascii="Calibri" w:hAnsi="Calibri" w:cs="Times New Roman"/>
      <w:szCs w:val="24"/>
    </w:rPr>
  </w:style>
  <w:style w:type="character" w:customStyle="1" w:styleId="BulletsRed-IPRChar">
    <w:name w:val="BulletsRed-IPR Char"/>
    <w:basedOn w:val="DefaultParagraphFont"/>
    <w:link w:val="BulletsRed-IPR"/>
    <w:rsid w:val="00C66550"/>
    <w:rPr>
      <w:rFonts w:ascii="Calibri" w:hAnsi="Calibri" w:cs="Times New Roman"/>
      <w:szCs w:val="24"/>
    </w:rPr>
  </w:style>
  <w:style w:type="paragraph" w:customStyle="1" w:styleId="DropCap-IPR">
    <w:name w:val="DropCap-IPR"/>
    <w:link w:val="DropCap-IPRChar"/>
    <w:qFormat/>
    <w:rsid w:val="00C66550"/>
    <w:pPr>
      <w:keepNext/>
      <w:framePr w:wrap="around" w:vAnchor="text" w:hAnchor="text"/>
      <w:spacing w:after="0" w:line="537" w:lineRule="exact"/>
    </w:pPr>
    <w:rPr>
      <w:rFonts w:ascii="Calibri" w:eastAsia="Times New Roman" w:hAnsi="Calibri" w:cs="Times New Roman"/>
      <w:color w:val="DD2230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C66550"/>
    <w:rPr>
      <w:rFonts w:ascii="Calibri" w:eastAsia="Times New Roman" w:hAnsi="Calibri" w:cs="Times New Roman"/>
      <w:color w:val="DD2230"/>
      <w:position w:val="-5"/>
      <w:sz w:val="68"/>
      <w:szCs w:val="24"/>
    </w:rPr>
  </w:style>
  <w:style w:type="paragraph" w:customStyle="1" w:styleId="BodyText-IPR">
    <w:name w:val="BodyText-IPR"/>
    <w:link w:val="BodyText-IPRChar"/>
    <w:qFormat/>
    <w:rsid w:val="00C66550"/>
    <w:pPr>
      <w:spacing w:after="240" w:line="240" w:lineRule="auto"/>
    </w:pPr>
    <w:rPr>
      <w:rFonts w:ascii="Calibri" w:hAnsi="Calibri"/>
    </w:rPr>
  </w:style>
  <w:style w:type="paragraph" w:customStyle="1" w:styleId="Heading1-IPR">
    <w:name w:val="Heading1-IPR"/>
    <w:link w:val="Heading1-IPRChar"/>
    <w:qFormat/>
    <w:rsid w:val="00C66550"/>
    <w:pPr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C66550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C66550"/>
    <w:rPr>
      <w:rFonts w:ascii="Calibri" w:hAnsi="Calibri"/>
    </w:rPr>
  </w:style>
  <w:style w:type="numbering" w:customStyle="1" w:styleId="BulletListStyleRed-IPR">
    <w:name w:val="BulletListStyleRed-IPR"/>
    <w:uiPriority w:val="99"/>
    <w:rsid w:val="00C66550"/>
    <w:pPr>
      <w:numPr>
        <w:numId w:val="1"/>
      </w:numPr>
    </w:pPr>
  </w:style>
  <w:style w:type="paragraph" w:customStyle="1" w:styleId="Body12ptCalibri-IPR">
    <w:name w:val="Body12ptCalibri-IPR"/>
    <w:link w:val="Body12ptCalibri-IPRChar"/>
    <w:rsid w:val="00C66550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C66550"/>
    <w:rPr>
      <w:rFonts w:ascii="Calibri" w:eastAsia="Times New Roman" w:hAnsi="Calibri" w:cs="Times New Roman"/>
      <w:sz w:val="24"/>
      <w:szCs w:val="24"/>
    </w:rPr>
  </w:style>
  <w:style w:type="paragraph" w:customStyle="1" w:styleId="Page1MemoBoldTableText">
    <w:name w:val="Page1MemoBoldTableText"/>
    <w:link w:val="Page1MemoBoldTableTextChar"/>
    <w:rsid w:val="00C66550"/>
    <w:pPr>
      <w:spacing w:after="0" w:line="240" w:lineRule="auto"/>
    </w:pPr>
    <w:rPr>
      <w:rFonts w:ascii="Arial" w:hAnsi="Arial" w:cs="Arial"/>
      <w:b/>
      <w:sz w:val="24"/>
    </w:rPr>
  </w:style>
  <w:style w:type="character" w:customStyle="1" w:styleId="Page1MemoBoldTableTextChar">
    <w:name w:val="Page1MemoBoldTableText Char"/>
    <w:basedOn w:val="DefaultParagraphFont"/>
    <w:link w:val="Page1MemoBoldTableText"/>
    <w:rsid w:val="00C66550"/>
    <w:rPr>
      <w:rFonts w:ascii="Arial" w:hAnsi="Arial" w:cs="Arial"/>
      <w:b/>
      <w:sz w:val="24"/>
    </w:rPr>
  </w:style>
  <w:style w:type="paragraph" w:styleId="ListParagraph">
    <w:name w:val="List Paragraph"/>
    <w:basedOn w:val="Normal"/>
    <w:uiPriority w:val="34"/>
    <w:qFormat/>
    <w:rsid w:val="00C66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5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50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4262FC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26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2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62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62FC"/>
  </w:style>
  <w:style w:type="paragraph" w:styleId="Footer">
    <w:name w:val="footer"/>
    <w:basedOn w:val="Normal"/>
    <w:link w:val="FooterChar"/>
    <w:uiPriority w:val="99"/>
    <w:unhideWhenUsed/>
    <w:rsid w:val="004262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62FC"/>
  </w:style>
  <w:style w:type="paragraph" w:customStyle="1" w:styleId="Heading2-IPR">
    <w:name w:val="Heading2-IPR"/>
    <w:link w:val="Heading2-IPRChar"/>
    <w:qFormat/>
    <w:rsid w:val="00924AFE"/>
    <w:pPr>
      <w:keepNext/>
      <w:pBdr>
        <w:bottom w:val="dotted" w:sz="4" w:space="1" w:color="auto"/>
      </w:pBdr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character" w:customStyle="1" w:styleId="Heading2-IPRChar">
    <w:name w:val="Heading2-IPR Char"/>
    <w:basedOn w:val="DefaultParagraphFont"/>
    <w:link w:val="Heading2-IPR"/>
    <w:rsid w:val="00924AFE"/>
    <w:rPr>
      <w:rFonts w:ascii="Candara" w:eastAsiaTheme="majorEastAsia" w:hAnsi="Candara" w:cstheme="majorBidi"/>
      <w:b/>
      <w:bCs/>
      <w:color w:val="B12732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C487-69FA-4528-8987-C8EFBFD5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Hill, Ronald M</cp:lastModifiedBy>
  <cp:revision>2</cp:revision>
  <dcterms:created xsi:type="dcterms:W3CDTF">2016-08-17T15:47:00Z</dcterms:created>
  <dcterms:modified xsi:type="dcterms:W3CDTF">2016-08-17T15:47:00Z</dcterms:modified>
</cp:coreProperties>
</file>