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F9" w:rsidRPr="00EA24F9" w:rsidRDefault="000D5B89" w:rsidP="00EA24F9">
      <w:pPr>
        <w:jc w:val="center"/>
        <w:rPr>
          <w:b/>
        </w:rPr>
      </w:pPr>
      <w:bookmarkStart w:id="0" w:name="_GoBack"/>
      <w:bookmarkEnd w:id="0"/>
      <w:r>
        <w:rPr>
          <w:b/>
        </w:rPr>
        <w:t>Revised</w:t>
      </w:r>
      <w:r w:rsidR="00EA24F9" w:rsidRPr="00EA24F9">
        <w:rPr>
          <w:b/>
        </w:rPr>
        <w:t xml:space="preserve"> Timeline for ConnectHome </w:t>
      </w:r>
      <w:r w:rsidR="00E765D6">
        <w:rPr>
          <w:b/>
        </w:rPr>
        <w:t>Focus Groups</w:t>
      </w:r>
    </w:p>
    <w:tbl>
      <w:tblPr>
        <w:tblStyle w:val="InsightTable"/>
        <w:tblW w:w="5000" w:type="pct"/>
        <w:tblInd w:w="0" w:type="dxa"/>
        <w:tblCellMar>
          <w:left w:w="58" w:type="dxa"/>
          <w:right w:w="58" w:type="dxa"/>
        </w:tblCellMar>
        <w:tblLook w:val="04A0" w:firstRow="1" w:lastRow="0" w:firstColumn="1" w:lastColumn="0" w:noHBand="0" w:noVBand="1"/>
      </w:tblPr>
      <w:tblGrid>
        <w:gridCol w:w="5208"/>
        <w:gridCol w:w="1971"/>
        <w:gridCol w:w="2181"/>
      </w:tblGrid>
      <w:tr w:rsidR="009E26CE" w:rsidRPr="00B45F86" w:rsidTr="000D5B89">
        <w:trPr>
          <w:cnfStyle w:val="100000000000" w:firstRow="1" w:lastRow="0" w:firstColumn="0" w:lastColumn="0" w:oddVBand="0" w:evenVBand="0" w:oddHBand="0" w:evenHBand="0" w:firstRowFirstColumn="0" w:firstRowLastColumn="0" w:lastRowFirstColumn="0" w:lastRowLastColumn="0"/>
          <w:trHeight w:val="504"/>
        </w:trPr>
        <w:tc>
          <w:tcPr>
            <w:tcW w:w="2782" w:type="pct"/>
          </w:tcPr>
          <w:p w:rsidR="009E26CE" w:rsidRPr="00B45F86" w:rsidRDefault="009E26CE" w:rsidP="00E765D6">
            <w:pPr>
              <w:pStyle w:val="TableHeaderRow-IPR"/>
              <w:rPr>
                <w:rFonts w:eastAsia="Calibri"/>
                <w:sz w:val="18"/>
                <w:szCs w:val="18"/>
              </w:rPr>
            </w:pPr>
            <w:r w:rsidRPr="00B45F86">
              <w:rPr>
                <w:rFonts w:eastAsia="Calibri"/>
                <w:sz w:val="18"/>
                <w:szCs w:val="18"/>
              </w:rPr>
              <w:t>Task</w:t>
            </w:r>
          </w:p>
        </w:tc>
        <w:tc>
          <w:tcPr>
            <w:tcW w:w="1053" w:type="pct"/>
          </w:tcPr>
          <w:p w:rsidR="009E26CE" w:rsidRPr="00B45F86" w:rsidRDefault="009E26CE" w:rsidP="00E765D6">
            <w:pPr>
              <w:pStyle w:val="TableHeaderRow-IPR"/>
              <w:rPr>
                <w:rFonts w:eastAsia="Calibri"/>
                <w:sz w:val="18"/>
                <w:szCs w:val="18"/>
              </w:rPr>
            </w:pPr>
            <w:r w:rsidRPr="00B45F86">
              <w:rPr>
                <w:rFonts w:eastAsia="Calibri"/>
                <w:sz w:val="18"/>
                <w:szCs w:val="18"/>
              </w:rPr>
              <w:t>Time Needed To Complete Task</w:t>
            </w:r>
          </w:p>
        </w:tc>
        <w:tc>
          <w:tcPr>
            <w:tcW w:w="1166" w:type="pct"/>
          </w:tcPr>
          <w:p w:rsidR="009E26CE" w:rsidRPr="00B45F86" w:rsidRDefault="00BF557C" w:rsidP="00E765D6">
            <w:pPr>
              <w:pStyle w:val="TableHeaderRow-IPR"/>
              <w:rPr>
                <w:rFonts w:eastAsia="Calibri"/>
                <w:sz w:val="18"/>
                <w:szCs w:val="18"/>
              </w:rPr>
            </w:pPr>
            <w:r>
              <w:rPr>
                <w:rFonts w:eastAsia="Calibri"/>
                <w:sz w:val="18"/>
                <w:szCs w:val="18"/>
              </w:rPr>
              <w:t>Expected</w:t>
            </w:r>
            <w:r w:rsidR="009E26CE">
              <w:rPr>
                <w:rFonts w:eastAsia="Calibri"/>
                <w:sz w:val="18"/>
                <w:szCs w:val="18"/>
              </w:rPr>
              <w:t xml:space="preserve"> Date</w:t>
            </w:r>
          </w:p>
        </w:tc>
      </w:tr>
      <w:tr w:rsidR="009E26CE" w:rsidRPr="006939DE" w:rsidTr="000D5B89">
        <w:trPr>
          <w:trHeight w:val="288"/>
        </w:trPr>
        <w:tc>
          <w:tcPr>
            <w:tcW w:w="2782" w:type="pct"/>
            <w:shd w:val="clear" w:color="auto" w:fill="auto"/>
            <w:vAlign w:val="top"/>
          </w:tcPr>
          <w:p w:rsidR="009E26CE" w:rsidRPr="00E765D6" w:rsidRDefault="009E26CE" w:rsidP="00E765D6">
            <w:pPr>
              <w:spacing w:after="0"/>
              <w:rPr>
                <w:b/>
              </w:rPr>
            </w:pPr>
            <w:r w:rsidRPr="00E765D6">
              <w:rPr>
                <w:b/>
              </w:rPr>
              <w:t>HUD approval of focus group approach</w:t>
            </w:r>
          </w:p>
        </w:tc>
        <w:tc>
          <w:tcPr>
            <w:tcW w:w="1053" w:type="pct"/>
            <w:shd w:val="clear" w:color="auto" w:fill="auto"/>
            <w:vAlign w:val="top"/>
          </w:tcPr>
          <w:p w:rsidR="009E26CE" w:rsidRPr="002F427C" w:rsidRDefault="009E26CE" w:rsidP="00E765D6">
            <w:pPr>
              <w:spacing w:after="0"/>
              <w:rPr>
                <w:b/>
              </w:rPr>
            </w:pPr>
            <w:r w:rsidRPr="002F427C">
              <w:rPr>
                <w:b/>
              </w:rPr>
              <w:t>2 weeks</w:t>
            </w:r>
          </w:p>
        </w:tc>
        <w:tc>
          <w:tcPr>
            <w:tcW w:w="1166" w:type="pct"/>
            <w:vAlign w:val="top"/>
          </w:tcPr>
          <w:p w:rsidR="009E26CE" w:rsidRPr="002F427C" w:rsidRDefault="009E26CE" w:rsidP="00EE1FFB">
            <w:pPr>
              <w:spacing w:after="0"/>
              <w:rPr>
                <w:b/>
              </w:rPr>
            </w:pPr>
            <w:r w:rsidRPr="002F427C">
              <w:rPr>
                <w:b/>
              </w:rPr>
              <w:t>March 7-March 18</w:t>
            </w:r>
            <w:r>
              <w:rPr>
                <w:b/>
              </w:rPr>
              <w:t xml:space="preserve"> (complete)</w:t>
            </w:r>
          </w:p>
        </w:tc>
      </w:tr>
      <w:tr w:rsidR="009E26CE" w:rsidRPr="006939DE" w:rsidTr="000D5B89">
        <w:trPr>
          <w:trHeight w:val="288"/>
        </w:trPr>
        <w:tc>
          <w:tcPr>
            <w:tcW w:w="2782" w:type="pct"/>
            <w:shd w:val="clear" w:color="auto" w:fill="auto"/>
            <w:vAlign w:val="top"/>
          </w:tcPr>
          <w:p w:rsidR="009E26CE" w:rsidRPr="00E765D6" w:rsidRDefault="009E26CE" w:rsidP="00E765D6">
            <w:pPr>
              <w:spacing w:after="0"/>
              <w:rPr>
                <w:b/>
              </w:rPr>
            </w:pPr>
            <w:r w:rsidRPr="00E765D6">
              <w:rPr>
                <w:b/>
              </w:rPr>
              <w:t>HUD submits 60-day OMB notice</w:t>
            </w:r>
          </w:p>
        </w:tc>
        <w:tc>
          <w:tcPr>
            <w:tcW w:w="1053" w:type="pct"/>
            <w:shd w:val="clear" w:color="auto" w:fill="auto"/>
            <w:vAlign w:val="top"/>
          </w:tcPr>
          <w:p w:rsidR="009E26CE" w:rsidRPr="002F427C" w:rsidRDefault="009E26CE" w:rsidP="00E765D6">
            <w:pPr>
              <w:spacing w:after="0"/>
              <w:rPr>
                <w:b/>
              </w:rPr>
            </w:pPr>
            <w:r w:rsidRPr="002F427C">
              <w:rPr>
                <w:b/>
              </w:rPr>
              <w:t>N/A</w:t>
            </w:r>
          </w:p>
        </w:tc>
        <w:tc>
          <w:tcPr>
            <w:tcW w:w="1166" w:type="pct"/>
            <w:vAlign w:val="top"/>
          </w:tcPr>
          <w:p w:rsidR="009E26CE" w:rsidRPr="002F427C" w:rsidRDefault="009E26CE" w:rsidP="00EE1FFB">
            <w:pPr>
              <w:spacing w:after="0"/>
              <w:rPr>
                <w:b/>
              </w:rPr>
            </w:pPr>
            <w:r w:rsidRPr="002F427C">
              <w:rPr>
                <w:b/>
              </w:rPr>
              <w:t>March 29</w:t>
            </w:r>
            <w:r>
              <w:rPr>
                <w:b/>
              </w:rPr>
              <w:t xml:space="preserve"> (complete)</w:t>
            </w:r>
          </w:p>
        </w:tc>
      </w:tr>
      <w:tr w:rsidR="009E26CE" w:rsidRPr="006939DE" w:rsidTr="000D5B89">
        <w:trPr>
          <w:trHeight w:val="288"/>
        </w:trPr>
        <w:tc>
          <w:tcPr>
            <w:tcW w:w="2782" w:type="pct"/>
            <w:shd w:val="clear" w:color="auto" w:fill="auto"/>
            <w:vAlign w:val="top"/>
          </w:tcPr>
          <w:p w:rsidR="009E26CE" w:rsidRPr="00E765D6" w:rsidRDefault="009E26CE" w:rsidP="00E765D6">
            <w:pPr>
              <w:spacing w:after="0"/>
              <w:rPr>
                <w:b/>
              </w:rPr>
            </w:pPr>
            <w:r w:rsidRPr="00E765D6">
              <w:rPr>
                <w:b/>
              </w:rPr>
              <w:t>HUD selects sites</w:t>
            </w:r>
          </w:p>
        </w:tc>
        <w:tc>
          <w:tcPr>
            <w:tcW w:w="1053" w:type="pct"/>
            <w:shd w:val="clear" w:color="auto" w:fill="auto"/>
            <w:vAlign w:val="top"/>
          </w:tcPr>
          <w:p w:rsidR="009E26CE" w:rsidRPr="002F427C" w:rsidRDefault="009E26CE" w:rsidP="00E765D6">
            <w:pPr>
              <w:spacing w:after="0"/>
              <w:rPr>
                <w:b/>
              </w:rPr>
            </w:pPr>
            <w:r w:rsidRPr="002F427C">
              <w:rPr>
                <w:b/>
              </w:rPr>
              <w:t>N/A</w:t>
            </w:r>
          </w:p>
        </w:tc>
        <w:tc>
          <w:tcPr>
            <w:tcW w:w="1166" w:type="pct"/>
            <w:vAlign w:val="top"/>
          </w:tcPr>
          <w:p w:rsidR="009E26CE" w:rsidRPr="002F427C" w:rsidRDefault="009E26CE" w:rsidP="00EE1FFB">
            <w:pPr>
              <w:spacing w:after="0"/>
              <w:rPr>
                <w:b/>
              </w:rPr>
            </w:pPr>
            <w:r w:rsidRPr="002F427C">
              <w:rPr>
                <w:b/>
              </w:rPr>
              <w:t>by May 16</w:t>
            </w:r>
            <w:r>
              <w:rPr>
                <w:b/>
              </w:rPr>
              <w:t xml:space="preserve"> (complete)</w:t>
            </w:r>
          </w:p>
        </w:tc>
      </w:tr>
      <w:tr w:rsidR="009E26CE" w:rsidRPr="006939DE" w:rsidTr="000D5B89">
        <w:trPr>
          <w:trHeight w:val="288"/>
        </w:trPr>
        <w:tc>
          <w:tcPr>
            <w:tcW w:w="2782" w:type="pct"/>
            <w:shd w:val="clear" w:color="auto" w:fill="auto"/>
            <w:vAlign w:val="top"/>
          </w:tcPr>
          <w:p w:rsidR="009E26CE" w:rsidRPr="00D37B36" w:rsidRDefault="009E26CE" w:rsidP="00E765D6">
            <w:pPr>
              <w:spacing w:after="0"/>
              <w:rPr>
                <w:b/>
              </w:rPr>
            </w:pPr>
            <w:r w:rsidRPr="00D37B36">
              <w:t>Insight submits draft focus group protocols to HUD</w:t>
            </w:r>
          </w:p>
        </w:tc>
        <w:tc>
          <w:tcPr>
            <w:tcW w:w="1053" w:type="pct"/>
            <w:shd w:val="clear" w:color="auto" w:fill="auto"/>
            <w:vAlign w:val="top"/>
          </w:tcPr>
          <w:p w:rsidR="009E26CE" w:rsidRDefault="009E26CE" w:rsidP="00E765D6">
            <w:pPr>
              <w:spacing w:after="0"/>
            </w:pPr>
            <w:r>
              <w:t>4 weeks</w:t>
            </w:r>
          </w:p>
        </w:tc>
        <w:tc>
          <w:tcPr>
            <w:tcW w:w="1166" w:type="pct"/>
            <w:vAlign w:val="top"/>
          </w:tcPr>
          <w:p w:rsidR="009E26CE" w:rsidRDefault="009E26CE" w:rsidP="00EE1FFB">
            <w:pPr>
              <w:spacing w:after="0"/>
            </w:pPr>
            <w:r>
              <w:t>May 13 (complete)</w:t>
            </w:r>
          </w:p>
        </w:tc>
      </w:tr>
      <w:tr w:rsidR="009E26CE" w:rsidRPr="006939DE" w:rsidTr="000D5B89">
        <w:trPr>
          <w:trHeight w:val="288"/>
        </w:trPr>
        <w:tc>
          <w:tcPr>
            <w:tcW w:w="2782" w:type="pct"/>
            <w:shd w:val="clear" w:color="auto" w:fill="auto"/>
            <w:vAlign w:val="top"/>
          </w:tcPr>
          <w:p w:rsidR="009E26CE" w:rsidRPr="00E765D6" w:rsidRDefault="009E26CE" w:rsidP="00E765D6">
            <w:pPr>
              <w:spacing w:after="0"/>
              <w:rPr>
                <w:b/>
              </w:rPr>
            </w:pPr>
            <w:r w:rsidRPr="00E765D6">
              <w:rPr>
                <w:b/>
              </w:rPr>
              <w:t>HUD provides feedback on focus group protocols</w:t>
            </w:r>
          </w:p>
        </w:tc>
        <w:tc>
          <w:tcPr>
            <w:tcW w:w="1053" w:type="pct"/>
            <w:shd w:val="clear" w:color="auto" w:fill="auto"/>
            <w:vAlign w:val="top"/>
          </w:tcPr>
          <w:p w:rsidR="009E26CE" w:rsidRPr="002F427C" w:rsidRDefault="009E26CE" w:rsidP="00E765D6">
            <w:pPr>
              <w:spacing w:after="0"/>
              <w:rPr>
                <w:b/>
              </w:rPr>
            </w:pPr>
            <w:r w:rsidRPr="002F427C">
              <w:rPr>
                <w:b/>
              </w:rPr>
              <w:t>1 week</w:t>
            </w:r>
          </w:p>
        </w:tc>
        <w:tc>
          <w:tcPr>
            <w:tcW w:w="1166" w:type="pct"/>
            <w:vAlign w:val="top"/>
          </w:tcPr>
          <w:p w:rsidR="009E26CE" w:rsidRPr="002F427C" w:rsidRDefault="009E26CE" w:rsidP="00EE1FFB">
            <w:pPr>
              <w:spacing w:after="0"/>
              <w:rPr>
                <w:b/>
              </w:rPr>
            </w:pPr>
            <w:r w:rsidRPr="002F427C">
              <w:rPr>
                <w:b/>
              </w:rPr>
              <w:t>May 20</w:t>
            </w:r>
            <w:r>
              <w:rPr>
                <w:b/>
              </w:rPr>
              <w:t xml:space="preserve"> (complete)</w:t>
            </w:r>
          </w:p>
        </w:tc>
      </w:tr>
      <w:tr w:rsidR="009E26CE" w:rsidRPr="006939DE" w:rsidTr="000D5B89">
        <w:trPr>
          <w:trHeight w:val="288"/>
        </w:trPr>
        <w:tc>
          <w:tcPr>
            <w:tcW w:w="2782" w:type="pct"/>
            <w:shd w:val="clear" w:color="auto" w:fill="auto"/>
            <w:vAlign w:val="top"/>
          </w:tcPr>
          <w:p w:rsidR="009E26CE" w:rsidRPr="00E765D6" w:rsidRDefault="009E26CE" w:rsidP="00E765D6">
            <w:pPr>
              <w:spacing w:after="0"/>
              <w:rPr>
                <w:b/>
              </w:rPr>
            </w:pPr>
            <w:r w:rsidRPr="00E765D6">
              <w:rPr>
                <w:b/>
              </w:rPr>
              <w:t>HUD submit 30-day OMB notice (with final protocols)</w:t>
            </w:r>
          </w:p>
        </w:tc>
        <w:tc>
          <w:tcPr>
            <w:tcW w:w="1053" w:type="pct"/>
            <w:shd w:val="clear" w:color="auto" w:fill="auto"/>
            <w:vAlign w:val="top"/>
          </w:tcPr>
          <w:p w:rsidR="009E26CE" w:rsidRPr="002F427C" w:rsidRDefault="009E26CE" w:rsidP="00E765D6">
            <w:pPr>
              <w:spacing w:after="0"/>
              <w:rPr>
                <w:b/>
              </w:rPr>
            </w:pPr>
            <w:r w:rsidRPr="002F427C">
              <w:rPr>
                <w:b/>
              </w:rPr>
              <w:t>N/A</w:t>
            </w:r>
          </w:p>
        </w:tc>
        <w:tc>
          <w:tcPr>
            <w:tcW w:w="1166" w:type="pct"/>
            <w:vAlign w:val="top"/>
          </w:tcPr>
          <w:p w:rsidR="009E26CE" w:rsidRPr="002F427C" w:rsidRDefault="009E26CE" w:rsidP="00EE1FFB">
            <w:pPr>
              <w:spacing w:after="0"/>
              <w:rPr>
                <w:b/>
              </w:rPr>
            </w:pPr>
            <w:r>
              <w:rPr>
                <w:b/>
              </w:rPr>
              <w:t>August 7</w:t>
            </w:r>
          </w:p>
        </w:tc>
      </w:tr>
      <w:tr w:rsidR="009E26CE" w:rsidRPr="006939DE" w:rsidTr="000D5B89">
        <w:trPr>
          <w:trHeight w:val="288"/>
        </w:trPr>
        <w:tc>
          <w:tcPr>
            <w:tcW w:w="2782" w:type="pct"/>
            <w:shd w:val="clear" w:color="auto" w:fill="auto"/>
            <w:vAlign w:val="top"/>
          </w:tcPr>
          <w:p w:rsidR="009E26CE" w:rsidRPr="00E765D6" w:rsidRDefault="009E26CE" w:rsidP="00E765D6">
            <w:pPr>
              <w:spacing w:after="0"/>
              <w:rPr>
                <w:b/>
                <w:vertAlign w:val="superscript"/>
              </w:rPr>
            </w:pPr>
            <w:r>
              <w:t>Insight p</w:t>
            </w:r>
            <w:r w:rsidRPr="00D37B36">
              <w:t>repare</w:t>
            </w:r>
            <w:r>
              <w:t>s</w:t>
            </w:r>
            <w:r w:rsidRPr="00D37B36">
              <w:t xml:space="preserve"> training materials for sites</w:t>
            </w:r>
            <w:r>
              <w:rPr>
                <w:vertAlign w:val="superscript"/>
              </w:rPr>
              <w:t>1</w:t>
            </w:r>
          </w:p>
        </w:tc>
        <w:tc>
          <w:tcPr>
            <w:tcW w:w="1053" w:type="pct"/>
            <w:shd w:val="clear" w:color="auto" w:fill="auto"/>
            <w:vAlign w:val="top"/>
          </w:tcPr>
          <w:p w:rsidR="009E26CE" w:rsidRDefault="009E26CE" w:rsidP="00E765D6">
            <w:pPr>
              <w:spacing w:after="0"/>
            </w:pPr>
            <w:r>
              <w:t>3 weeks</w:t>
            </w:r>
          </w:p>
        </w:tc>
        <w:tc>
          <w:tcPr>
            <w:tcW w:w="1166" w:type="pct"/>
            <w:vAlign w:val="top"/>
          </w:tcPr>
          <w:p w:rsidR="009E26CE" w:rsidRDefault="00332E24" w:rsidP="009E26CE">
            <w:pPr>
              <w:spacing w:after="0"/>
            </w:pPr>
            <w:r>
              <w:t>August 22-September 12</w:t>
            </w:r>
          </w:p>
        </w:tc>
      </w:tr>
      <w:tr w:rsidR="009E26CE" w:rsidRPr="006939DE" w:rsidTr="000D5B89">
        <w:trPr>
          <w:trHeight w:val="288"/>
        </w:trPr>
        <w:tc>
          <w:tcPr>
            <w:tcW w:w="2782" w:type="pct"/>
            <w:shd w:val="clear" w:color="auto" w:fill="auto"/>
            <w:vAlign w:val="top"/>
          </w:tcPr>
          <w:p w:rsidR="009E26CE" w:rsidRPr="00D37B36" w:rsidRDefault="009E26CE" w:rsidP="00E765D6">
            <w:pPr>
              <w:spacing w:after="0"/>
              <w:rPr>
                <w:b/>
              </w:rPr>
            </w:pPr>
            <w:r w:rsidRPr="00D37B36">
              <w:t>Insight conducts outreach to sites/ select locations of FGs</w:t>
            </w:r>
          </w:p>
        </w:tc>
        <w:tc>
          <w:tcPr>
            <w:tcW w:w="1053" w:type="pct"/>
            <w:shd w:val="clear" w:color="auto" w:fill="auto"/>
            <w:vAlign w:val="top"/>
          </w:tcPr>
          <w:p w:rsidR="009E26CE" w:rsidRDefault="009E26CE" w:rsidP="00E765D6">
            <w:pPr>
              <w:spacing w:after="0"/>
            </w:pPr>
            <w:r>
              <w:t>3  weeks</w:t>
            </w:r>
          </w:p>
        </w:tc>
        <w:tc>
          <w:tcPr>
            <w:tcW w:w="1166" w:type="pct"/>
            <w:vAlign w:val="top"/>
          </w:tcPr>
          <w:p w:rsidR="009E26CE" w:rsidRDefault="009E26CE" w:rsidP="00EE1FFB">
            <w:pPr>
              <w:spacing w:after="0"/>
            </w:pPr>
            <w:r>
              <w:t>May 16-June 6 (complete)</w:t>
            </w:r>
          </w:p>
        </w:tc>
      </w:tr>
      <w:tr w:rsidR="009E26CE" w:rsidRPr="006939DE" w:rsidTr="000D5B89">
        <w:trPr>
          <w:trHeight w:val="288"/>
        </w:trPr>
        <w:tc>
          <w:tcPr>
            <w:tcW w:w="2782" w:type="pct"/>
            <w:shd w:val="clear" w:color="auto" w:fill="auto"/>
            <w:vAlign w:val="top"/>
          </w:tcPr>
          <w:p w:rsidR="009E26CE" w:rsidRPr="00E765D6" w:rsidRDefault="009E26CE" w:rsidP="00E765D6">
            <w:pPr>
              <w:spacing w:after="0"/>
              <w:rPr>
                <w:b/>
                <w:vertAlign w:val="superscript"/>
              </w:rPr>
            </w:pPr>
            <w:r w:rsidRPr="00D37B36">
              <w:t>Insight trains sites on logistics and recruiting procedures</w:t>
            </w:r>
            <w:r>
              <w:rPr>
                <w:vertAlign w:val="superscript"/>
              </w:rPr>
              <w:t>2</w:t>
            </w:r>
          </w:p>
        </w:tc>
        <w:tc>
          <w:tcPr>
            <w:tcW w:w="1053" w:type="pct"/>
            <w:shd w:val="clear" w:color="auto" w:fill="auto"/>
            <w:vAlign w:val="top"/>
          </w:tcPr>
          <w:p w:rsidR="009E26CE" w:rsidRDefault="009E26CE" w:rsidP="00E765D6">
            <w:pPr>
              <w:spacing w:after="0"/>
            </w:pPr>
            <w:r>
              <w:t>3 weeks</w:t>
            </w:r>
          </w:p>
        </w:tc>
        <w:tc>
          <w:tcPr>
            <w:tcW w:w="1166" w:type="pct"/>
            <w:vAlign w:val="top"/>
          </w:tcPr>
          <w:p w:rsidR="009E26CE" w:rsidRDefault="00332E24" w:rsidP="009E26CE">
            <w:pPr>
              <w:spacing w:after="0"/>
            </w:pPr>
            <w:r>
              <w:t>September 12-30</w:t>
            </w:r>
          </w:p>
        </w:tc>
      </w:tr>
      <w:tr w:rsidR="009E26CE" w:rsidRPr="006939DE" w:rsidTr="000D5B89">
        <w:trPr>
          <w:trHeight w:val="288"/>
        </w:trPr>
        <w:tc>
          <w:tcPr>
            <w:tcW w:w="2782" w:type="pct"/>
            <w:shd w:val="clear" w:color="auto" w:fill="auto"/>
            <w:vAlign w:val="top"/>
          </w:tcPr>
          <w:p w:rsidR="009E26CE" w:rsidRPr="00E765D6" w:rsidRDefault="009E26CE" w:rsidP="00E765D6">
            <w:pPr>
              <w:spacing w:after="0"/>
              <w:rPr>
                <w:b/>
              </w:rPr>
            </w:pPr>
            <w:r w:rsidRPr="00E765D6">
              <w:rPr>
                <w:b/>
              </w:rPr>
              <w:t>Obtain OMB approval</w:t>
            </w:r>
          </w:p>
        </w:tc>
        <w:tc>
          <w:tcPr>
            <w:tcW w:w="1053" w:type="pct"/>
            <w:shd w:val="clear" w:color="auto" w:fill="auto"/>
            <w:vAlign w:val="top"/>
          </w:tcPr>
          <w:p w:rsidR="009E26CE" w:rsidRPr="002F427C" w:rsidRDefault="009E26CE" w:rsidP="00E765D6">
            <w:pPr>
              <w:spacing w:after="0"/>
              <w:rPr>
                <w:b/>
              </w:rPr>
            </w:pPr>
            <w:r w:rsidRPr="002F427C">
              <w:rPr>
                <w:b/>
              </w:rPr>
              <w:t>30-60 days</w:t>
            </w:r>
          </w:p>
        </w:tc>
        <w:tc>
          <w:tcPr>
            <w:tcW w:w="1166" w:type="pct"/>
            <w:vAlign w:val="top"/>
          </w:tcPr>
          <w:p w:rsidR="009E26CE" w:rsidRPr="002F427C" w:rsidRDefault="009E26CE" w:rsidP="00EE1FFB">
            <w:pPr>
              <w:spacing w:after="0"/>
              <w:rPr>
                <w:b/>
              </w:rPr>
            </w:pPr>
            <w:r>
              <w:rPr>
                <w:b/>
              </w:rPr>
              <w:t>October 7</w:t>
            </w:r>
          </w:p>
        </w:tc>
      </w:tr>
      <w:tr w:rsidR="009E26CE" w:rsidRPr="006939DE" w:rsidTr="000D5B89">
        <w:trPr>
          <w:trHeight w:val="288"/>
        </w:trPr>
        <w:tc>
          <w:tcPr>
            <w:tcW w:w="2782" w:type="pct"/>
            <w:shd w:val="clear" w:color="auto" w:fill="auto"/>
            <w:vAlign w:val="top"/>
          </w:tcPr>
          <w:p w:rsidR="009E26CE" w:rsidRPr="00E765D6" w:rsidRDefault="009E26CE" w:rsidP="00E765D6">
            <w:pPr>
              <w:spacing w:after="0"/>
              <w:rPr>
                <w:b/>
                <w:vertAlign w:val="superscript"/>
              </w:rPr>
            </w:pPr>
            <w:r>
              <w:t>PHAs conduct r</w:t>
            </w:r>
            <w:r w:rsidRPr="00D37B36">
              <w:t xml:space="preserve">ecruiting for </w:t>
            </w:r>
            <w:r>
              <w:t xml:space="preserve">focus groups </w:t>
            </w:r>
            <w:r w:rsidRPr="00D37B36">
              <w:t>(with regular check-in from Insight)</w:t>
            </w:r>
            <w:r>
              <w:rPr>
                <w:vertAlign w:val="superscript"/>
              </w:rPr>
              <w:t>3</w:t>
            </w:r>
          </w:p>
        </w:tc>
        <w:tc>
          <w:tcPr>
            <w:tcW w:w="1053" w:type="pct"/>
            <w:shd w:val="clear" w:color="auto" w:fill="auto"/>
            <w:vAlign w:val="top"/>
          </w:tcPr>
          <w:p w:rsidR="009E26CE" w:rsidRDefault="009E26CE" w:rsidP="00E765D6">
            <w:pPr>
              <w:spacing w:after="0"/>
            </w:pPr>
            <w:r>
              <w:t>3 weeks</w:t>
            </w:r>
          </w:p>
        </w:tc>
        <w:tc>
          <w:tcPr>
            <w:tcW w:w="1166" w:type="pct"/>
            <w:vAlign w:val="top"/>
          </w:tcPr>
          <w:p w:rsidR="009E26CE" w:rsidRDefault="009E26CE" w:rsidP="009E26CE">
            <w:pPr>
              <w:spacing w:after="0"/>
            </w:pPr>
            <w:r>
              <w:t>October 7- October 28</w:t>
            </w:r>
          </w:p>
        </w:tc>
      </w:tr>
      <w:tr w:rsidR="009E26CE" w:rsidRPr="006939DE" w:rsidTr="000D5B89">
        <w:trPr>
          <w:trHeight w:val="288"/>
        </w:trPr>
        <w:tc>
          <w:tcPr>
            <w:tcW w:w="2782" w:type="pct"/>
            <w:shd w:val="clear" w:color="auto" w:fill="auto"/>
            <w:vAlign w:val="top"/>
          </w:tcPr>
          <w:p w:rsidR="009E26CE" w:rsidRPr="00D37B36" w:rsidRDefault="009E26CE" w:rsidP="00E765D6">
            <w:pPr>
              <w:spacing w:after="0"/>
              <w:rPr>
                <w:b/>
              </w:rPr>
            </w:pPr>
            <w:r w:rsidRPr="00D37B36">
              <w:t>PHAs send reminders to focus group participants</w:t>
            </w:r>
            <w:r w:rsidRPr="00E765D6">
              <w:rPr>
                <w:vertAlign w:val="superscript"/>
              </w:rPr>
              <w:t>4</w:t>
            </w:r>
          </w:p>
        </w:tc>
        <w:tc>
          <w:tcPr>
            <w:tcW w:w="1053" w:type="pct"/>
            <w:shd w:val="clear" w:color="auto" w:fill="auto"/>
            <w:vAlign w:val="top"/>
          </w:tcPr>
          <w:p w:rsidR="009E26CE" w:rsidRDefault="009E26CE" w:rsidP="00E765D6">
            <w:pPr>
              <w:spacing w:after="0"/>
            </w:pPr>
            <w:r>
              <w:t>1 week</w:t>
            </w:r>
          </w:p>
        </w:tc>
        <w:tc>
          <w:tcPr>
            <w:tcW w:w="1166" w:type="pct"/>
            <w:vAlign w:val="top"/>
          </w:tcPr>
          <w:p w:rsidR="009E26CE" w:rsidRDefault="009E26CE" w:rsidP="00EE1FFB">
            <w:pPr>
              <w:spacing w:after="0"/>
            </w:pPr>
          </w:p>
        </w:tc>
      </w:tr>
      <w:tr w:rsidR="009E26CE" w:rsidRPr="006939DE" w:rsidTr="000D5B89">
        <w:trPr>
          <w:trHeight w:val="288"/>
        </w:trPr>
        <w:tc>
          <w:tcPr>
            <w:tcW w:w="2782" w:type="pct"/>
            <w:shd w:val="clear" w:color="auto" w:fill="auto"/>
            <w:vAlign w:val="top"/>
          </w:tcPr>
          <w:p w:rsidR="009E26CE" w:rsidRPr="00D37B36" w:rsidRDefault="009E26CE" w:rsidP="00E765D6">
            <w:pPr>
              <w:spacing w:after="0"/>
              <w:rPr>
                <w:b/>
              </w:rPr>
            </w:pPr>
            <w:r w:rsidRPr="00D37B36">
              <w:t>Insight conducts focus groups</w:t>
            </w:r>
          </w:p>
        </w:tc>
        <w:tc>
          <w:tcPr>
            <w:tcW w:w="1053" w:type="pct"/>
            <w:shd w:val="clear" w:color="auto" w:fill="auto"/>
            <w:vAlign w:val="top"/>
          </w:tcPr>
          <w:p w:rsidR="009E26CE" w:rsidRPr="00FE07EE" w:rsidRDefault="009E26CE" w:rsidP="00E765D6">
            <w:pPr>
              <w:spacing w:after="0"/>
              <w:rPr>
                <w:vertAlign w:val="superscript"/>
              </w:rPr>
            </w:pPr>
            <w:r>
              <w:t xml:space="preserve">8 weeks </w:t>
            </w:r>
            <w:r>
              <w:rPr>
                <w:vertAlign w:val="superscript"/>
              </w:rPr>
              <w:t>5</w:t>
            </w:r>
          </w:p>
        </w:tc>
        <w:tc>
          <w:tcPr>
            <w:tcW w:w="1166" w:type="pct"/>
            <w:vAlign w:val="top"/>
          </w:tcPr>
          <w:p w:rsidR="009E26CE" w:rsidRDefault="009E26CE" w:rsidP="009E26CE">
            <w:pPr>
              <w:spacing w:after="0"/>
            </w:pPr>
            <w:r>
              <w:t>Oct 28- Dec 23</w:t>
            </w:r>
          </w:p>
        </w:tc>
      </w:tr>
      <w:tr w:rsidR="009E26CE" w:rsidRPr="006939DE" w:rsidTr="000D5B89">
        <w:trPr>
          <w:trHeight w:val="288"/>
        </w:trPr>
        <w:tc>
          <w:tcPr>
            <w:tcW w:w="2782" w:type="pct"/>
            <w:shd w:val="clear" w:color="auto" w:fill="auto"/>
            <w:vAlign w:val="top"/>
          </w:tcPr>
          <w:p w:rsidR="009E26CE" w:rsidRPr="00D37B36" w:rsidRDefault="009E26CE" w:rsidP="00E765D6">
            <w:pPr>
              <w:spacing w:after="0"/>
              <w:rPr>
                <w:b/>
              </w:rPr>
            </w:pPr>
            <w:r w:rsidRPr="00D37B36">
              <w:t>Analysis</w:t>
            </w:r>
          </w:p>
        </w:tc>
        <w:tc>
          <w:tcPr>
            <w:tcW w:w="1053" w:type="pct"/>
            <w:shd w:val="clear" w:color="auto" w:fill="auto"/>
            <w:vAlign w:val="top"/>
          </w:tcPr>
          <w:p w:rsidR="009E26CE" w:rsidRDefault="009E26CE" w:rsidP="00E765D6">
            <w:pPr>
              <w:spacing w:after="0"/>
            </w:pPr>
            <w:r>
              <w:t>4 weeks</w:t>
            </w:r>
          </w:p>
        </w:tc>
        <w:tc>
          <w:tcPr>
            <w:tcW w:w="1166" w:type="pct"/>
            <w:vAlign w:val="top"/>
          </w:tcPr>
          <w:p w:rsidR="009E26CE" w:rsidRDefault="009E26CE" w:rsidP="00EE1FFB">
            <w:pPr>
              <w:spacing w:after="0"/>
            </w:pPr>
            <w:r>
              <w:t>Jan 20, 2017</w:t>
            </w:r>
          </w:p>
        </w:tc>
      </w:tr>
      <w:tr w:rsidR="009E26CE" w:rsidRPr="006939DE" w:rsidTr="000D5B89">
        <w:trPr>
          <w:trHeight w:val="288"/>
        </w:trPr>
        <w:tc>
          <w:tcPr>
            <w:tcW w:w="2782" w:type="pct"/>
            <w:shd w:val="clear" w:color="auto" w:fill="auto"/>
            <w:vAlign w:val="top"/>
          </w:tcPr>
          <w:p w:rsidR="009E26CE" w:rsidRPr="00E765D6" w:rsidRDefault="009E26CE" w:rsidP="00FE07EE">
            <w:pPr>
              <w:spacing w:after="0"/>
              <w:rPr>
                <w:b/>
                <w:vertAlign w:val="superscript"/>
              </w:rPr>
            </w:pPr>
            <w:r>
              <w:t>Insight submits draft s</w:t>
            </w:r>
            <w:r w:rsidRPr="00D37B36">
              <w:t>ummary reports</w:t>
            </w:r>
            <w:r>
              <w:t xml:space="preserve"> (1 per community)</w:t>
            </w:r>
            <w:r>
              <w:rPr>
                <w:vertAlign w:val="superscript"/>
              </w:rPr>
              <w:t>6</w:t>
            </w:r>
          </w:p>
        </w:tc>
        <w:tc>
          <w:tcPr>
            <w:tcW w:w="1053" w:type="pct"/>
            <w:shd w:val="clear" w:color="auto" w:fill="auto"/>
            <w:vAlign w:val="top"/>
          </w:tcPr>
          <w:p w:rsidR="009E26CE" w:rsidRDefault="009E26CE" w:rsidP="00E765D6">
            <w:pPr>
              <w:spacing w:after="0"/>
            </w:pPr>
            <w:r>
              <w:t>4 weeks</w:t>
            </w:r>
          </w:p>
        </w:tc>
        <w:tc>
          <w:tcPr>
            <w:tcW w:w="1166" w:type="pct"/>
            <w:vAlign w:val="top"/>
          </w:tcPr>
          <w:p w:rsidR="009E26CE" w:rsidRDefault="009E26CE" w:rsidP="00EE1FFB">
            <w:pPr>
              <w:spacing w:after="0"/>
            </w:pPr>
            <w:r>
              <w:t>Feb 17, 2017</w:t>
            </w:r>
          </w:p>
        </w:tc>
      </w:tr>
      <w:tr w:rsidR="009E26CE" w:rsidRPr="006939DE" w:rsidTr="000D5B89">
        <w:trPr>
          <w:trHeight w:val="288"/>
        </w:trPr>
        <w:tc>
          <w:tcPr>
            <w:tcW w:w="2782" w:type="pct"/>
            <w:shd w:val="clear" w:color="auto" w:fill="auto"/>
            <w:vAlign w:val="top"/>
          </w:tcPr>
          <w:p w:rsidR="009E26CE" w:rsidRPr="006F687F" w:rsidRDefault="009E26CE" w:rsidP="00E765D6">
            <w:pPr>
              <w:spacing w:after="0"/>
              <w:rPr>
                <w:b/>
              </w:rPr>
            </w:pPr>
            <w:r w:rsidRPr="006F687F">
              <w:rPr>
                <w:b/>
              </w:rPr>
              <w:t>HUD provides comments</w:t>
            </w:r>
          </w:p>
        </w:tc>
        <w:tc>
          <w:tcPr>
            <w:tcW w:w="1053" w:type="pct"/>
            <w:shd w:val="clear" w:color="auto" w:fill="auto"/>
            <w:vAlign w:val="top"/>
          </w:tcPr>
          <w:p w:rsidR="009E26CE" w:rsidRPr="006F687F" w:rsidRDefault="009E26CE" w:rsidP="00E765D6">
            <w:pPr>
              <w:spacing w:after="0"/>
              <w:rPr>
                <w:b/>
              </w:rPr>
            </w:pPr>
            <w:r w:rsidRPr="006F687F">
              <w:rPr>
                <w:b/>
              </w:rPr>
              <w:t>2 weeks</w:t>
            </w:r>
          </w:p>
        </w:tc>
        <w:tc>
          <w:tcPr>
            <w:tcW w:w="1166" w:type="pct"/>
            <w:vAlign w:val="top"/>
          </w:tcPr>
          <w:p w:rsidR="009E26CE" w:rsidRPr="006F687F" w:rsidRDefault="009E26CE" w:rsidP="00EE1FFB">
            <w:pPr>
              <w:spacing w:after="0"/>
              <w:rPr>
                <w:b/>
              </w:rPr>
            </w:pPr>
            <w:r>
              <w:rPr>
                <w:b/>
              </w:rPr>
              <w:t>March 3, 2017</w:t>
            </w:r>
          </w:p>
        </w:tc>
      </w:tr>
      <w:tr w:rsidR="009E26CE" w:rsidRPr="006939DE" w:rsidTr="000D5B89">
        <w:trPr>
          <w:trHeight w:val="288"/>
        </w:trPr>
        <w:tc>
          <w:tcPr>
            <w:tcW w:w="2782" w:type="pct"/>
            <w:shd w:val="clear" w:color="auto" w:fill="auto"/>
            <w:vAlign w:val="top"/>
          </w:tcPr>
          <w:p w:rsidR="009E26CE" w:rsidRPr="00D37B36" w:rsidRDefault="009E26CE" w:rsidP="00E765D6">
            <w:pPr>
              <w:spacing w:after="0"/>
            </w:pPr>
            <w:r>
              <w:t>Insight submits final summary reports (1 per community)</w:t>
            </w:r>
          </w:p>
        </w:tc>
        <w:tc>
          <w:tcPr>
            <w:tcW w:w="1053" w:type="pct"/>
            <w:shd w:val="clear" w:color="auto" w:fill="auto"/>
            <w:vAlign w:val="top"/>
          </w:tcPr>
          <w:p w:rsidR="009E26CE" w:rsidRDefault="009E26CE" w:rsidP="00E765D6">
            <w:pPr>
              <w:spacing w:after="0"/>
            </w:pPr>
            <w:r>
              <w:t>2 weeks</w:t>
            </w:r>
          </w:p>
        </w:tc>
        <w:tc>
          <w:tcPr>
            <w:tcW w:w="1166" w:type="pct"/>
            <w:vAlign w:val="top"/>
          </w:tcPr>
          <w:p w:rsidR="009E26CE" w:rsidRDefault="009E26CE" w:rsidP="00EE1FFB">
            <w:pPr>
              <w:spacing w:after="0"/>
            </w:pPr>
            <w:r>
              <w:t>March 17, 2017</w:t>
            </w:r>
          </w:p>
        </w:tc>
      </w:tr>
    </w:tbl>
    <w:p w:rsidR="00EA24F9" w:rsidRPr="00EA24F9" w:rsidRDefault="00CB7103" w:rsidP="00E765D6">
      <w:pPr>
        <w:spacing w:after="0"/>
        <w:rPr>
          <w:sz w:val="18"/>
          <w:szCs w:val="18"/>
        </w:rPr>
      </w:pPr>
      <w:r w:rsidRPr="00D33EA1">
        <w:rPr>
          <w:sz w:val="18"/>
          <w:szCs w:val="18"/>
          <w:vertAlign w:val="superscript"/>
        </w:rPr>
        <w:t>1</w:t>
      </w:r>
      <w:r w:rsidRPr="00D33EA1">
        <w:rPr>
          <w:sz w:val="18"/>
          <w:szCs w:val="18"/>
        </w:rPr>
        <w:t xml:space="preserve"> </w:t>
      </w:r>
      <w:r w:rsidR="00E765D6" w:rsidRPr="00E765D6">
        <w:rPr>
          <w:sz w:val="18"/>
          <w:szCs w:val="18"/>
        </w:rPr>
        <w:t>Goal is to train PHAs on recruiting procedures before OMB approval so they can start right away</w:t>
      </w:r>
      <w:r w:rsidR="00E765D6">
        <w:rPr>
          <w:sz w:val="18"/>
          <w:szCs w:val="18"/>
        </w:rPr>
        <w:t xml:space="preserve">. </w:t>
      </w:r>
    </w:p>
    <w:p w:rsidR="00B60D61" w:rsidRPr="00B60D61" w:rsidRDefault="00B60D61" w:rsidP="00B60D61">
      <w:pPr>
        <w:spacing w:after="0"/>
        <w:rPr>
          <w:sz w:val="18"/>
          <w:szCs w:val="18"/>
        </w:rPr>
      </w:pPr>
      <w:r w:rsidRPr="00B60D61">
        <w:rPr>
          <w:sz w:val="18"/>
          <w:szCs w:val="18"/>
          <w:vertAlign w:val="superscript"/>
        </w:rPr>
        <w:t>2</w:t>
      </w:r>
      <w:r w:rsidRPr="00B60D61">
        <w:rPr>
          <w:sz w:val="18"/>
          <w:szCs w:val="18"/>
        </w:rPr>
        <w:t xml:space="preserve"> </w:t>
      </w:r>
      <w:r w:rsidR="00E765D6">
        <w:rPr>
          <w:sz w:val="18"/>
          <w:szCs w:val="18"/>
        </w:rPr>
        <w:t>Insight will schedule and conduct the PHA training following the submission of the OMB package. The training should be conducted shortly before the anticipated receipt of OMB clearance, to ensure the information is fresh in mind when conducting the recruitment</w:t>
      </w:r>
      <w:r>
        <w:rPr>
          <w:sz w:val="18"/>
          <w:szCs w:val="18"/>
        </w:rPr>
        <w:t>.</w:t>
      </w:r>
      <w:r w:rsidRPr="00B60D61">
        <w:rPr>
          <w:sz w:val="18"/>
          <w:szCs w:val="18"/>
        </w:rPr>
        <w:t xml:space="preserve"> </w:t>
      </w:r>
    </w:p>
    <w:p w:rsidR="00D17002" w:rsidRDefault="00B60D61" w:rsidP="00CE4E90">
      <w:pPr>
        <w:spacing w:after="0"/>
        <w:rPr>
          <w:sz w:val="18"/>
          <w:szCs w:val="18"/>
        </w:rPr>
      </w:pPr>
      <w:r>
        <w:rPr>
          <w:sz w:val="18"/>
          <w:szCs w:val="18"/>
          <w:vertAlign w:val="superscript"/>
        </w:rPr>
        <w:t>3</w:t>
      </w:r>
      <w:r w:rsidR="00EA24F9">
        <w:rPr>
          <w:sz w:val="18"/>
          <w:szCs w:val="18"/>
        </w:rPr>
        <w:t xml:space="preserve"> </w:t>
      </w:r>
      <w:r w:rsidR="00E765D6">
        <w:rPr>
          <w:sz w:val="18"/>
          <w:szCs w:val="18"/>
        </w:rPr>
        <w:t>Recruitment cannot begin until OMB clearance has been received</w:t>
      </w:r>
      <w:r w:rsidR="00D33EA1">
        <w:rPr>
          <w:sz w:val="18"/>
          <w:szCs w:val="18"/>
        </w:rPr>
        <w:t xml:space="preserve">. </w:t>
      </w:r>
    </w:p>
    <w:p w:rsidR="00CE4E90" w:rsidRPr="00E765D6" w:rsidRDefault="00B60D61" w:rsidP="00CE4E90">
      <w:pPr>
        <w:spacing w:after="0"/>
        <w:rPr>
          <w:sz w:val="18"/>
          <w:szCs w:val="18"/>
        </w:rPr>
      </w:pPr>
      <w:r w:rsidRPr="00E765D6">
        <w:rPr>
          <w:sz w:val="18"/>
          <w:szCs w:val="18"/>
          <w:vertAlign w:val="superscript"/>
        </w:rPr>
        <w:t>4</w:t>
      </w:r>
      <w:r w:rsidR="00CE4E90" w:rsidRPr="00E765D6">
        <w:rPr>
          <w:sz w:val="18"/>
          <w:szCs w:val="18"/>
        </w:rPr>
        <w:t xml:space="preserve"> </w:t>
      </w:r>
      <w:r w:rsidR="00E765D6" w:rsidRPr="00E765D6">
        <w:rPr>
          <w:sz w:val="18"/>
          <w:szCs w:val="18"/>
        </w:rPr>
        <w:t>PHA calls participants 1 week before each group and one day before group</w:t>
      </w:r>
      <w:r w:rsidR="00066DEF" w:rsidRPr="00E765D6">
        <w:rPr>
          <w:sz w:val="18"/>
          <w:szCs w:val="18"/>
        </w:rPr>
        <w:t xml:space="preserve">. </w:t>
      </w:r>
    </w:p>
    <w:p w:rsidR="00FE07EE" w:rsidRPr="00D0618A" w:rsidRDefault="00FE07EE" w:rsidP="00FE07EE">
      <w:pPr>
        <w:spacing w:after="0"/>
        <w:rPr>
          <w:sz w:val="18"/>
          <w:szCs w:val="18"/>
        </w:rPr>
      </w:pPr>
      <w:r w:rsidRPr="00D0618A">
        <w:rPr>
          <w:sz w:val="18"/>
          <w:szCs w:val="18"/>
          <w:vertAlign w:val="superscript"/>
        </w:rPr>
        <w:t>5</w:t>
      </w:r>
      <w:r>
        <w:rPr>
          <w:sz w:val="18"/>
          <w:szCs w:val="18"/>
          <w:vertAlign w:val="superscript"/>
        </w:rPr>
        <w:t xml:space="preserve"> </w:t>
      </w:r>
      <w:r>
        <w:rPr>
          <w:sz w:val="18"/>
          <w:szCs w:val="18"/>
        </w:rPr>
        <w:t>The fielding period will need to be longer if occurring during holidays.</w:t>
      </w:r>
    </w:p>
    <w:p w:rsidR="00D0618A" w:rsidRPr="00D0618A" w:rsidRDefault="00FE07EE" w:rsidP="00CE4E90">
      <w:pPr>
        <w:spacing w:after="0"/>
        <w:rPr>
          <w:sz w:val="18"/>
          <w:szCs w:val="18"/>
        </w:rPr>
      </w:pPr>
      <w:r>
        <w:rPr>
          <w:sz w:val="18"/>
          <w:szCs w:val="18"/>
          <w:vertAlign w:val="superscript"/>
        </w:rPr>
        <w:t>6</w:t>
      </w:r>
      <w:r w:rsidR="00D0618A">
        <w:rPr>
          <w:sz w:val="18"/>
          <w:szCs w:val="18"/>
          <w:vertAlign w:val="superscript"/>
        </w:rPr>
        <w:t xml:space="preserve"> </w:t>
      </w:r>
      <w:r w:rsidR="00E765D6">
        <w:rPr>
          <w:sz w:val="18"/>
          <w:szCs w:val="18"/>
        </w:rPr>
        <w:t>Summary reports will be 10 pages long</w:t>
      </w:r>
      <w:r w:rsidR="00D0618A">
        <w:rPr>
          <w:sz w:val="18"/>
          <w:szCs w:val="18"/>
        </w:rPr>
        <w:t>.</w:t>
      </w:r>
    </w:p>
    <w:p w:rsidR="00D33EA1" w:rsidRPr="00D33EA1" w:rsidRDefault="00D33EA1">
      <w:pPr>
        <w:rPr>
          <w:szCs w:val="18"/>
        </w:rPr>
      </w:pPr>
    </w:p>
    <w:sectPr w:rsidR="00D33EA1" w:rsidRPr="00D33E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EF4" w:rsidRDefault="00BE1EF4" w:rsidP="00CB7103">
      <w:pPr>
        <w:spacing w:after="0"/>
      </w:pPr>
      <w:r>
        <w:separator/>
      </w:r>
    </w:p>
  </w:endnote>
  <w:endnote w:type="continuationSeparator" w:id="0">
    <w:p w:rsidR="00BE1EF4" w:rsidRDefault="00BE1EF4" w:rsidP="00CB7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656513"/>
      <w:docPartObj>
        <w:docPartGallery w:val="Page Numbers (Bottom of Page)"/>
        <w:docPartUnique/>
      </w:docPartObj>
    </w:sdtPr>
    <w:sdtEndPr>
      <w:rPr>
        <w:noProof/>
      </w:rPr>
    </w:sdtEndPr>
    <w:sdtContent>
      <w:p w:rsidR="00E86B80" w:rsidRDefault="00E86B80">
        <w:pPr>
          <w:pStyle w:val="Footer"/>
          <w:jc w:val="right"/>
        </w:pPr>
        <w:r>
          <w:fldChar w:fldCharType="begin"/>
        </w:r>
        <w:r>
          <w:instrText xml:space="preserve"> PAGE   \* MERGEFORMAT </w:instrText>
        </w:r>
        <w:r>
          <w:fldChar w:fldCharType="separate"/>
        </w:r>
        <w:r w:rsidR="00DD1345">
          <w:rPr>
            <w:noProof/>
          </w:rPr>
          <w:t>1</w:t>
        </w:r>
        <w:r>
          <w:rPr>
            <w:noProof/>
          </w:rPr>
          <w:fldChar w:fldCharType="end"/>
        </w:r>
      </w:p>
    </w:sdtContent>
  </w:sdt>
  <w:p w:rsidR="00E86B80" w:rsidRDefault="00E8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EF4" w:rsidRDefault="00BE1EF4" w:rsidP="00CB7103">
      <w:pPr>
        <w:spacing w:after="0"/>
      </w:pPr>
      <w:r>
        <w:separator/>
      </w:r>
    </w:p>
  </w:footnote>
  <w:footnote w:type="continuationSeparator" w:id="0">
    <w:p w:rsidR="00BE1EF4" w:rsidRDefault="00BE1EF4" w:rsidP="00CB71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75110"/>
    <w:multiLevelType w:val="hybridMultilevel"/>
    <w:tmpl w:val="3616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03"/>
    <w:rsid w:val="00066DEF"/>
    <w:rsid w:val="000D31BF"/>
    <w:rsid w:val="000D5B89"/>
    <w:rsid w:val="000F5E88"/>
    <w:rsid w:val="00103BCD"/>
    <w:rsid w:val="00127255"/>
    <w:rsid w:val="00141820"/>
    <w:rsid w:val="001940EA"/>
    <w:rsid w:val="002632B2"/>
    <w:rsid w:val="002D1BAE"/>
    <w:rsid w:val="002F7BF8"/>
    <w:rsid w:val="003118FA"/>
    <w:rsid w:val="00332E24"/>
    <w:rsid w:val="00386EA3"/>
    <w:rsid w:val="003B44F5"/>
    <w:rsid w:val="00444C17"/>
    <w:rsid w:val="004A4C4B"/>
    <w:rsid w:val="00555AFA"/>
    <w:rsid w:val="005A5B71"/>
    <w:rsid w:val="005E7692"/>
    <w:rsid w:val="00607C85"/>
    <w:rsid w:val="006C1EB3"/>
    <w:rsid w:val="006F687F"/>
    <w:rsid w:val="00711FAC"/>
    <w:rsid w:val="00765252"/>
    <w:rsid w:val="007947B0"/>
    <w:rsid w:val="007F1EAE"/>
    <w:rsid w:val="0084584E"/>
    <w:rsid w:val="00870702"/>
    <w:rsid w:val="0096113A"/>
    <w:rsid w:val="00993EB3"/>
    <w:rsid w:val="009E26CE"/>
    <w:rsid w:val="009F61B1"/>
    <w:rsid w:val="00AE1A6C"/>
    <w:rsid w:val="00AF2EB3"/>
    <w:rsid w:val="00B53E20"/>
    <w:rsid w:val="00B60D61"/>
    <w:rsid w:val="00B8784E"/>
    <w:rsid w:val="00BD2077"/>
    <w:rsid w:val="00BE1EF4"/>
    <w:rsid w:val="00BF557C"/>
    <w:rsid w:val="00C047D2"/>
    <w:rsid w:val="00C444B1"/>
    <w:rsid w:val="00CB7103"/>
    <w:rsid w:val="00CE2C50"/>
    <w:rsid w:val="00CE4E90"/>
    <w:rsid w:val="00D0618A"/>
    <w:rsid w:val="00D17002"/>
    <w:rsid w:val="00D26B2A"/>
    <w:rsid w:val="00D30207"/>
    <w:rsid w:val="00D33EA1"/>
    <w:rsid w:val="00D763AC"/>
    <w:rsid w:val="00DB641B"/>
    <w:rsid w:val="00DD1345"/>
    <w:rsid w:val="00E030EC"/>
    <w:rsid w:val="00E054BD"/>
    <w:rsid w:val="00E06E00"/>
    <w:rsid w:val="00E75AE1"/>
    <w:rsid w:val="00E765D6"/>
    <w:rsid w:val="00E86B80"/>
    <w:rsid w:val="00EA0F7F"/>
    <w:rsid w:val="00EA24F9"/>
    <w:rsid w:val="00F011AE"/>
    <w:rsid w:val="00F95190"/>
    <w:rsid w:val="00FC2919"/>
    <w:rsid w:val="00FE07EE"/>
    <w:rsid w:val="00FF3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7F56B-3F1F-49B2-9D8C-565FD28D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B710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IPR">
    <w:name w:val="TableText-IPR"/>
    <w:link w:val="TableText-IPRChar"/>
    <w:qFormat/>
    <w:rsid w:val="00CB7103"/>
    <w:pPr>
      <w:spacing w:after="0" w:line="240" w:lineRule="auto"/>
    </w:pPr>
    <w:rPr>
      <w:rFonts w:ascii="Calibri" w:eastAsiaTheme="minorEastAsia" w:hAnsi="Calibri" w:cs="Times New Roman"/>
      <w:sz w:val="20"/>
      <w:szCs w:val="20"/>
    </w:rPr>
  </w:style>
  <w:style w:type="character" w:customStyle="1" w:styleId="TableText-IPRChar">
    <w:name w:val="TableText-IPR Char"/>
    <w:basedOn w:val="DefaultParagraphFont"/>
    <w:link w:val="TableText-IPR"/>
    <w:rsid w:val="00CB7103"/>
    <w:rPr>
      <w:rFonts w:ascii="Calibri" w:eastAsiaTheme="minorEastAsia" w:hAnsi="Calibri" w:cs="Times New Roman"/>
      <w:sz w:val="20"/>
      <w:szCs w:val="20"/>
    </w:rPr>
  </w:style>
  <w:style w:type="table" w:customStyle="1" w:styleId="InsightTable">
    <w:name w:val="Insight Table"/>
    <w:basedOn w:val="TableNormal"/>
    <w:uiPriority w:val="99"/>
    <w:rsid w:val="00CB7103"/>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CB7103"/>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CB7103"/>
    <w:rPr>
      <w:rFonts w:ascii="Lucida Sans" w:eastAsia="Times New Roman" w:hAnsi="Lucida Sans" w:cs="Lucida Sans Unicode"/>
      <w:b/>
      <w:sz w:val="20"/>
      <w:szCs w:val="24"/>
    </w:rPr>
  </w:style>
  <w:style w:type="paragraph" w:styleId="FootnoteText">
    <w:name w:val="footnote text"/>
    <w:basedOn w:val="Normal"/>
    <w:link w:val="FootnoteTextChar"/>
    <w:uiPriority w:val="99"/>
    <w:semiHidden/>
    <w:unhideWhenUsed/>
    <w:rsid w:val="00CB7103"/>
    <w:pPr>
      <w:spacing w:after="0"/>
    </w:pPr>
    <w:rPr>
      <w:sz w:val="20"/>
      <w:szCs w:val="20"/>
    </w:rPr>
  </w:style>
  <w:style w:type="character" w:customStyle="1" w:styleId="FootnoteTextChar">
    <w:name w:val="Footnote Text Char"/>
    <w:basedOn w:val="DefaultParagraphFont"/>
    <w:link w:val="FootnoteText"/>
    <w:uiPriority w:val="99"/>
    <w:semiHidden/>
    <w:rsid w:val="00CB7103"/>
    <w:rPr>
      <w:sz w:val="20"/>
      <w:szCs w:val="20"/>
    </w:rPr>
  </w:style>
  <w:style w:type="character" w:styleId="FootnoteReference">
    <w:name w:val="footnote reference"/>
    <w:basedOn w:val="DefaultParagraphFont"/>
    <w:unhideWhenUsed/>
    <w:rsid w:val="00CB7103"/>
    <w:rPr>
      <w:vertAlign w:val="superscript"/>
    </w:rPr>
  </w:style>
  <w:style w:type="character" w:styleId="CommentReference">
    <w:name w:val="annotation reference"/>
    <w:basedOn w:val="DefaultParagraphFont"/>
    <w:uiPriority w:val="99"/>
    <w:semiHidden/>
    <w:unhideWhenUsed/>
    <w:rsid w:val="00F95190"/>
    <w:rPr>
      <w:sz w:val="16"/>
      <w:szCs w:val="16"/>
    </w:rPr>
  </w:style>
  <w:style w:type="paragraph" w:styleId="CommentText">
    <w:name w:val="annotation text"/>
    <w:basedOn w:val="Normal"/>
    <w:link w:val="CommentTextChar"/>
    <w:uiPriority w:val="99"/>
    <w:unhideWhenUsed/>
    <w:rsid w:val="00F95190"/>
    <w:rPr>
      <w:sz w:val="20"/>
      <w:szCs w:val="20"/>
    </w:rPr>
  </w:style>
  <w:style w:type="character" w:customStyle="1" w:styleId="CommentTextChar">
    <w:name w:val="Comment Text Char"/>
    <w:basedOn w:val="DefaultParagraphFont"/>
    <w:link w:val="CommentText"/>
    <w:uiPriority w:val="99"/>
    <w:rsid w:val="00F95190"/>
    <w:rPr>
      <w:sz w:val="20"/>
      <w:szCs w:val="20"/>
    </w:rPr>
  </w:style>
  <w:style w:type="paragraph" w:styleId="CommentSubject">
    <w:name w:val="annotation subject"/>
    <w:basedOn w:val="CommentText"/>
    <w:next w:val="CommentText"/>
    <w:link w:val="CommentSubjectChar"/>
    <w:uiPriority w:val="99"/>
    <w:semiHidden/>
    <w:unhideWhenUsed/>
    <w:rsid w:val="00F95190"/>
    <w:rPr>
      <w:b/>
      <w:bCs/>
    </w:rPr>
  </w:style>
  <w:style w:type="character" w:customStyle="1" w:styleId="CommentSubjectChar">
    <w:name w:val="Comment Subject Char"/>
    <w:basedOn w:val="CommentTextChar"/>
    <w:link w:val="CommentSubject"/>
    <w:uiPriority w:val="99"/>
    <w:semiHidden/>
    <w:rsid w:val="00F95190"/>
    <w:rPr>
      <w:b/>
      <w:bCs/>
      <w:sz w:val="20"/>
      <w:szCs w:val="20"/>
    </w:rPr>
  </w:style>
  <w:style w:type="paragraph" w:styleId="BalloonText">
    <w:name w:val="Balloon Text"/>
    <w:basedOn w:val="Normal"/>
    <w:link w:val="BalloonTextChar"/>
    <w:uiPriority w:val="99"/>
    <w:semiHidden/>
    <w:unhideWhenUsed/>
    <w:rsid w:val="00F951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190"/>
    <w:rPr>
      <w:rFonts w:ascii="Tahoma" w:hAnsi="Tahoma" w:cs="Tahoma"/>
      <w:sz w:val="16"/>
      <w:szCs w:val="16"/>
    </w:rPr>
  </w:style>
  <w:style w:type="paragraph" w:styleId="ListParagraph">
    <w:name w:val="List Paragraph"/>
    <w:basedOn w:val="Normal"/>
    <w:uiPriority w:val="34"/>
    <w:qFormat/>
    <w:rsid w:val="00D33EA1"/>
    <w:pPr>
      <w:ind w:left="720"/>
      <w:contextualSpacing/>
    </w:pPr>
  </w:style>
  <w:style w:type="paragraph" w:styleId="Header">
    <w:name w:val="header"/>
    <w:basedOn w:val="Normal"/>
    <w:link w:val="HeaderChar"/>
    <w:uiPriority w:val="99"/>
    <w:unhideWhenUsed/>
    <w:rsid w:val="00E86B80"/>
    <w:pPr>
      <w:tabs>
        <w:tab w:val="center" w:pos="4680"/>
        <w:tab w:val="right" w:pos="9360"/>
      </w:tabs>
      <w:spacing w:after="0"/>
    </w:pPr>
  </w:style>
  <w:style w:type="character" w:customStyle="1" w:styleId="HeaderChar">
    <w:name w:val="Header Char"/>
    <w:basedOn w:val="DefaultParagraphFont"/>
    <w:link w:val="Header"/>
    <w:uiPriority w:val="99"/>
    <w:rsid w:val="00E86B80"/>
  </w:style>
  <w:style w:type="paragraph" w:styleId="Footer">
    <w:name w:val="footer"/>
    <w:basedOn w:val="Normal"/>
    <w:link w:val="FooterChar"/>
    <w:uiPriority w:val="99"/>
    <w:unhideWhenUsed/>
    <w:rsid w:val="00E86B80"/>
    <w:pPr>
      <w:tabs>
        <w:tab w:val="center" w:pos="4680"/>
        <w:tab w:val="right" w:pos="9360"/>
      </w:tabs>
      <w:spacing w:after="0"/>
    </w:pPr>
  </w:style>
  <w:style w:type="character" w:customStyle="1" w:styleId="FooterChar">
    <w:name w:val="Footer Char"/>
    <w:basedOn w:val="DefaultParagraphFont"/>
    <w:link w:val="Footer"/>
    <w:uiPriority w:val="99"/>
    <w:rsid w:val="00E86B80"/>
  </w:style>
  <w:style w:type="paragraph" w:customStyle="1" w:styleId="BodyText-IPR">
    <w:name w:val="BodyText-IPR"/>
    <w:link w:val="BodyText-IPRChar"/>
    <w:qFormat/>
    <w:rsid w:val="00B53E20"/>
    <w:pPr>
      <w:spacing w:after="240" w:line="240" w:lineRule="auto"/>
    </w:pPr>
    <w:rPr>
      <w:rFonts w:ascii="Calibri" w:hAnsi="Calibri"/>
    </w:rPr>
  </w:style>
  <w:style w:type="character" w:customStyle="1" w:styleId="BodyText-IPRChar">
    <w:name w:val="BodyText-IPR Char"/>
    <w:basedOn w:val="DefaultParagraphFont"/>
    <w:link w:val="BodyText-IPR"/>
    <w:rsid w:val="00B53E20"/>
    <w:rPr>
      <w:rFonts w:ascii="Calibri" w:hAnsi="Calibri"/>
    </w:rPr>
  </w:style>
  <w:style w:type="paragraph" w:styleId="Revision">
    <w:name w:val="Revision"/>
    <w:hidden/>
    <w:uiPriority w:val="99"/>
    <w:semiHidden/>
    <w:rsid w:val="00870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74A00-E459-4714-877C-D3EF319B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McGill</dc:creator>
  <cp:lastModifiedBy>Hill, Ronald M</cp:lastModifiedBy>
  <cp:revision>2</cp:revision>
  <cp:lastPrinted>2016-07-11T13:03:00Z</cp:lastPrinted>
  <dcterms:created xsi:type="dcterms:W3CDTF">2016-08-01T15:02:00Z</dcterms:created>
  <dcterms:modified xsi:type="dcterms:W3CDTF">2016-08-01T15:02:00Z</dcterms:modified>
</cp:coreProperties>
</file>