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9ADAD" w14:textId="77777777" w:rsidR="00094545" w:rsidRPr="00F65603" w:rsidRDefault="00094545" w:rsidP="00B305E5">
      <w:pPr>
        <w:widowControl/>
        <w:tabs>
          <w:tab w:val="center" w:pos="5040"/>
        </w:tabs>
        <w:jc w:val="center"/>
        <w:rPr>
          <w:b/>
          <w:bCs/>
        </w:rPr>
      </w:pPr>
      <w:r w:rsidRPr="00F65603">
        <w:rPr>
          <w:b/>
          <w:bCs/>
        </w:rPr>
        <w:t xml:space="preserve">Supporting Statement for </w:t>
      </w:r>
    </w:p>
    <w:p w14:paraId="3FADA978" w14:textId="6E5F79F5" w:rsidR="00094545" w:rsidRPr="00F65603" w:rsidRDefault="00094545">
      <w:pPr>
        <w:widowControl/>
        <w:tabs>
          <w:tab w:val="center" w:pos="5040"/>
        </w:tabs>
        <w:jc w:val="center"/>
        <w:rPr>
          <w:b/>
          <w:bCs/>
        </w:rPr>
      </w:pPr>
      <w:r w:rsidRPr="00F65603">
        <w:rPr>
          <w:b/>
          <w:bCs/>
        </w:rPr>
        <w:t xml:space="preserve">FERC Form No. 6, Annual Report of Oil Pipeline Companies </w:t>
      </w:r>
    </w:p>
    <w:p w14:paraId="044B4839" w14:textId="77777777" w:rsidR="00094545" w:rsidRPr="00F65603" w:rsidRDefault="00094545">
      <w:pPr>
        <w:widowControl/>
      </w:pPr>
    </w:p>
    <w:p w14:paraId="571E6E33" w14:textId="6155DB04" w:rsidR="00094545" w:rsidRPr="00F65603" w:rsidRDefault="00094545" w:rsidP="00491D7C">
      <w:r w:rsidRPr="00F65603">
        <w:t>The Federal Energy Regulatory Commission (Commission or FERC) requests that the Office of Man</w:t>
      </w:r>
      <w:r w:rsidR="00966F3F" w:rsidRPr="00F65603">
        <w:t>agement and Budget (OMB) review</w:t>
      </w:r>
      <w:r w:rsidRPr="00F65603">
        <w:t xml:space="preserve"> </w:t>
      </w:r>
      <w:r w:rsidR="00D90930">
        <w:t>and approve</w:t>
      </w:r>
      <w:r w:rsidR="0053442A">
        <w:t>,</w:t>
      </w:r>
      <w:r w:rsidR="00D90930">
        <w:t xml:space="preserve"> for three years</w:t>
      </w:r>
      <w:r w:rsidR="0053442A">
        <w:t>,</w:t>
      </w:r>
      <w:r w:rsidR="00D90930">
        <w:t xml:space="preserve"> </w:t>
      </w:r>
      <w:r w:rsidRPr="00F65603">
        <w:t xml:space="preserve">the </w:t>
      </w:r>
      <w:r w:rsidRPr="00F65603">
        <w:rPr>
          <w:bCs/>
        </w:rPr>
        <w:t>FERC Form No. 6 (Annual Report of Oil Pipeline Companies</w:t>
      </w:r>
      <w:r w:rsidR="0053442A">
        <w:rPr>
          <w:bCs/>
        </w:rPr>
        <w:t xml:space="preserve">, </w:t>
      </w:r>
      <w:r w:rsidR="0053442A" w:rsidRPr="0053442A">
        <w:rPr>
          <w:bCs/>
        </w:rPr>
        <w:t>OMB Control No. 1902-0022</w:t>
      </w:r>
      <w:r w:rsidRPr="00F65603">
        <w:rPr>
          <w:bCs/>
        </w:rPr>
        <w:t>)</w:t>
      </w:r>
      <w:r w:rsidR="00D90930">
        <w:rPr>
          <w:bCs/>
        </w:rPr>
        <w:t>, with no change to the reporting requirements</w:t>
      </w:r>
      <w:r w:rsidRPr="00F65603">
        <w:t>.</w:t>
      </w:r>
      <w:r w:rsidR="00D90930" w:rsidRPr="0053442A">
        <w:rPr>
          <w:rStyle w:val="FootnoteReference"/>
          <w:vertAlign w:val="superscript"/>
        </w:rPr>
        <w:footnoteReference w:id="1"/>
      </w:r>
      <w:r w:rsidRPr="0053442A">
        <w:rPr>
          <w:vertAlign w:val="superscript"/>
        </w:rPr>
        <w:t xml:space="preserve">  </w:t>
      </w:r>
      <w:r w:rsidRPr="00F65603">
        <w:t xml:space="preserve">The FERC Form No. 6 is an existing Commission data collection, contained in Title 18 Code of Federal Regulations (CFR), </w:t>
      </w:r>
      <w:r w:rsidR="00A5156F" w:rsidRPr="00A5156F">
        <w:t>§</w:t>
      </w:r>
      <w:r w:rsidRPr="00F65603">
        <w:t>357</w:t>
      </w:r>
      <w:r w:rsidR="00EF47B1" w:rsidRPr="00F65603">
        <w:t>.2</w:t>
      </w:r>
      <w:r w:rsidRPr="00F65603">
        <w:t xml:space="preserve">. </w:t>
      </w:r>
    </w:p>
    <w:p w14:paraId="45767CE8" w14:textId="77777777" w:rsidR="00094545" w:rsidRPr="00F65603" w:rsidRDefault="00094545" w:rsidP="00C34F01">
      <w:pPr>
        <w:widowControl/>
      </w:pPr>
    </w:p>
    <w:p w14:paraId="05DCA8A1" w14:textId="77777777" w:rsidR="00094545" w:rsidRPr="00F65603" w:rsidRDefault="00094545" w:rsidP="00261201">
      <w:pPr>
        <w:widowControl/>
        <w:tabs>
          <w:tab w:val="left" w:pos="-1440"/>
        </w:tabs>
        <w:rPr>
          <w:b/>
        </w:rPr>
      </w:pPr>
      <w:r w:rsidRPr="00F65603">
        <w:rPr>
          <w:b/>
        </w:rPr>
        <w:t>A.</w:t>
      </w:r>
      <w:r w:rsidRPr="00F65603">
        <w:rPr>
          <w:b/>
        </w:rPr>
        <w:tab/>
      </w:r>
      <w:r w:rsidRPr="00F65603">
        <w:rPr>
          <w:b/>
          <w:u w:val="single"/>
        </w:rPr>
        <w:t>JUSTIFICATION</w:t>
      </w:r>
    </w:p>
    <w:p w14:paraId="7D3DE95F" w14:textId="77777777" w:rsidR="00094545" w:rsidRPr="00F65603" w:rsidRDefault="00094545" w:rsidP="00261201">
      <w:pPr>
        <w:widowControl/>
      </w:pPr>
    </w:p>
    <w:p w14:paraId="4B2EED41" w14:textId="77777777" w:rsidR="00094545" w:rsidRPr="00F65603" w:rsidRDefault="00094545" w:rsidP="002301FD">
      <w:pPr>
        <w:widowControl/>
        <w:tabs>
          <w:tab w:val="left" w:pos="-1440"/>
        </w:tabs>
        <w:ind w:left="720" w:hanging="720"/>
        <w:rPr>
          <w:b/>
          <w:bCs/>
        </w:rPr>
      </w:pPr>
      <w:r w:rsidRPr="00F65603">
        <w:t>1.</w:t>
      </w:r>
      <w:r w:rsidRPr="00F65603">
        <w:tab/>
      </w:r>
      <w:r w:rsidRPr="00F65603">
        <w:rPr>
          <w:b/>
          <w:bCs/>
        </w:rPr>
        <w:t>CIRCUMSTANCES THAT MAKE THE COLLECTION OF INFORMATION NECESSARY</w:t>
      </w:r>
    </w:p>
    <w:p w14:paraId="6250A74F" w14:textId="77777777" w:rsidR="00094545" w:rsidRPr="00F65603" w:rsidRDefault="00094545" w:rsidP="00927C53">
      <w:pPr>
        <w:widowControl/>
        <w:tabs>
          <w:tab w:val="left" w:pos="-1440"/>
        </w:tabs>
        <w:ind w:firstLine="720"/>
        <w:rPr>
          <w:color w:val="000000"/>
        </w:rPr>
      </w:pPr>
    </w:p>
    <w:p w14:paraId="4B2F7397" w14:textId="77777777" w:rsidR="008157C9" w:rsidRPr="00F65603" w:rsidRDefault="008157C9" w:rsidP="002161E2">
      <w:pPr>
        <w:rPr>
          <w:color w:val="000000"/>
        </w:rPr>
      </w:pPr>
      <w:r w:rsidRPr="00F65603">
        <w:t>Under the Interstate Commerce Act (ICA), (Section 20, 54 Stat. 916), the Interstate Commerce Commission (ICC) was authorized and empowered to make investigations and to collect and record data to the extent considered necessary or useful for the purpose of carrying out the provisions of the ICA.</w:t>
      </w:r>
    </w:p>
    <w:p w14:paraId="7672454A" w14:textId="77777777" w:rsidR="008157C9" w:rsidRPr="00F65603" w:rsidRDefault="008157C9" w:rsidP="002161E2">
      <w:pPr>
        <w:rPr>
          <w:color w:val="000000"/>
        </w:rPr>
      </w:pPr>
    </w:p>
    <w:p w14:paraId="18D91522" w14:textId="77777777" w:rsidR="002161E2" w:rsidRPr="00F65603" w:rsidRDefault="002161E2" w:rsidP="002161E2">
      <w:r w:rsidRPr="00F65603">
        <w:rPr>
          <w:color w:val="000000"/>
        </w:rPr>
        <w:t>In 1977, the Department of Energy Organization Act transfe</w:t>
      </w:r>
      <w:r w:rsidR="008157C9" w:rsidRPr="00F65603">
        <w:rPr>
          <w:color w:val="000000"/>
        </w:rPr>
        <w:t xml:space="preserve">rred to the Commission from the </w:t>
      </w:r>
      <w:r w:rsidRPr="00F65603">
        <w:rPr>
          <w:color w:val="000000"/>
        </w:rPr>
        <w:t>ICC the responsibility to regulate oil pipeline companies.  In accordance with the transfer of authority, the Commission was delegated the responsibility to require oil pipelines to file annual reports of information necessary for the Commission to exercise its statutory responsibilities</w:t>
      </w:r>
      <w:r w:rsidRPr="00F65603">
        <w:t>.</w:t>
      </w:r>
      <w:r w:rsidRPr="00F65603">
        <w:rPr>
          <w:rStyle w:val="FootnoteReference"/>
          <w:vertAlign w:val="superscript"/>
        </w:rPr>
        <w:footnoteReference w:id="2"/>
      </w:r>
      <w:r w:rsidRPr="00F65603">
        <w:t xml:space="preserve">  </w:t>
      </w:r>
      <w:r w:rsidRPr="00F65603">
        <w:rPr>
          <w:color w:val="000000"/>
        </w:rPr>
        <w:t xml:space="preserve">The transfer included the Form P, the forerunner to the Form 6, </w:t>
      </w:r>
      <w:r w:rsidRPr="00F65603">
        <w:t>Annual Report of Oil Pipeline Companies (Form 6).</w:t>
      </w:r>
      <w:r w:rsidRPr="00F65603">
        <w:rPr>
          <w:rStyle w:val="FootnoteReference"/>
          <w:vertAlign w:val="superscript"/>
        </w:rPr>
        <w:footnoteReference w:id="3"/>
      </w:r>
      <w:r w:rsidRPr="00F65603">
        <w:rPr>
          <w:vertAlign w:val="superscript"/>
        </w:rPr>
        <w:t xml:space="preserve"> </w:t>
      </w:r>
    </w:p>
    <w:p w14:paraId="5B0C6688" w14:textId="77777777" w:rsidR="002161E2" w:rsidRPr="00F65603" w:rsidRDefault="002161E2" w:rsidP="002161E2">
      <w:pPr>
        <w:ind w:firstLine="720"/>
      </w:pPr>
    </w:p>
    <w:p w14:paraId="05C65D8E" w14:textId="5E390F2C" w:rsidR="002161E2" w:rsidRPr="00F65603" w:rsidRDefault="002161E2" w:rsidP="002161E2">
      <w:pPr>
        <w:tabs>
          <w:tab w:val="left" w:pos="-1440"/>
        </w:tabs>
      </w:pPr>
      <w:r w:rsidRPr="00F65603">
        <w:t>In 1994, the Commission addressed additional revisions to the Form 6 in Order Nos. 571 and 571-A, including a new Page 700 (Annual Cost of Service).</w:t>
      </w:r>
      <w:r w:rsidRPr="00F65603">
        <w:rPr>
          <w:rStyle w:val="FootnoteReference"/>
          <w:vertAlign w:val="superscript"/>
        </w:rPr>
        <w:footnoteReference w:id="4"/>
      </w:r>
      <w:r w:rsidR="008D6C03">
        <w:t xml:space="preserve"> Data collected on page 700 is </w:t>
      </w:r>
      <w:r w:rsidR="004C2A3E">
        <w:t>the basis for determining</w:t>
      </w:r>
      <w:r w:rsidR="008D6C03">
        <w:t xml:space="preserve"> a pipeline’s cost of</w:t>
      </w:r>
      <w:r w:rsidR="004C2A3E">
        <w:t xml:space="preserve"> service and rate base, which are used in tariff filings as well as the 5-year index.</w:t>
      </w:r>
    </w:p>
    <w:p w14:paraId="25FFC483" w14:textId="77777777" w:rsidR="00094545" w:rsidRPr="00F65603" w:rsidRDefault="00094545" w:rsidP="00F65603">
      <w:pPr>
        <w:pStyle w:val="FERCparanumber"/>
        <w:numPr>
          <w:ilvl w:val="0"/>
          <w:numId w:val="0"/>
        </w:numPr>
        <w:spacing w:line="240" w:lineRule="auto"/>
        <w:rPr>
          <w:sz w:val="24"/>
        </w:rPr>
      </w:pPr>
    </w:p>
    <w:p w14:paraId="6022AAB5" w14:textId="77777777" w:rsidR="00094545" w:rsidRPr="00F65603" w:rsidRDefault="00094545" w:rsidP="002301FD">
      <w:pPr>
        <w:widowControl/>
        <w:ind w:left="720" w:hanging="720"/>
        <w:rPr>
          <w:b/>
          <w:bCs/>
        </w:rPr>
      </w:pPr>
      <w:r w:rsidRPr="00F65603">
        <w:t>2.</w:t>
      </w:r>
      <w:r w:rsidRPr="00F65603">
        <w:tab/>
      </w:r>
      <w:r w:rsidRPr="00F65603">
        <w:rPr>
          <w:b/>
          <w:bCs/>
        </w:rPr>
        <w:t>HOW, BY WHOM, AND FOR WHAT PURPOSE THE INFORMATION IS TO BE USED AND THE CONSEQUENCES OF NOT COLLECTING THE INFORMATION</w:t>
      </w:r>
    </w:p>
    <w:p w14:paraId="2CFBC8C8" w14:textId="77777777" w:rsidR="00094545" w:rsidRPr="00F65603" w:rsidRDefault="00094545" w:rsidP="002301FD">
      <w:pPr>
        <w:widowControl/>
        <w:ind w:left="720" w:hanging="720"/>
        <w:rPr>
          <w:b/>
          <w:bCs/>
        </w:rPr>
      </w:pPr>
    </w:p>
    <w:p w14:paraId="15E890DC" w14:textId="5D7C7E2C" w:rsidR="00A5156F" w:rsidRDefault="00A5156F" w:rsidP="008157C9">
      <w:pPr>
        <w:widowControl/>
      </w:pPr>
      <w:r>
        <w:t>In order to reduce burden while obtaining the data the Commission needs, there are three thresholds relate</w:t>
      </w:r>
      <w:r w:rsidR="00982B8C">
        <w:t>d</w:t>
      </w:r>
      <w:r>
        <w:t xml:space="preserve"> to the material respondents must file.</w:t>
      </w:r>
    </w:p>
    <w:p w14:paraId="38CFDB5D" w14:textId="77777777" w:rsidR="000C5128" w:rsidRDefault="000C5128" w:rsidP="008157C9">
      <w:pPr>
        <w:widowControl/>
      </w:pPr>
    </w:p>
    <w:p w14:paraId="52527121" w14:textId="101BA995" w:rsidR="008157C9" w:rsidRPr="00F65603" w:rsidRDefault="008157C9" w:rsidP="0053442A">
      <w:pPr>
        <w:pStyle w:val="ListParagraph"/>
        <w:widowControl/>
        <w:numPr>
          <w:ilvl w:val="0"/>
          <w:numId w:val="35"/>
        </w:numPr>
      </w:pPr>
      <w:r w:rsidRPr="00F65603">
        <w:t xml:space="preserve">Each oil pipeline carrier whose annual jurisdictional operating revenues has been $500,000 or more for each of the three previous calendar years must file FERC Form 6 (18 C.F.R. § 357.2 (a)). Oil pipeline carriers submitting </w:t>
      </w:r>
      <w:r w:rsidR="0085289A">
        <w:t xml:space="preserve">a complete </w:t>
      </w:r>
      <w:r w:rsidRPr="00F65603">
        <w:t>FERC Form 6 must submit FERC Form 6-Q</w:t>
      </w:r>
      <w:r w:rsidR="008F5369" w:rsidRPr="0053442A">
        <w:rPr>
          <w:rStyle w:val="FootnoteReference"/>
          <w:vertAlign w:val="superscript"/>
        </w:rPr>
        <w:footnoteReference w:id="5"/>
      </w:r>
      <w:r w:rsidRPr="0053442A">
        <w:rPr>
          <w:vertAlign w:val="superscript"/>
        </w:rPr>
        <w:t xml:space="preserve"> </w:t>
      </w:r>
      <w:r w:rsidRPr="00F65603">
        <w:t>(18 C.F.R. § 357.4(a)).  Newly established entities must use projected data to determine whether FERC Form No. 6 must be filed.</w:t>
      </w:r>
    </w:p>
    <w:p w14:paraId="3FCADBFA" w14:textId="77777777" w:rsidR="00F65603" w:rsidRDefault="00F65603" w:rsidP="008157C9">
      <w:pPr>
        <w:widowControl/>
      </w:pPr>
    </w:p>
    <w:p w14:paraId="6465C941" w14:textId="592027C0" w:rsidR="008157C9" w:rsidRPr="00F65603" w:rsidRDefault="008157C9" w:rsidP="0053442A">
      <w:pPr>
        <w:pStyle w:val="ListParagraph"/>
        <w:widowControl/>
        <w:numPr>
          <w:ilvl w:val="0"/>
          <w:numId w:val="35"/>
        </w:numPr>
      </w:pPr>
      <w:r w:rsidRPr="00F65603">
        <w:t xml:space="preserve">Oil pipeline carriers exempt from filing FERC Form 6 whose annual jurisdictional operating revenues have been more than $350,000 but less than $500,000 for each of the three previous calendar years must prepare and file page 301, “Operating Revenue Accounts (Account 600), and page 700, “Annual </w:t>
      </w:r>
      <w:r w:rsidR="00A5156F">
        <w:t>C</w:t>
      </w:r>
      <w:r w:rsidR="00A5156F" w:rsidRPr="00F65603">
        <w:t xml:space="preserve">ost </w:t>
      </w:r>
      <w:r w:rsidRPr="00F65603">
        <w:t>of Service Based Analysis Schedule,” of FERC Form 6.  When submitting pages 301 and 700, each exempt oil pipeline carrier must include page 1 of the FERC Form 6, the Identification and Attestation schedules (18 C.F.R. § 357.2 (a)(2)).</w:t>
      </w:r>
    </w:p>
    <w:p w14:paraId="2FE6AEBC" w14:textId="77777777" w:rsidR="008157C9" w:rsidRPr="00F65603" w:rsidRDefault="008157C9" w:rsidP="008157C9">
      <w:pPr>
        <w:widowControl/>
      </w:pPr>
    </w:p>
    <w:p w14:paraId="3FCA4042" w14:textId="41A1D29B" w:rsidR="008157C9" w:rsidRPr="00F65603" w:rsidRDefault="008157C9" w:rsidP="0053442A">
      <w:pPr>
        <w:pStyle w:val="ListParagraph"/>
        <w:widowControl/>
        <w:numPr>
          <w:ilvl w:val="0"/>
          <w:numId w:val="35"/>
        </w:numPr>
      </w:pPr>
      <w:r w:rsidRPr="00F65603">
        <w:t xml:space="preserve">Oil pipeline carriers exempt from filing FERC Form 6 and page 301 and whose annual jurisdictional operating revenues were $350,000 or less for each of the three previous calendar years must prepare and file page 700, “Annual Cost of Service Based Analysis Schedule,” of FERC Form 6. </w:t>
      </w:r>
    </w:p>
    <w:p w14:paraId="52238C72" w14:textId="77777777" w:rsidR="000C5128" w:rsidRDefault="000C5128" w:rsidP="008157C9">
      <w:pPr>
        <w:widowControl/>
      </w:pPr>
    </w:p>
    <w:p w14:paraId="78415B56" w14:textId="77777777" w:rsidR="008157C9" w:rsidRPr="00F65603" w:rsidRDefault="008157C9" w:rsidP="008157C9">
      <w:pPr>
        <w:widowControl/>
      </w:pPr>
      <w:r w:rsidRPr="00F65603">
        <w:t>When submitting page 700, each exempt oil pipeline carrier must include page 1 of FERC Form 6, the</w:t>
      </w:r>
    </w:p>
    <w:p w14:paraId="7E59FB6F" w14:textId="77777777" w:rsidR="008157C9" w:rsidRPr="00F65603" w:rsidRDefault="008157C9" w:rsidP="008157C9">
      <w:r w:rsidRPr="00F65603">
        <w:t>Identification and Attestation schedule (18 C.F.R. § 357.2 (a)(3)).</w:t>
      </w:r>
    </w:p>
    <w:p w14:paraId="5D0FC1A4" w14:textId="77777777" w:rsidR="008157C9" w:rsidRPr="00F65603" w:rsidRDefault="008157C9" w:rsidP="005E6DF7"/>
    <w:p w14:paraId="40849535" w14:textId="57852BB4" w:rsidR="00094545" w:rsidRPr="00F65603" w:rsidRDefault="00F65603" w:rsidP="005E6DF7">
      <w:r>
        <w:t>FERC and other</w:t>
      </w:r>
      <w:r w:rsidR="00DC19B6">
        <w:t xml:space="preserve"> entitie</w:t>
      </w:r>
      <w:r>
        <w:t>s use the FERC Form 6 information</w:t>
      </w:r>
      <w:r w:rsidR="00DC19B6">
        <w:t xml:space="preserve"> as follows.</w:t>
      </w:r>
    </w:p>
    <w:p w14:paraId="395CE9EC" w14:textId="77777777" w:rsidR="00094545" w:rsidRPr="00F65603" w:rsidRDefault="00094545" w:rsidP="006674E4"/>
    <w:p w14:paraId="3C86CA24" w14:textId="781966B0" w:rsidR="00094545" w:rsidRPr="00F65603" w:rsidRDefault="00094545" w:rsidP="005E6DF7">
      <w:pPr>
        <w:numPr>
          <w:ilvl w:val="0"/>
          <w:numId w:val="27"/>
        </w:numPr>
        <w:tabs>
          <w:tab w:val="clear" w:pos="1440"/>
          <w:tab w:val="left" w:pos="-1440"/>
          <w:tab w:val="num" w:pos="1080"/>
        </w:tabs>
        <w:ind w:left="1080"/>
      </w:pPr>
      <w:r w:rsidRPr="00F65603">
        <w:rPr>
          <w:rFonts w:cs="Melior"/>
        </w:rPr>
        <w:t xml:space="preserve">The Commission’s Office of Enforcement (OE) uses the Form 6 data to assist in the implementation of its financial audits and programs, in the continuous review of the financial condition of regulated companies and in the assessment of energy markets. The Office of Energy Markets Regulation (OEMR) uses the data collected for various rate proceedings and economic analyses.  The Office of Administrative Litigation (OAL) uses the data collected for background research for use in litigation. The Office of the General Counsel (OGC) uses the data in its programs relating to the administration of the ICA.  </w:t>
      </w:r>
    </w:p>
    <w:p w14:paraId="1A05A4E4" w14:textId="77777777" w:rsidR="00094545" w:rsidRPr="00F65603" w:rsidRDefault="00094545" w:rsidP="005E6DF7">
      <w:pPr>
        <w:tabs>
          <w:tab w:val="num" w:pos="1080"/>
        </w:tabs>
        <w:ind w:left="1080" w:hanging="360"/>
      </w:pPr>
    </w:p>
    <w:p w14:paraId="7AD66ED5" w14:textId="54E3C380" w:rsidR="000C5128" w:rsidRPr="00F65603" w:rsidRDefault="00094545" w:rsidP="00382C4D">
      <w:pPr>
        <w:numPr>
          <w:ilvl w:val="0"/>
          <w:numId w:val="29"/>
        </w:numPr>
        <w:tabs>
          <w:tab w:val="clear" w:pos="1440"/>
          <w:tab w:val="left" w:pos="-1440"/>
          <w:tab w:val="num" w:pos="1080"/>
        </w:tabs>
        <w:ind w:left="1080"/>
      </w:pPr>
      <w:r w:rsidRPr="00F65603">
        <w:t xml:space="preserve">The Office of the Executive Director (OED) uses data on </w:t>
      </w:r>
      <w:r w:rsidR="0085289A">
        <w:t>Page 301</w:t>
      </w:r>
      <w:r w:rsidRPr="00F65603">
        <w:t xml:space="preserve"> of the Form 6 to compute annual charges which are then assessed against oil pipeline companies to recover the Commission's annual costs as mandated by Commission Order No. 472.  The annual charges are required by Section 3401 of the Omnibus Budget Reconciliation Act of 1986.</w:t>
      </w:r>
    </w:p>
    <w:p w14:paraId="66F65097" w14:textId="77777777" w:rsidR="00094545" w:rsidRPr="00F65603" w:rsidRDefault="00094545" w:rsidP="005E6DF7">
      <w:pPr>
        <w:tabs>
          <w:tab w:val="left" w:pos="-1440"/>
          <w:tab w:val="num" w:pos="1080"/>
        </w:tabs>
        <w:ind w:left="1080" w:hanging="360"/>
      </w:pPr>
    </w:p>
    <w:p w14:paraId="127E92F1" w14:textId="405A8E82" w:rsidR="00094545" w:rsidRPr="00F65603" w:rsidRDefault="00094545" w:rsidP="005E6DF7">
      <w:pPr>
        <w:numPr>
          <w:ilvl w:val="0"/>
          <w:numId w:val="31"/>
        </w:numPr>
        <w:tabs>
          <w:tab w:val="clear" w:pos="1440"/>
          <w:tab w:val="left" w:pos="-1440"/>
          <w:tab w:val="num" w:pos="1080"/>
        </w:tabs>
        <w:ind w:left="1080"/>
      </w:pPr>
      <w:r w:rsidRPr="00F65603">
        <w:t xml:space="preserve">The majority of state regulatory commissions use the Form 6 and the FERC Uniform System </w:t>
      </w:r>
      <w:r w:rsidRPr="00F65603">
        <w:lastRenderedPageBreak/>
        <w:t>of Accounts</w:t>
      </w:r>
      <w:r w:rsidR="003D7002" w:rsidRPr="0053442A">
        <w:rPr>
          <w:rStyle w:val="FootnoteReference"/>
          <w:vertAlign w:val="superscript"/>
        </w:rPr>
        <w:footnoteReference w:id="6"/>
      </w:r>
      <w:r w:rsidRPr="0053442A">
        <w:rPr>
          <w:vertAlign w:val="superscript"/>
        </w:rPr>
        <w:t xml:space="preserve"> </w:t>
      </w:r>
      <w:r w:rsidRPr="00F65603">
        <w:t>to satisfy their reporting requirements for those companies under their jurisdiction.</w:t>
      </w:r>
    </w:p>
    <w:p w14:paraId="1CD7D21D" w14:textId="77777777" w:rsidR="00094545" w:rsidRPr="00F65603" w:rsidRDefault="00094545" w:rsidP="005E6DF7">
      <w:pPr>
        <w:tabs>
          <w:tab w:val="left" w:pos="-1440"/>
          <w:tab w:val="num" w:pos="1080"/>
        </w:tabs>
        <w:ind w:left="1080" w:hanging="360"/>
      </w:pPr>
    </w:p>
    <w:p w14:paraId="1EA45C9B" w14:textId="01855ABD" w:rsidR="00094545" w:rsidRPr="00F65603" w:rsidRDefault="00094545" w:rsidP="005E6DF7">
      <w:pPr>
        <w:numPr>
          <w:ilvl w:val="0"/>
          <w:numId w:val="33"/>
        </w:numPr>
        <w:tabs>
          <w:tab w:val="clear" w:pos="1440"/>
          <w:tab w:val="left" w:pos="-1440"/>
          <w:tab w:val="num" w:pos="1080"/>
        </w:tabs>
        <w:ind w:left="1080"/>
      </w:pPr>
      <w:r w:rsidRPr="00F65603">
        <w:t xml:space="preserve">The public uses the data to assist in monitoring rates, the financial condition of the </w:t>
      </w:r>
      <w:r w:rsidR="00AA5CA3">
        <w:t xml:space="preserve">oil pipeline </w:t>
      </w:r>
      <w:r w:rsidRPr="00F65603">
        <w:t>industry, and in the assess</w:t>
      </w:r>
      <w:r w:rsidR="00AA5CA3">
        <w:t xml:space="preserve">ing </w:t>
      </w:r>
      <w:r w:rsidRPr="00F65603">
        <w:t>energy markets.</w:t>
      </w:r>
    </w:p>
    <w:p w14:paraId="5D15CC2D" w14:textId="77777777" w:rsidR="00094545" w:rsidRPr="00F65603" w:rsidRDefault="00094545" w:rsidP="00B4029F">
      <w:pPr>
        <w:pStyle w:val="FERCparanumber"/>
        <w:numPr>
          <w:ilvl w:val="0"/>
          <w:numId w:val="0"/>
        </w:numPr>
        <w:spacing w:line="240" w:lineRule="auto"/>
        <w:ind w:firstLine="720"/>
        <w:rPr>
          <w:b/>
          <w:sz w:val="24"/>
        </w:rPr>
      </w:pPr>
    </w:p>
    <w:p w14:paraId="2846B4B7" w14:textId="7DCDBB2A" w:rsidR="00094545" w:rsidRPr="00F65603" w:rsidRDefault="0077182A" w:rsidP="00842882">
      <w:pPr>
        <w:widowControl/>
      </w:pPr>
      <w:r>
        <w:t>Data from FERC Form 6</w:t>
      </w:r>
      <w:r w:rsidR="00094545" w:rsidRPr="00F65603">
        <w:t xml:space="preserve"> facilitate</w:t>
      </w:r>
      <w:r>
        <w:t>s</w:t>
      </w:r>
      <w:r w:rsidR="00094545" w:rsidRPr="00F65603">
        <w:t xml:space="preserve"> the calculation of the actual rate of return on equity.  The actual rate of return on equity is particularly useful information when evaluat</w:t>
      </w:r>
      <w:r w:rsidR="002D128A">
        <w:t>ing</w:t>
      </w:r>
      <w:r w:rsidR="00094545" w:rsidRPr="00F65603">
        <w:t xml:space="preserve"> a pipeline’s rates.  </w:t>
      </w:r>
    </w:p>
    <w:p w14:paraId="3B8F8634" w14:textId="77777777" w:rsidR="00094545" w:rsidRPr="00F65603" w:rsidRDefault="00094545" w:rsidP="005E6DF7">
      <w:pPr>
        <w:widowControl/>
      </w:pPr>
    </w:p>
    <w:p w14:paraId="0C1C5BCD" w14:textId="77777777" w:rsidR="00094545" w:rsidRPr="00F65603" w:rsidRDefault="00094545" w:rsidP="005E6DF7">
      <w:pPr>
        <w:widowControl/>
      </w:pPr>
      <w:r w:rsidRPr="00F65603">
        <w:t xml:space="preserve">The Commission continues to review and modernize its oil regulations with a view toward reducing the burden it places on industry.  The ICA mandates the collection of information needed by the Commission to perform its regulatory responsibilities in the setting of just and reasonable rates.  The Commission could be held in violation of the ICA if the information was not collected.  </w:t>
      </w:r>
    </w:p>
    <w:p w14:paraId="36FA71F5" w14:textId="77777777" w:rsidR="00094545" w:rsidRPr="00F65603" w:rsidRDefault="00094545">
      <w:pPr>
        <w:widowControl/>
        <w:ind w:firstLine="720"/>
      </w:pPr>
    </w:p>
    <w:p w14:paraId="40F29D78" w14:textId="77777777" w:rsidR="00094545" w:rsidRPr="00F65603" w:rsidRDefault="00094545" w:rsidP="002301FD">
      <w:pPr>
        <w:widowControl/>
        <w:tabs>
          <w:tab w:val="left" w:pos="-1440"/>
        </w:tabs>
        <w:ind w:left="720" w:hanging="720"/>
        <w:rPr>
          <w:b/>
          <w:bCs/>
        </w:rPr>
      </w:pPr>
      <w:r w:rsidRPr="00F65603">
        <w:t>3.</w:t>
      </w:r>
      <w:r w:rsidRPr="00F65603">
        <w:tab/>
      </w:r>
      <w:r w:rsidRPr="00F65603">
        <w:rPr>
          <w:b/>
          <w:bCs/>
        </w:rPr>
        <w:t>DESCRIBE ANY CONSIDERATION OF THE USE OF IMPROVED TECHNOLOGY TO REDUCE BURDEN AND TECHNICAL OR LEGAL OBSTACLES TO REDUCING BURDEN.</w:t>
      </w:r>
    </w:p>
    <w:p w14:paraId="368FD9CA" w14:textId="77777777" w:rsidR="00094545" w:rsidRPr="00F65603" w:rsidRDefault="00094545" w:rsidP="00BB5847">
      <w:pPr>
        <w:ind w:left="720" w:firstLine="720"/>
      </w:pPr>
    </w:p>
    <w:p w14:paraId="4EC57FCE" w14:textId="334E4C03" w:rsidR="00094545" w:rsidRPr="00F65603" w:rsidRDefault="00094545" w:rsidP="0053442A">
      <w:r w:rsidRPr="00F65603">
        <w:t xml:space="preserve">There is an ongoing effort to determine the potential and value of improved information technology to reduce the burden. </w:t>
      </w:r>
      <w:r w:rsidR="008D6C03">
        <w:t>In December 2000, FERC issued Order No. 620 requiring</w:t>
      </w:r>
      <w:r w:rsidRPr="00F65603">
        <w:t xml:space="preserve"> </w:t>
      </w:r>
      <w:r w:rsidR="008D6C03">
        <w:rPr>
          <w:rFonts w:cs="Melior"/>
        </w:rPr>
        <w:t>e</w:t>
      </w:r>
      <w:r w:rsidRPr="00F65603">
        <w:rPr>
          <w:rFonts w:cs="Melior"/>
        </w:rPr>
        <w:t xml:space="preserve">very pipeline carrier subject to the provisions of Section 20 of the ICA </w:t>
      </w:r>
      <w:r w:rsidR="000C5128">
        <w:rPr>
          <w:rFonts w:cs="Melior"/>
        </w:rPr>
        <w:t>to</w:t>
      </w:r>
      <w:r w:rsidRPr="00F65603">
        <w:rPr>
          <w:rFonts w:cs="Melior"/>
        </w:rPr>
        <w:t xml:space="preserve"> electronically </w:t>
      </w:r>
      <w:r w:rsidR="00864FF2">
        <w:rPr>
          <w:rFonts w:cs="Melior"/>
        </w:rPr>
        <w:t>s</w:t>
      </w:r>
      <w:r w:rsidR="00864FF2" w:rsidRPr="00864FF2">
        <w:rPr>
          <w:rFonts w:cs="Melior"/>
        </w:rPr>
        <w:t>ubmit FERC Form 6 through the forms submission software available at</w:t>
      </w:r>
      <w:r w:rsidR="00864FF2">
        <w:rPr>
          <w:rFonts w:cs="Melior"/>
        </w:rPr>
        <w:t xml:space="preserve"> </w:t>
      </w:r>
      <w:r w:rsidR="00864FF2" w:rsidRPr="00864FF2">
        <w:rPr>
          <w:rFonts w:cs="Melior"/>
        </w:rPr>
        <w:t>http://www.ferc.gov/docs-filing/eforms/form-6/elec-subm-soft.asp.</w:t>
      </w:r>
      <w:r w:rsidRPr="00F65603">
        <w:rPr>
          <w:rFonts w:ascii="Times New Roman TUR" w:hAnsi="Times New Roman TUR" w:cs="Times New Roman TUR"/>
          <w:bCs/>
        </w:rPr>
        <w:t xml:space="preserve"> </w:t>
      </w:r>
    </w:p>
    <w:p w14:paraId="60B36771" w14:textId="77777777" w:rsidR="00094545" w:rsidRPr="00F65603" w:rsidRDefault="00094545">
      <w:pPr>
        <w:widowControl/>
      </w:pPr>
    </w:p>
    <w:p w14:paraId="5D943191" w14:textId="77777777" w:rsidR="00094545" w:rsidRPr="00F65603" w:rsidRDefault="00094545" w:rsidP="002301FD">
      <w:pPr>
        <w:widowControl/>
        <w:tabs>
          <w:tab w:val="left" w:pos="-1440"/>
        </w:tabs>
        <w:ind w:left="720" w:hanging="720"/>
        <w:rPr>
          <w:b/>
          <w:bCs/>
        </w:rPr>
      </w:pPr>
      <w:r w:rsidRPr="00F65603">
        <w:t>4.</w:t>
      </w:r>
      <w:r w:rsidRPr="00F65603">
        <w:tab/>
      </w:r>
      <w:r w:rsidRPr="00F65603">
        <w:rPr>
          <w:b/>
          <w:bCs/>
        </w:rPr>
        <w:t>DESCRIBE EFFORTS TO IDENTIFY DUPLICATION AND SHOW SPECIFICALLY WHY ANY SIMILAR INFORMATION ALREADY AVAILABLE CANNOT BE USED OR MODIFIED FOR USE FOR THE PURPOSE(S) DESCRIBED IN INSTRUCTION NO. 2</w:t>
      </w:r>
    </w:p>
    <w:p w14:paraId="193E6783" w14:textId="77777777" w:rsidR="00094545" w:rsidRPr="00F65603" w:rsidRDefault="00094545">
      <w:pPr>
        <w:widowControl/>
        <w:rPr>
          <w:color w:val="000000"/>
          <w:highlight w:val="lightGray"/>
        </w:rPr>
      </w:pPr>
    </w:p>
    <w:p w14:paraId="0A15CC48" w14:textId="77777777" w:rsidR="00094545" w:rsidRPr="00F65603" w:rsidRDefault="00094545" w:rsidP="005E6DF7">
      <w:pPr>
        <w:widowControl/>
      </w:pPr>
      <w:r w:rsidRPr="00F65603">
        <w:t xml:space="preserve">Filing requirements are periodically reviewed as OMB review dates arise or as the Commission may deem necessary in carrying out its regulatory responsibilities under the Act in an effort to alleviate duplication.  All Commission information collections are subject to analysis by Commission staff and are examined for redundancy.  To date, the Commission has not found duplication of the proposed data requirements.  </w:t>
      </w:r>
    </w:p>
    <w:p w14:paraId="014AA8C6" w14:textId="77777777" w:rsidR="00094545" w:rsidRPr="00F65603" w:rsidRDefault="00094545">
      <w:pPr>
        <w:widowControl/>
        <w:rPr>
          <w:strike/>
        </w:rPr>
      </w:pPr>
    </w:p>
    <w:p w14:paraId="28395367" w14:textId="77777777" w:rsidR="00094545" w:rsidRPr="00F65603" w:rsidRDefault="00094545" w:rsidP="002301FD">
      <w:pPr>
        <w:widowControl/>
        <w:tabs>
          <w:tab w:val="left" w:pos="-1440"/>
        </w:tabs>
        <w:ind w:left="720" w:hanging="720"/>
      </w:pPr>
      <w:r w:rsidRPr="00F65603">
        <w:t>5.</w:t>
      </w:r>
      <w:r w:rsidRPr="00F65603">
        <w:tab/>
      </w:r>
      <w:r w:rsidRPr="00F65603">
        <w:rPr>
          <w:b/>
          <w:bCs/>
        </w:rPr>
        <w:t>METHODS USED TO MINIMIZE BURDEN IN COLLECTION OF INFORMATION INVOLVING SMALL ENTITIES</w:t>
      </w:r>
    </w:p>
    <w:p w14:paraId="3A4154FC" w14:textId="77777777" w:rsidR="00094545" w:rsidRPr="00F65603" w:rsidRDefault="00094545">
      <w:pPr>
        <w:widowControl/>
        <w:rPr>
          <w:rFonts w:ascii="Times New Roman TUR" w:hAnsi="Times New Roman TUR" w:cs="Times New Roman TUR"/>
          <w:bCs/>
        </w:rPr>
      </w:pPr>
    </w:p>
    <w:p w14:paraId="77662039" w14:textId="64F4C1A7" w:rsidR="00094545" w:rsidRPr="00F65603" w:rsidRDefault="00094545" w:rsidP="005E6DF7">
      <w:pPr>
        <w:widowControl/>
        <w:rPr>
          <w:rFonts w:ascii="Times New Roman TUR" w:hAnsi="Times New Roman TUR" w:cs="Times New Roman TUR"/>
          <w:bCs/>
        </w:rPr>
      </w:pPr>
      <w:r w:rsidRPr="00F65603">
        <w:rPr>
          <w:rFonts w:ascii="Times New Roman TUR" w:hAnsi="Times New Roman TUR" w:cs="Times New Roman TUR"/>
          <w:bCs/>
        </w:rPr>
        <w:t xml:space="preserve">The filing threshold for the Form 6 is divided into three categories, based on the </w:t>
      </w:r>
      <w:r w:rsidR="00864FF2" w:rsidRPr="00864FF2">
        <w:rPr>
          <w:rFonts w:ascii="Times New Roman TUR" w:hAnsi="Times New Roman TUR" w:cs="Times New Roman TUR"/>
          <w:bCs/>
        </w:rPr>
        <w:t>annual jurisdictional operating revenues</w:t>
      </w:r>
      <w:r w:rsidR="00864FF2">
        <w:rPr>
          <w:rFonts w:ascii="Times New Roman TUR" w:hAnsi="Times New Roman TUR" w:cs="Times New Roman TUR"/>
          <w:bCs/>
        </w:rPr>
        <w:t xml:space="preserve"> </w:t>
      </w:r>
      <w:r w:rsidRPr="00F65603">
        <w:rPr>
          <w:rFonts w:ascii="Times New Roman TUR" w:hAnsi="Times New Roman TUR" w:cs="Times New Roman TUR"/>
          <w:bCs/>
        </w:rPr>
        <w:t>of the</w:t>
      </w:r>
      <w:r w:rsidR="006A4428" w:rsidRPr="00F65603">
        <w:rPr>
          <w:rFonts w:ascii="Times New Roman TUR" w:hAnsi="Times New Roman TUR" w:cs="Times New Roman TUR"/>
          <w:bCs/>
        </w:rPr>
        <w:t xml:space="preserve"> respondent</w:t>
      </w:r>
      <w:r w:rsidRPr="00F65603">
        <w:rPr>
          <w:rFonts w:ascii="Times New Roman TUR" w:hAnsi="Times New Roman TUR" w:cs="Times New Roman TUR"/>
          <w:bCs/>
        </w:rPr>
        <w:t xml:space="preserve"> company</w:t>
      </w:r>
      <w:r w:rsidR="00864FF2">
        <w:rPr>
          <w:rFonts w:ascii="Times New Roman TUR" w:hAnsi="Times New Roman TUR" w:cs="Times New Roman TUR"/>
          <w:bCs/>
        </w:rPr>
        <w:t xml:space="preserve">. </w:t>
      </w:r>
      <w:r w:rsidRPr="00F65603">
        <w:rPr>
          <w:rFonts w:ascii="Times New Roman TUR" w:hAnsi="Times New Roman TUR" w:cs="Times New Roman TUR"/>
          <w:bCs/>
        </w:rPr>
        <w:t xml:space="preserve"> (</w:t>
      </w:r>
      <w:r w:rsidR="00864FF2">
        <w:rPr>
          <w:rFonts w:ascii="Times New Roman TUR" w:hAnsi="Times New Roman TUR" w:cs="Times New Roman TUR"/>
          <w:bCs/>
        </w:rPr>
        <w:t>S</w:t>
      </w:r>
      <w:r w:rsidRPr="00F65603">
        <w:rPr>
          <w:rFonts w:ascii="Times New Roman TUR" w:hAnsi="Times New Roman TUR" w:cs="Times New Roman TUR"/>
          <w:bCs/>
        </w:rPr>
        <w:t>ee</w:t>
      </w:r>
      <w:r w:rsidR="00737F30" w:rsidRPr="00F65603">
        <w:rPr>
          <w:rFonts w:ascii="Times New Roman TUR" w:hAnsi="Times New Roman TUR" w:cs="Times New Roman TUR"/>
          <w:bCs/>
        </w:rPr>
        <w:t xml:space="preserve"> #2</w:t>
      </w:r>
      <w:r w:rsidRPr="00F65603">
        <w:rPr>
          <w:rFonts w:ascii="Times New Roman TUR" w:hAnsi="Times New Roman TUR" w:cs="Times New Roman TUR"/>
          <w:bCs/>
        </w:rPr>
        <w:t xml:space="preserve"> above</w:t>
      </w:r>
      <w:r w:rsidR="00864FF2">
        <w:rPr>
          <w:rFonts w:ascii="Times New Roman TUR" w:hAnsi="Times New Roman TUR" w:cs="Times New Roman TUR"/>
          <w:bCs/>
        </w:rPr>
        <w:t>.</w:t>
      </w:r>
      <w:r w:rsidRPr="00F65603">
        <w:rPr>
          <w:rFonts w:ascii="Times New Roman TUR" w:hAnsi="Times New Roman TUR" w:cs="Times New Roman TUR"/>
          <w:bCs/>
        </w:rPr>
        <w:t xml:space="preserve">)  Smaller companies are required to file only certain </w:t>
      </w:r>
      <w:r w:rsidR="00864FF2">
        <w:rPr>
          <w:rFonts w:ascii="Times New Roman TUR" w:hAnsi="Times New Roman TUR" w:cs="Times New Roman TUR"/>
          <w:bCs/>
        </w:rPr>
        <w:t>components</w:t>
      </w:r>
      <w:r w:rsidRPr="00F65603">
        <w:rPr>
          <w:rFonts w:ascii="Times New Roman TUR" w:hAnsi="Times New Roman TUR" w:cs="Times New Roman TUR"/>
          <w:bCs/>
        </w:rPr>
        <w:t xml:space="preserve"> of </w:t>
      </w:r>
      <w:r w:rsidR="00864FF2">
        <w:rPr>
          <w:rFonts w:ascii="Times New Roman TUR" w:hAnsi="Times New Roman TUR" w:cs="Times New Roman TUR"/>
          <w:bCs/>
        </w:rPr>
        <w:t>the F</w:t>
      </w:r>
      <w:r w:rsidRPr="00F65603">
        <w:rPr>
          <w:rFonts w:ascii="Times New Roman TUR" w:hAnsi="Times New Roman TUR" w:cs="Times New Roman TUR"/>
          <w:bCs/>
        </w:rPr>
        <w:t>orm</w:t>
      </w:r>
      <w:r w:rsidR="00864FF2">
        <w:rPr>
          <w:rFonts w:ascii="Times New Roman TUR" w:hAnsi="Times New Roman TUR" w:cs="Times New Roman TUR"/>
          <w:bCs/>
        </w:rPr>
        <w:t xml:space="preserve"> 6</w:t>
      </w:r>
      <w:r w:rsidRPr="00F65603">
        <w:rPr>
          <w:rFonts w:ascii="Times New Roman TUR" w:hAnsi="Times New Roman TUR" w:cs="Times New Roman TUR"/>
          <w:bCs/>
        </w:rPr>
        <w:t>.  The Commission concluded that exempting a certain percentage of oil companies from filing the full FERC Form No. 6 in its entirety will not compromise its ability to gather meaningful data upon which to base its regulation of the oil pipeline industry.</w:t>
      </w:r>
    </w:p>
    <w:p w14:paraId="23EF169B" w14:textId="77777777" w:rsidR="00094545" w:rsidRPr="00F65603" w:rsidRDefault="00094545" w:rsidP="004E6FBD">
      <w:pPr>
        <w:widowControl/>
      </w:pPr>
    </w:p>
    <w:p w14:paraId="2643015E" w14:textId="77777777" w:rsidR="00094545" w:rsidRPr="00F65603" w:rsidRDefault="00094545" w:rsidP="002301FD">
      <w:pPr>
        <w:widowControl/>
        <w:tabs>
          <w:tab w:val="left" w:pos="-1440"/>
        </w:tabs>
        <w:ind w:left="720" w:hanging="720"/>
        <w:rPr>
          <w:b/>
          <w:bCs/>
        </w:rPr>
      </w:pPr>
      <w:r w:rsidRPr="00F65603">
        <w:lastRenderedPageBreak/>
        <w:t>6.</w:t>
      </w:r>
      <w:r w:rsidRPr="00F65603">
        <w:tab/>
      </w:r>
      <w:r w:rsidRPr="00F65603">
        <w:rPr>
          <w:b/>
          <w:bCs/>
        </w:rPr>
        <w:t>CONSEQUENCE TO FEDERAL PROGRAM IF COLLECTION WERE CONDUCTED LESS FREQUENTLY</w:t>
      </w:r>
    </w:p>
    <w:p w14:paraId="73982A71" w14:textId="77777777" w:rsidR="00094545" w:rsidRPr="00F65603" w:rsidRDefault="00094545" w:rsidP="002301FD">
      <w:pPr>
        <w:widowControl/>
        <w:tabs>
          <w:tab w:val="left" w:pos="-1440"/>
        </w:tabs>
        <w:ind w:left="720" w:hanging="720"/>
        <w:rPr>
          <w:b/>
          <w:bCs/>
        </w:rPr>
      </w:pPr>
    </w:p>
    <w:p w14:paraId="2FA13334" w14:textId="5DC6CE7A" w:rsidR="00094545" w:rsidRPr="00F65603" w:rsidRDefault="00094545" w:rsidP="005E6DF7">
      <w:pPr>
        <w:widowControl/>
      </w:pPr>
      <w:r w:rsidRPr="00F65603">
        <w:t xml:space="preserve">The Commission is authorized by statute to collect this information on an annual </w:t>
      </w:r>
      <w:r w:rsidR="00B862EB">
        <w:t xml:space="preserve">basis </w:t>
      </w:r>
      <w:r w:rsidRPr="00F65603">
        <w:t>(Form 6)</w:t>
      </w:r>
      <w:r w:rsidR="00B862EB">
        <w:t>.</w:t>
      </w:r>
      <w:r w:rsidR="00B862EB" w:rsidRPr="0053442A">
        <w:rPr>
          <w:rStyle w:val="FootnoteReference"/>
          <w:vertAlign w:val="superscript"/>
        </w:rPr>
        <w:footnoteReference w:id="7"/>
      </w:r>
      <w:r w:rsidRPr="00F65603">
        <w:t xml:space="preserve">  If the collection were conducted less frequently, the Commission would be unable to perform its mandated review responsibilities with respect to the assessment of the financial conditions of oil pipeline companies. The continued use of the FERC Form No. 6 (and FERC Form No. 6-Q) ensures that the Commission has the financial, operational, and ratemaking information needed to carry out its regulatory responsibilities to monitor the oil pipeline industry.</w:t>
      </w:r>
    </w:p>
    <w:p w14:paraId="563618FF" w14:textId="77777777" w:rsidR="00094545" w:rsidRPr="00F65603" w:rsidRDefault="00094545">
      <w:pPr>
        <w:widowControl/>
      </w:pPr>
    </w:p>
    <w:p w14:paraId="7469D6EF" w14:textId="77777777" w:rsidR="00094545" w:rsidRPr="00F65603" w:rsidRDefault="00094545" w:rsidP="00025FC7">
      <w:pPr>
        <w:widowControl/>
        <w:tabs>
          <w:tab w:val="left" w:pos="-1440"/>
        </w:tabs>
        <w:ind w:left="720" w:hanging="720"/>
        <w:rPr>
          <w:b/>
          <w:bCs/>
        </w:rPr>
      </w:pPr>
      <w:r w:rsidRPr="00F65603">
        <w:t>7.</w:t>
      </w:r>
      <w:r w:rsidRPr="00F65603">
        <w:tab/>
      </w:r>
      <w:r w:rsidRPr="00F65603">
        <w:rPr>
          <w:b/>
          <w:bCs/>
        </w:rPr>
        <w:t>EXPLAIN ANY SPECIAL CIRCUMSTANCES RELATING TO THE INFORMATION COLLECTION</w:t>
      </w:r>
    </w:p>
    <w:p w14:paraId="1B678909" w14:textId="77777777" w:rsidR="00094545" w:rsidRPr="00F65603" w:rsidRDefault="00094545" w:rsidP="00025FC7">
      <w:pPr>
        <w:widowControl/>
        <w:tabs>
          <w:tab w:val="left" w:pos="-1440"/>
        </w:tabs>
        <w:ind w:left="720" w:hanging="720"/>
        <w:rPr>
          <w:b/>
          <w:bCs/>
        </w:rPr>
      </w:pPr>
    </w:p>
    <w:p w14:paraId="6E00DBA2" w14:textId="3A2D77C1" w:rsidR="00094545" w:rsidRPr="00F65603" w:rsidRDefault="00094545" w:rsidP="005E6DF7">
      <w:pPr>
        <w:widowControl/>
      </w:pPr>
      <w:r w:rsidRPr="00F65603">
        <w:t>The</w:t>
      </w:r>
      <w:r w:rsidR="00B862EB">
        <w:t>re are no special circumstances.</w:t>
      </w:r>
    </w:p>
    <w:p w14:paraId="31F6CCFD" w14:textId="77777777" w:rsidR="00094545" w:rsidRPr="00F65603" w:rsidRDefault="00094545" w:rsidP="005E5135">
      <w:pPr>
        <w:widowControl/>
        <w:ind w:left="720"/>
      </w:pPr>
    </w:p>
    <w:p w14:paraId="6422D88E" w14:textId="77777777" w:rsidR="00094545" w:rsidRPr="00F65603" w:rsidRDefault="00094545" w:rsidP="00025FC7">
      <w:pPr>
        <w:widowControl/>
        <w:tabs>
          <w:tab w:val="left" w:pos="-1440"/>
        </w:tabs>
        <w:ind w:left="720" w:hanging="720"/>
      </w:pPr>
      <w:r w:rsidRPr="00F65603">
        <w:t>8.</w:t>
      </w:r>
      <w:r w:rsidRPr="00F65603">
        <w:tab/>
      </w:r>
      <w:r w:rsidRPr="00F65603">
        <w:rPr>
          <w:b/>
          <w:bCs/>
        </w:rPr>
        <w:t>DESCRIBE EFFORTS TO CONSULT OUTSIDE THE AGENCY: SUMMARIZE PUBLIC COMMENTS AND THE AGENCY'S RESPONSE TO THESE COMMENTS</w:t>
      </w:r>
    </w:p>
    <w:p w14:paraId="27DAA6D7" w14:textId="77777777" w:rsidR="00094545" w:rsidRPr="00F65603" w:rsidRDefault="00094545">
      <w:pPr>
        <w:widowControl/>
      </w:pPr>
    </w:p>
    <w:p w14:paraId="200F487A" w14:textId="0F5FD67B" w:rsidR="00973873" w:rsidRDefault="00094545" w:rsidP="0053442A">
      <w:pPr>
        <w:pStyle w:val="FERCparanumber"/>
        <w:numPr>
          <w:ilvl w:val="0"/>
          <w:numId w:val="0"/>
        </w:numPr>
        <w:spacing w:line="240" w:lineRule="auto"/>
        <w:rPr>
          <w:szCs w:val="26"/>
        </w:rPr>
      </w:pPr>
      <w:r w:rsidRPr="00F65603">
        <w:t>The Commission</w:t>
      </w:r>
      <w:r w:rsidR="00345471">
        <w:t xml:space="preserve"> </w:t>
      </w:r>
      <w:r w:rsidRPr="00F65603">
        <w:t xml:space="preserve">published </w:t>
      </w:r>
      <w:r w:rsidR="00B862EB">
        <w:t>its 60-day Notice</w:t>
      </w:r>
      <w:r w:rsidR="00B862EB" w:rsidRPr="0053442A">
        <w:rPr>
          <w:rStyle w:val="FootnoteReference"/>
          <w:vertAlign w:val="superscript"/>
        </w:rPr>
        <w:footnoteReference w:id="8"/>
      </w:r>
      <w:r w:rsidR="00B862EB" w:rsidRPr="0053442A">
        <w:rPr>
          <w:vertAlign w:val="superscript"/>
        </w:rPr>
        <w:t xml:space="preserve"> </w:t>
      </w:r>
      <w:r w:rsidR="00B862EB">
        <w:t xml:space="preserve">(in Docket </w:t>
      </w:r>
      <w:r w:rsidR="00973873">
        <w:t xml:space="preserve">No. </w:t>
      </w:r>
      <w:r w:rsidR="00B862EB">
        <w:t xml:space="preserve">IC16-11) </w:t>
      </w:r>
      <w:r w:rsidRPr="00F65603">
        <w:t xml:space="preserve">in the </w:t>
      </w:r>
      <w:r w:rsidRPr="00F65603">
        <w:rPr>
          <w:u w:val="single"/>
        </w:rPr>
        <w:t>Federal Register</w:t>
      </w:r>
      <w:r w:rsidRPr="00F65603">
        <w:t xml:space="preserve">, thereby allowing all pipeline companies, state commissions, federal agencies, and other interested parties an opportunity to submit comments, or suggestions concerning the </w:t>
      </w:r>
      <w:r w:rsidR="00973873">
        <w:t>Form 6</w:t>
      </w:r>
      <w:r w:rsidRPr="00F65603">
        <w:t xml:space="preserve">.  </w:t>
      </w:r>
      <w:r w:rsidR="00973873" w:rsidRPr="00F4042D">
        <w:rPr>
          <w:szCs w:val="26"/>
        </w:rPr>
        <w:t xml:space="preserve">The 30-day notice is also being published in the Federal Register for </w:t>
      </w:r>
      <w:r w:rsidR="00973873">
        <w:rPr>
          <w:szCs w:val="26"/>
        </w:rPr>
        <w:t xml:space="preserve">public </w:t>
      </w:r>
      <w:r w:rsidR="00973873" w:rsidRPr="00F4042D">
        <w:rPr>
          <w:szCs w:val="26"/>
        </w:rPr>
        <w:t>review and comment.</w:t>
      </w:r>
    </w:p>
    <w:p w14:paraId="2326EADC" w14:textId="77777777" w:rsidR="008D6C03" w:rsidRDefault="008D6C03" w:rsidP="0053442A">
      <w:pPr>
        <w:pStyle w:val="FERCparanumber"/>
        <w:numPr>
          <w:ilvl w:val="0"/>
          <w:numId w:val="0"/>
        </w:numPr>
        <w:spacing w:line="240" w:lineRule="auto"/>
        <w:rPr>
          <w:szCs w:val="26"/>
        </w:rPr>
      </w:pPr>
    </w:p>
    <w:p w14:paraId="270CC53A" w14:textId="7DF73365" w:rsidR="008D6C03" w:rsidRPr="00F4042D" w:rsidRDefault="008D6C03" w:rsidP="0053442A">
      <w:pPr>
        <w:pStyle w:val="FERCparanumber"/>
        <w:numPr>
          <w:ilvl w:val="0"/>
          <w:numId w:val="0"/>
        </w:numPr>
        <w:spacing w:line="240" w:lineRule="auto"/>
        <w:rPr>
          <w:szCs w:val="26"/>
        </w:rPr>
      </w:pPr>
      <w:r>
        <w:rPr>
          <w:szCs w:val="26"/>
        </w:rPr>
        <w:t>None of the comments received in Docket No. IC16-11 pertained to FERC Form 6.</w:t>
      </w:r>
      <w:r w:rsidR="00382C4D">
        <w:rPr>
          <w:szCs w:val="26"/>
        </w:rPr>
        <w:t xml:space="preserve"> </w:t>
      </w:r>
    </w:p>
    <w:p w14:paraId="023D4CFA" w14:textId="330FBDF5" w:rsidR="00094545" w:rsidRPr="00F65603" w:rsidRDefault="00094545" w:rsidP="005E5135">
      <w:pPr>
        <w:widowControl/>
        <w:ind w:left="720"/>
      </w:pPr>
    </w:p>
    <w:p w14:paraId="04BECAE8" w14:textId="77777777" w:rsidR="00094545" w:rsidRPr="00F65603" w:rsidRDefault="00094545" w:rsidP="00025FC7">
      <w:pPr>
        <w:widowControl/>
        <w:tabs>
          <w:tab w:val="left" w:pos="-1440"/>
        </w:tabs>
        <w:ind w:left="720" w:hanging="720"/>
        <w:rPr>
          <w:b/>
          <w:bCs/>
        </w:rPr>
      </w:pPr>
      <w:r w:rsidRPr="00F65603">
        <w:t>9.</w:t>
      </w:r>
      <w:r w:rsidRPr="00F65603">
        <w:tab/>
      </w:r>
      <w:r w:rsidRPr="00F65603">
        <w:rPr>
          <w:b/>
          <w:bCs/>
        </w:rPr>
        <w:t>EXPLAIN ANY PAYMENT OR GIFTS TO RESPONDENTS</w:t>
      </w:r>
    </w:p>
    <w:p w14:paraId="267AEB55" w14:textId="77777777" w:rsidR="00094545" w:rsidRPr="00F65603" w:rsidRDefault="00094545">
      <w:pPr>
        <w:widowControl/>
        <w:rPr>
          <w:b/>
          <w:bCs/>
        </w:rPr>
      </w:pPr>
    </w:p>
    <w:p w14:paraId="54A2E1D0" w14:textId="77777777" w:rsidR="00094545" w:rsidRPr="00F65603" w:rsidRDefault="00094545" w:rsidP="005E6DF7">
      <w:pPr>
        <w:widowControl/>
      </w:pPr>
      <w:r w:rsidRPr="00F65603">
        <w:t xml:space="preserve"> The Commission will not make any payments or gifts to respondents.</w:t>
      </w:r>
    </w:p>
    <w:p w14:paraId="07BDDBE2" w14:textId="77777777" w:rsidR="00094545" w:rsidRPr="00F65603" w:rsidRDefault="00094545">
      <w:pPr>
        <w:widowControl/>
      </w:pPr>
    </w:p>
    <w:p w14:paraId="19A90F1F" w14:textId="77777777" w:rsidR="00094545" w:rsidRPr="00F65603" w:rsidRDefault="00094545" w:rsidP="00025FC7">
      <w:pPr>
        <w:widowControl/>
        <w:tabs>
          <w:tab w:val="left" w:pos="-1440"/>
        </w:tabs>
        <w:ind w:left="720" w:hanging="720"/>
        <w:rPr>
          <w:b/>
          <w:bCs/>
        </w:rPr>
      </w:pPr>
      <w:r w:rsidRPr="00F65603">
        <w:t>10.</w:t>
      </w:r>
      <w:r w:rsidRPr="00F65603">
        <w:tab/>
      </w:r>
      <w:r w:rsidRPr="00F65603">
        <w:rPr>
          <w:b/>
          <w:bCs/>
        </w:rPr>
        <w:t>DESCRIBE ANY ASSURANCE OF CONFIDENTIALITY PROVIDED TO RESPONDENTS</w:t>
      </w:r>
    </w:p>
    <w:p w14:paraId="05B5DD93" w14:textId="77777777" w:rsidR="00094545" w:rsidRPr="00F65603" w:rsidRDefault="00094545" w:rsidP="00785DBF">
      <w:pPr>
        <w:widowControl/>
        <w:ind w:left="720" w:firstLine="720"/>
        <w:rPr>
          <w:rFonts w:ascii="Times New Roman TUR" w:hAnsi="Times New Roman TUR" w:cs="Times New Roman TUR"/>
          <w:bCs/>
        </w:rPr>
      </w:pPr>
    </w:p>
    <w:p w14:paraId="2D02048E" w14:textId="4B3226EB" w:rsidR="00094545" w:rsidRPr="00F65603" w:rsidRDefault="00094545" w:rsidP="005E6DF7">
      <w:pPr>
        <w:widowControl/>
        <w:rPr>
          <w:rFonts w:ascii="Times New Roman TUR" w:hAnsi="Times New Roman TUR" w:cs="Times New Roman TUR"/>
          <w:bCs/>
        </w:rPr>
      </w:pPr>
      <w:r w:rsidRPr="00F65603">
        <w:rPr>
          <w:rFonts w:ascii="Times New Roman TUR" w:hAnsi="Times New Roman TUR" w:cs="Times New Roman TUR"/>
          <w:bCs/>
        </w:rPr>
        <w:t>The Commission designed Form 6 in a manner such that all information reported is subject to public access and review and</w:t>
      </w:r>
      <w:r w:rsidR="006A4428" w:rsidRPr="00F65603">
        <w:rPr>
          <w:rFonts w:ascii="Times New Roman TUR" w:hAnsi="Times New Roman TUR" w:cs="Times New Roman TUR"/>
          <w:bCs/>
        </w:rPr>
        <w:t>,</w:t>
      </w:r>
      <w:r w:rsidRPr="00F65603">
        <w:rPr>
          <w:rFonts w:ascii="Times New Roman TUR" w:hAnsi="Times New Roman TUR" w:cs="Times New Roman TUR"/>
          <w:bCs/>
        </w:rPr>
        <w:t xml:space="preserve"> therefore, generally not confidential.  The Commission will entertain specific requests for confidential treatment to the extent permitted by law </w:t>
      </w:r>
      <w:r w:rsidR="002D3A07">
        <w:rPr>
          <w:rFonts w:ascii="Times New Roman TUR" w:hAnsi="Times New Roman TUR" w:cs="Times New Roman TUR"/>
          <w:bCs/>
        </w:rPr>
        <w:t xml:space="preserve">and </w:t>
      </w:r>
      <w:r w:rsidRPr="00F65603">
        <w:rPr>
          <w:rFonts w:ascii="Times New Roman TUR" w:hAnsi="Times New Roman TUR" w:cs="Times New Roman TUR"/>
          <w:bCs/>
        </w:rPr>
        <w:t xml:space="preserve">pursuant to 18 C.F.R. 388.112.  </w:t>
      </w:r>
    </w:p>
    <w:p w14:paraId="41757F3F" w14:textId="77777777" w:rsidR="00094545" w:rsidRPr="00F65603" w:rsidRDefault="00094545" w:rsidP="00363416">
      <w:pPr>
        <w:pStyle w:val="FERCparanumber"/>
        <w:widowControl/>
        <w:numPr>
          <w:ilvl w:val="0"/>
          <w:numId w:val="0"/>
        </w:numPr>
        <w:autoSpaceDE/>
        <w:autoSpaceDN/>
        <w:adjustRightInd/>
        <w:spacing w:line="240" w:lineRule="auto"/>
        <w:ind w:firstLine="720"/>
        <w:rPr>
          <w:sz w:val="24"/>
        </w:rPr>
      </w:pPr>
    </w:p>
    <w:p w14:paraId="539F6E8D" w14:textId="657B88B4" w:rsidR="00094545" w:rsidRPr="00F65603" w:rsidRDefault="00094545" w:rsidP="00025FC7">
      <w:pPr>
        <w:widowControl/>
        <w:tabs>
          <w:tab w:val="left" w:pos="-1440"/>
        </w:tabs>
        <w:ind w:left="720" w:hanging="720"/>
        <w:rPr>
          <w:b/>
          <w:bCs/>
        </w:rPr>
      </w:pPr>
      <w:r w:rsidRPr="00F65603">
        <w:t>11.</w:t>
      </w:r>
      <w:r w:rsidRPr="00F65603">
        <w:tab/>
      </w:r>
      <w:r w:rsidR="002D3A07" w:rsidRPr="002D3A07">
        <w:rPr>
          <w:b/>
          <w:bCs/>
        </w:rPr>
        <w:t>PROVIDE ADDITIONAL JUSTIFICATION FOR ANY QUESTIONS OF A SENSITIVE NATURE, SUCH AS SEXUAL BEHAVIOR AND ATTITUDES, RELIGIOUS BELIEFS, AND OTHER MATTERS THAT ARE COMMONLY CONSIDERED PRIVATE</w:t>
      </w:r>
    </w:p>
    <w:p w14:paraId="2660E8D2" w14:textId="77777777" w:rsidR="00094545" w:rsidRPr="00F65603" w:rsidRDefault="00094545" w:rsidP="00025FC7">
      <w:pPr>
        <w:widowControl/>
        <w:tabs>
          <w:tab w:val="left" w:pos="-1440"/>
        </w:tabs>
        <w:ind w:left="720" w:hanging="720"/>
        <w:rPr>
          <w:b/>
          <w:bCs/>
        </w:rPr>
      </w:pPr>
    </w:p>
    <w:p w14:paraId="6ED092B5" w14:textId="613136FF" w:rsidR="00094545" w:rsidRPr="00F65603" w:rsidRDefault="00094545" w:rsidP="005E6DF7">
      <w:pPr>
        <w:widowControl/>
      </w:pPr>
      <w:r w:rsidRPr="00F65603">
        <w:t>The</w:t>
      </w:r>
      <w:r w:rsidR="002D3A07">
        <w:t xml:space="preserve"> Form 6 does not contain questions of a sensitive nature.</w:t>
      </w:r>
      <w:r w:rsidR="002D3A07" w:rsidRPr="00F65603" w:rsidDel="002D3A07">
        <w:t xml:space="preserve"> </w:t>
      </w:r>
    </w:p>
    <w:p w14:paraId="52992276" w14:textId="77777777" w:rsidR="00094545" w:rsidRPr="00F65603" w:rsidRDefault="00094545" w:rsidP="009F65AD">
      <w:pPr>
        <w:widowControl/>
        <w:ind w:left="720" w:firstLine="720"/>
      </w:pPr>
    </w:p>
    <w:p w14:paraId="57CBFAAF" w14:textId="77777777" w:rsidR="00094545" w:rsidRPr="00F65603" w:rsidRDefault="00094545" w:rsidP="00025FC7">
      <w:pPr>
        <w:widowControl/>
        <w:tabs>
          <w:tab w:val="left" w:pos="-1440"/>
        </w:tabs>
        <w:ind w:left="720" w:hanging="720"/>
        <w:rPr>
          <w:b/>
          <w:bCs/>
        </w:rPr>
      </w:pPr>
      <w:r w:rsidRPr="00F65603">
        <w:t>12.</w:t>
      </w:r>
      <w:r w:rsidRPr="00F65603">
        <w:tab/>
      </w:r>
      <w:r w:rsidRPr="00F65603">
        <w:rPr>
          <w:b/>
          <w:bCs/>
        </w:rPr>
        <w:t>ESTIMATED BURDEN OF COLLECTION OF INFORMATION</w:t>
      </w:r>
    </w:p>
    <w:p w14:paraId="475CE20B" w14:textId="77777777" w:rsidR="00094545" w:rsidRPr="00F65603" w:rsidRDefault="00094545">
      <w:pPr>
        <w:widowControl/>
        <w:tabs>
          <w:tab w:val="left" w:pos="-1440"/>
        </w:tabs>
        <w:ind w:left="1440" w:hanging="720"/>
        <w:rPr>
          <w:b/>
          <w:bCs/>
        </w:rPr>
      </w:pPr>
    </w:p>
    <w:p w14:paraId="209615A2" w14:textId="77777777" w:rsidR="00187730" w:rsidRPr="00187730" w:rsidRDefault="00187730" w:rsidP="00187730">
      <w:pPr>
        <w:widowControl/>
      </w:pPr>
      <w:r w:rsidRPr="00187730">
        <w:t>The Commission estimates the annual public reporting burden</w:t>
      </w:r>
      <w:r w:rsidRPr="00187730">
        <w:rPr>
          <w:b/>
          <w:vertAlign w:val="superscript"/>
        </w:rPr>
        <w:footnoteReference w:id="9"/>
      </w:r>
      <w:r w:rsidRPr="00187730">
        <w:t xml:space="preserve"> and cost</w:t>
      </w:r>
      <w:r w:rsidRPr="00187730">
        <w:rPr>
          <w:b/>
          <w:vertAlign w:val="superscript"/>
        </w:rPr>
        <w:footnoteReference w:id="10"/>
      </w:r>
      <w:r w:rsidRPr="00187730">
        <w:rPr>
          <w:b/>
        </w:rPr>
        <w:t xml:space="preserve"> </w:t>
      </w:r>
      <w:r w:rsidRPr="00187730">
        <w:t>for the FERC Form No. 6 information collection as follows.</w:t>
      </w:r>
    </w:p>
    <w:p w14:paraId="322BEC79" w14:textId="77777777" w:rsidR="00187730" w:rsidRPr="00F65603" w:rsidRDefault="00187730" w:rsidP="000F5FE5">
      <w:pPr>
        <w:widowControl/>
      </w:pPr>
    </w:p>
    <w:tbl>
      <w:tblPr>
        <w:tblW w:w="522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1"/>
        <w:gridCol w:w="1646"/>
        <w:gridCol w:w="1414"/>
        <w:gridCol w:w="1584"/>
        <w:gridCol w:w="1491"/>
        <w:gridCol w:w="1784"/>
        <w:gridCol w:w="1681"/>
      </w:tblGrid>
      <w:tr w:rsidR="00187730" w:rsidRPr="001946B7" w14:paraId="5B991123" w14:textId="77777777" w:rsidTr="001D42BD">
        <w:trPr>
          <w:cantSplit/>
          <w:jc w:val="right"/>
        </w:trPr>
        <w:tc>
          <w:tcPr>
            <w:tcW w:w="5000" w:type="pct"/>
            <w:gridSpan w:val="7"/>
            <w:tcBorders>
              <w:bottom w:val="single" w:sz="4" w:space="0" w:color="auto"/>
            </w:tcBorders>
            <w:shd w:val="clear" w:color="auto" w:fill="D9D9D9"/>
          </w:tcPr>
          <w:p w14:paraId="0C600B2A" w14:textId="77777777" w:rsidR="00187730" w:rsidRPr="001946B7" w:rsidRDefault="00187730" w:rsidP="001D42BD">
            <w:pPr>
              <w:jc w:val="center"/>
              <w:rPr>
                <w:rFonts w:eastAsia="Calibri"/>
                <w:b/>
              </w:rPr>
            </w:pPr>
            <w:r>
              <w:rPr>
                <w:b/>
              </w:rPr>
              <w:t>FERC Form No. 6,</w:t>
            </w:r>
            <w:r>
              <w:t xml:space="preserve"> </w:t>
            </w:r>
            <w:r w:rsidRPr="00A665FD">
              <w:rPr>
                <w:b/>
              </w:rPr>
              <w:t>Annual Report of Oil Pipeline Companies</w:t>
            </w:r>
          </w:p>
        </w:tc>
      </w:tr>
      <w:tr w:rsidR="00187730" w:rsidRPr="001946B7" w14:paraId="20D19C95" w14:textId="77777777" w:rsidTr="001D42BD">
        <w:trPr>
          <w:cantSplit/>
          <w:trHeight w:val="1700"/>
          <w:jc w:val="right"/>
        </w:trPr>
        <w:tc>
          <w:tcPr>
            <w:tcW w:w="539" w:type="pct"/>
            <w:shd w:val="clear" w:color="auto" w:fill="D9D9D9"/>
          </w:tcPr>
          <w:p w14:paraId="1A33657A" w14:textId="77777777" w:rsidR="00187730" w:rsidRPr="001946B7" w:rsidRDefault="00187730" w:rsidP="001D42BD">
            <w:pPr>
              <w:jc w:val="center"/>
              <w:rPr>
                <w:rFonts w:eastAsia="Calibri"/>
                <w:b/>
              </w:rPr>
            </w:pPr>
          </w:p>
        </w:tc>
        <w:tc>
          <w:tcPr>
            <w:tcW w:w="765" w:type="pct"/>
            <w:shd w:val="clear" w:color="auto" w:fill="D9D9D9"/>
            <w:vAlign w:val="bottom"/>
          </w:tcPr>
          <w:p w14:paraId="40C8B32A" w14:textId="77777777" w:rsidR="00187730" w:rsidRPr="001946B7" w:rsidRDefault="00187730" w:rsidP="001D42BD">
            <w:pPr>
              <w:jc w:val="center"/>
              <w:rPr>
                <w:rFonts w:eastAsia="Calibri"/>
                <w:b/>
              </w:rPr>
            </w:pPr>
            <w:r w:rsidRPr="001946B7">
              <w:rPr>
                <w:rFonts w:eastAsia="Calibri"/>
                <w:b/>
              </w:rPr>
              <w:t>Number of Respondents</w:t>
            </w:r>
            <w:r w:rsidRPr="001946B7">
              <w:rPr>
                <w:rFonts w:eastAsia="Calibri"/>
                <w:b/>
              </w:rPr>
              <w:br/>
              <w:t>(1)</w:t>
            </w:r>
          </w:p>
        </w:tc>
        <w:tc>
          <w:tcPr>
            <w:tcW w:w="657" w:type="pct"/>
            <w:shd w:val="clear" w:color="auto" w:fill="D9D9D9"/>
            <w:vAlign w:val="bottom"/>
          </w:tcPr>
          <w:p w14:paraId="6E8E34C9" w14:textId="77777777" w:rsidR="00187730" w:rsidRPr="001946B7" w:rsidRDefault="00187730" w:rsidP="001D42BD">
            <w:pPr>
              <w:jc w:val="center"/>
              <w:rPr>
                <w:rFonts w:eastAsia="Calibri"/>
                <w:b/>
              </w:rPr>
            </w:pPr>
            <w:r w:rsidRPr="001946B7">
              <w:rPr>
                <w:rFonts w:eastAsia="Calibri"/>
                <w:b/>
              </w:rPr>
              <w:t>Annual Number of Responses per Respondent</w:t>
            </w:r>
          </w:p>
          <w:p w14:paraId="608BFDC0" w14:textId="77777777" w:rsidR="00187730" w:rsidRPr="001946B7" w:rsidRDefault="00187730" w:rsidP="001D42BD">
            <w:pPr>
              <w:jc w:val="center"/>
              <w:rPr>
                <w:rFonts w:eastAsia="Calibri"/>
                <w:b/>
              </w:rPr>
            </w:pPr>
            <w:r w:rsidRPr="001946B7">
              <w:rPr>
                <w:rFonts w:eastAsia="Calibri"/>
                <w:b/>
              </w:rPr>
              <w:t>(2)</w:t>
            </w:r>
          </w:p>
        </w:tc>
        <w:tc>
          <w:tcPr>
            <w:tcW w:w="736" w:type="pct"/>
            <w:shd w:val="clear" w:color="auto" w:fill="D9D9D9"/>
            <w:vAlign w:val="bottom"/>
          </w:tcPr>
          <w:p w14:paraId="75929CF7" w14:textId="77777777" w:rsidR="00187730" w:rsidRPr="001946B7" w:rsidRDefault="00187730" w:rsidP="001D42BD">
            <w:pPr>
              <w:jc w:val="center"/>
              <w:rPr>
                <w:rFonts w:eastAsia="Calibri"/>
                <w:b/>
              </w:rPr>
            </w:pPr>
            <w:r w:rsidRPr="001946B7">
              <w:rPr>
                <w:rFonts w:eastAsia="Calibri"/>
                <w:b/>
              </w:rPr>
              <w:t>Total Number of Responses (1)*(2)=(3)</w:t>
            </w:r>
          </w:p>
        </w:tc>
        <w:tc>
          <w:tcPr>
            <w:tcW w:w="693" w:type="pct"/>
            <w:shd w:val="clear" w:color="auto" w:fill="D9D9D9"/>
            <w:vAlign w:val="bottom"/>
          </w:tcPr>
          <w:p w14:paraId="149CB75B" w14:textId="77777777" w:rsidR="00187730" w:rsidRPr="001946B7" w:rsidRDefault="00187730" w:rsidP="001D42BD">
            <w:pPr>
              <w:jc w:val="center"/>
              <w:rPr>
                <w:rFonts w:eastAsia="Calibri"/>
                <w:b/>
              </w:rPr>
            </w:pPr>
            <w:r w:rsidRPr="001946B7">
              <w:rPr>
                <w:rFonts w:eastAsia="Calibri"/>
                <w:b/>
              </w:rPr>
              <w:t>Average Burden &amp; Cost Per Response</w:t>
            </w:r>
          </w:p>
          <w:p w14:paraId="5B32C8D7" w14:textId="77777777" w:rsidR="00187730" w:rsidRPr="001946B7" w:rsidRDefault="00187730" w:rsidP="001D42BD">
            <w:pPr>
              <w:jc w:val="center"/>
              <w:rPr>
                <w:rFonts w:eastAsia="Calibri"/>
                <w:b/>
              </w:rPr>
            </w:pPr>
            <w:r w:rsidRPr="001946B7">
              <w:rPr>
                <w:rFonts w:eastAsia="Calibri"/>
                <w:b/>
              </w:rPr>
              <w:t>(4)</w:t>
            </w:r>
          </w:p>
        </w:tc>
        <w:tc>
          <w:tcPr>
            <w:tcW w:w="829" w:type="pct"/>
            <w:shd w:val="clear" w:color="auto" w:fill="D9D9D9"/>
            <w:vAlign w:val="bottom"/>
          </w:tcPr>
          <w:p w14:paraId="464FD571" w14:textId="77777777" w:rsidR="00187730" w:rsidRPr="001946B7" w:rsidRDefault="00187730" w:rsidP="001D42BD">
            <w:pPr>
              <w:jc w:val="center"/>
              <w:rPr>
                <w:rFonts w:eastAsia="Calibri"/>
                <w:b/>
              </w:rPr>
            </w:pPr>
            <w:r w:rsidRPr="001946B7">
              <w:rPr>
                <w:rFonts w:eastAsia="Calibri"/>
                <w:b/>
              </w:rPr>
              <w:t>Total Annual Burden Hours &amp; Total Annual Cost</w:t>
            </w:r>
          </w:p>
          <w:p w14:paraId="7FBC3B1F" w14:textId="77777777" w:rsidR="00187730" w:rsidRPr="001946B7" w:rsidRDefault="00187730" w:rsidP="001D42BD">
            <w:pPr>
              <w:jc w:val="center"/>
              <w:rPr>
                <w:rFonts w:eastAsia="Calibri"/>
                <w:b/>
              </w:rPr>
            </w:pPr>
            <w:r w:rsidRPr="001946B7">
              <w:rPr>
                <w:rFonts w:eastAsia="Calibri"/>
                <w:b/>
              </w:rPr>
              <w:t>(3)*(4)=(5)</w:t>
            </w:r>
          </w:p>
        </w:tc>
        <w:tc>
          <w:tcPr>
            <w:tcW w:w="780" w:type="pct"/>
            <w:shd w:val="clear" w:color="auto" w:fill="D9D9D9"/>
            <w:vAlign w:val="bottom"/>
          </w:tcPr>
          <w:p w14:paraId="733503C1" w14:textId="77777777" w:rsidR="00187730" w:rsidRPr="001946B7" w:rsidRDefault="00187730" w:rsidP="001D42BD">
            <w:pPr>
              <w:jc w:val="center"/>
              <w:rPr>
                <w:rFonts w:eastAsia="Calibri"/>
                <w:b/>
              </w:rPr>
            </w:pPr>
            <w:r w:rsidRPr="001946B7">
              <w:rPr>
                <w:rFonts w:eastAsia="Calibri"/>
                <w:b/>
              </w:rPr>
              <w:t>Cost per Respondent</w:t>
            </w:r>
          </w:p>
          <w:p w14:paraId="53DDE7BE" w14:textId="77777777" w:rsidR="00187730" w:rsidRPr="001946B7" w:rsidRDefault="00187730" w:rsidP="001D42BD">
            <w:pPr>
              <w:jc w:val="center"/>
              <w:rPr>
                <w:rFonts w:eastAsia="Calibri"/>
                <w:b/>
              </w:rPr>
            </w:pPr>
            <w:r w:rsidRPr="001946B7">
              <w:rPr>
                <w:rFonts w:eastAsia="Calibri"/>
                <w:b/>
              </w:rPr>
              <w:t>($)</w:t>
            </w:r>
          </w:p>
          <w:p w14:paraId="03103BC5" w14:textId="77777777" w:rsidR="00187730" w:rsidRPr="001946B7" w:rsidRDefault="00187730" w:rsidP="001D42BD">
            <w:pPr>
              <w:jc w:val="center"/>
              <w:rPr>
                <w:rFonts w:eastAsia="Calibri"/>
                <w:b/>
              </w:rPr>
            </w:pPr>
            <w:r w:rsidRPr="001946B7">
              <w:rPr>
                <w:rFonts w:eastAsia="Calibri"/>
                <w:b/>
              </w:rPr>
              <w:t>(5)÷(1)</w:t>
            </w:r>
          </w:p>
        </w:tc>
      </w:tr>
      <w:tr w:rsidR="00187730" w:rsidRPr="001946B7" w14:paraId="4265EA36" w14:textId="77777777" w:rsidTr="001D42BD">
        <w:trPr>
          <w:cantSplit/>
          <w:jc w:val="right"/>
        </w:trPr>
        <w:tc>
          <w:tcPr>
            <w:tcW w:w="539" w:type="pct"/>
            <w:vAlign w:val="bottom"/>
          </w:tcPr>
          <w:p w14:paraId="2470B376" w14:textId="5BB49A71" w:rsidR="00187730" w:rsidRPr="001946B7" w:rsidRDefault="00187730" w:rsidP="001D42BD">
            <w:pPr>
              <w:rPr>
                <w:rFonts w:eastAsia="Calibri"/>
              </w:rPr>
            </w:pPr>
            <w:r w:rsidRPr="001946B7">
              <w:rPr>
                <w:rFonts w:eastAsia="Calibri"/>
              </w:rPr>
              <w:t>F</w:t>
            </w:r>
            <w:r w:rsidR="000C1670">
              <w:rPr>
                <w:rFonts w:eastAsia="Calibri"/>
              </w:rPr>
              <w:t>orm No. 6</w:t>
            </w:r>
          </w:p>
        </w:tc>
        <w:tc>
          <w:tcPr>
            <w:tcW w:w="765" w:type="pct"/>
            <w:vAlign w:val="bottom"/>
          </w:tcPr>
          <w:p w14:paraId="12A16A3F" w14:textId="6D4E29D6" w:rsidR="00187730" w:rsidRPr="001946B7" w:rsidRDefault="00187730" w:rsidP="001D42BD">
            <w:pPr>
              <w:jc w:val="right"/>
              <w:rPr>
                <w:rFonts w:eastAsia="Calibri"/>
              </w:rPr>
            </w:pPr>
            <w:r>
              <w:rPr>
                <w:rFonts w:eastAsia="Calibri"/>
              </w:rPr>
              <w:t>198</w:t>
            </w:r>
          </w:p>
        </w:tc>
        <w:tc>
          <w:tcPr>
            <w:tcW w:w="657" w:type="pct"/>
            <w:vAlign w:val="bottom"/>
          </w:tcPr>
          <w:p w14:paraId="5575A516" w14:textId="77777777" w:rsidR="00187730" w:rsidRPr="001946B7" w:rsidRDefault="00187730" w:rsidP="001D42BD">
            <w:pPr>
              <w:jc w:val="right"/>
              <w:rPr>
                <w:rFonts w:eastAsia="Calibri"/>
              </w:rPr>
            </w:pPr>
            <w:r>
              <w:rPr>
                <w:rFonts w:eastAsia="Calibri"/>
              </w:rPr>
              <w:t>1</w:t>
            </w:r>
          </w:p>
        </w:tc>
        <w:tc>
          <w:tcPr>
            <w:tcW w:w="736" w:type="pct"/>
            <w:vAlign w:val="bottom"/>
          </w:tcPr>
          <w:p w14:paraId="1D4B31A8" w14:textId="6AA7F9A4" w:rsidR="00187730" w:rsidRPr="001946B7" w:rsidRDefault="00187730" w:rsidP="001D42BD">
            <w:pPr>
              <w:jc w:val="right"/>
              <w:rPr>
                <w:rFonts w:eastAsia="Calibri"/>
              </w:rPr>
            </w:pPr>
            <w:r>
              <w:rPr>
                <w:rFonts w:eastAsia="Calibri"/>
              </w:rPr>
              <w:t>198</w:t>
            </w:r>
          </w:p>
        </w:tc>
        <w:tc>
          <w:tcPr>
            <w:tcW w:w="693" w:type="pct"/>
            <w:shd w:val="clear" w:color="auto" w:fill="FFFFFF"/>
            <w:vAlign w:val="bottom"/>
          </w:tcPr>
          <w:p w14:paraId="68BCCCC0" w14:textId="3A95C262" w:rsidR="00187730" w:rsidRDefault="00187730" w:rsidP="001D42BD">
            <w:pPr>
              <w:jc w:val="right"/>
              <w:rPr>
                <w:rFonts w:eastAsia="Calibri"/>
              </w:rPr>
            </w:pPr>
            <w:r>
              <w:rPr>
                <w:rFonts w:eastAsia="Calibri"/>
              </w:rPr>
              <w:t>161 hrs.;</w:t>
            </w:r>
          </w:p>
          <w:p w14:paraId="2E07CFF9" w14:textId="57FBFAF4" w:rsidR="00187730" w:rsidRPr="001946B7" w:rsidRDefault="00187730" w:rsidP="001D42BD">
            <w:pPr>
              <w:jc w:val="right"/>
              <w:rPr>
                <w:rFonts w:eastAsia="Calibri"/>
              </w:rPr>
            </w:pPr>
            <w:r>
              <w:rPr>
                <w:rFonts w:eastAsia="Calibri"/>
              </w:rPr>
              <w:t>$11,99</w:t>
            </w:r>
            <w:r w:rsidR="008544F0">
              <w:rPr>
                <w:rFonts w:eastAsia="Calibri"/>
              </w:rPr>
              <w:t>5</w:t>
            </w:r>
          </w:p>
        </w:tc>
        <w:tc>
          <w:tcPr>
            <w:tcW w:w="829" w:type="pct"/>
            <w:shd w:val="clear" w:color="auto" w:fill="FFFFFF"/>
            <w:vAlign w:val="bottom"/>
          </w:tcPr>
          <w:p w14:paraId="7CC23E59" w14:textId="42238CCD" w:rsidR="00187730" w:rsidRDefault="00187730" w:rsidP="001D42BD">
            <w:pPr>
              <w:jc w:val="right"/>
              <w:rPr>
                <w:rFonts w:eastAsia="Calibri"/>
              </w:rPr>
            </w:pPr>
            <w:r>
              <w:rPr>
                <w:rFonts w:eastAsia="Calibri"/>
              </w:rPr>
              <w:t>31</w:t>
            </w:r>
            <w:r w:rsidR="008544F0">
              <w:rPr>
                <w:rFonts w:eastAsia="Calibri"/>
              </w:rPr>
              <w:t>,</w:t>
            </w:r>
            <w:r>
              <w:rPr>
                <w:rFonts w:eastAsia="Calibri"/>
              </w:rPr>
              <w:t>8</w:t>
            </w:r>
            <w:r w:rsidR="008544F0">
              <w:rPr>
                <w:rFonts w:eastAsia="Calibri"/>
              </w:rPr>
              <w:t>78</w:t>
            </w:r>
            <w:r w:rsidRPr="007B44B9">
              <w:rPr>
                <w:rFonts w:eastAsia="Calibri"/>
              </w:rPr>
              <w:t xml:space="preserve"> </w:t>
            </w:r>
            <w:r>
              <w:rPr>
                <w:rFonts w:eastAsia="Calibri"/>
              </w:rPr>
              <w:t xml:space="preserve"> hrs.;</w:t>
            </w:r>
          </w:p>
          <w:p w14:paraId="42DED3B1" w14:textId="134DB42F" w:rsidR="00187730" w:rsidRPr="001946B7" w:rsidRDefault="00187730" w:rsidP="004C2A3E">
            <w:pPr>
              <w:jc w:val="right"/>
              <w:rPr>
                <w:rFonts w:eastAsia="Calibri"/>
              </w:rPr>
            </w:pPr>
            <w:r>
              <w:rPr>
                <w:rFonts w:eastAsia="Calibri"/>
              </w:rPr>
              <w:t>$2,375,</w:t>
            </w:r>
            <w:r w:rsidR="008544F0">
              <w:rPr>
                <w:rFonts w:eastAsia="Calibri"/>
              </w:rPr>
              <w:t>010</w:t>
            </w:r>
          </w:p>
        </w:tc>
        <w:tc>
          <w:tcPr>
            <w:tcW w:w="780" w:type="pct"/>
            <w:shd w:val="clear" w:color="auto" w:fill="FFFFFF"/>
            <w:vAlign w:val="bottom"/>
          </w:tcPr>
          <w:p w14:paraId="796C14C6" w14:textId="27062BB1" w:rsidR="00187730" w:rsidRPr="001946B7" w:rsidRDefault="00187730" w:rsidP="001D42BD">
            <w:pPr>
              <w:jc w:val="right"/>
              <w:rPr>
                <w:rFonts w:eastAsia="Calibri"/>
              </w:rPr>
            </w:pPr>
            <w:r w:rsidRPr="002634BB">
              <w:rPr>
                <w:rFonts w:eastAsia="Calibri"/>
              </w:rPr>
              <w:t>$11,</w:t>
            </w:r>
            <w:r>
              <w:rPr>
                <w:rFonts w:eastAsia="Calibri"/>
              </w:rPr>
              <w:t>99</w:t>
            </w:r>
            <w:r w:rsidR="008544F0">
              <w:rPr>
                <w:rFonts w:eastAsia="Calibri"/>
              </w:rPr>
              <w:t>5</w:t>
            </w:r>
          </w:p>
        </w:tc>
      </w:tr>
    </w:tbl>
    <w:p w14:paraId="5C4082AB" w14:textId="77777777" w:rsidR="00187730" w:rsidRPr="00F65603" w:rsidRDefault="00187730" w:rsidP="00AF5989">
      <w:pPr>
        <w:widowControl/>
      </w:pPr>
    </w:p>
    <w:p w14:paraId="44E86D59" w14:textId="77777777" w:rsidR="00094545" w:rsidRPr="00F65603" w:rsidRDefault="00094545" w:rsidP="00802A17">
      <w:pPr>
        <w:keepNext/>
        <w:keepLines/>
        <w:widowControl/>
        <w:tabs>
          <w:tab w:val="left" w:pos="720"/>
        </w:tabs>
        <w:ind w:left="720" w:hanging="720"/>
        <w:rPr>
          <w:b/>
          <w:bCs/>
        </w:rPr>
      </w:pPr>
      <w:r w:rsidRPr="00F65603">
        <w:t xml:space="preserve">13. </w:t>
      </w:r>
      <w:r w:rsidRPr="00F65603">
        <w:rPr>
          <w:b/>
        </w:rPr>
        <w:t xml:space="preserve">    E</w:t>
      </w:r>
      <w:r w:rsidRPr="00F65603">
        <w:rPr>
          <w:b/>
          <w:bCs/>
        </w:rPr>
        <w:t>STIMATE OF TOTAL ANNUAL COST BURDEN TO RESPONDENTS</w:t>
      </w:r>
    </w:p>
    <w:p w14:paraId="23B7C8B9" w14:textId="77777777" w:rsidR="00094545" w:rsidRPr="00F65603" w:rsidRDefault="00094545" w:rsidP="00802A17">
      <w:pPr>
        <w:keepNext/>
        <w:keepLines/>
        <w:widowControl/>
        <w:ind w:left="720" w:hanging="720"/>
        <w:rPr>
          <w:b/>
          <w:bCs/>
        </w:rPr>
      </w:pPr>
    </w:p>
    <w:p w14:paraId="5C9C2F6E" w14:textId="77777777" w:rsidR="00094545" w:rsidRPr="00F65603" w:rsidRDefault="00094545" w:rsidP="00AF5989">
      <w:pPr>
        <w:widowControl/>
      </w:pPr>
      <w:r w:rsidRPr="00F65603">
        <w:t>There are no capital or start-up costs related to this information collection request.</w:t>
      </w:r>
      <w:r w:rsidR="00B82AF9">
        <w:t xml:space="preserve">  All costs are related to burden hours.</w:t>
      </w:r>
    </w:p>
    <w:p w14:paraId="6ED48113" w14:textId="77777777" w:rsidR="00094545" w:rsidRPr="00F65603" w:rsidRDefault="00094545" w:rsidP="00AF5989">
      <w:pPr>
        <w:widowControl/>
      </w:pPr>
    </w:p>
    <w:p w14:paraId="6968A83E" w14:textId="77777777" w:rsidR="00094545" w:rsidRPr="00F65603" w:rsidRDefault="00094545" w:rsidP="00025FC7">
      <w:pPr>
        <w:widowControl/>
        <w:tabs>
          <w:tab w:val="left" w:pos="-1440"/>
        </w:tabs>
        <w:ind w:left="720" w:hanging="720"/>
        <w:rPr>
          <w:b/>
          <w:bCs/>
        </w:rPr>
      </w:pPr>
      <w:r w:rsidRPr="00F65603">
        <w:t>14.</w:t>
      </w:r>
      <w:r w:rsidRPr="00F65603">
        <w:tab/>
      </w:r>
      <w:r w:rsidRPr="00F65603">
        <w:rPr>
          <w:b/>
          <w:bCs/>
        </w:rPr>
        <w:t>ESTIMATED ANNUALIZED COST TO FEDERAL GOVERNMENT</w:t>
      </w:r>
    </w:p>
    <w:p w14:paraId="6F0B338E" w14:textId="77777777" w:rsidR="00094545" w:rsidRPr="00F65603" w:rsidRDefault="00094545" w:rsidP="00AE69EE">
      <w:pPr>
        <w:widowControl/>
        <w:ind w:firstLine="720"/>
      </w:pPr>
    </w:p>
    <w:p w14:paraId="1BC5B10B" w14:textId="77777777" w:rsidR="00094545" w:rsidRPr="00F65603" w:rsidRDefault="00094545" w:rsidP="005E6DF7">
      <w:pPr>
        <w:widowControl/>
      </w:pPr>
      <w:r w:rsidRPr="00F65603">
        <w:t>The estimated annualized cost to the Federal government related only to modifications to the Form 6 in the data collections/requirements are shown below:</w:t>
      </w:r>
    </w:p>
    <w:p w14:paraId="666BBBAD" w14:textId="344B4250" w:rsidR="00094545" w:rsidRPr="00F65603" w:rsidRDefault="00094545" w:rsidP="005E6DF7">
      <w:pPr>
        <w:widowControl/>
      </w:pPr>
      <w:bookmarkStart w:id="0" w:name="_GoBack"/>
      <w:bookmarkEnd w:id="0"/>
    </w:p>
    <w:tbl>
      <w:tblPr>
        <w:tblW w:w="946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487"/>
        <w:gridCol w:w="2610"/>
        <w:gridCol w:w="2368"/>
      </w:tblGrid>
      <w:tr w:rsidR="00094545" w:rsidRPr="00F65603" w14:paraId="7550AAE4" w14:textId="77777777" w:rsidTr="002E79FB">
        <w:trPr>
          <w:trHeight w:val="525"/>
        </w:trPr>
        <w:tc>
          <w:tcPr>
            <w:tcW w:w="4487" w:type="dxa"/>
            <w:shd w:val="clear" w:color="auto" w:fill="D9D9D9"/>
            <w:vAlign w:val="bottom"/>
          </w:tcPr>
          <w:p w14:paraId="6558949F" w14:textId="77777777" w:rsidR="00094545" w:rsidRPr="00F65603" w:rsidRDefault="00C12E52" w:rsidP="000F5FE5">
            <w:pPr>
              <w:rPr>
                <w:b/>
                <w:bCs/>
              </w:rPr>
            </w:pPr>
            <w:r>
              <w:rPr>
                <w:b/>
                <w:bCs/>
              </w:rPr>
              <w:t>Cost Category</w:t>
            </w:r>
          </w:p>
        </w:tc>
        <w:tc>
          <w:tcPr>
            <w:tcW w:w="2610" w:type="dxa"/>
            <w:shd w:val="clear" w:color="auto" w:fill="D9D9D9"/>
            <w:vAlign w:val="bottom"/>
          </w:tcPr>
          <w:p w14:paraId="124A88D5" w14:textId="77777777" w:rsidR="00094545" w:rsidRPr="00F65603" w:rsidRDefault="00283020" w:rsidP="000F5FE5">
            <w:pPr>
              <w:rPr>
                <w:b/>
                <w:bCs/>
              </w:rPr>
            </w:pPr>
            <w:r>
              <w:rPr>
                <w:b/>
                <w:bCs/>
              </w:rPr>
              <w:t>Number of Employees (FTEs)</w:t>
            </w:r>
          </w:p>
        </w:tc>
        <w:tc>
          <w:tcPr>
            <w:tcW w:w="2368" w:type="dxa"/>
            <w:shd w:val="clear" w:color="auto" w:fill="D9D9D9"/>
            <w:vAlign w:val="bottom"/>
          </w:tcPr>
          <w:p w14:paraId="50700A87" w14:textId="35A31A77" w:rsidR="00094545" w:rsidRPr="00F65603" w:rsidRDefault="00283020" w:rsidP="000F5FE5">
            <w:pPr>
              <w:rPr>
                <w:b/>
                <w:bCs/>
              </w:rPr>
            </w:pPr>
            <w:r>
              <w:rPr>
                <w:b/>
                <w:bCs/>
              </w:rPr>
              <w:t>Estimated Annual Federal Cost</w:t>
            </w:r>
            <w:r w:rsidR="00A41B8D">
              <w:rPr>
                <w:b/>
                <w:bCs/>
              </w:rPr>
              <w:t xml:space="preserve"> </w:t>
            </w:r>
            <w:r w:rsidR="00A41B8D" w:rsidRPr="00A41B8D">
              <w:rPr>
                <w:b/>
                <w:bCs/>
              </w:rPr>
              <w:t>(rounded)</w:t>
            </w:r>
          </w:p>
        </w:tc>
      </w:tr>
      <w:tr w:rsidR="00094545" w:rsidRPr="00382C4D" w14:paraId="1614C41A" w14:textId="77777777" w:rsidTr="002E79FB">
        <w:trPr>
          <w:trHeight w:val="525"/>
        </w:trPr>
        <w:tc>
          <w:tcPr>
            <w:tcW w:w="4487" w:type="dxa"/>
            <w:vAlign w:val="bottom"/>
          </w:tcPr>
          <w:p w14:paraId="32B8E277" w14:textId="1C62D437" w:rsidR="00094545" w:rsidRPr="00F65603" w:rsidRDefault="00951C9E" w:rsidP="00A41B8D">
            <w:pPr>
              <w:rPr>
                <w:bCs/>
              </w:rPr>
            </w:pPr>
            <w:r w:rsidRPr="00951C9E">
              <w:rPr>
                <w:sz w:val="26"/>
                <w:szCs w:val="26"/>
              </w:rPr>
              <w:t>Analysis and Processing of filings</w:t>
            </w:r>
            <w:r w:rsidRPr="00951C9E">
              <w:rPr>
                <w:sz w:val="26"/>
                <w:szCs w:val="26"/>
                <w:vertAlign w:val="superscript"/>
              </w:rPr>
              <w:footnoteReference w:id="11"/>
            </w:r>
            <w:r w:rsidR="00A41B8D">
              <w:rPr>
                <w:sz w:val="26"/>
                <w:szCs w:val="26"/>
              </w:rPr>
              <w:t xml:space="preserve"> </w:t>
            </w:r>
          </w:p>
        </w:tc>
        <w:tc>
          <w:tcPr>
            <w:tcW w:w="2610" w:type="dxa"/>
            <w:vAlign w:val="bottom"/>
          </w:tcPr>
          <w:p w14:paraId="79D4CFF6" w14:textId="2D8D439F" w:rsidR="00094545" w:rsidRPr="00F65603" w:rsidRDefault="00094545" w:rsidP="000F5FE5">
            <w:pPr>
              <w:jc w:val="right"/>
              <w:rPr>
                <w:bCs/>
              </w:rPr>
            </w:pPr>
            <w:r w:rsidRPr="00F65603">
              <w:rPr>
                <w:bCs/>
              </w:rPr>
              <w:t> </w:t>
            </w:r>
            <w:r w:rsidRPr="00F65603">
              <w:t>.</w:t>
            </w:r>
            <w:r w:rsidR="00EA3FF3">
              <w:t>2</w:t>
            </w:r>
            <w:r w:rsidRPr="00F65603">
              <w:t>5</w:t>
            </w:r>
          </w:p>
        </w:tc>
        <w:tc>
          <w:tcPr>
            <w:tcW w:w="2368" w:type="dxa"/>
            <w:vAlign w:val="bottom"/>
          </w:tcPr>
          <w:p w14:paraId="743AFD4F" w14:textId="16E93D3F" w:rsidR="00094545" w:rsidRPr="00382C4D" w:rsidRDefault="00A41B8D" w:rsidP="00A41B8D">
            <w:pPr>
              <w:jc w:val="right"/>
              <w:rPr>
                <w:bCs/>
              </w:rPr>
            </w:pPr>
            <w:r w:rsidRPr="00382C4D">
              <w:t>$</w:t>
            </w:r>
            <w:r w:rsidRPr="00382C4D">
              <w:t>38,662</w:t>
            </w:r>
          </w:p>
        </w:tc>
      </w:tr>
      <w:tr w:rsidR="00094545" w:rsidRPr="00382C4D" w14:paraId="22B90E0C" w14:textId="77777777" w:rsidTr="002E79FB">
        <w:trPr>
          <w:trHeight w:val="525"/>
        </w:trPr>
        <w:tc>
          <w:tcPr>
            <w:tcW w:w="4487" w:type="dxa"/>
            <w:vAlign w:val="bottom"/>
          </w:tcPr>
          <w:p w14:paraId="7E80BBFC" w14:textId="57C6A1E0" w:rsidR="00094545" w:rsidRPr="00F65603" w:rsidRDefault="00283020" w:rsidP="0053442A">
            <w:pPr>
              <w:rPr>
                <w:bCs/>
              </w:rPr>
            </w:pPr>
            <w:r>
              <w:rPr>
                <w:bCs/>
              </w:rPr>
              <w:t xml:space="preserve">PRA </w:t>
            </w:r>
            <w:r w:rsidR="00951C9E">
              <w:rPr>
                <w:bCs/>
              </w:rPr>
              <w:t xml:space="preserve">Administrative </w:t>
            </w:r>
            <w:r>
              <w:rPr>
                <w:bCs/>
              </w:rPr>
              <w:t>Cost</w:t>
            </w:r>
            <w:r w:rsidRPr="005A42CF">
              <w:rPr>
                <w:rStyle w:val="FootnoteReference"/>
                <w:vertAlign w:val="superscript"/>
              </w:rPr>
              <w:footnoteReference w:id="12"/>
            </w:r>
            <w:r w:rsidR="00094545" w:rsidRPr="00F65603">
              <w:rPr>
                <w:bCs/>
              </w:rPr>
              <w:t xml:space="preserve"> </w:t>
            </w:r>
          </w:p>
        </w:tc>
        <w:tc>
          <w:tcPr>
            <w:tcW w:w="2610" w:type="dxa"/>
            <w:shd w:val="clear" w:color="auto" w:fill="D9D9D9" w:themeFill="background1" w:themeFillShade="D9"/>
            <w:vAlign w:val="bottom"/>
          </w:tcPr>
          <w:p w14:paraId="2BB8C15D" w14:textId="77777777" w:rsidR="00094545" w:rsidRPr="00F65603" w:rsidRDefault="00094545" w:rsidP="000F5FE5">
            <w:pPr>
              <w:jc w:val="right"/>
              <w:rPr>
                <w:bCs/>
              </w:rPr>
            </w:pPr>
          </w:p>
        </w:tc>
        <w:tc>
          <w:tcPr>
            <w:tcW w:w="2368" w:type="dxa"/>
            <w:vAlign w:val="bottom"/>
          </w:tcPr>
          <w:p w14:paraId="69DEC85A" w14:textId="11D8674A" w:rsidR="00094545" w:rsidRPr="00382C4D" w:rsidRDefault="00951C9E" w:rsidP="00C12E52">
            <w:pPr>
              <w:jc w:val="right"/>
              <w:rPr>
                <w:bCs/>
              </w:rPr>
            </w:pPr>
            <w:r w:rsidRPr="00382C4D">
              <w:rPr>
                <w:bCs/>
              </w:rPr>
              <w:t>$5,481</w:t>
            </w:r>
          </w:p>
        </w:tc>
      </w:tr>
      <w:tr w:rsidR="00094545" w:rsidRPr="00382C4D" w14:paraId="31736101" w14:textId="77777777" w:rsidTr="002E79FB">
        <w:trPr>
          <w:trHeight w:val="525"/>
        </w:trPr>
        <w:tc>
          <w:tcPr>
            <w:tcW w:w="4487" w:type="dxa"/>
            <w:vAlign w:val="bottom"/>
          </w:tcPr>
          <w:p w14:paraId="305CA4AC" w14:textId="77777777" w:rsidR="00094545" w:rsidRPr="00F65603" w:rsidRDefault="00C12E52" w:rsidP="00C12E52">
            <w:pPr>
              <w:rPr>
                <w:b/>
                <w:bCs/>
              </w:rPr>
            </w:pPr>
            <w:r>
              <w:rPr>
                <w:b/>
                <w:bCs/>
              </w:rPr>
              <w:t>FERC Total</w:t>
            </w:r>
          </w:p>
        </w:tc>
        <w:tc>
          <w:tcPr>
            <w:tcW w:w="2610" w:type="dxa"/>
            <w:shd w:val="clear" w:color="auto" w:fill="D9D9D9" w:themeFill="background1" w:themeFillShade="D9"/>
            <w:vAlign w:val="bottom"/>
          </w:tcPr>
          <w:p w14:paraId="6D262ACE" w14:textId="77777777" w:rsidR="00094545" w:rsidRPr="00F65603" w:rsidRDefault="00094545" w:rsidP="00C12E52">
            <w:pPr>
              <w:rPr>
                <w:bCs/>
              </w:rPr>
            </w:pPr>
          </w:p>
        </w:tc>
        <w:tc>
          <w:tcPr>
            <w:tcW w:w="2368" w:type="dxa"/>
            <w:vAlign w:val="bottom"/>
          </w:tcPr>
          <w:p w14:paraId="6C45163F" w14:textId="6D03E1D3" w:rsidR="00094545" w:rsidRPr="00382C4D" w:rsidRDefault="00A41B8D" w:rsidP="00A41B8D">
            <w:pPr>
              <w:jc w:val="right"/>
              <w:rPr>
                <w:bCs/>
              </w:rPr>
            </w:pPr>
            <w:r w:rsidRPr="00382C4D">
              <w:rPr>
                <w:bCs/>
              </w:rPr>
              <w:t>$</w:t>
            </w:r>
            <w:r w:rsidRPr="00382C4D">
              <w:rPr>
                <w:bCs/>
              </w:rPr>
              <w:t>44,143</w:t>
            </w:r>
          </w:p>
        </w:tc>
      </w:tr>
    </w:tbl>
    <w:p w14:paraId="325D2F6B" w14:textId="77777777" w:rsidR="00094545" w:rsidRPr="00F65603" w:rsidRDefault="00094545" w:rsidP="00AE69EE">
      <w:pPr>
        <w:widowControl/>
      </w:pPr>
    </w:p>
    <w:p w14:paraId="2268E2D2" w14:textId="77777777" w:rsidR="00094545" w:rsidRPr="00F65603" w:rsidRDefault="00094545" w:rsidP="00025FC7">
      <w:pPr>
        <w:widowControl/>
        <w:tabs>
          <w:tab w:val="left" w:pos="-1440"/>
        </w:tabs>
        <w:ind w:left="720" w:hanging="720"/>
        <w:rPr>
          <w:b/>
          <w:bCs/>
        </w:rPr>
      </w:pPr>
      <w:r w:rsidRPr="00F65603">
        <w:t xml:space="preserve">15.  </w:t>
      </w:r>
      <w:r w:rsidRPr="00F65603">
        <w:rPr>
          <w:b/>
          <w:bCs/>
        </w:rPr>
        <w:tab/>
        <w:t>REASONS FOR CHANGES IN BURDEN INCLUDING THE NEED FOR ANY INCREASE</w:t>
      </w:r>
    </w:p>
    <w:p w14:paraId="2CD2684F" w14:textId="77777777" w:rsidR="00094545" w:rsidRPr="00F65603" w:rsidRDefault="00094545" w:rsidP="00B260A8">
      <w:pPr>
        <w:widowControl/>
        <w:ind w:firstLine="720"/>
      </w:pPr>
    </w:p>
    <w:p w14:paraId="47E16AFC" w14:textId="5AA8EF57" w:rsidR="009A0AFA" w:rsidRDefault="00022AC4" w:rsidP="005E6DF7">
      <w:pPr>
        <w:widowControl/>
      </w:pPr>
      <w:r>
        <w:rPr>
          <w:b/>
        </w:rPr>
        <w:t xml:space="preserve">Program Decrease.  </w:t>
      </w:r>
      <w:r w:rsidR="009A0AFA">
        <w:t xml:space="preserve">The </w:t>
      </w:r>
      <w:r w:rsidR="009A0AFA" w:rsidRPr="009A0AFA">
        <w:t xml:space="preserve">one-time </w:t>
      </w:r>
      <w:r w:rsidR="009A0AFA">
        <w:t xml:space="preserve">re-filing of </w:t>
      </w:r>
      <w:r w:rsidR="009A0AFA" w:rsidRPr="009A0AFA">
        <w:t xml:space="preserve">Page 700 </w:t>
      </w:r>
      <w:r w:rsidR="009A0AFA">
        <w:t>data</w:t>
      </w:r>
      <w:r w:rsidR="009A0AFA" w:rsidRPr="009A0AFA">
        <w:t xml:space="preserve"> (for 2009-2011 data)</w:t>
      </w:r>
      <w:r w:rsidR="009A0AFA" w:rsidRPr="0053442A">
        <w:rPr>
          <w:rStyle w:val="FootnoteReference"/>
          <w:vertAlign w:val="superscript"/>
        </w:rPr>
        <w:footnoteReference w:id="13"/>
      </w:r>
      <w:r w:rsidR="009A0AFA">
        <w:t xml:space="preserve"> has been completed and is </w:t>
      </w:r>
      <w:r w:rsidR="002E79FB">
        <w:t>being removed</w:t>
      </w:r>
      <w:r w:rsidR="009A0AFA">
        <w:t>.  The related IC (“</w:t>
      </w:r>
      <w:r w:rsidR="009A0AFA" w:rsidRPr="009A0AFA">
        <w:t>Form 6, Page 700 Refiling (one-time for 2009-2011 data)</w:t>
      </w:r>
      <w:r w:rsidR="009A0AFA">
        <w:t>”)</w:t>
      </w:r>
      <w:r w:rsidR="009A0AFA" w:rsidRPr="009A0AFA">
        <w:t xml:space="preserve"> </w:t>
      </w:r>
      <w:r w:rsidR="009A0AFA">
        <w:t xml:space="preserve">will be </w:t>
      </w:r>
      <w:r w:rsidR="002E79FB">
        <w:t>deleted</w:t>
      </w:r>
      <w:r w:rsidR="009A0AFA">
        <w:t xml:space="preserve"> with the corresponding ‘change due to agency discretion,’ included below.</w:t>
      </w:r>
    </w:p>
    <w:p w14:paraId="01410A8A" w14:textId="77777777" w:rsidR="00022AC4" w:rsidRDefault="00022AC4" w:rsidP="005E6DF7">
      <w:pPr>
        <w:widowControl/>
      </w:pPr>
    </w:p>
    <w:p w14:paraId="1C4513E8" w14:textId="2DA95161" w:rsidR="00022AC4" w:rsidRPr="0053442A" w:rsidRDefault="00022AC4" w:rsidP="005E6DF7">
      <w:pPr>
        <w:widowControl/>
      </w:pPr>
      <w:r>
        <w:rPr>
          <w:b/>
        </w:rPr>
        <w:t xml:space="preserve">Adjustment in Estimate.  </w:t>
      </w:r>
      <w:r w:rsidRPr="0053442A">
        <w:t>Three years ago</w:t>
      </w:r>
      <w:r>
        <w:t>, there were</w:t>
      </w:r>
      <w:r w:rsidRPr="0053442A">
        <w:t xml:space="preserve"> 161 respondents (</w:t>
      </w:r>
      <w:r>
        <w:t>and</w:t>
      </w:r>
      <w:r w:rsidRPr="0053442A">
        <w:t xml:space="preserve"> responses).  </w:t>
      </w:r>
      <w:r>
        <w:t>The increase (from 161 to 198) in</w:t>
      </w:r>
      <w:r w:rsidRPr="0053442A">
        <w:t xml:space="preserve"> </w:t>
      </w:r>
      <w:r w:rsidR="002E79FB">
        <w:t xml:space="preserve">the </w:t>
      </w:r>
      <w:r w:rsidRPr="0053442A">
        <w:t>n</w:t>
      </w:r>
      <w:r>
        <w:t>umber</w:t>
      </w:r>
      <w:r w:rsidRPr="0053442A">
        <w:t xml:space="preserve"> of respondents </w:t>
      </w:r>
      <w:r>
        <w:t xml:space="preserve">(and corresponding number of </w:t>
      </w:r>
      <w:r w:rsidRPr="0053442A">
        <w:t>responses</w:t>
      </w:r>
      <w:r>
        <w:t xml:space="preserve">) is </w:t>
      </w:r>
      <w:r w:rsidRPr="0053442A">
        <w:t xml:space="preserve">due to normal fluctuations in </w:t>
      </w:r>
      <w:r>
        <w:t xml:space="preserve">the </w:t>
      </w:r>
      <w:r w:rsidRPr="0053442A">
        <w:t xml:space="preserve">industry (e.g., </w:t>
      </w:r>
      <w:r>
        <w:t xml:space="preserve">companies </w:t>
      </w:r>
      <w:r w:rsidRPr="0053442A">
        <w:t xml:space="preserve">merging, splitting, entering </w:t>
      </w:r>
      <w:r>
        <w:t xml:space="preserve">into </w:t>
      </w:r>
      <w:r w:rsidRPr="0053442A">
        <w:t>and exiting the industry)</w:t>
      </w:r>
      <w:r>
        <w:t>.</w:t>
      </w:r>
      <w:r w:rsidRPr="0053442A">
        <w:t xml:space="preserve"> </w:t>
      </w:r>
    </w:p>
    <w:p w14:paraId="57B3116D" w14:textId="77777777" w:rsidR="009A0AFA" w:rsidRDefault="009A0AFA" w:rsidP="005E6DF7">
      <w:pPr>
        <w:widowControl/>
      </w:pPr>
    </w:p>
    <w:p w14:paraId="609A51DB" w14:textId="2B5C8D35" w:rsidR="00094545" w:rsidRPr="00F65603" w:rsidRDefault="00094545" w:rsidP="005E6DF7">
      <w:pPr>
        <w:widowControl/>
      </w:pPr>
      <w:r w:rsidRPr="00F65603">
        <w:t xml:space="preserve">The following table shows the current </w:t>
      </w:r>
      <w:r w:rsidR="00951C9E">
        <w:t xml:space="preserve">and proposed </w:t>
      </w:r>
      <w:r w:rsidRPr="00F65603">
        <w:t>burden inventory for the Form 6.</w:t>
      </w:r>
    </w:p>
    <w:p w14:paraId="7CC6F9E2" w14:textId="77777777" w:rsidR="00094545" w:rsidRPr="00F65603" w:rsidRDefault="00094545" w:rsidP="005E6DF7">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1913"/>
        <w:gridCol w:w="1912"/>
        <w:gridCol w:w="1911"/>
        <w:gridCol w:w="1913"/>
      </w:tblGrid>
      <w:tr w:rsidR="00094545" w:rsidRPr="00F65603" w14:paraId="5222B281" w14:textId="77777777" w:rsidTr="00A94D68">
        <w:tc>
          <w:tcPr>
            <w:tcW w:w="1906" w:type="dxa"/>
            <w:shd w:val="clear" w:color="auto" w:fill="D9D9D9"/>
            <w:vAlign w:val="center"/>
          </w:tcPr>
          <w:p w14:paraId="79CC3E8C" w14:textId="77777777" w:rsidR="00094545" w:rsidRPr="00F65603" w:rsidRDefault="00A94D68" w:rsidP="00A94D68">
            <w:pPr>
              <w:jc w:val="center"/>
              <w:rPr>
                <w:b/>
              </w:rPr>
            </w:pPr>
            <w:r>
              <w:rPr>
                <w:b/>
              </w:rPr>
              <w:t xml:space="preserve">FERC </w:t>
            </w:r>
            <w:r w:rsidR="00094545" w:rsidRPr="00F65603">
              <w:rPr>
                <w:b/>
              </w:rPr>
              <w:t>Form 6</w:t>
            </w:r>
          </w:p>
        </w:tc>
        <w:tc>
          <w:tcPr>
            <w:tcW w:w="1913" w:type="dxa"/>
            <w:shd w:val="clear" w:color="auto" w:fill="D9D9D9"/>
            <w:vAlign w:val="center"/>
          </w:tcPr>
          <w:p w14:paraId="2B8889E8" w14:textId="77777777" w:rsidR="00094545" w:rsidRPr="00F65603" w:rsidRDefault="00094545" w:rsidP="00A94D68">
            <w:pPr>
              <w:jc w:val="center"/>
              <w:rPr>
                <w:b/>
              </w:rPr>
            </w:pPr>
            <w:r w:rsidRPr="00F65603">
              <w:rPr>
                <w:b/>
              </w:rPr>
              <w:t>Total Request</w:t>
            </w:r>
          </w:p>
        </w:tc>
        <w:tc>
          <w:tcPr>
            <w:tcW w:w="1912" w:type="dxa"/>
            <w:shd w:val="clear" w:color="auto" w:fill="D9D9D9"/>
            <w:vAlign w:val="center"/>
          </w:tcPr>
          <w:p w14:paraId="301F454D" w14:textId="77777777" w:rsidR="00094545" w:rsidRPr="00F65603" w:rsidRDefault="00094545" w:rsidP="00A94D68">
            <w:pPr>
              <w:jc w:val="center"/>
              <w:rPr>
                <w:b/>
              </w:rPr>
            </w:pPr>
            <w:r w:rsidRPr="00F65603">
              <w:rPr>
                <w:b/>
              </w:rPr>
              <w:t>Change Due to Agency Discretion</w:t>
            </w:r>
          </w:p>
        </w:tc>
        <w:tc>
          <w:tcPr>
            <w:tcW w:w="1911" w:type="dxa"/>
            <w:shd w:val="clear" w:color="auto" w:fill="D9D9D9"/>
            <w:vAlign w:val="center"/>
          </w:tcPr>
          <w:p w14:paraId="3AB26168" w14:textId="77777777" w:rsidR="00094545" w:rsidRPr="00F65603" w:rsidRDefault="00094545" w:rsidP="00A94D68">
            <w:pPr>
              <w:jc w:val="center"/>
              <w:rPr>
                <w:b/>
              </w:rPr>
            </w:pPr>
            <w:r w:rsidRPr="00F65603">
              <w:rPr>
                <w:b/>
              </w:rPr>
              <w:t>Change due to Adjustment in Estimate</w:t>
            </w:r>
          </w:p>
        </w:tc>
        <w:tc>
          <w:tcPr>
            <w:tcW w:w="1913" w:type="dxa"/>
            <w:shd w:val="clear" w:color="auto" w:fill="D9D9D9"/>
            <w:vAlign w:val="center"/>
          </w:tcPr>
          <w:p w14:paraId="684FA2BA" w14:textId="77777777" w:rsidR="00094545" w:rsidRPr="00F65603" w:rsidRDefault="00094545" w:rsidP="00A94D68">
            <w:pPr>
              <w:jc w:val="center"/>
              <w:rPr>
                <w:b/>
              </w:rPr>
            </w:pPr>
            <w:r w:rsidRPr="00F65603">
              <w:rPr>
                <w:b/>
              </w:rPr>
              <w:t>Previously Approved</w:t>
            </w:r>
          </w:p>
        </w:tc>
      </w:tr>
      <w:tr w:rsidR="00094545" w:rsidRPr="00F65603" w14:paraId="11293D9A" w14:textId="77777777" w:rsidTr="00051D71">
        <w:tc>
          <w:tcPr>
            <w:tcW w:w="1906" w:type="dxa"/>
          </w:tcPr>
          <w:p w14:paraId="1826DF26" w14:textId="77777777" w:rsidR="00094545" w:rsidRPr="00F65603" w:rsidRDefault="00094545" w:rsidP="00051D71">
            <w:pPr>
              <w:jc w:val="center"/>
            </w:pPr>
            <w:r w:rsidRPr="00F65603">
              <w:t>Annual Number of Responses</w:t>
            </w:r>
          </w:p>
        </w:tc>
        <w:tc>
          <w:tcPr>
            <w:tcW w:w="1913" w:type="dxa"/>
            <w:vAlign w:val="center"/>
          </w:tcPr>
          <w:p w14:paraId="264B77F1" w14:textId="03412897" w:rsidR="00094545" w:rsidRPr="00F65603" w:rsidRDefault="00951C9E" w:rsidP="00051D71">
            <w:pPr>
              <w:jc w:val="right"/>
            </w:pPr>
            <w:r>
              <w:t>198</w:t>
            </w:r>
          </w:p>
        </w:tc>
        <w:tc>
          <w:tcPr>
            <w:tcW w:w="1912" w:type="dxa"/>
            <w:vAlign w:val="center"/>
          </w:tcPr>
          <w:p w14:paraId="384528CD" w14:textId="18A1E693" w:rsidR="00094545" w:rsidRPr="00F65603" w:rsidRDefault="009A0AFA" w:rsidP="00051D71">
            <w:pPr>
              <w:jc w:val="right"/>
            </w:pPr>
            <w:r>
              <w:t>-161</w:t>
            </w:r>
          </w:p>
        </w:tc>
        <w:tc>
          <w:tcPr>
            <w:tcW w:w="1911" w:type="dxa"/>
            <w:vAlign w:val="center"/>
          </w:tcPr>
          <w:p w14:paraId="503B088E" w14:textId="48FB6020" w:rsidR="00094545" w:rsidRPr="00F65603" w:rsidRDefault="00E7357D" w:rsidP="0016754F">
            <w:pPr>
              <w:jc w:val="right"/>
            </w:pPr>
            <w:r>
              <w:t>+</w:t>
            </w:r>
            <w:r w:rsidR="0016754F">
              <w:t>3</w:t>
            </w:r>
            <w:r w:rsidR="0016754F">
              <w:t>7</w:t>
            </w:r>
          </w:p>
        </w:tc>
        <w:tc>
          <w:tcPr>
            <w:tcW w:w="1913" w:type="dxa"/>
            <w:vAlign w:val="center"/>
          </w:tcPr>
          <w:p w14:paraId="03C3FF63" w14:textId="6EA38ADB" w:rsidR="00094545" w:rsidRPr="00F65603" w:rsidRDefault="0016754F" w:rsidP="0016754F">
            <w:pPr>
              <w:jc w:val="right"/>
            </w:pPr>
            <w:r w:rsidRPr="00F65603">
              <w:t>3</w:t>
            </w:r>
            <w:r>
              <w:t>2</w:t>
            </w:r>
            <w:r w:rsidRPr="00F65603">
              <w:t>2</w:t>
            </w:r>
          </w:p>
        </w:tc>
      </w:tr>
      <w:tr w:rsidR="00094545" w:rsidRPr="00F65603" w14:paraId="0FD1B310" w14:textId="77777777" w:rsidTr="00051D71">
        <w:tc>
          <w:tcPr>
            <w:tcW w:w="1906" w:type="dxa"/>
          </w:tcPr>
          <w:p w14:paraId="762CFF1B" w14:textId="52D5DED6" w:rsidR="00094545" w:rsidRPr="00F65603" w:rsidRDefault="00094545" w:rsidP="00051D71">
            <w:pPr>
              <w:jc w:val="center"/>
            </w:pPr>
            <w:r w:rsidRPr="00F65603">
              <w:t>Annual Time Burden (Hr</w:t>
            </w:r>
            <w:r w:rsidR="00951C9E">
              <w:t>.</w:t>
            </w:r>
            <w:r w:rsidRPr="00F65603">
              <w:t>)</w:t>
            </w:r>
            <w:r w:rsidRPr="00F65603">
              <w:rPr>
                <w:rStyle w:val="FootnoteReference"/>
              </w:rPr>
              <w:t xml:space="preserve"> </w:t>
            </w:r>
          </w:p>
        </w:tc>
        <w:tc>
          <w:tcPr>
            <w:tcW w:w="1913" w:type="dxa"/>
            <w:vAlign w:val="center"/>
          </w:tcPr>
          <w:p w14:paraId="3743978F" w14:textId="5857FA95" w:rsidR="00094545" w:rsidRPr="00F65603" w:rsidRDefault="00951C9E" w:rsidP="0016754F">
            <w:pPr>
              <w:jc w:val="right"/>
            </w:pPr>
            <w:r>
              <w:t>31,</w:t>
            </w:r>
            <w:r w:rsidR="0016754F">
              <w:t>8</w:t>
            </w:r>
            <w:r w:rsidR="0016754F">
              <w:t>78</w:t>
            </w:r>
          </w:p>
        </w:tc>
        <w:tc>
          <w:tcPr>
            <w:tcW w:w="1912" w:type="dxa"/>
            <w:vAlign w:val="center"/>
          </w:tcPr>
          <w:p w14:paraId="371A2064" w14:textId="50DEA02E" w:rsidR="00094545" w:rsidRPr="00F65603" w:rsidRDefault="009A0AFA" w:rsidP="00051D71">
            <w:pPr>
              <w:jc w:val="right"/>
            </w:pPr>
            <w:r>
              <w:t>-322</w:t>
            </w:r>
          </w:p>
        </w:tc>
        <w:tc>
          <w:tcPr>
            <w:tcW w:w="1911" w:type="dxa"/>
            <w:vAlign w:val="center"/>
          </w:tcPr>
          <w:p w14:paraId="00597533" w14:textId="0AB08C34" w:rsidR="00094545" w:rsidRPr="00F65603" w:rsidRDefault="00E7357D" w:rsidP="0016754F">
            <w:pPr>
              <w:jc w:val="right"/>
            </w:pPr>
            <w:r>
              <w:t>+5,</w:t>
            </w:r>
            <w:r w:rsidR="0016754F">
              <w:t>9</w:t>
            </w:r>
            <w:r w:rsidR="0016754F">
              <w:t>47</w:t>
            </w:r>
          </w:p>
        </w:tc>
        <w:tc>
          <w:tcPr>
            <w:tcW w:w="1913" w:type="dxa"/>
            <w:vAlign w:val="center"/>
          </w:tcPr>
          <w:p w14:paraId="02F1C2FA" w14:textId="5548E927" w:rsidR="00094545" w:rsidRPr="00F65603" w:rsidRDefault="00951C9E" w:rsidP="00051D71">
            <w:pPr>
              <w:jc w:val="right"/>
            </w:pPr>
            <w:r>
              <w:t>26,253</w:t>
            </w:r>
          </w:p>
        </w:tc>
      </w:tr>
      <w:tr w:rsidR="00094545" w:rsidRPr="00F65603" w14:paraId="70C17E66" w14:textId="77777777" w:rsidTr="00051D71">
        <w:tc>
          <w:tcPr>
            <w:tcW w:w="1906" w:type="dxa"/>
          </w:tcPr>
          <w:p w14:paraId="7ACF1E2D" w14:textId="77777777" w:rsidR="00094545" w:rsidRPr="00F65603" w:rsidRDefault="00094545" w:rsidP="00051D71">
            <w:pPr>
              <w:jc w:val="center"/>
            </w:pPr>
            <w:r w:rsidRPr="00F65603">
              <w:t>Annual Cost Burden ($)</w:t>
            </w:r>
          </w:p>
        </w:tc>
        <w:tc>
          <w:tcPr>
            <w:tcW w:w="1913" w:type="dxa"/>
            <w:vAlign w:val="center"/>
          </w:tcPr>
          <w:p w14:paraId="76C59932" w14:textId="77777777" w:rsidR="00094545" w:rsidRPr="00F65603" w:rsidRDefault="00094545" w:rsidP="00051D71">
            <w:pPr>
              <w:jc w:val="right"/>
            </w:pPr>
            <w:r w:rsidRPr="00F65603">
              <w:t>0</w:t>
            </w:r>
          </w:p>
        </w:tc>
        <w:tc>
          <w:tcPr>
            <w:tcW w:w="1912" w:type="dxa"/>
            <w:vAlign w:val="center"/>
          </w:tcPr>
          <w:p w14:paraId="15930A87" w14:textId="77777777" w:rsidR="00094545" w:rsidRPr="00F65603" w:rsidRDefault="00094545" w:rsidP="00051D71">
            <w:pPr>
              <w:jc w:val="right"/>
            </w:pPr>
            <w:r w:rsidRPr="00F65603">
              <w:t>0</w:t>
            </w:r>
          </w:p>
        </w:tc>
        <w:tc>
          <w:tcPr>
            <w:tcW w:w="1911" w:type="dxa"/>
            <w:vAlign w:val="center"/>
          </w:tcPr>
          <w:p w14:paraId="45079E28" w14:textId="77777777" w:rsidR="00094545" w:rsidRPr="00F65603" w:rsidRDefault="00094545" w:rsidP="00051D71">
            <w:pPr>
              <w:jc w:val="right"/>
            </w:pPr>
            <w:r w:rsidRPr="00F65603">
              <w:t>0</w:t>
            </w:r>
          </w:p>
        </w:tc>
        <w:tc>
          <w:tcPr>
            <w:tcW w:w="1913" w:type="dxa"/>
            <w:vAlign w:val="center"/>
          </w:tcPr>
          <w:p w14:paraId="504B3873" w14:textId="77777777" w:rsidR="00094545" w:rsidRPr="00F65603" w:rsidRDefault="00094545" w:rsidP="00051D71">
            <w:pPr>
              <w:jc w:val="right"/>
            </w:pPr>
            <w:r w:rsidRPr="00F65603">
              <w:t>0</w:t>
            </w:r>
          </w:p>
        </w:tc>
      </w:tr>
    </w:tbl>
    <w:p w14:paraId="4A1AFB1A" w14:textId="77777777" w:rsidR="00094545" w:rsidRPr="00F65603" w:rsidRDefault="00094545" w:rsidP="005E6DF7">
      <w:pPr>
        <w:widowControl/>
      </w:pPr>
    </w:p>
    <w:p w14:paraId="7D62A51F" w14:textId="77777777" w:rsidR="00094545" w:rsidRPr="00F65603" w:rsidRDefault="00094545" w:rsidP="00F3202F">
      <w:pPr>
        <w:widowControl/>
        <w:ind w:left="720" w:hanging="720"/>
        <w:rPr>
          <w:b/>
        </w:rPr>
      </w:pPr>
      <w:r w:rsidRPr="00F65603">
        <w:t>16.</w:t>
      </w:r>
      <w:r w:rsidRPr="00F65603">
        <w:tab/>
      </w:r>
      <w:r w:rsidRPr="00F65603">
        <w:rPr>
          <w:b/>
        </w:rPr>
        <w:t>TIME SCHEDULE FOR PUBLICATION OF DATA</w:t>
      </w:r>
    </w:p>
    <w:p w14:paraId="4C65A3BA" w14:textId="77777777" w:rsidR="00094545" w:rsidRPr="00F65603" w:rsidRDefault="00094545" w:rsidP="00AE69EE">
      <w:pPr>
        <w:widowControl/>
        <w:ind w:left="720" w:firstLine="720"/>
      </w:pPr>
    </w:p>
    <w:p w14:paraId="7246EE02" w14:textId="46F223B9" w:rsidR="00094545" w:rsidRPr="00F65603" w:rsidRDefault="00094545" w:rsidP="005E6DF7">
      <w:pPr>
        <w:widowControl/>
      </w:pPr>
      <w:r w:rsidRPr="00F65603">
        <w:t>The information furnished in the Form 6 is available for public inspection at the FERC website (</w:t>
      </w:r>
      <w:hyperlink r:id="rId12" w:anchor="6" w:history="1">
        <w:r w:rsidRPr="00F65603">
          <w:rPr>
            <w:rStyle w:val="Hyperlink"/>
          </w:rPr>
          <w:t>http://www.ferc.gov/docs-filing/forms.asp#6</w:t>
        </w:r>
      </w:hyperlink>
      <w:r w:rsidRPr="00F65603">
        <w:t xml:space="preserve">).  The data are </w:t>
      </w:r>
      <w:r w:rsidR="00FF21D8" w:rsidRPr="00F65603">
        <w:t xml:space="preserve">collected for regulatory purposes and </w:t>
      </w:r>
      <w:r w:rsidR="00720164">
        <w:t xml:space="preserve">not </w:t>
      </w:r>
      <w:r w:rsidR="00FF21D8" w:rsidRPr="00F65603">
        <w:t>for the purposes of a publication.</w:t>
      </w:r>
    </w:p>
    <w:p w14:paraId="2625C1F5" w14:textId="77777777" w:rsidR="00094545" w:rsidRPr="00F65603" w:rsidRDefault="00094545">
      <w:pPr>
        <w:widowControl/>
      </w:pPr>
    </w:p>
    <w:p w14:paraId="118E97F8" w14:textId="77777777" w:rsidR="00094545" w:rsidRPr="00F65603" w:rsidRDefault="00094545" w:rsidP="00025FC7">
      <w:pPr>
        <w:widowControl/>
        <w:tabs>
          <w:tab w:val="left" w:pos="-1440"/>
        </w:tabs>
        <w:ind w:left="720" w:hanging="720"/>
        <w:rPr>
          <w:b/>
          <w:bCs/>
        </w:rPr>
      </w:pPr>
      <w:r w:rsidRPr="00F65603">
        <w:t>17.</w:t>
      </w:r>
      <w:r w:rsidRPr="00F65603">
        <w:tab/>
      </w:r>
      <w:r w:rsidRPr="00F65603">
        <w:rPr>
          <w:b/>
          <w:bCs/>
        </w:rPr>
        <w:t>DISPLAY OF THE EXPIRATION DATE</w:t>
      </w:r>
    </w:p>
    <w:p w14:paraId="2668AEE8" w14:textId="77777777" w:rsidR="00094545" w:rsidRPr="00F65603" w:rsidRDefault="00094545">
      <w:pPr>
        <w:widowControl/>
        <w:rPr>
          <w:b/>
          <w:bCs/>
        </w:rPr>
      </w:pPr>
    </w:p>
    <w:p w14:paraId="4BC3E59C" w14:textId="79F37F44" w:rsidR="00094545" w:rsidRDefault="002E79FB">
      <w:pPr>
        <w:widowControl/>
      </w:pPr>
      <w:r>
        <w:t xml:space="preserve">The Form 6 displays </w:t>
      </w:r>
      <w:r w:rsidR="00094545" w:rsidRPr="00F65603">
        <w:t xml:space="preserve">the OMB control number and the expiration date.  </w:t>
      </w:r>
      <w:r w:rsidR="009C3DBE" w:rsidRPr="009C3DBE">
        <w:t xml:space="preserve">The expiration date is </w:t>
      </w:r>
      <w:r w:rsidR="009C3DBE">
        <w:t xml:space="preserve">also </w:t>
      </w:r>
      <w:r w:rsidR="009C3DBE" w:rsidRPr="009C3DBE">
        <w:t xml:space="preserve">displayed at http://www.ferc.gov/docs-filing/info-collections.asp.  </w:t>
      </w:r>
    </w:p>
    <w:p w14:paraId="56CAEE5B" w14:textId="77777777" w:rsidR="002E79FB" w:rsidRPr="00F65603" w:rsidRDefault="002E79FB">
      <w:pPr>
        <w:widowControl/>
      </w:pPr>
    </w:p>
    <w:p w14:paraId="354C7C4C" w14:textId="77777777" w:rsidR="00094545" w:rsidRPr="00F65603" w:rsidRDefault="00094545" w:rsidP="00025FC7">
      <w:pPr>
        <w:widowControl/>
        <w:ind w:left="720" w:hanging="720"/>
        <w:rPr>
          <w:b/>
          <w:bCs/>
        </w:rPr>
      </w:pPr>
      <w:r w:rsidRPr="00F65603">
        <w:t xml:space="preserve">18.  </w:t>
      </w:r>
      <w:r w:rsidR="00A94D68">
        <w:tab/>
      </w:r>
      <w:r w:rsidRPr="00F65603">
        <w:rPr>
          <w:b/>
          <w:bCs/>
        </w:rPr>
        <w:t>EXCEPTIONS TO THE CERTIFICATION STATEMENT</w:t>
      </w:r>
    </w:p>
    <w:p w14:paraId="5249354B" w14:textId="77777777" w:rsidR="00094545" w:rsidRPr="00F65603" w:rsidRDefault="00094545" w:rsidP="00AE69EE">
      <w:pPr>
        <w:widowControl/>
        <w:ind w:left="720" w:firstLine="720"/>
        <w:rPr>
          <w:rFonts w:ascii="Times New Roman TUR" w:hAnsi="Times New Roman TUR" w:cs="Times New Roman TUR"/>
          <w:bCs/>
        </w:rPr>
      </w:pPr>
    </w:p>
    <w:p w14:paraId="5D8E553D" w14:textId="0C410817" w:rsidR="00F65603" w:rsidRDefault="00094545">
      <w:pPr>
        <w:widowControl/>
        <w:rPr>
          <w:rFonts w:ascii="Times New Roman TUR" w:hAnsi="Times New Roman TUR" w:cs="Times New Roman TUR"/>
          <w:bCs/>
        </w:rPr>
      </w:pPr>
      <w:r w:rsidRPr="00F65603">
        <w:rPr>
          <w:rFonts w:ascii="Times New Roman TUR" w:hAnsi="Times New Roman TUR" w:cs="Times New Roman TUR"/>
          <w:bCs/>
        </w:rPr>
        <w:t xml:space="preserve">There </w:t>
      </w:r>
      <w:r w:rsidR="009C3DBE">
        <w:rPr>
          <w:rFonts w:ascii="Times New Roman TUR" w:hAnsi="Times New Roman TUR" w:cs="Times New Roman TUR"/>
          <w:bCs/>
        </w:rPr>
        <w:t>are no exceptions.</w:t>
      </w:r>
    </w:p>
    <w:p w14:paraId="19658DDF" w14:textId="77777777" w:rsidR="004C2A3E" w:rsidRDefault="004C2A3E">
      <w:pPr>
        <w:widowControl/>
        <w:rPr>
          <w:rFonts w:ascii="Times New Roman TUR" w:hAnsi="Times New Roman TUR" w:cs="Times New Roman TUR"/>
          <w:bCs/>
        </w:rPr>
      </w:pPr>
    </w:p>
    <w:p w14:paraId="137D9E11" w14:textId="77777777" w:rsidR="00A41B8D" w:rsidRDefault="00A41B8D">
      <w:pPr>
        <w:widowControl/>
        <w:autoSpaceDE/>
        <w:autoSpaceDN/>
        <w:adjustRightInd/>
        <w:rPr>
          <w:b/>
          <w:bCs/>
        </w:rPr>
      </w:pPr>
      <w:r>
        <w:rPr>
          <w:b/>
          <w:bCs/>
        </w:rPr>
        <w:br w:type="page"/>
      </w:r>
    </w:p>
    <w:p w14:paraId="6F9C4E6B" w14:textId="57A296BC" w:rsidR="004C2A3E" w:rsidRDefault="004C2A3E" w:rsidP="004C2A3E">
      <w:pPr>
        <w:jc w:val="right"/>
        <w:rPr>
          <w:b/>
          <w:bCs/>
        </w:rPr>
      </w:pPr>
      <w:r>
        <w:rPr>
          <w:b/>
          <w:bCs/>
        </w:rPr>
        <w:lastRenderedPageBreak/>
        <w:t>ATTACHMENT A</w:t>
      </w:r>
    </w:p>
    <w:p w14:paraId="5A794260" w14:textId="77777777" w:rsidR="004C2A3E" w:rsidRDefault="004C2A3E" w:rsidP="004C2A3E">
      <w:pPr>
        <w:rPr>
          <w:b/>
          <w:bCs/>
        </w:rPr>
      </w:pPr>
    </w:p>
    <w:p w14:paraId="78F43F1A" w14:textId="77777777" w:rsidR="004C2A3E" w:rsidRDefault="004C2A3E" w:rsidP="004C2A3E">
      <w:pPr>
        <w:rPr>
          <w:b/>
          <w:bCs/>
        </w:rPr>
      </w:pPr>
      <w:r w:rsidRPr="00633578">
        <w:rPr>
          <w:bCs/>
          <w:i/>
        </w:rPr>
        <w:t xml:space="preserve">The following part of the FERC Form </w:t>
      </w:r>
      <w:r>
        <w:rPr>
          <w:bCs/>
          <w:i/>
        </w:rPr>
        <w:t>6</w:t>
      </w:r>
      <w:r w:rsidRPr="00633578">
        <w:rPr>
          <w:bCs/>
          <w:i/>
        </w:rPr>
        <w:t xml:space="preserve"> instructions will be updated as noted.</w:t>
      </w:r>
    </w:p>
    <w:p w14:paraId="4D25CDAB" w14:textId="77777777" w:rsidR="004C2A3E" w:rsidRDefault="004C2A3E" w:rsidP="004C2A3E">
      <w:pPr>
        <w:rPr>
          <w:b/>
          <w:bCs/>
        </w:rPr>
      </w:pPr>
    </w:p>
    <w:p w14:paraId="3E4FF150" w14:textId="77777777" w:rsidR="004C2A3E" w:rsidRDefault="004C2A3E" w:rsidP="004C2A3E">
      <w:pPr>
        <w:rPr>
          <w:b/>
          <w:bCs/>
        </w:rPr>
      </w:pPr>
    </w:p>
    <w:p w14:paraId="1BE95BE3" w14:textId="77777777" w:rsidR="004C2A3E" w:rsidRDefault="004C2A3E" w:rsidP="004C2A3E">
      <w:pPr>
        <w:rPr>
          <w:b/>
          <w:bCs/>
        </w:rPr>
      </w:pPr>
    </w:p>
    <w:p w14:paraId="6276D46D" w14:textId="77777777" w:rsidR="004C2A3E" w:rsidRDefault="004C2A3E" w:rsidP="004C2A3E">
      <w:pPr>
        <w:rPr>
          <w:b/>
          <w:bCs/>
        </w:rPr>
      </w:pPr>
      <w:r>
        <w:rPr>
          <w:b/>
          <w:bCs/>
        </w:rPr>
        <w:t>V. Where to Send Comments on Public Reporting Burden</w:t>
      </w:r>
    </w:p>
    <w:p w14:paraId="03C045F3" w14:textId="54CF2680" w:rsidR="004C2A3E" w:rsidRDefault="004C2A3E" w:rsidP="004C2A3E">
      <w:r>
        <w:t>(a) The public reporting burden for the FERC Form 6 is estimated to average 161 hours per response, including the time for reviewing instructions, searching existing data sources, gathering and maintaining the data needed, and completing and reviewing the collection of information. The public reporting burden for the FERC Form 6-Q is estimated to average 150 hours per response. Send comments regarding these burden estimates or any aspect of these information collections, including suggestions for reducing this burden, to the Federal Energy Regulatory Commission, 888 First Street, NE, Washington DC 20426 (Attention: Information Clearan</w:t>
      </w:r>
      <w:r w:rsidR="008544F0">
        <w:t>ce Officer), by e-mail at DataCl</w:t>
      </w:r>
      <w:r>
        <w:t>earance@ferc.gov; and to the Office of Management and Budget, Washington, DC 20503 (Attention: Desk Officer for the Federal Energy Regulatory Commission),</w:t>
      </w:r>
      <w:r w:rsidRPr="00633578">
        <w:t xml:space="preserve"> by e-mail at oira_submission@omb.eop.gov</w:t>
      </w:r>
      <w:r>
        <w:t>.</w:t>
      </w:r>
    </w:p>
    <w:p w14:paraId="0248216C" w14:textId="77777777" w:rsidR="004C2A3E" w:rsidRDefault="004C2A3E" w:rsidP="004C2A3E"/>
    <w:p w14:paraId="2436CACF" w14:textId="77777777" w:rsidR="004C2A3E" w:rsidRDefault="004C2A3E" w:rsidP="004C2A3E">
      <w:r>
        <w:t>(b) You shall not be penalized for failure to respond to this collection of information unless the collection of information displays a valid OMB control number.</w:t>
      </w:r>
    </w:p>
    <w:p w14:paraId="680053D0" w14:textId="77777777" w:rsidR="004C2A3E" w:rsidRPr="00F65603" w:rsidRDefault="004C2A3E">
      <w:pPr>
        <w:widowControl/>
      </w:pPr>
    </w:p>
    <w:sectPr w:rsidR="004C2A3E" w:rsidRPr="00F65603" w:rsidSect="003015F2">
      <w:headerReference w:type="even" r:id="rId13"/>
      <w:headerReference w:type="default" r:id="rId14"/>
      <w:footerReference w:type="even" r:id="rId15"/>
      <w:footerReference w:type="default" r:id="rId16"/>
      <w:headerReference w:type="first" r:id="rId17"/>
      <w:pgSz w:w="12240" w:h="15840"/>
      <w:pgMar w:top="994" w:right="1080" w:bottom="936" w:left="1080" w:header="994" w:footer="93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ED8F4" w14:textId="77777777" w:rsidR="0092172C" w:rsidRDefault="0092172C">
      <w:r>
        <w:separator/>
      </w:r>
    </w:p>
  </w:endnote>
  <w:endnote w:type="continuationSeparator" w:id="0">
    <w:p w14:paraId="5AD5F4E8" w14:textId="77777777" w:rsidR="0092172C" w:rsidRDefault="0092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MODMN+ArialNarrow">
    <w:altName w:val="Arial Narrow"/>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3091C" w14:textId="77777777" w:rsidR="00276904" w:rsidRDefault="00276904" w:rsidP="0050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C11EA9" w14:textId="77777777" w:rsidR="00276904" w:rsidRDefault="00276904" w:rsidP="004C51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37718" w14:textId="77777777" w:rsidR="00276904" w:rsidRDefault="00276904" w:rsidP="0050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2C4D">
      <w:rPr>
        <w:rStyle w:val="PageNumber"/>
        <w:noProof/>
      </w:rPr>
      <w:t>6</w:t>
    </w:r>
    <w:r>
      <w:rPr>
        <w:rStyle w:val="PageNumber"/>
      </w:rPr>
      <w:fldChar w:fldCharType="end"/>
    </w:r>
  </w:p>
  <w:p w14:paraId="628C8791" w14:textId="77777777" w:rsidR="00276904" w:rsidRPr="00BD2B99" w:rsidRDefault="00276904" w:rsidP="008D739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3B4EF" w14:textId="77777777" w:rsidR="0092172C" w:rsidRDefault="0092172C">
      <w:r>
        <w:separator/>
      </w:r>
    </w:p>
  </w:footnote>
  <w:footnote w:type="continuationSeparator" w:id="0">
    <w:p w14:paraId="7AB2C90E" w14:textId="77777777" w:rsidR="0092172C" w:rsidRDefault="0092172C">
      <w:r>
        <w:continuationSeparator/>
      </w:r>
    </w:p>
  </w:footnote>
  <w:footnote w:id="1">
    <w:p w14:paraId="7137307A" w14:textId="7D0D2DAE" w:rsidR="00D90930" w:rsidRPr="0053442A" w:rsidRDefault="00D90930" w:rsidP="00F3246C">
      <w:pPr>
        <w:pStyle w:val="FootnoteText"/>
        <w:ind w:firstLine="720"/>
        <w:rPr>
          <w:sz w:val="22"/>
          <w:szCs w:val="22"/>
        </w:rPr>
      </w:pPr>
      <w:r w:rsidRPr="0053442A">
        <w:rPr>
          <w:rStyle w:val="FootnoteReference"/>
          <w:sz w:val="22"/>
          <w:szCs w:val="22"/>
          <w:vertAlign w:val="superscript"/>
        </w:rPr>
        <w:footnoteRef/>
      </w:r>
      <w:r w:rsidRPr="0053442A">
        <w:rPr>
          <w:sz w:val="22"/>
          <w:szCs w:val="22"/>
          <w:vertAlign w:val="superscript"/>
        </w:rPr>
        <w:t xml:space="preserve"> </w:t>
      </w:r>
      <w:r w:rsidRPr="0053442A">
        <w:rPr>
          <w:sz w:val="22"/>
          <w:szCs w:val="22"/>
        </w:rPr>
        <w:t xml:space="preserve">There is </w:t>
      </w:r>
      <w:r w:rsidR="00BF4DCC" w:rsidRPr="0053442A">
        <w:rPr>
          <w:sz w:val="22"/>
          <w:szCs w:val="22"/>
        </w:rPr>
        <w:t xml:space="preserve">a </w:t>
      </w:r>
      <w:r w:rsidRPr="0053442A">
        <w:rPr>
          <w:sz w:val="22"/>
          <w:szCs w:val="22"/>
        </w:rPr>
        <w:t>pending Docket No. R</w:t>
      </w:r>
      <w:r w:rsidR="00BF4DCC" w:rsidRPr="0053442A">
        <w:rPr>
          <w:sz w:val="22"/>
          <w:szCs w:val="22"/>
        </w:rPr>
        <w:t>M</w:t>
      </w:r>
      <w:r w:rsidRPr="0053442A">
        <w:rPr>
          <w:sz w:val="22"/>
          <w:szCs w:val="22"/>
        </w:rPr>
        <w:t>15-19 related to a Petition for some changes to the Form 6; that docket</w:t>
      </w:r>
      <w:r w:rsidR="00BF4DCC" w:rsidRPr="0053442A">
        <w:rPr>
          <w:sz w:val="22"/>
          <w:szCs w:val="22"/>
        </w:rPr>
        <w:t xml:space="preserve"> </w:t>
      </w:r>
      <w:r w:rsidRPr="0053442A">
        <w:rPr>
          <w:sz w:val="22"/>
          <w:szCs w:val="22"/>
        </w:rPr>
        <w:t>is</w:t>
      </w:r>
      <w:r w:rsidR="00BF4DCC" w:rsidRPr="0053442A">
        <w:rPr>
          <w:sz w:val="22"/>
          <w:szCs w:val="22"/>
        </w:rPr>
        <w:t xml:space="preserve"> separate and not addressed in this submittal and package.</w:t>
      </w:r>
    </w:p>
    <w:p w14:paraId="24405A9F" w14:textId="2750B6AE" w:rsidR="00BF4DCC" w:rsidRPr="0053442A" w:rsidRDefault="00BF4DCC" w:rsidP="0053442A">
      <w:pPr>
        <w:pStyle w:val="FootnoteText"/>
        <w:ind w:firstLine="720"/>
        <w:rPr>
          <w:sz w:val="22"/>
          <w:szCs w:val="22"/>
        </w:rPr>
      </w:pPr>
      <w:r w:rsidRPr="0053442A">
        <w:rPr>
          <w:sz w:val="22"/>
          <w:szCs w:val="22"/>
        </w:rPr>
        <w:t>In addition</w:t>
      </w:r>
      <w:r w:rsidR="00F52EA3" w:rsidRPr="0053442A">
        <w:rPr>
          <w:sz w:val="22"/>
          <w:szCs w:val="22"/>
        </w:rPr>
        <w:t xml:space="preserve">, </w:t>
      </w:r>
      <w:r w:rsidRPr="0053442A">
        <w:rPr>
          <w:sz w:val="22"/>
          <w:szCs w:val="22"/>
        </w:rPr>
        <w:t>Form 6 is</w:t>
      </w:r>
      <w:r w:rsidR="00F52EA3" w:rsidRPr="0053442A">
        <w:rPr>
          <w:sz w:val="22"/>
          <w:szCs w:val="22"/>
        </w:rPr>
        <w:t xml:space="preserve"> </w:t>
      </w:r>
      <w:r w:rsidRPr="0053442A">
        <w:rPr>
          <w:sz w:val="22"/>
          <w:szCs w:val="22"/>
        </w:rPr>
        <w:t xml:space="preserve">part of the Forms Refresh effort (started in Docket No. AD15-11), which is a separate activity and not addressed here. When FERC makes changes to the </w:t>
      </w:r>
      <w:r w:rsidR="00F52EA3" w:rsidRPr="0053442A">
        <w:rPr>
          <w:sz w:val="22"/>
          <w:szCs w:val="22"/>
        </w:rPr>
        <w:t>Form 6</w:t>
      </w:r>
      <w:r w:rsidRPr="0053442A">
        <w:rPr>
          <w:sz w:val="22"/>
          <w:szCs w:val="22"/>
        </w:rPr>
        <w:t>, instructions, and/or reporting platform system, that information will be submitted to OMB, as appropriate, for review under the Paperwork Reduction Act (PRA).  More information on the Forms Refresh project is posted at http://www.ferc.gov/docs-filing/forms/eforms-refresh.asp.</w:t>
      </w:r>
    </w:p>
  </w:footnote>
  <w:footnote w:id="2">
    <w:p w14:paraId="62CA6353" w14:textId="77777777" w:rsidR="002161E2" w:rsidRPr="00A9394A" w:rsidRDefault="002161E2" w:rsidP="009D53F2">
      <w:pPr>
        <w:pStyle w:val="FootnoteText"/>
        <w:ind w:firstLine="720"/>
        <w:rPr>
          <w:sz w:val="22"/>
          <w:szCs w:val="22"/>
        </w:rPr>
      </w:pPr>
      <w:r w:rsidRPr="00A9394A">
        <w:rPr>
          <w:rStyle w:val="FootnoteReference"/>
          <w:sz w:val="22"/>
          <w:szCs w:val="22"/>
          <w:vertAlign w:val="superscript"/>
        </w:rPr>
        <w:footnoteRef/>
      </w:r>
      <w:r w:rsidRPr="00A9394A">
        <w:rPr>
          <w:sz w:val="22"/>
          <w:szCs w:val="22"/>
          <w:vertAlign w:val="superscript"/>
        </w:rPr>
        <w:t xml:space="preserve"> </w:t>
      </w:r>
      <w:r w:rsidRPr="00A9394A">
        <w:rPr>
          <w:rFonts w:cs="Courier"/>
          <w:sz w:val="22"/>
          <w:szCs w:val="22"/>
        </w:rPr>
        <w:t>Section 402(b) of the Department of Energy Organization Act (DOE Act), 42 U.S.C. 7172 provides that; "[t]here are hereby transferred to, and vested in, the Commission all functions and authority of the Interstate Commerce Commission or any officer or component of such Commission where the regulatory function establishes rates or charges for the transportation of oil by pipeline or established the valuation of any such pipeline."</w:t>
      </w:r>
    </w:p>
  </w:footnote>
  <w:footnote w:id="3">
    <w:p w14:paraId="09514F3B" w14:textId="77777777" w:rsidR="002161E2" w:rsidRPr="00A9394A" w:rsidRDefault="002161E2" w:rsidP="009D53F2">
      <w:pPr>
        <w:ind w:firstLine="720"/>
        <w:rPr>
          <w:sz w:val="22"/>
          <w:szCs w:val="22"/>
        </w:rPr>
      </w:pPr>
      <w:r w:rsidRPr="00A9394A">
        <w:rPr>
          <w:rStyle w:val="FootnoteReference"/>
          <w:sz w:val="22"/>
          <w:szCs w:val="22"/>
          <w:vertAlign w:val="superscript"/>
        </w:rPr>
        <w:footnoteRef/>
      </w:r>
      <w:r w:rsidRPr="00A9394A">
        <w:rPr>
          <w:sz w:val="22"/>
          <w:szCs w:val="22"/>
        </w:rPr>
        <w:t xml:space="preserve"> The ICC developed the Form P to collect information on an annual basis to enable it to carry out its regulation of oil pipeline companies under the Interstate Commerce Act.  A comprehensive review of the reporting requirements for oil pipeline companies was performed on September 21, 1982, when the Commission issued Order 260 revising the former ICC Form P, "Annual Report of Carriers by Pipeline" and redesignating it as FERC Form No. 6, "Annual Report of Oil Pipeline Companies”.</w:t>
      </w:r>
    </w:p>
  </w:footnote>
  <w:footnote w:id="4">
    <w:p w14:paraId="0F594960" w14:textId="77777777" w:rsidR="002161E2" w:rsidRPr="00A9394A" w:rsidRDefault="002161E2" w:rsidP="009D53F2">
      <w:pPr>
        <w:pStyle w:val="FootnoteText"/>
        <w:rPr>
          <w:sz w:val="22"/>
          <w:szCs w:val="22"/>
        </w:rPr>
      </w:pPr>
      <w:r w:rsidRPr="00A9394A">
        <w:rPr>
          <w:sz w:val="22"/>
          <w:szCs w:val="22"/>
        </w:rPr>
        <w:tab/>
      </w:r>
      <w:r w:rsidRPr="00A9394A">
        <w:rPr>
          <w:rStyle w:val="FootnoteReference"/>
          <w:sz w:val="22"/>
          <w:szCs w:val="22"/>
          <w:vertAlign w:val="superscript"/>
        </w:rPr>
        <w:footnoteRef/>
      </w:r>
      <w:r w:rsidRPr="00A9394A">
        <w:rPr>
          <w:sz w:val="22"/>
          <w:szCs w:val="22"/>
        </w:rPr>
        <w:t xml:space="preserve"> </w:t>
      </w:r>
      <w:r w:rsidRPr="00A9394A">
        <w:rPr>
          <w:i/>
          <w:sz w:val="22"/>
          <w:szCs w:val="22"/>
        </w:rPr>
        <w:t>Cost of Service Requirements and Filing Requirements for Oil Pipelines</w:t>
      </w:r>
      <w:r w:rsidRPr="00A9394A">
        <w:rPr>
          <w:sz w:val="22"/>
          <w:szCs w:val="22"/>
        </w:rPr>
        <w:t>, Order No. 571, FERC Stats. &amp; Regs., Regulation Preambles Jan. 1991- June 1996 ¶ 31,006, at p. 31,169 (1995).</w:t>
      </w:r>
    </w:p>
  </w:footnote>
  <w:footnote w:id="5">
    <w:p w14:paraId="10456C9C" w14:textId="1A499F45" w:rsidR="008F5369" w:rsidRPr="0053442A" w:rsidRDefault="008F5369" w:rsidP="008F5369">
      <w:pPr>
        <w:pStyle w:val="FootnoteText"/>
        <w:ind w:firstLine="720"/>
        <w:rPr>
          <w:sz w:val="22"/>
          <w:szCs w:val="22"/>
        </w:rPr>
      </w:pPr>
      <w:r w:rsidRPr="0053442A">
        <w:rPr>
          <w:rStyle w:val="FootnoteReference"/>
          <w:sz w:val="22"/>
          <w:szCs w:val="22"/>
        </w:rPr>
        <w:footnoteRef/>
      </w:r>
      <w:r w:rsidRPr="0053442A">
        <w:rPr>
          <w:sz w:val="22"/>
          <w:szCs w:val="22"/>
        </w:rPr>
        <w:t xml:space="preserve"> The FERC Form 6-Q (OMB Control No. 1902-0206) is pending OMB review under ICR 201512-1902-004</w:t>
      </w:r>
      <w:r w:rsidR="00982B8C">
        <w:rPr>
          <w:sz w:val="22"/>
          <w:szCs w:val="22"/>
        </w:rPr>
        <w:t xml:space="preserve"> and is not addressed in this package</w:t>
      </w:r>
      <w:r w:rsidRPr="0053442A">
        <w:rPr>
          <w:sz w:val="22"/>
          <w:szCs w:val="22"/>
        </w:rPr>
        <w:t>.</w:t>
      </w:r>
      <w:r w:rsidR="00A96B3D" w:rsidRPr="0053442A">
        <w:rPr>
          <w:sz w:val="22"/>
          <w:szCs w:val="22"/>
        </w:rPr>
        <w:t xml:space="preserve">  (The </w:t>
      </w:r>
      <w:r w:rsidR="00DC19B6">
        <w:rPr>
          <w:sz w:val="22"/>
          <w:szCs w:val="22"/>
        </w:rPr>
        <w:t xml:space="preserve">associated </w:t>
      </w:r>
      <w:r w:rsidR="00A96B3D" w:rsidRPr="0053442A">
        <w:rPr>
          <w:sz w:val="22"/>
          <w:szCs w:val="22"/>
        </w:rPr>
        <w:t>Notices were issued in Docket No. IC16-7.)</w:t>
      </w:r>
    </w:p>
  </w:footnote>
  <w:footnote w:id="6">
    <w:p w14:paraId="6D19DD47" w14:textId="0A9ECBA1" w:rsidR="003D7002" w:rsidRPr="0053442A" w:rsidRDefault="003D7002" w:rsidP="003D7002">
      <w:pPr>
        <w:pStyle w:val="FootnoteText"/>
        <w:ind w:firstLine="720"/>
        <w:rPr>
          <w:sz w:val="22"/>
          <w:szCs w:val="22"/>
        </w:rPr>
      </w:pPr>
      <w:r w:rsidRPr="0053442A">
        <w:rPr>
          <w:rStyle w:val="FootnoteReference"/>
          <w:sz w:val="22"/>
          <w:szCs w:val="22"/>
          <w:vertAlign w:val="superscript"/>
        </w:rPr>
        <w:footnoteRef/>
      </w:r>
      <w:r w:rsidRPr="0053442A">
        <w:rPr>
          <w:sz w:val="22"/>
          <w:szCs w:val="22"/>
          <w:vertAlign w:val="superscript"/>
        </w:rPr>
        <w:t xml:space="preserve"> </w:t>
      </w:r>
      <w:r w:rsidR="00B93988" w:rsidRPr="0053442A">
        <w:rPr>
          <w:sz w:val="22"/>
          <w:szCs w:val="22"/>
        </w:rPr>
        <w:t>18 CFR Part 352, Uniform Systems Of Accounts Prescribed For Oil Pipeline Companies Subject To The Provisions Of The Interstate Commerce Act</w:t>
      </w:r>
    </w:p>
  </w:footnote>
  <w:footnote w:id="7">
    <w:p w14:paraId="706F580F" w14:textId="5D7738D3" w:rsidR="00B862EB" w:rsidRPr="0053442A" w:rsidRDefault="00B862EB" w:rsidP="00B862EB">
      <w:pPr>
        <w:pStyle w:val="FootnoteText"/>
        <w:ind w:firstLine="720"/>
        <w:rPr>
          <w:sz w:val="22"/>
          <w:szCs w:val="22"/>
        </w:rPr>
      </w:pPr>
      <w:r w:rsidRPr="0053442A">
        <w:rPr>
          <w:rStyle w:val="FootnoteReference"/>
          <w:sz w:val="22"/>
          <w:szCs w:val="22"/>
          <w:vertAlign w:val="superscript"/>
        </w:rPr>
        <w:footnoteRef/>
      </w:r>
      <w:r w:rsidRPr="0053442A">
        <w:rPr>
          <w:sz w:val="22"/>
          <w:szCs w:val="22"/>
          <w:vertAlign w:val="superscript"/>
        </w:rPr>
        <w:t xml:space="preserve"> </w:t>
      </w:r>
      <w:r w:rsidRPr="0053442A">
        <w:rPr>
          <w:sz w:val="22"/>
          <w:szCs w:val="22"/>
        </w:rPr>
        <w:t>The FERC Form 6-Q [pending OMB review in a separate ICR] collects the quarterly data.</w:t>
      </w:r>
    </w:p>
  </w:footnote>
  <w:footnote w:id="8">
    <w:p w14:paraId="07EC8FAA" w14:textId="7409D651" w:rsidR="00B862EB" w:rsidRPr="0053442A" w:rsidRDefault="00B862EB" w:rsidP="00B862EB">
      <w:pPr>
        <w:pStyle w:val="FootnoteText"/>
        <w:ind w:firstLine="720"/>
        <w:rPr>
          <w:sz w:val="22"/>
          <w:szCs w:val="22"/>
        </w:rPr>
      </w:pPr>
      <w:r w:rsidRPr="0053442A">
        <w:rPr>
          <w:rStyle w:val="FootnoteReference"/>
          <w:sz w:val="22"/>
          <w:szCs w:val="22"/>
          <w:vertAlign w:val="superscript"/>
        </w:rPr>
        <w:footnoteRef/>
      </w:r>
      <w:r w:rsidRPr="0053442A">
        <w:rPr>
          <w:sz w:val="22"/>
          <w:szCs w:val="22"/>
        </w:rPr>
        <w:t xml:space="preserve"> The Notice was published at 81FR 38169, 6/13/2016; it is also available in FERC</w:t>
      </w:r>
      <w:r w:rsidR="00345471">
        <w:rPr>
          <w:sz w:val="22"/>
          <w:szCs w:val="22"/>
        </w:rPr>
        <w:t>’</w:t>
      </w:r>
      <w:r w:rsidRPr="0053442A">
        <w:rPr>
          <w:sz w:val="22"/>
          <w:szCs w:val="22"/>
        </w:rPr>
        <w:t>s eLibrary at http://elibrary.ferc.gov/idmws/common/opennat.asp?fileID=14270354.</w:t>
      </w:r>
    </w:p>
  </w:footnote>
  <w:footnote w:id="9">
    <w:p w14:paraId="38C89BA1" w14:textId="4A9F6650" w:rsidR="00187730" w:rsidRPr="0053442A" w:rsidRDefault="00187730" w:rsidP="00187730">
      <w:pPr>
        <w:pStyle w:val="FootnoteText"/>
        <w:ind w:firstLine="720"/>
        <w:rPr>
          <w:sz w:val="22"/>
          <w:szCs w:val="22"/>
        </w:rPr>
      </w:pPr>
      <w:r w:rsidRPr="0053442A">
        <w:rPr>
          <w:rStyle w:val="FootnoteReference"/>
          <w:rFonts w:eastAsiaTheme="majorEastAsia"/>
          <w:sz w:val="22"/>
          <w:szCs w:val="22"/>
          <w:vertAlign w:val="superscript"/>
        </w:rPr>
        <w:footnoteRef/>
      </w:r>
      <w:r w:rsidRPr="0053442A">
        <w:rPr>
          <w:sz w:val="22"/>
          <w:szCs w:val="22"/>
          <w:vertAlign w:val="superscript"/>
        </w:rPr>
        <w:t xml:space="preserve"> </w:t>
      </w:r>
      <w:r w:rsidRPr="0053442A">
        <w:rPr>
          <w:sz w:val="22"/>
          <w:szCs w:val="22"/>
        </w:rPr>
        <w:t>The burden associated with the one-time re-filing of Page 700 data for Years 2009-2011 has bee</w:t>
      </w:r>
      <w:r w:rsidR="001D1652">
        <w:rPr>
          <w:sz w:val="22"/>
          <w:szCs w:val="22"/>
        </w:rPr>
        <w:t xml:space="preserve">n completed and </w:t>
      </w:r>
      <w:r w:rsidR="00345471">
        <w:rPr>
          <w:sz w:val="22"/>
          <w:szCs w:val="22"/>
        </w:rPr>
        <w:t>is being removed as discussed in #15.</w:t>
      </w:r>
    </w:p>
  </w:footnote>
  <w:footnote w:id="10">
    <w:p w14:paraId="030736AD" w14:textId="198597D4" w:rsidR="00187730" w:rsidRPr="007E64D7" w:rsidRDefault="00187730" w:rsidP="00187730">
      <w:pPr>
        <w:pStyle w:val="FootnoteText"/>
        <w:ind w:firstLine="720"/>
        <w:rPr>
          <w:sz w:val="26"/>
          <w:szCs w:val="26"/>
        </w:rPr>
      </w:pPr>
      <w:r w:rsidRPr="0053442A">
        <w:rPr>
          <w:rStyle w:val="FootnoteReference"/>
          <w:rFonts w:eastAsiaTheme="majorEastAsia"/>
          <w:sz w:val="22"/>
          <w:szCs w:val="22"/>
          <w:vertAlign w:val="superscript"/>
        </w:rPr>
        <w:footnoteRef/>
      </w:r>
      <w:r w:rsidRPr="0053442A">
        <w:rPr>
          <w:sz w:val="22"/>
          <w:szCs w:val="22"/>
          <w:vertAlign w:val="superscript"/>
        </w:rPr>
        <w:t xml:space="preserve"> </w:t>
      </w:r>
      <w:r w:rsidRPr="0053442A">
        <w:rPr>
          <w:sz w:val="22"/>
          <w:szCs w:val="22"/>
        </w:rPr>
        <w:t>The cost is based on FERC’s 2016 average cost (salary plus benefits) of $74.50/hour.  The Commission staff believes that the industry’s level</w:t>
      </w:r>
      <w:r w:rsidR="005211D8">
        <w:rPr>
          <w:sz w:val="22"/>
          <w:szCs w:val="22"/>
        </w:rPr>
        <w:t xml:space="preserve"> and</w:t>
      </w:r>
      <w:r w:rsidRPr="0053442A">
        <w:rPr>
          <w:sz w:val="22"/>
          <w:szCs w:val="22"/>
        </w:rPr>
        <w:t xml:space="preserve"> skill set</w:t>
      </w:r>
      <w:r w:rsidR="00DA1098">
        <w:rPr>
          <w:sz w:val="22"/>
          <w:szCs w:val="22"/>
        </w:rPr>
        <w:t xml:space="preserve"> are </w:t>
      </w:r>
      <w:r w:rsidRPr="0053442A">
        <w:rPr>
          <w:sz w:val="22"/>
          <w:szCs w:val="22"/>
        </w:rPr>
        <w:t>comparable to FERC.</w:t>
      </w:r>
    </w:p>
  </w:footnote>
  <w:footnote w:id="11">
    <w:p w14:paraId="5FD2B543" w14:textId="77777777" w:rsidR="00951C9E" w:rsidRPr="002E79FB" w:rsidRDefault="00951C9E" w:rsidP="00951C9E">
      <w:pPr>
        <w:pStyle w:val="FootnoteText"/>
        <w:ind w:firstLine="720"/>
        <w:rPr>
          <w:sz w:val="22"/>
          <w:szCs w:val="22"/>
        </w:rPr>
      </w:pPr>
      <w:r w:rsidRPr="002E79FB">
        <w:rPr>
          <w:rStyle w:val="FootnoteReference"/>
          <w:sz w:val="22"/>
          <w:szCs w:val="22"/>
          <w:vertAlign w:val="superscript"/>
        </w:rPr>
        <w:footnoteRef/>
      </w:r>
      <w:r w:rsidRPr="002E79FB">
        <w:rPr>
          <w:sz w:val="22"/>
          <w:szCs w:val="22"/>
        </w:rPr>
        <w:t xml:space="preserve"> The cost is based upon FERC’s 2016 annual average salary plus benefits of $154,647 (or $74.50/hour).</w:t>
      </w:r>
    </w:p>
  </w:footnote>
  <w:footnote w:id="12">
    <w:p w14:paraId="75EEC648" w14:textId="4E4D82EB" w:rsidR="00283020" w:rsidRPr="00A9394A" w:rsidRDefault="00283020" w:rsidP="00951C9E">
      <w:pPr>
        <w:pStyle w:val="FootnoteText"/>
        <w:ind w:firstLine="720"/>
        <w:rPr>
          <w:sz w:val="22"/>
          <w:szCs w:val="22"/>
        </w:rPr>
      </w:pPr>
      <w:r w:rsidRPr="00670030">
        <w:rPr>
          <w:rStyle w:val="FootnoteReference"/>
          <w:b/>
          <w:sz w:val="22"/>
          <w:szCs w:val="22"/>
          <w:vertAlign w:val="superscript"/>
        </w:rPr>
        <w:footnoteRef/>
      </w:r>
      <w:r w:rsidRPr="00670030">
        <w:rPr>
          <w:sz w:val="22"/>
          <w:szCs w:val="22"/>
        </w:rPr>
        <w:t xml:space="preserve"> </w:t>
      </w:r>
      <w:r w:rsidR="00951C9E">
        <w:rPr>
          <w:sz w:val="22"/>
          <w:szCs w:val="22"/>
        </w:rPr>
        <w:t xml:space="preserve">The </w:t>
      </w:r>
      <w:r w:rsidR="00951C9E" w:rsidRPr="00951C9E">
        <w:rPr>
          <w:sz w:val="22"/>
          <w:szCs w:val="22"/>
        </w:rPr>
        <w:t>Paperwork Reduction Act of 1995 (PRA)</w:t>
      </w:r>
      <w:r w:rsidR="00951C9E">
        <w:rPr>
          <w:sz w:val="22"/>
          <w:szCs w:val="22"/>
        </w:rPr>
        <w:t xml:space="preserve"> Administrative</w:t>
      </w:r>
      <w:r w:rsidR="00951C9E" w:rsidRPr="00951C9E">
        <w:rPr>
          <w:sz w:val="22"/>
          <w:szCs w:val="22"/>
        </w:rPr>
        <w:t xml:space="preserve"> Cost is associated with preparing, issuing, and submitting materials necessary to comply with the PRA for rulemakings, orders, or any other vehicle used to create, modify, extend, or discontinue an information collection.  This average annual cost includes requests for extensio</w:t>
      </w:r>
      <w:r w:rsidR="00951C9E">
        <w:rPr>
          <w:sz w:val="22"/>
          <w:szCs w:val="22"/>
        </w:rPr>
        <w:t xml:space="preserve">ns, all associated rulemakings, </w:t>
      </w:r>
      <w:r w:rsidR="00951C9E" w:rsidRPr="00951C9E">
        <w:rPr>
          <w:sz w:val="22"/>
          <w:szCs w:val="22"/>
        </w:rPr>
        <w:t>and other changes to the collection.</w:t>
      </w:r>
    </w:p>
  </w:footnote>
  <w:footnote w:id="13">
    <w:p w14:paraId="7D0E9B7E" w14:textId="2D1234ED" w:rsidR="009A0AFA" w:rsidRPr="002E79FB" w:rsidRDefault="009A0AFA" w:rsidP="009A0AFA">
      <w:pPr>
        <w:pStyle w:val="FootnoteText"/>
        <w:ind w:firstLine="720"/>
        <w:rPr>
          <w:sz w:val="22"/>
          <w:szCs w:val="22"/>
        </w:rPr>
      </w:pPr>
      <w:r w:rsidRPr="002E79FB">
        <w:rPr>
          <w:rStyle w:val="FootnoteReference"/>
          <w:sz w:val="22"/>
          <w:szCs w:val="22"/>
          <w:vertAlign w:val="superscript"/>
        </w:rPr>
        <w:footnoteRef/>
      </w:r>
      <w:r w:rsidRPr="002E79FB">
        <w:rPr>
          <w:sz w:val="22"/>
          <w:szCs w:val="22"/>
        </w:rPr>
        <w:t xml:space="preserve"> This IC covered 161 respondents and 161 responses for a total burden of 322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FEB68" w14:textId="77777777" w:rsidR="00276904" w:rsidRDefault="00382C4D">
    <w:pPr>
      <w:pStyle w:val="Header"/>
    </w:pPr>
    <w:r>
      <w:rPr>
        <w:noProof/>
      </w:rPr>
      <w:pict w14:anchorId="4CBC0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621.8pt;height:88.8pt;rotation:315;z-index:-251658240;mso-position-horizontal:center;mso-position-horizontal-relative:margin;mso-position-vertical:center;mso-position-vertical-relative:margin" o:allowincell="f" fillcolor="silver" stroked="f">
          <v:fill opacity=".5"/>
          <v:textpath style="font-family:&quot;Times New Roman&quot;;font-size:1pt" string="draft 1/8/20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13F5F" w14:textId="77777777" w:rsidR="00276904" w:rsidRDefault="00276904" w:rsidP="00703046">
    <w:pPr>
      <w:tabs>
        <w:tab w:val="right" w:pos="10080"/>
      </w:tabs>
      <w:rPr>
        <w:bCs/>
        <w:sz w:val="26"/>
        <w:szCs w:val="26"/>
      </w:rPr>
    </w:pPr>
    <w:r w:rsidRPr="006F1C14">
      <w:rPr>
        <w:bCs/>
        <w:sz w:val="26"/>
        <w:szCs w:val="26"/>
      </w:rPr>
      <w:t>FERC Form No. 6 (</w:t>
    </w:r>
    <w:r>
      <w:rPr>
        <w:bCs/>
        <w:sz w:val="26"/>
        <w:szCs w:val="26"/>
      </w:rPr>
      <w:t xml:space="preserve">OMB Control No. </w:t>
    </w:r>
    <w:r w:rsidRPr="006F1C14">
      <w:rPr>
        <w:bCs/>
        <w:sz w:val="26"/>
        <w:szCs w:val="26"/>
      </w:rPr>
      <w:t>1902-0022)</w:t>
    </w:r>
    <w:r>
      <w:rPr>
        <w:bCs/>
        <w:sz w:val="26"/>
        <w:szCs w:val="26"/>
      </w:rPr>
      <w:tab/>
    </w:r>
  </w:p>
  <w:p w14:paraId="69CB5893" w14:textId="77777777" w:rsidR="00276904" w:rsidRDefault="00276904" w:rsidP="00703046">
    <w:pPr>
      <w:tabs>
        <w:tab w:val="right" w:pos="10080"/>
      </w:tabs>
      <w:rPr>
        <w:rFonts w:ascii="Courier" w:hAnsi="Courier" w:cs="Courier"/>
        <w:sz w:val="26"/>
        <w:szCs w:val="26"/>
      </w:rPr>
    </w:pPr>
    <w:r>
      <w:rPr>
        <w:b/>
        <w:bCs/>
        <w:sz w:val="26"/>
        <w:szCs w:val="2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8AE95" w14:textId="77777777" w:rsidR="00276904" w:rsidRDefault="00382C4D">
    <w:pPr>
      <w:pStyle w:val="Header"/>
    </w:pPr>
    <w:r>
      <w:rPr>
        <w:noProof/>
      </w:rPr>
      <w:pict w14:anchorId="640D0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621.8pt;height:88.8pt;rotation:315;z-index:-251659264;mso-position-horizontal:center;mso-position-horizontal-relative:margin;mso-position-vertical:center;mso-position-vertical-relative:margin" o:allowincell="f" fillcolor="silver" stroked="f">
          <v:fill opacity=".5"/>
          <v:textpath style="font-family:&quot;Times New Roman&quot;;font-size:1pt" string="draft 1/8/20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0350B"/>
    <w:multiLevelType w:val="multilevel"/>
    <w:tmpl w:val="7C5651AE"/>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5D072A"/>
    <w:multiLevelType w:val="hybridMultilevel"/>
    <w:tmpl w:val="010EF772"/>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E9539E"/>
    <w:multiLevelType w:val="hybridMultilevel"/>
    <w:tmpl w:val="5C1AB756"/>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8D0826"/>
    <w:multiLevelType w:val="multilevel"/>
    <w:tmpl w:val="7C5651AE"/>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684D84"/>
    <w:multiLevelType w:val="multilevel"/>
    <w:tmpl w:val="DECA9886"/>
    <w:lvl w:ilvl="0">
      <w:start w:val="2"/>
      <w:numFmt w:val="bullet"/>
      <w:lvlText w:val="-"/>
      <w:lvlJc w:val="left"/>
      <w:pPr>
        <w:ind w:left="1440" w:hanging="360"/>
      </w:pPr>
      <w:rPr>
        <w:rFonts w:ascii="Times New Roman" w:eastAsia="Times New Roman" w:hAnsi="Times New Roman" w:hint="default"/>
      </w:rPr>
    </w:lvl>
    <w:lvl w:ilvl="1">
      <w:start w:val="1"/>
      <w:numFmt w:val="decimal"/>
      <w:lvlText w:val="%2."/>
      <w:lvlJc w:val="left"/>
      <w:pPr>
        <w:tabs>
          <w:tab w:val="num" w:pos="1800"/>
        </w:tabs>
        <w:ind w:left="1800" w:hanging="360"/>
      </w:pPr>
      <w:rPr>
        <w:rFonts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78A4BD3"/>
    <w:multiLevelType w:val="hybridMultilevel"/>
    <w:tmpl w:val="2E5CCFB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1AAE4A32"/>
    <w:multiLevelType w:val="hybridMultilevel"/>
    <w:tmpl w:val="65B8B748"/>
    <w:lvl w:ilvl="0" w:tplc="84B8F298">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B1118BC"/>
    <w:multiLevelType w:val="hybridMultilevel"/>
    <w:tmpl w:val="8BDAC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332DA"/>
    <w:multiLevelType w:val="hybridMultilevel"/>
    <w:tmpl w:val="1E0AD3C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E82330"/>
    <w:multiLevelType w:val="multilevel"/>
    <w:tmpl w:val="DECA9886"/>
    <w:lvl w:ilvl="0">
      <w:start w:val="2"/>
      <w:numFmt w:val="bullet"/>
      <w:lvlText w:val="-"/>
      <w:lvlJc w:val="left"/>
      <w:pPr>
        <w:ind w:left="1440" w:hanging="360"/>
      </w:pPr>
      <w:rPr>
        <w:rFonts w:ascii="Times New Roman" w:eastAsia="Times New Roman" w:hAnsi="Times New Roman" w:hint="default"/>
      </w:rPr>
    </w:lvl>
    <w:lvl w:ilvl="1">
      <w:start w:val="1"/>
      <w:numFmt w:val="decimal"/>
      <w:lvlText w:val="%2."/>
      <w:lvlJc w:val="left"/>
      <w:pPr>
        <w:tabs>
          <w:tab w:val="num" w:pos="1800"/>
        </w:tabs>
        <w:ind w:left="1800" w:hanging="360"/>
      </w:pPr>
      <w:rPr>
        <w:rFonts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99C6EE4"/>
    <w:multiLevelType w:val="hybridMultilevel"/>
    <w:tmpl w:val="DECA9886"/>
    <w:lvl w:ilvl="0" w:tplc="BE00B0F2">
      <w:start w:val="2"/>
      <w:numFmt w:val="bullet"/>
      <w:lvlText w:val="-"/>
      <w:lvlJc w:val="left"/>
      <w:pPr>
        <w:ind w:left="1440" w:hanging="360"/>
      </w:pPr>
      <w:rPr>
        <w:rFonts w:ascii="Times New Roman" w:eastAsia="Times New Roman" w:hAnsi="Times New Roman"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751CB3"/>
    <w:multiLevelType w:val="hybridMultilevel"/>
    <w:tmpl w:val="45F8A0E2"/>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72084"/>
    <w:multiLevelType w:val="hybridMultilevel"/>
    <w:tmpl w:val="65C47FC4"/>
    <w:lvl w:ilvl="0" w:tplc="18001D06">
      <w:start w:val="1"/>
      <w:numFmt w:val="bullet"/>
      <w:lvlText w:val=""/>
      <w:lvlJc w:val="left"/>
      <w:pPr>
        <w:tabs>
          <w:tab w:val="num" w:pos="180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6" w15:restartNumberingAfterBreak="0">
    <w:nsid w:val="35CB5BDD"/>
    <w:multiLevelType w:val="hybridMultilevel"/>
    <w:tmpl w:val="E8B6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23D83"/>
    <w:multiLevelType w:val="hybridMultilevel"/>
    <w:tmpl w:val="7C5651AE"/>
    <w:lvl w:ilvl="0" w:tplc="BE00B0F2">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52BE3"/>
    <w:multiLevelType w:val="hybridMultilevel"/>
    <w:tmpl w:val="CB5AF028"/>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270"/>
        </w:tabs>
        <w:ind w:left="-270" w:hanging="360"/>
      </w:pPr>
      <w:rPr>
        <w:rFonts w:ascii="Courier New" w:hAnsi="Courier New" w:hint="default"/>
      </w:rPr>
    </w:lvl>
    <w:lvl w:ilvl="2" w:tplc="04090005" w:tentative="1">
      <w:start w:val="1"/>
      <w:numFmt w:val="bullet"/>
      <w:lvlText w:val=""/>
      <w:lvlJc w:val="left"/>
      <w:pPr>
        <w:tabs>
          <w:tab w:val="num" w:pos="450"/>
        </w:tabs>
        <w:ind w:left="450" w:hanging="360"/>
      </w:pPr>
      <w:rPr>
        <w:rFonts w:ascii="Wingdings" w:hAnsi="Wingdings" w:hint="default"/>
      </w:rPr>
    </w:lvl>
    <w:lvl w:ilvl="3" w:tplc="04090001" w:tentative="1">
      <w:start w:val="1"/>
      <w:numFmt w:val="bullet"/>
      <w:lvlText w:val=""/>
      <w:lvlJc w:val="left"/>
      <w:pPr>
        <w:tabs>
          <w:tab w:val="num" w:pos="1170"/>
        </w:tabs>
        <w:ind w:left="1170" w:hanging="360"/>
      </w:pPr>
      <w:rPr>
        <w:rFonts w:ascii="Symbol" w:hAnsi="Symbol" w:hint="default"/>
      </w:rPr>
    </w:lvl>
    <w:lvl w:ilvl="4" w:tplc="04090003" w:tentative="1">
      <w:start w:val="1"/>
      <w:numFmt w:val="bullet"/>
      <w:lvlText w:val="o"/>
      <w:lvlJc w:val="left"/>
      <w:pPr>
        <w:tabs>
          <w:tab w:val="num" w:pos="1890"/>
        </w:tabs>
        <w:ind w:left="1890" w:hanging="360"/>
      </w:pPr>
      <w:rPr>
        <w:rFonts w:ascii="Courier New" w:hAnsi="Courier New" w:hint="default"/>
      </w:rPr>
    </w:lvl>
    <w:lvl w:ilvl="5" w:tplc="04090005" w:tentative="1">
      <w:start w:val="1"/>
      <w:numFmt w:val="bullet"/>
      <w:lvlText w:val=""/>
      <w:lvlJc w:val="left"/>
      <w:pPr>
        <w:tabs>
          <w:tab w:val="num" w:pos="2610"/>
        </w:tabs>
        <w:ind w:left="2610" w:hanging="360"/>
      </w:pPr>
      <w:rPr>
        <w:rFonts w:ascii="Wingdings" w:hAnsi="Wingdings" w:hint="default"/>
      </w:rPr>
    </w:lvl>
    <w:lvl w:ilvl="6" w:tplc="04090001" w:tentative="1">
      <w:start w:val="1"/>
      <w:numFmt w:val="bullet"/>
      <w:lvlText w:val=""/>
      <w:lvlJc w:val="left"/>
      <w:pPr>
        <w:tabs>
          <w:tab w:val="num" w:pos="3330"/>
        </w:tabs>
        <w:ind w:left="3330" w:hanging="360"/>
      </w:pPr>
      <w:rPr>
        <w:rFonts w:ascii="Symbol" w:hAnsi="Symbol" w:hint="default"/>
      </w:rPr>
    </w:lvl>
    <w:lvl w:ilvl="7" w:tplc="04090003" w:tentative="1">
      <w:start w:val="1"/>
      <w:numFmt w:val="bullet"/>
      <w:lvlText w:val="o"/>
      <w:lvlJc w:val="left"/>
      <w:pPr>
        <w:tabs>
          <w:tab w:val="num" w:pos="4050"/>
        </w:tabs>
        <w:ind w:left="4050" w:hanging="360"/>
      </w:pPr>
      <w:rPr>
        <w:rFonts w:ascii="Courier New" w:hAnsi="Courier New" w:hint="default"/>
      </w:rPr>
    </w:lvl>
    <w:lvl w:ilvl="8" w:tplc="04090005" w:tentative="1">
      <w:start w:val="1"/>
      <w:numFmt w:val="bullet"/>
      <w:lvlText w:val=""/>
      <w:lvlJc w:val="left"/>
      <w:pPr>
        <w:tabs>
          <w:tab w:val="num" w:pos="4770"/>
        </w:tabs>
        <w:ind w:left="4770" w:hanging="360"/>
      </w:pPr>
      <w:rPr>
        <w:rFonts w:ascii="Wingdings" w:hAnsi="Wingdings" w:hint="default"/>
      </w:rPr>
    </w:lvl>
  </w:abstractNum>
  <w:abstractNum w:abstractNumId="20" w15:restartNumberingAfterBreak="0">
    <w:nsid w:val="4AA84821"/>
    <w:multiLevelType w:val="hybridMultilevel"/>
    <w:tmpl w:val="BEFC5AB8"/>
    <w:lvl w:ilvl="0" w:tplc="FB94DFC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1C53EB"/>
    <w:multiLevelType w:val="hybridMultilevel"/>
    <w:tmpl w:val="344C9B14"/>
    <w:lvl w:ilvl="0" w:tplc="18001D06">
      <w:start w:val="1"/>
      <w:numFmt w:val="bullet"/>
      <w:lvlText w:val=""/>
      <w:lvlJc w:val="left"/>
      <w:pPr>
        <w:tabs>
          <w:tab w:val="num" w:pos="1800"/>
        </w:tabs>
        <w:ind w:left="2160" w:hanging="360"/>
      </w:pPr>
      <w:rPr>
        <w:rFonts w:ascii="Wingdings" w:hAnsi="Wingdings" w:hint="default"/>
      </w:rPr>
    </w:lvl>
    <w:lvl w:ilvl="1" w:tplc="CE1A4AC4">
      <w:start w:val="1"/>
      <w:numFmt w:val="bullet"/>
      <w:lvlText w:val="o"/>
      <w:lvlJc w:val="left"/>
      <w:pPr>
        <w:tabs>
          <w:tab w:val="num" w:pos="2160"/>
        </w:tabs>
        <w:ind w:left="2160" w:hanging="360"/>
      </w:pPr>
      <w:rPr>
        <w:rFonts w:ascii="Times New Roman" w:hAnsi="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1712B06"/>
    <w:multiLevelType w:val="hybridMultilevel"/>
    <w:tmpl w:val="B8728274"/>
    <w:lvl w:ilvl="0" w:tplc="BE00B0F2">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A7123"/>
    <w:multiLevelType w:val="hybridMultilevel"/>
    <w:tmpl w:val="CFE6524E"/>
    <w:lvl w:ilvl="0" w:tplc="84B8F298">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D090C"/>
    <w:multiLevelType w:val="hybridMultilevel"/>
    <w:tmpl w:val="96FA9E14"/>
    <w:lvl w:ilvl="0" w:tplc="18001D06">
      <w:start w:val="1"/>
      <w:numFmt w:val="bullet"/>
      <w:lvlText w:val=""/>
      <w:lvlJc w:val="left"/>
      <w:pPr>
        <w:tabs>
          <w:tab w:val="num" w:pos="720"/>
        </w:tabs>
        <w:ind w:left="108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EE719D3"/>
    <w:multiLevelType w:val="hybridMultilevel"/>
    <w:tmpl w:val="B9A2F77C"/>
    <w:lvl w:ilvl="0" w:tplc="E4FAF836">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3E4FE4"/>
    <w:multiLevelType w:val="hybridMultilevel"/>
    <w:tmpl w:val="42E48C1A"/>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6A1C90"/>
    <w:multiLevelType w:val="hybridMultilevel"/>
    <w:tmpl w:val="0F80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A7B7C"/>
    <w:multiLevelType w:val="hybridMultilevel"/>
    <w:tmpl w:val="4DB0E378"/>
    <w:lvl w:ilvl="0" w:tplc="18001D06">
      <w:start w:val="1"/>
      <w:numFmt w:val="bullet"/>
      <w:lvlText w:val=""/>
      <w:lvlJc w:val="left"/>
      <w:pPr>
        <w:tabs>
          <w:tab w:val="num" w:pos="180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844255"/>
    <w:multiLevelType w:val="hybridMultilevel"/>
    <w:tmpl w:val="EFDEAA7C"/>
    <w:lvl w:ilvl="0" w:tplc="18001D06">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1" w15:restartNumberingAfterBreak="0">
    <w:nsid w:val="6E4068C5"/>
    <w:multiLevelType w:val="hybridMultilevel"/>
    <w:tmpl w:val="58BE061C"/>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5E40E2"/>
    <w:multiLevelType w:val="hybridMultilevel"/>
    <w:tmpl w:val="94307160"/>
    <w:lvl w:ilvl="0" w:tplc="18001D06">
      <w:start w:val="1"/>
      <w:numFmt w:val="bullet"/>
      <w:lvlText w:val=""/>
      <w:lvlJc w:val="left"/>
      <w:pPr>
        <w:tabs>
          <w:tab w:val="num" w:pos="2520"/>
        </w:tabs>
        <w:ind w:left="2880" w:hanging="360"/>
      </w:pPr>
      <w:rPr>
        <w:rFonts w:ascii="Wingdings" w:hAnsi="Wingdings" w:hint="default"/>
      </w:rPr>
    </w:lvl>
    <w:lvl w:ilvl="1" w:tplc="CE1A4AC4">
      <w:start w:val="1"/>
      <w:numFmt w:val="bullet"/>
      <w:lvlText w:val="o"/>
      <w:lvlJc w:val="left"/>
      <w:pPr>
        <w:tabs>
          <w:tab w:val="num" w:pos="2160"/>
        </w:tabs>
        <w:ind w:left="2160" w:hanging="360"/>
      </w:pPr>
      <w:rPr>
        <w:rFonts w:ascii="Times New Roman" w:hAnsi="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6F56B40"/>
    <w:multiLevelType w:val="multilevel"/>
    <w:tmpl w:val="94307160"/>
    <w:lvl w:ilvl="0">
      <w:start w:val="1"/>
      <w:numFmt w:val="bullet"/>
      <w:lvlText w:val=""/>
      <w:lvlJc w:val="left"/>
      <w:pPr>
        <w:tabs>
          <w:tab w:val="num" w:pos="2520"/>
        </w:tabs>
        <w:ind w:left="2880" w:hanging="360"/>
      </w:pPr>
      <w:rPr>
        <w:rFonts w:ascii="Wingdings" w:hAnsi="Wingdings" w:hint="default"/>
      </w:rPr>
    </w:lvl>
    <w:lvl w:ilvl="1">
      <w:start w:val="1"/>
      <w:numFmt w:val="bullet"/>
      <w:lvlText w:val="o"/>
      <w:lvlJc w:val="left"/>
      <w:pPr>
        <w:tabs>
          <w:tab w:val="num" w:pos="2160"/>
        </w:tabs>
        <w:ind w:left="2160" w:hanging="360"/>
      </w:pPr>
      <w:rPr>
        <w:rFonts w:ascii="Times New Roman" w:hAnsi="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A2816E0"/>
    <w:multiLevelType w:val="hybridMultilevel"/>
    <w:tmpl w:val="AD9825CC"/>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C40F81"/>
    <w:multiLevelType w:val="hybridMultilevel"/>
    <w:tmpl w:val="E056F190"/>
    <w:lvl w:ilvl="0" w:tplc="18001D06">
      <w:start w:val="1"/>
      <w:numFmt w:val="bullet"/>
      <w:lvlText w:val=""/>
      <w:lvlJc w:val="left"/>
      <w:pPr>
        <w:tabs>
          <w:tab w:val="num" w:pos="720"/>
        </w:tabs>
        <w:ind w:left="108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6" w15:restartNumberingAfterBreak="0">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6"/>
  </w:num>
  <w:num w:numId="2">
    <w:abstractNumId w:val="15"/>
  </w:num>
  <w:num w:numId="3">
    <w:abstractNumId w:val="25"/>
  </w:num>
  <w:num w:numId="4">
    <w:abstractNumId w:val="35"/>
  </w:num>
  <w:num w:numId="5">
    <w:abstractNumId w:val="7"/>
  </w:num>
  <w:num w:numId="6">
    <w:abstractNumId w:val="29"/>
  </w:num>
  <w:num w:numId="7">
    <w:abstractNumId w:val="14"/>
  </w:num>
  <w:num w:numId="8">
    <w:abstractNumId w:val="32"/>
  </w:num>
  <w:num w:numId="9">
    <w:abstractNumId w:val="33"/>
  </w:num>
  <w:num w:numId="10">
    <w:abstractNumId w:val="21"/>
  </w:num>
  <w:num w:numId="11">
    <w:abstractNumId w:val="19"/>
  </w:num>
  <w:num w:numId="12">
    <w:abstractNumId w:val="27"/>
  </w:num>
  <w:num w:numId="13">
    <w:abstractNumId w:val="13"/>
  </w:num>
  <w:num w:numId="14">
    <w:abstractNumId w:val="30"/>
  </w:num>
  <w:num w:numId="15">
    <w:abstractNumId w:val="10"/>
  </w:num>
  <w:num w:numId="16">
    <w:abstractNumId w:val="34"/>
  </w:num>
  <w:num w:numId="17">
    <w:abstractNumId w:val="31"/>
  </w:num>
  <w:num w:numId="18">
    <w:abstractNumId w:val="24"/>
  </w:num>
  <w:num w:numId="19">
    <w:abstractNumId w:val="8"/>
  </w:num>
  <w:num w:numId="20">
    <w:abstractNumId w:val="3"/>
  </w:num>
  <w:num w:numId="21">
    <w:abstractNumId w:val="22"/>
  </w:num>
  <w:num w:numId="22">
    <w:abstractNumId w:val="1"/>
  </w:num>
  <w:num w:numId="23">
    <w:abstractNumId w:val="18"/>
  </w:num>
  <w:num w:numId="24">
    <w:abstractNumId w:val="12"/>
  </w:num>
  <w:num w:numId="25">
    <w:abstractNumId w:val="20"/>
  </w:num>
  <w:num w:numId="26">
    <w:abstractNumId w:val="11"/>
  </w:num>
  <w:num w:numId="27">
    <w:abstractNumId w:val="4"/>
  </w:num>
  <w:num w:numId="28">
    <w:abstractNumId w:val="6"/>
  </w:num>
  <w:num w:numId="29">
    <w:abstractNumId w:val="2"/>
  </w:num>
  <w:num w:numId="30">
    <w:abstractNumId w:val="5"/>
  </w:num>
  <w:num w:numId="31">
    <w:abstractNumId w:val="23"/>
  </w:num>
  <w:num w:numId="32">
    <w:abstractNumId w:val="0"/>
  </w:num>
  <w:num w:numId="33">
    <w:abstractNumId w:val="17"/>
  </w:num>
  <w:num w:numId="34">
    <w:abstractNumId w:val="16"/>
  </w:num>
  <w:num w:numId="35">
    <w:abstractNumId w:val="9"/>
  </w:num>
  <w:num w:numId="36">
    <w:abstractNumId w:val="26"/>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E7"/>
    <w:rsid w:val="00000712"/>
    <w:rsid w:val="00000B97"/>
    <w:rsid w:val="00002552"/>
    <w:rsid w:val="0000293D"/>
    <w:rsid w:val="00004328"/>
    <w:rsid w:val="000049BF"/>
    <w:rsid w:val="00004EF1"/>
    <w:rsid w:val="00007C66"/>
    <w:rsid w:val="00011153"/>
    <w:rsid w:val="000131C6"/>
    <w:rsid w:val="00013DB9"/>
    <w:rsid w:val="000154BF"/>
    <w:rsid w:val="00016437"/>
    <w:rsid w:val="00016686"/>
    <w:rsid w:val="000229F8"/>
    <w:rsid w:val="00022AC4"/>
    <w:rsid w:val="000248E9"/>
    <w:rsid w:val="00025FC7"/>
    <w:rsid w:val="00026C60"/>
    <w:rsid w:val="00027184"/>
    <w:rsid w:val="00027828"/>
    <w:rsid w:val="00030C45"/>
    <w:rsid w:val="00034F69"/>
    <w:rsid w:val="00034F92"/>
    <w:rsid w:val="0003507E"/>
    <w:rsid w:val="00040EC0"/>
    <w:rsid w:val="000415D2"/>
    <w:rsid w:val="00041B3D"/>
    <w:rsid w:val="000449AB"/>
    <w:rsid w:val="000457C8"/>
    <w:rsid w:val="000476C9"/>
    <w:rsid w:val="00047D38"/>
    <w:rsid w:val="00047D5B"/>
    <w:rsid w:val="000508B1"/>
    <w:rsid w:val="00050BDD"/>
    <w:rsid w:val="00050DC9"/>
    <w:rsid w:val="00050E81"/>
    <w:rsid w:val="00051D71"/>
    <w:rsid w:val="000537BD"/>
    <w:rsid w:val="00060340"/>
    <w:rsid w:val="00061E56"/>
    <w:rsid w:val="000654A3"/>
    <w:rsid w:val="00065BCD"/>
    <w:rsid w:val="00066A19"/>
    <w:rsid w:val="00067825"/>
    <w:rsid w:val="0007630B"/>
    <w:rsid w:val="0007662D"/>
    <w:rsid w:val="0008147F"/>
    <w:rsid w:val="000839FC"/>
    <w:rsid w:val="00084A04"/>
    <w:rsid w:val="00085504"/>
    <w:rsid w:val="00085E53"/>
    <w:rsid w:val="00087A4E"/>
    <w:rsid w:val="00092720"/>
    <w:rsid w:val="00094545"/>
    <w:rsid w:val="00096C99"/>
    <w:rsid w:val="000979D2"/>
    <w:rsid w:val="000A44EF"/>
    <w:rsid w:val="000B210E"/>
    <w:rsid w:val="000B3A9F"/>
    <w:rsid w:val="000B4CAB"/>
    <w:rsid w:val="000C161F"/>
    <w:rsid w:val="000C1670"/>
    <w:rsid w:val="000C35AC"/>
    <w:rsid w:val="000C3B72"/>
    <w:rsid w:val="000C5128"/>
    <w:rsid w:val="000C5F8A"/>
    <w:rsid w:val="000C669D"/>
    <w:rsid w:val="000C717F"/>
    <w:rsid w:val="000D4150"/>
    <w:rsid w:val="000E1202"/>
    <w:rsid w:val="000E180B"/>
    <w:rsid w:val="000E50C4"/>
    <w:rsid w:val="000E6E4B"/>
    <w:rsid w:val="000F3933"/>
    <w:rsid w:val="000F4510"/>
    <w:rsid w:val="000F5623"/>
    <w:rsid w:val="000F5FE5"/>
    <w:rsid w:val="000F6E3E"/>
    <w:rsid w:val="00100B20"/>
    <w:rsid w:val="001016CA"/>
    <w:rsid w:val="001022B1"/>
    <w:rsid w:val="00104435"/>
    <w:rsid w:val="001054D1"/>
    <w:rsid w:val="00105DC4"/>
    <w:rsid w:val="00111DD6"/>
    <w:rsid w:val="00112D12"/>
    <w:rsid w:val="001144F6"/>
    <w:rsid w:val="00114A7F"/>
    <w:rsid w:val="00114AEA"/>
    <w:rsid w:val="00114FAD"/>
    <w:rsid w:val="0011700C"/>
    <w:rsid w:val="00122762"/>
    <w:rsid w:val="00123119"/>
    <w:rsid w:val="001241B2"/>
    <w:rsid w:val="001263B8"/>
    <w:rsid w:val="001319A2"/>
    <w:rsid w:val="00136B42"/>
    <w:rsid w:val="00136EE2"/>
    <w:rsid w:val="001376BF"/>
    <w:rsid w:val="001446E4"/>
    <w:rsid w:val="001447FC"/>
    <w:rsid w:val="00144F92"/>
    <w:rsid w:val="0014672C"/>
    <w:rsid w:val="00147EA6"/>
    <w:rsid w:val="001536C7"/>
    <w:rsid w:val="0016146E"/>
    <w:rsid w:val="001634D4"/>
    <w:rsid w:val="001636AA"/>
    <w:rsid w:val="00163B2A"/>
    <w:rsid w:val="0016754F"/>
    <w:rsid w:val="00171551"/>
    <w:rsid w:val="00171982"/>
    <w:rsid w:val="001763A5"/>
    <w:rsid w:val="00176CB3"/>
    <w:rsid w:val="00180444"/>
    <w:rsid w:val="0018184E"/>
    <w:rsid w:val="0018461A"/>
    <w:rsid w:val="00187730"/>
    <w:rsid w:val="00190341"/>
    <w:rsid w:val="0019041B"/>
    <w:rsid w:val="00190CE6"/>
    <w:rsid w:val="00194243"/>
    <w:rsid w:val="00196BBA"/>
    <w:rsid w:val="00196D30"/>
    <w:rsid w:val="001A1374"/>
    <w:rsid w:val="001A22E5"/>
    <w:rsid w:val="001A4D1E"/>
    <w:rsid w:val="001A64CC"/>
    <w:rsid w:val="001A6E33"/>
    <w:rsid w:val="001B2EFD"/>
    <w:rsid w:val="001B48A0"/>
    <w:rsid w:val="001B795C"/>
    <w:rsid w:val="001B7F8A"/>
    <w:rsid w:val="001C13BE"/>
    <w:rsid w:val="001C1A66"/>
    <w:rsid w:val="001C2904"/>
    <w:rsid w:val="001C7500"/>
    <w:rsid w:val="001C784B"/>
    <w:rsid w:val="001D0D7C"/>
    <w:rsid w:val="001D1652"/>
    <w:rsid w:val="001D1AE8"/>
    <w:rsid w:val="001D52C8"/>
    <w:rsid w:val="001D5BBC"/>
    <w:rsid w:val="001D6332"/>
    <w:rsid w:val="001D7194"/>
    <w:rsid w:val="001E14BF"/>
    <w:rsid w:val="001E1A1D"/>
    <w:rsid w:val="001E1B42"/>
    <w:rsid w:val="001E4F1E"/>
    <w:rsid w:val="001E67AF"/>
    <w:rsid w:val="001F15DB"/>
    <w:rsid w:val="001F33DD"/>
    <w:rsid w:val="001F66A8"/>
    <w:rsid w:val="00201555"/>
    <w:rsid w:val="00201E4E"/>
    <w:rsid w:val="00211E23"/>
    <w:rsid w:val="002161E2"/>
    <w:rsid w:val="00216DFE"/>
    <w:rsid w:val="002210CA"/>
    <w:rsid w:val="00221F63"/>
    <w:rsid w:val="00222D99"/>
    <w:rsid w:val="002268E3"/>
    <w:rsid w:val="002301FD"/>
    <w:rsid w:val="00230442"/>
    <w:rsid w:val="00230EBA"/>
    <w:rsid w:val="0023156F"/>
    <w:rsid w:val="00231C84"/>
    <w:rsid w:val="00232334"/>
    <w:rsid w:val="00234EC0"/>
    <w:rsid w:val="002402E0"/>
    <w:rsid w:val="00242787"/>
    <w:rsid w:val="00251ABA"/>
    <w:rsid w:val="00251D5E"/>
    <w:rsid w:val="002529C3"/>
    <w:rsid w:val="00254515"/>
    <w:rsid w:val="002546F6"/>
    <w:rsid w:val="00254DF7"/>
    <w:rsid w:val="0025700C"/>
    <w:rsid w:val="00261201"/>
    <w:rsid w:val="00261932"/>
    <w:rsid w:val="00264E79"/>
    <w:rsid w:val="00264FE4"/>
    <w:rsid w:val="002652E7"/>
    <w:rsid w:val="002655F0"/>
    <w:rsid w:val="00266719"/>
    <w:rsid w:val="00266BCC"/>
    <w:rsid w:val="00270932"/>
    <w:rsid w:val="00272916"/>
    <w:rsid w:val="00276904"/>
    <w:rsid w:val="00277349"/>
    <w:rsid w:val="00277550"/>
    <w:rsid w:val="00280239"/>
    <w:rsid w:val="00281937"/>
    <w:rsid w:val="00281ECE"/>
    <w:rsid w:val="00283020"/>
    <w:rsid w:val="002832E8"/>
    <w:rsid w:val="00286780"/>
    <w:rsid w:val="00287BF2"/>
    <w:rsid w:val="00291028"/>
    <w:rsid w:val="0029446F"/>
    <w:rsid w:val="00296442"/>
    <w:rsid w:val="002964DC"/>
    <w:rsid w:val="002969CE"/>
    <w:rsid w:val="002A0690"/>
    <w:rsid w:val="002A22AF"/>
    <w:rsid w:val="002A2C80"/>
    <w:rsid w:val="002A353E"/>
    <w:rsid w:val="002A509A"/>
    <w:rsid w:val="002A74E2"/>
    <w:rsid w:val="002B0C6A"/>
    <w:rsid w:val="002B1641"/>
    <w:rsid w:val="002B404D"/>
    <w:rsid w:val="002B619D"/>
    <w:rsid w:val="002B6C38"/>
    <w:rsid w:val="002C18A9"/>
    <w:rsid w:val="002C241A"/>
    <w:rsid w:val="002C3D86"/>
    <w:rsid w:val="002C6363"/>
    <w:rsid w:val="002C79BD"/>
    <w:rsid w:val="002D128A"/>
    <w:rsid w:val="002D3A07"/>
    <w:rsid w:val="002D54C5"/>
    <w:rsid w:val="002D679E"/>
    <w:rsid w:val="002D6BA2"/>
    <w:rsid w:val="002D6E03"/>
    <w:rsid w:val="002E6ED1"/>
    <w:rsid w:val="002E78DE"/>
    <w:rsid w:val="002E79FB"/>
    <w:rsid w:val="002E7DC3"/>
    <w:rsid w:val="002F2E51"/>
    <w:rsid w:val="002F6E75"/>
    <w:rsid w:val="003005FA"/>
    <w:rsid w:val="003015F2"/>
    <w:rsid w:val="00301DF2"/>
    <w:rsid w:val="00302A05"/>
    <w:rsid w:val="003045EA"/>
    <w:rsid w:val="00304E2A"/>
    <w:rsid w:val="00306EF8"/>
    <w:rsid w:val="00310CD1"/>
    <w:rsid w:val="00314327"/>
    <w:rsid w:val="00315827"/>
    <w:rsid w:val="00316CC6"/>
    <w:rsid w:val="0032142F"/>
    <w:rsid w:val="00321898"/>
    <w:rsid w:val="003276B5"/>
    <w:rsid w:val="00327DFF"/>
    <w:rsid w:val="00332138"/>
    <w:rsid w:val="00337E51"/>
    <w:rsid w:val="00340070"/>
    <w:rsid w:val="003408DB"/>
    <w:rsid w:val="00342508"/>
    <w:rsid w:val="00345471"/>
    <w:rsid w:val="003455BB"/>
    <w:rsid w:val="00346367"/>
    <w:rsid w:val="00346C68"/>
    <w:rsid w:val="00351F37"/>
    <w:rsid w:val="00352195"/>
    <w:rsid w:val="00355B26"/>
    <w:rsid w:val="003563B7"/>
    <w:rsid w:val="003577CA"/>
    <w:rsid w:val="00363416"/>
    <w:rsid w:val="00363969"/>
    <w:rsid w:val="00364E01"/>
    <w:rsid w:val="00367F69"/>
    <w:rsid w:val="0037163E"/>
    <w:rsid w:val="00373739"/>
    <w:rsid w:val="00374504"/>
    <w:rsid w:val="00376444"/>
    <w:rsid w:val="00376CD6"/>
    <w:rsid w:val="00382C4D"/>
    <w:rsid w:val="00384791"/>
    <w:rsid w:val="00385F86"/>
    <w:rsid w:val="00387516"/>
    <w:rsid w:val="003904CA"/>
    <w:rsid w:val="00390F6E"/>
    <w:rsid w:val="003928C3"/>
    <w:rsid w:val="0039375D"/>
    <w:rsid w:val="0039493A"/>
    <w:rsid w:val="003949C3"/>
    <w:rsid w:val="00395D30"/>
    <w:rsid w:val="00397A0D"/>
    <w:rsid w:val="00397C10"/>
    <w:rsid w:val="003A020B"/>
    <w:rsid w:val="003A043C"/>
    <w:rsid w:val="003A18A7"/>
    <w:rsid w:val="003A3391"/>
    <w:rsid w:val="003A3C74"/>
    <w:rsid w:val="003B0C54"/>
    <w:rsid w:val="003B16D6"/>
    <w:rsid w:val="003B4278"/>
    <w:rsid w:val="003B4997"/>
    <w:rsid w:val="003B602A"/>
    <w:rsid w:val="003C0BEE"/>
    <w:rsid w:val="003C2782"/>
    <w:rsid w:val="003C6C5F"/>
    <w:rsid w:val="003D0D54"/>
    <w:rsid w:val="003D0D96"/>
    <w:rsid w:val="003D1A39"/>
    <w:rsid w:val="003D53D7"/>
    <w:rsid w:val="003D57C5"/>
    <w:rsid w:val="003D7002"/>
    <w:rsid w:val="003D7266"/>
    <w:rsid w:val="003D7C93"/>
    <w:rsid w:val="003E10DE"/>
    <w:rsid w:val="003E2093"/>
    <w:rsid w:val="003F5E12"/>
    <w:rsid w:val="003F5F42"/>
    <w:rsid w:val="00402148"/>
    <w:rsid w:val="00406F33"/>
    <w:rsid w:val="00407398"/>
    <w:rsid w:val="004101F6"/>
    <w:rsid w:val="004121D2"/>
    <w:rsid w:val="004128F2"/>
    <w:rsid w:val="00413DBC"/>
    <w:rsid w:val="004150D5"/>
    <w:rsid w:val="00415690"/>
    <w:rsid w:val="0042081E"/>
    <w:rsid w:val="004268B4"/>
    <w:rsid w:val="00427339"/>
    <w:rsid w:val="00430A31"/>
    <w:rsid w:val="00432C10"/>
    <w:rsid w:val="00435CAB"/>
    <w:rsid w:val="00436EDE"/>
    <w:rsid w:val="004378DB"/>
    <w:rsid w:val="004405D3"/>
    <w:rsid w:val="00440B9B"/>
    <w:rsid w:val="00443BA6"/>
    <w:rsid w:val="00445A65"/>
    <w:rsid w:val="00447D49"/>
    <w:rsid w:val="004509BB"/>
    <w:rsid w:val="00450DBB"/>
    <w:rsid w:val="004516A2"/>
    <w:rsid w:val="00452B5A"/>
    <w:rsid w:val="00453505"/>
    <w:rsid w:val="00453866"/>
    <w:rsid w:val="00456D1E"/>
    <w:rsid w:val="0046160D"/>
    <w:rsid w:val="00462093"/>
    <w:rsid w:val="00463B85"/>
    <w:rsid w:val="00465B88"/>
    <w:rsid w:val="0046717C"/>
    <w:rsid w:val="00467841"/>
    <w:rsid w:val="00470844"/>
    <w:rsid w:val="0047175A"/>
    <w:rsid w:val="00476FA9"/>
    <w:rsid w:val="00481C2C"/>
    <w:rsid w:val="00482517"/>
    <w:rsid w:val="004852FF"/>
    <w:rsid w:val="00485447"/>
    <w:rsid w:val="0048679D"/>
    <w:rsid w:val="00486A50"/>
    <w:rsid w:val="004873F0"/>
    <w:rsid w:val="004874F5"/>
    <w:rsid w:val="00487E1B"/>
    <w:rsid w:val="00490D6C"/>
    <w:rsid w:val="00490F93"/>
    <w:rsid w:val="00491D7C"/>
    <w:rsid w:val="00492B94"/>
    <w:rsid w:val="004A0177"/>
    <w:rsid w:val="004A01B8"/>
    <w:rsid w:val="004A031C"/>
    <w:rsid w:val="004A0A7C"/>
    <w:rsid w:val="004A47FA"/>
    <w:rsid w:val="004A64E7"/>
    <w:rsid w:val="004A7219"/>
    <w:rsid w:val="004B0586"/>
    <w:rsid w:val="004B228F"/>
    <w:rsid w:val="004B2322"/>
    <w:rsid w:val="004B4726"/>
    <w:rsid w:val="004B6A1D"/>
    <w:rsid w:val="004C16AE"/>
    <w:rsid w:val="004C1EE6"/>
    <w:rsid w:val="004C2513"/>
    <w:rsid w:val="004C27CA"/>
    <w:rsid w:val="004C2A3E"/>
    <w:rsid w:val="004C2A86"/>
    <w:rsid w:val="004C308C"/>
    <w:rsid w:val="004C4678"/>
    <w:rsid w:val="004C5162"/>
    <w:rsid w:val="004D32ED"/>
    <w:rsid w:val="004D3C0C"/>
    <w:rsid w:val="004D7061"/>
    <w:rsid w:val="004E0A87"/>
    <w:rsid w:val="004E17EC"/>
    <w:rsid w:val="004E282B"/>
    <w:rsid w:val="004E3347"/>
    <w:rsid w:val="004E3CBA"/>
    <w:rsid w:val="004E46DB"/>
    <w:rsid w:val="004E516F"/>
    <w:rsid w:val="004E5860"/>
    <w:rsid w:val="004E6F7E"/>
    <w:rsid w:val="004E6F98"/>
    <w:rsid w:val="004E6FBD"/>
    <w:rsid w:val="004E71CC"/>
    <w:rsid w:val="004F0284"/>
    <w:rsid w:val="004F0B92"/>
    <w:rsid w:val="004F1FE0"/>
    <w:rsid w:val="004F2B68"/>
    <w:rsid w:val="004F41FD"/>
    <w:rsid w:val="004F699B"/>
    <w:rsid w:val="00501D46"/>
    <w:rsid w:val="005050D2"/>
    <w:rsid w:val="00506202"/>
    <w:rsid w:val="0050727A"/>
    <w:rsid w:val="00507BED"/>
    <w:rsid w:val="00516168"/>
    <w:rsid w:val="00520D07"/>
    <w:rsid w:val="005211D8"/>
    <w:rsid w:val="00521210"/>
    <w:rsid w:val="00526044"/>
    <w:rsid w:val="00527305"/>
    <w:rsid w:val="00527601"/>
    <w:rsid w:val="005303C6"/>
    <w:rsid w:val="005309FD"/>
    <w:rsid w:val="00533000"/>
    <w:rsid w:val="0053442A"/>
    <w:rsid w:val="00534919"/>
    <w:rsid w:val="0053728B"/>
    <w:rsid w:val="0054037A"/>
    <w:rsid w:val="00542077"/>
    <w:rsid w:val="005425FD"/>
    <w:rsid w:val="0054795A"/>
    <w:rsid w:val="00550446"/>
    <w:rsid w:val="00552216"/>
    <w:rsid w:val="00552CF3"/>
    <w:rsid w:val="00557A06"/>
    <w:rsid w:val="0056295F"/>
    <w:rsid w:val="0056496A"/>
    <w:rsid w:val="00564C04"/>
    <w:rsid w:val="00565D98"/>
    <w:rsid w:val="00570C97"/>
    <w:rsid w:val="005734E3"/>
    <w:rsid w:val="00575698"/>
    <w:rsid w:val="00575CBC"/>
    <w:rsid w:val="00576310"/>
    <w:rsid w:val="0057705C"/>
    <w:rsid w:val="00577229"/>
    <w:rsid w:val="0058048A"/>
    <w:rsid w:val="0058143F"/>
    <w:rsid w:val="00581622"/>
    <w:rsid w:val="00583523"/>
    <w:rsid w:val="005863C9"/>
    <w:rsid w:val="00587508"/>
    <w:rsid w:val="005906CC"/>
    <w:rsid w:val="005911D8"/>
    <w:rsid w:val="0059242E"/>
    <w:rsid w:val="00592C52"/>
    <w:rsid w:val="00596756"/>
    <w:rsid w:val="005A4509"/>
    <w:rsid w:val="005A4874"/>
    <w:rsid w:val="005A5073"/>
    <w:rsid w:val="005A5304"/>
    <w:rsid w:val="005A5AF1"/>
    <w:rsid w:val="005A7DB0"/>
    <w:rsid w:val="005B06C3"/>
    <w:rsid w:val="005B2369"/>
    <w:rsid w:val="005B3994"/>
    <w:rsid w:val="005B3BAA"/>
    <w:rsid w:val="005B5DD9"/>
    <w:rsid w:val="005C1319"/>
    <w:rsid w:val="005C41EF"/>
    <w:rsid w:val="005C682A"/>
    <w:rsid w:val="005D1453"/>
    <w:rsid w:val="005D2E54"/>
    <w:rsid w:val="005D500A"/>
    <w:rsid w:val="005D6020"/>
    <w:rsid w:val="005D7294"/>
    <w:rsid w:val="005E325F"/>
    <w:rsid w:val="005E5135"/>
    <w:rsid w:val="005E57CF"/>
    <w:rsid w:val="005E6CE0"/>
    <w:rsid w:val="005E6DF7"/>
    <w:rsid w:val="005E7ADD"/>
    <w:rsid w:val="005F14DB"/>
    <w:rsid w:val="005F28BD"/>
    <w:rsid w:val="005F2B49"/>
    <w:rsid w:val="005F3EC3"/>
    <w:rsid w:val="005F4C10"/>
    <w:rsid w:val="005F5BED"/>
    <w:rsid w:val="005F68D0"/>
    <w:rsid w:val="005F7DA7"/>
    <w:rsid w:val="005F7FE2"/>
    <w:rsid w:val="00600665"/>
    <w:rsid w:val="0060070B"/>
    <w:rsid w:val="00600E1F"/>
    <w:rsid w:val="00601CA3"/>
    <w:rsid w:val="00604C8F"/>
    <w:rsid w:val="00605897"/>
    <w:rsid w:val="006066C1"/>
    <w:rsid w:val="006070AC"/>
    <w:rsid w:val="006101E7"/>
    <w:rsid w:val="006110DB"/>
    <w:rsid w:val="00614848"/>
    <w:rsid w:val="006168CA"/>
    <w:rsid w:val="00621DA3"/>
    <w:rsid w:val="00621E5B"/>
    <w:rsid w:val="0062406E"/>
    <w:rsid w:val="00624811"/>
    <w:rsid w:val="006332A2"/>
    <w:rsid w:val="006347AB"/>
    <w:rsid w:val="00635789"/>
    <w:rsid w:val="006401F4"/>
    <w:rsid w:val="00640AB3"/>
    <w:rsid w:val="006416C5"/>
    <w:rsid w:val="00641DB7"/>
    <w:rsid w:val="0064375E"/>
    <w:rsid w:val="00643A47"/>
    <w:rsid w:val="00645A62"/>
    <w:rsid w:val="00651582"/>
    <w:rsid w:val="006522DB"/>
    <w:rsid w:val="00655518"/>
    <w:rsid w:val="0065646D"/>
    <w:rsid w:val="00656DD2"/>
    <w:rsid w:val="00657673"/>
    <w:rsid w:val="0066111B"/>
    <w:rsid w:val="0066542F"/>
    <w:rsid w:val="006674E4"/>
    <w:rsid w:val="00670030"/>
    <w:rsid w:val="00670DEA"/>
    <w:rsid w:val="006714D0"/>
    <w:rsid w:val="00676725"/>
    <w:rsid w:val="006801C2"/>
    <w:rsid w:val="00684401"/>
    <w:rsid w:val="006865D8"/>
    <w:rsid w:val="00686C90"/>
    <w:rsid w:val="00686FEB"/>
    <w:rsid w:val="0068795E"/>
    <w:rsid w:val="00690A34"/>
    <w:rsid w:val="00690DD2"/>
    <w:rsid w:val="00692C10"/>
    <w:rsid w:val="006937CE"/>
    <w:rsid w:val="006A16CD"/>
    <w:rsid w:val="006A4428"/>
    <w:rsid w:val="006B0A06"/>
    <w:rsid w:val="006B190C"/>
    <w:rsid w:val="006B1E39"/>
    <w:rsid w:val="006B400C"/>
    <w:rsid w:val="006B5107"/>
    <w:rsid w:val="006B5164"/>
    <w:rsid w:val="006B597F"/>
    <w:rsid w:val="006B6CB0"/>
    <w:rsid w:val="006B7AF8"/>
    <w:rsid w:val="006C0877"/>
    <w:rsid w:val="006C15D9"/>
    <w:rsid w:val="006C2E47"/>
    <w:rsid w:val="006C3775"/>
    <w:rsid w:val="006C62D5"/>
    <w:rsid w:val="006C7321"/>
    <w:rsid w:val="006D10C7"/>
    <w:rsid w:val="006D1711"/>
    <w:rsid w:val="006D22EE"/>
    <w:rsid w:val="006D2C5F"/>
    <w:rsid w:val="006D6AE3"/>
    <w:rsid w:val="006E0ADD"/>
    <w:rsid w:val="006E1651"/>
    <w:rsid w:val="006E40DA"/>
    <w:rsid w:val="006E59B9"/>
    <w:rsid w:val="006F1C14"/>
    <w:rsid w:val="006F56A5"/>
    <w:rsid w:val="006F5FB9"/>
    <w:rsid w:val="006F6C3C"/>
    <w:rsid w:val="006F6C69"/>
    <w:rsid w:val="006F6E03"/>
    <w:rsid w:val="00703046"/>
    <w:rsid w:val="007032FA"/>
    <w:rsid w:val="007054B7"/>
    <w:rsid w:val="0070665F"/>
    <w:rsid w:val="00710506"/>
    <w:rsid w:val="00710686"/>
    <w:rsid w:val="0071092F"/>
    <w:rsid w:val="00713195"/>
    <w:rsid w:val="007139B6"/>
    <w:rsid w:val="00714EFA"/>
    <w:rsid w:val="007157FA"/>
    <w:rsid w:val="00715F63"/>
    <w:rsid w:val="007162A9"/>
    <w:rsid w:val="00717B3D"/>
    <w:rsid w:val="00720164"/>
    <w:rsid w:val="007217A6"/>
    <w:rsid w:val="00721C95"/>
    <w:rsid w:val="00724072"/>
    <w:rsid w:val="00725F8B"/>
    <w:rsid w:val="00737F30"/>
    <w:rsid w:val="0074137E"/>
    <w:rsid w:val="0074173F"/>
    <w:rsid w:val="00742D8E"/>
    <w:rsid w:val="00743C6F"/>
    <w:rsid w:val="007465A0"/>
    <w:rsid w:val="00751CAF"/>
    <w:rsid w:val="00752375"/>
    <w:rsid w:val="007530AE"/>
    <w:rsid w:val="007538A1"/>
    <w:rsid w:val="007573E0"/>
    <w:rsid w:val="0075784F"/>
    <w:rsid w:val="0076013F"/>
    <w:rsid w:val="00765563"/>
    <w:rsid w:val="007666D6"/>
    <w:rsid w:val="00766B95"/>
    <w:rsid w:val="007711B9"/>
    <w:rsid w:val="0077182A"/>
    <w:rsid w:val="007718BC"/>
    <w:rsid w:val="007754B5"/>
    <w:rsid w:val="007759B5"/>
    <w:rsid w:val="00780E38"/>
    <w:rsid w:val="0078104F"/>
    <w:rsid w:val="0078155C"/>
    <w:rsid w:val="00782C2A"/>
    <w:rsid w:val="0078315C"/>
    <w:rsid w:val="007834BE"/>
    <w:rsid w:val="00784632"/>
    <w:rsid w:val="0078504D"/>
    <w:rsid w:val="00785DBF"/>
    <w:rsid w:val="0079159E"/>
    <w:rsid w:val="007916A9"/>
    <w:rsid w:val="007925D1"/>
    <w:rsid w:val="00794039"/>
    <w:rsid w:val="00794CF6"/>
    <w:rsid w:val="0079741B"/>
    <w:rsid w:val="00797985"/>
    <w:rsid w:val="007A30C0"/>
    <w:rsid w:val="007A43B0"/>
    <w:rsid w:val="007A50A6"/>
    <w:rsid w:val="007A764E"/>
    <w:rsid w:val="007A7CC3"/>
    <w:rsid w:val="007B0120"/>
    <w:rsid w:val="007C2164"/>
    <w:rsid w:val="007C35EA"/>
    <w:rsid w:val="007C3D2F"/>
    <w:rsid w:val="007C6691"/>
    <w:rsid w:val="007C6A52"/>
    <w:rsid w:val="007C7990"/>
    <w:rsid w:val="007D301E"/>
    <w:rsid w:val="007D5C22"/>
    <w:rsid w:val="007D6742"/>
    <w:rsid w:val="007E0F81"/>
    <w:rsid w:val="007E3135"/>
    <w:rsid w:val="007E37FA"/>
    <w:rsid w:val="007E6A42"/>
    <w:rsid w:val="007E6B6C"/>
    <w:rsid w:val="007E6D05"/>
    <w:rsid w:val="007E7040"/>
    <w:rsid w:val="007F16FA"/>
    <w:rsid w:val="007F1E60"/>
    <w:rsid w:val="007F25B6"/>
    <w:rsid w:val="007F4945"/>
    <w:rsid w:val="007F77B1"/>
    <w:rsid w:val="007F7CCC"/>
    <w:rsid w:val="00802A17"/>
    <w:rsid w:val="008034F4"/>
    <w:rsid w:val="00806671"/>
    <w:rsid w:val="0081047B"/>
    <w:rsid w:val="008105B4"/>
    <w:rsid w:val="00811826"/>
    <w:rsid w:val="008157C9"/>
    <w:rsid w:val="00820194"/>
    <w:rsid w:val="00823CF1"/>
    <w:rsid w:val="00823E1B"/>
    <w:rsid w:val="00824FC5"/>
    <w:rsid w:val="008279A3"/>
    <w:rsid w:val="008307FF"/>
    <w:rsid w:val="0083302A"/>
    <w:rsid w:val="008352FD"/>
    <w:rsid w:val="00835C5F"/>
    <w:rsid w:val="008360E6"/>
    <w:rsid w:val="008363BE"/>
    <w:rsid w:val="008368E7"/>
    <w:rsid w:val="00842882"/>
    <w:rsid w:val="0085289A"/>
    <w:rsid w:val="00852D14"/>
    <w:rsid w:val="008544F0"/>
    <w:rsid w:val="00855581"/>
    <w:rsid w:val="00855BF7"/>
    <w:rsid w:val="00857B21"/>
    <w:rsid w:val="0086060C"/>
    <w:rsid w:val="00861B6F"/>
    <w:rsid w:val="00862E8B"/>
    <w:rsid w:val="00864078"/>
    <w:rsid w:val="00864A56"/>
    <w:rsid w:val="00864FF2"/>
    <w:rsid w:val="008659EC"/>
    <w:rsid w:val="00877B92"/>
    <w:rsid w:val="00882D31"/>
    <w:rsid w:val="008848B4"/>
    <w:rsid w:val="0088663F"/>
    <w:rsid w:val="00886765"/>
    <w:rsid w:val="008875E0"/>
    <w:rsid w:val="00887736"/>
    <w:rsid w:val="00887A0B"/>
    <w:rsid w:val="00887A4D"/>
    <w:rsid w:val="00894329"/>
    <w:rsid w:val="008A0337"/>
    <w:rsid w:val="008A1CA9"/>
    <w:rsid w:val="008A4253"/>
    <w:rsid w:val="008A6D47"/>
    <w:rsid w:val="008B22F0"/>
    <w:rsid w:val="008B309A"/>
    <w:rsid w:val="008B66D3"/>
    <w:rsid w:val="008B6AD3"/>
    <w:rsid w:val="008C1F04"/>
    <w:rsid w:val="008C232E"/>
    <w:rsid w:val="008C2A94"/>
    <w:rsid w:val="008C405D"/>
    <w:rsid w:val="008C61F1"/>
    <w:rsid w:val="008C7B35"/>
    <w:rsid w:val="008D0AA3"/>
    <w:rsid w:val="008D10DB"/>
    <w:rsid w:val="008D4661"/>
    <w:rsid w:val="008D470A"/>
    <w:rsid w:val="008D48CA"/>
    <w:rsid w:val="008D62CD"/>
    <w:rsid w:val="008D6963"/>
    <w:rsid w:val="008D6C03"/>
    <w:rsid w:val="008D739A"/>
    <w:rsid w:val="008D754A"/>
    <w:rsid w:val="008E0E22"/>
    <w:rsid w:val="008E263C"/>
    <w:rsid w:val="008E4049"/>
    <w:rsid w:val="008E5170"/>
    <w:rsid w:val="008E5DC1"/>
    <w:rsid w:val="008E7C8F"/>
    <w:rsid w:val="008F0F8E"/>
    <w:rsid w:val="008F1395"/>
    <w:rsid w:val="008F3A83"/>
    <w:rsid w:val="008F442F"/>
    <w:rsid w:val="008F5369"/>
    <w:rsid w:val="008F604C"/>
    <w:rsid w:val="008F764E"/>
    <w:rsid w:val="00901DF0"/>
    <w:rsid w:val="009022A9"/>
    <w:rsid w:val="0090269B"/>
    <w:rsid w:val="00902B14"/>
    <w:rsid w:val="00911E96"/>
    <w:rsid w:val="00916E72"/>
    <w:rsid w:val="00916FBD"/>
    <w:rsid w:val="00920262"/>
    <w:rsid w:val="0092172C"/>
    <w:rsid w:val="00922826"/>
    <w:rsid w:val="00923893"/>
    <w:rsid w:val="00927C53"/>
    <w:rsid w:val="00934618"/>
    <w:rsid w:val="00934796"/>
    <w:rsid w:val="00934A86"/>
    <w:rsid w:val="00934A91"/>
    <w:rsid w:val="00935C1C"/>
    <w:rsid w:val="009361C8"/>
    <w:rsid w:val="009366AD"/>
    <w:rsid w:val="00937E8C"/>
    <w:rsid w:val="00940EE5"/>
    <w:rsid w:val="0094156F"/>
    <w:rsid w:val="009443F5"/>
    <w:rsid w:val="00945379"/>
    <w:rsid w:val="0094556C"/>
    <w:rsid w:val="00950D19"/>
    <w:rsid w:val="0095135E"/>
    <w:rsid w:val="00951C9E"/>
    <w:rsid w:val="00955DF5"/>
    <w:rsid w:val="00955FD7"/>
    <w:rsid w:val="0096087A"/>
    <w:rsid w:val="00966F3F"/>
    <w:rsid w:val="009702C5"/>
    <w:rsid w:val="009716C1"/>
    <w:rsid w:val="0097357D"/>
    <w:rsid w:val="00973873"/>
    <w:rsid w:val="00974480"/>
    <w:rsid w:val="00974DD8"/>
    <w:rsid w:val="009761BC"/>
    <w:rsid w:val="009779DF"/>
    <w:rsid w:val="009800F7"/>
    <w:rsid w:val="009828EB"/>
    <w:rsid w:val="00982B8C"/>
    <w:rsid w:val="009860B3"/>
    <w:rsid w:val="00990CC5"/>
    <w:rsid w:val="009932EF"/>
    <w:rsid w:val="009935C2"/>
    <w:rsid w:val="00993DDA"/>
    <w:rsid w:val="009957C1"/>
    <w:rsid w:val="009A0AFA"/>
    <w:rsid w:val="009A3075"/>
    <w:rsid w:val="009A5664"/>
    <w:rsid w:val="009A5ED8"/>
    <w:rsid w:val="009B0A55"/>
    <w:rsid w:val="009B12EE"/>
    <w:rsid w:val="009B1DB1"/>
    <w:rsid w:val="009B65FF"/>
    <w:rsid w:val="009B6E4C"/>
    <w:rsid w:val="009C07DC"/>
    <w:rsid w:val="009C1272"/>
    <w:rsid w:val="009C184F"/>
    <w:rsid w:val="009C1B44"/>
    <w:rsid w:val="009C3691"/>
    <w:rsid w:val="009C3DBE"/>
    <w:rsid w:val="009C50E8"/>
    <w:rsid w:val="009C5CA9"/>
    <w:rsid w:val="009C7B97"/>
    <w:rsid w:val="009D15F1"/>
    <w:rsid w:val="009D4460"/>
    <w:rsid w:val="009D53F2"/>
    <w:rsid w:val="009D768A"/>
    <w:rsid w:val="009E215B"/>
    <w:rsid w:val="009E7D87"/>
    <w:rsid w:val="009F000C"/>
    <w:rsid w:val="009F0BFA"/>
    <w:rsid w:val="009F65AD"/>
    <w:rsid w:val="009F765C"/>
    <w:rsid w:val="00A006D6"/>
    <w:rsid w:val="00A00C1C"/>
    <w:rsid w:val="00A07587"/>
    <w:rsid w:val="00A102AC"/>
    <w:rsid w:val="00A1510F"/>
    <w:rsid w:val="00A160F6"/>
    <w:rsid w:val="00A20F4B"/>
    <w:rsid w:val="00A22797"/>
    <w:rsid w:val="00A22ACD"/>
    <w:rsid w:val="00A2332E"/>
    <w:rsid w:val="00A2409F"/>
    <w:rsid w:val="00A24D57"/>
    <w:rsid w:val="00A2624E"/>
    <w:rsid w:val="00A26618"/>
    <w:rsid w:val="00A269F4"/>
    <w:rsid w:val="00A273EE"/>
    <w:rsid w:val="00A311B4"/>
    <w:rsid w:val="00A34D2D"/>
    <w:rsid w:val="00A34E11"/>
    <w:rsid w:val="00A36AB5"/>
    <w:rsid w:val="00A41B8D"/>
    <w:rsid w:val="00A4200D"/>
    <w:rsid w:val="00A422DD"/>
    <w:rsid w:val="00A42662"/>
    <w:rsid w:val="00A46244"/>
    <w:rsid w:val="00A46F5C"/>
    <w:rsid w:val="00A5141B"/>
    <w:rsid w:val="00A5156F"/>
    <w:rsid w:val="00A54509"/>
    <w:rsid w:val="00A5550B"/>
    <w:rsid w:val="00A6026E"/>
    <w:rsid w:val="00A60A78"/>
    <w:rsid w:val="00A64318"/>
    <w:rsid w:val="00A66647"/>
    <w:rsid w:val="00A83CA5"/>
    <w:rsid w:val="00A84F20"/>
    <w:rsid w:val="00A85784"/>
    <w:rsid w:val="00A90F71"/>
    <w:rsid w:val="00A92A3F"/>
    <w:rsid w:val="00A9394A"/>
    <w:rsid w:val="00A94D68"/>
    <w:rsid w:val="00A95A7A"/>
    <w:rsid w:val="00A96B3D"/>
    <w:rsid w:val="00AA0F74"/>
    <w:rsid w:val="00AA1E5C"/>
    <w:rsid w:val="00AA294C"/>
    <w:rsid w:val="00AA37DC"/>
    <w:rsid w:val="00AA5CA3"/>
    <w:rsid w:val="00AA698E"/>
    <w:rsid w:val="00AB27CD"/>
    <w:rsid w:val="00AB31AD"/>
    <w:rsid w:val="00AB4099"/>
    <w:rsid w:val="00AB46C4"/>
    <w:rsid w:val="00AB6DB3"/>
    <w:rsid w:val="00AB6DF6"/>
    <w:rsid w:val="00AB7196"/>
    <w:rsid w:val="00AC119C"/>
    <w:rsid w:val="00AC1BFD"/>
    <w:rsid w:val="00AC2147"/>
    <w:rsid w:val="00AC5BAE"/>
    <w:rsid w:val="00AC5C80"/>
    <w:rsid w:val="00AD047E"/>
    <w:rsid w:val="00AD085C"/>
    <w:rsid w:val="00AD3581"/>
    <w:rsid w:val="00AE083F"/>
    <w:rsid w:val="00AE2FB0"/>
    <w:rsid w:val="00AE3F0C"/>
    <w:rsid w:val="00AE6711"/>
    <w:rsid w:val="00AE69EE"/>
    <w:rsid w:val="00AF18D5"/>
    <w:rsid w:val="00AF2124"/>
    <w:rsid w:val="00AF3B03"/>
    <w:rsid w:val="00AF44B0"/>
    <w:rsid w:val="00AF4FD4"/>
    <w:rsid w:val="00AF50C4"/>
    <w:rsid w:val="00AF5989"/>
    <w:rsid w:val="00AF6357"/>
    <w:rsid w:val="00AF7699"/>
    <w:rsid w:val="00AF7A33"/>
    <w:rsid w:val="00B03C1B"/>
    <w:rsid w:val="00B064DF"/>
    <w:rsid w:val="00B06B37"/>
    <w:rsid w:val="00B125DB"/>
    <w:rsid w:val="00B14B5E"/>
    <w:rsid w:val="00B167B0"/>
    <w:rsid w:val="00B22611"/>
    <w:rsid w:val="00B22787"/>
    <w:rsid w:val="00B24394"/>
    <w:rsid w:val="00B260A8"/>
    <w:rsid w:val="00B305E5"/>
    <w:rsid w:val="00B36420"/>
    <w:rsid w:val="00B365A8"/>
    <w:rsid w:val="00B36608"/>
    <w:rsid w:val="00B4029F"/>
    <w:rsid w:val="00B41F47"/>
    <w:rsid w:val="00B41FF5"/>
    <w:rsid w:val="00B4317B"/>
    <w:rsid w:val="00B45531"/>
    <w:rsid w:val="00B46C31"/>
    <w:rsid w:val="00B50780"/>
    <w:rsid w:val="00B5136E"/>
    <w:rsid w:val="00B55212"/>
    <w:rsid w:val="00B558A3"/>
    <w:rsid w:val="00B55A89"/>
    <w:rsid w:val="00B56727"/>
    <w:rsid w:val="00B646AA"/>
    <w:rsid w:val="00B6474C"/>
    <w:rsid w:val="00B64A68"/>
    <w:rsid w:val="00B65393"/>
    <w:rsid w:val="00B65AE9"/>
    <w:rsid w:val="00B6688E"/>
    <w:rsid w:val="00B6771C"/>
    <w:rsid w:val="00B704C9"/>
    <w:rsid w:val="00B71B4F"/>
    <w:rsid w:val="00B7265C"/>
    <w:rsid w:val="00B776DA"/>
    <w:rsid w:val="00B80CB6"/>
    <w:rsid w:val="00B81DC1"/>
    <w:rsid w:val="00B82AF9"/>
    <w:rsid w:val="00B8512D"/>
    <w:rsid w:val="00B862EB"/>
    <w:rsid w:val="00B90B22"/>
    <w:rsid w:val="00B93988"/>
    <w:rsid w:val="00BA0445"/>
    <w:rsid w:val="00BA1472"/>
    <w:rsid w:val="00BA30AE"/>
    <w:rsid w:val="00BA5522"/>
    <w:rsid w:val="00BA5797"/>
    <w:rsid w:val="00BA5DE0"/>
    <w:rsid w:val="00BA6E74"/>
    <w:rsid w:val="00BB37A0"/>
    <w:rsid w:val="00BB5847"/>
    <w:rsid w:val="00BC032B"/>
    <w:rsid w:val="00BC1F98"/>
    <w:rsid w:val="00BC36A1"/>
    <w:rsid w:val="00BC52DD"/>
    <w:rsid w:val="00BC5F40"/>
    <w:rsid w:val="00BC72CF"/>
    <w:rsid w:val="00BC7E9B"/>
    <w:rsid w:val="00BD2B99"/>
    <w:rsid w:val="00BD31AB"/>
    <w:rsid w:val="00BD40D7"/>
    <w:rsid w:val="00BD7BDC"/>
    <w:rsid w:val="00BE1204"/>
    <w:rsid w:val="00BE2C3B"/>
    <w:rsid w:val="00BE3069"/>
    <w:rsid w:val="00BE35B1"/>
    <w:rsid w:val="00BE3BA8"/>
    <w:rsid w:val="00BE7412"/>
    <w:rsid w:val="00BF009E"/>
    <w:rsid w:val="00BF2B06"/>
    <w:rsid w:val="00BF2CE2"/>
    <w:rsid w:val="00BF47C3"/>
    <w:rsid w:val="00BF4DCC"/>
    <w:rsid w:val="00C0252A"/>
    <w:rsid w:val="00C0383F"/>
    <w:rsid w:val="00C04D36"/>
    <w:rsid w:val="00C05B74"/>
    <w:rsid w:val="00C074F0"/>
    <w:rsid w:val="00C07B0A"/>
    <w:rsid w:val="00C12E52"/>
    <w:rsid w:val="00C16A9E"/>
    <w:rsid w:val="00C17350"/>
    <w:rsid w:val="00C173FE"/>
    <w:rsid w:val="00C20F4B"/>
    <w:rsid w:val="00C2325B"/>
    <w:rsid w:val="00C24576"/>
    <w:rsid w:val="00C25AFE"/>
    <w:rsid w:val="00C26BAF"/>
    <w:rsid w:val="00C31E5C"/>
    <w:rsid w:val="00C3460F"/>
    <w:rsid w:val="00C34BED"/>
    <w:rsid w:val="00C34F01"/>
    <w:rsid w:val="00C35979"/>
    <w:rsid w:val="00C37262"/>
    <w:rsid w:val="00C413B9"/>
    <w:rsid w:val="00C419C5"/>
    <w:rsid w:val="00C42375"/>
    <w:rsid w:val="00C439F1"/>
    <w:rsid w:val="00C44D29"/>
    <w:rsid w:val="00C46B6F"/>
    <w:rsid w:val="00C51C19"/>
    <w:rsid w:val="00C524E3"/>
    <w:rsid w:val="00C5347C"/>
    <w:rsid w:val="00C53517"/>
    <w:rsid w:val="00C5355E"/>
    <w:rsid w:val="00C54274"/>
    <w:rsid w:val="00C54D43"/>
    <w:rsid w:val="00C55263"/>
    <w:rsid w:val="00C57698"/>
    <w:rsid w:val="00C63A90"/>
    <w:rsid w:val="00C64DA1"/>
    <w:rsid w:val="00C66AE1"/>
    <w:rsid w:val="00C7173B"/>
    <w:rsid w:val="00C72ED0"/>
    <w:rsid w:val="00C730CB"/>
    <w:rsid w:val="00C76002"/>
    <w:rsid w:val="00C7662B"/>
    <w:rsid w:val="00C80247"/>
    <w:rsid w:val="00C85524"/>
    <w:rsid w:val="00C85C4B"/>
    <w:rsid w:val="00C86212"/>
    <w:rsid w:val="00C863C5"/>
    <w:rsid w:val="00C902C9"/>
    <w:rsid w:val="00C90CCD"/>
    <w:rsid w:val="00C940B5"/>
    <w:rsid w:val="00C946F9"/>
    <w:rsid w:val="00C96678"/>
    <w:rsid w:val="00CA03E4"/>
    <w:rsid w:val="00CA1122"/>
    <w:rsid w:val="00CB13FC"/>
    <w:rsid w:val="00CB258C"/>
    <w:rsid w:val="00CB2840"/>
    <w:rsid w:val="00CC28B5"/>
    <w:rsid w:val="00CC2C06"/>
    <w:rsid w:val="00CC3BBC"/>
    <w:rsid w:val="00CC6692"/>
    <w:rsid w:val="00CC712C"/>
    <w:rsid w:val="00CD1569"/>
    <w:rsid w:val="00CD3F5B"/>
    <w:rsid w:val="00CD4136"/>
    <w:rsid w:val="00CE0545"/>
    <w:rsid w:val="00CE1EFE"/>
    <w:rsid w:val="00CE2990"/>
    <w:rsid w:val="00CE3779"/>
    <w:rsid w:val="00CE39C6"/>
    <w:rsid w:val="00CE5B83"/>
    <w:rsid w:val="00CE75F4"/>
    <w:rsid w:val="00CE7DB9"/>
    <w:rsid w:val="00CF0006"/>
    <w:rsid w:val="00CF1D6F"/>
    <w:rsid w:val="00CF34BD"/>
    <w:rsid w:val="00CF37D8"/>
    <w:rsid w:val="00CF3932"/>
    <w:rsid w:val="00CF3F3B"/>
    <w:rsid w:val="00CF5301"/>
    <w:rsid w:val="00CF5768"/>
    <w:rsid w:val="00CF5D14"/>
    <w:rsid w:val="00D002FC"/>
    <w:rsid w:val="00D00A42"/>
    <w:rsid w:val="00D012F9"/>
    <w:rsid w:val="00D026F5"/>
    <w:rsid w:val="00D03214"/>
    <w:rsid w:val="00D044EF"/>
    <w:rsid w:val="00D04922"/>
    <w:rsid w:val="00D05657"/>
    <w:rsid w:val="00D109FA"/>
    <w:rsid w:val="00D13A6B"/>
    <w:rsid w:val="00D14474"/>
    <w:rsid w:val="00D16CF8"/>
    <w:rsid w:val="00D17B0A"/>
    <w:rsid w:val="00D17D48"/>
    <w:rsid w:val="00D21D55"/>
    <w:rsid w:val="00D2304F"/>
    <w:rsid w:val="00D245AE"/>
    <w:rsid w:val="00D26C43"/>
    <w:rsid w:val="00D31E8D"/>
    <w:rsid w:val="00D324D4"/>
    <w:rsid w:val="00D3647D"/>
    <w:rsid w:val="00D36D10"/>
    <w:rsid w:val="00D3790C"/>
    <w:rsid w:val="00D37CD1"/>
    <w:rsid w:val="00D4350A"/>
    <w:rsid w:val="00D4573C"/>
    <w:rsid w:val="00D47828"/>
    <w:rsid w:val="00D5063E"/>
    <w:rsid w:val="00D5188A"/>
    <w:rsid w:val="00D6036A"/>
    <w:rsid w:val="00D62D3B"/>
    <w:rsid w:val="00D632FE"/>
    <w:rsid w:val="00D64EBF"/>
    <w:rsid w:val="00D65615"/>
    <w:rsid w:val="00D6606B"/>
    <w:rsid w:val="00D71847"/>
    <w:rsid w:val="00D71F87"/>
    <w:rsid w:val="00D7461B"/>
    <w:rsid w:val="00D76563"/>
    <w:rsid w:val="00D77824"/>
    <w:rsid w:val="00D81758"/>
    <w:rsid w:val="00D821A4"/>
    <w:rsid w:val="00D84E15"/>
    <w:rsid w:val="00D878D6"/>
    <w:rsid w:val="00D90930"/>
    <w:rsid w:val="00D93BB6"/>
    <w:rsid w:val="00D96034"/>
    <w:rsid w:val="00DA1098"/>
    <w:rsid w:val="00DA2550"/>
    <w:rsid w:val="00DA2AAE"/>
    <w:rsid w:val="00DA3033"/>
    <w:rsid w:val="00DA3089"/>
    <w:rsid w:val="00DA3989"/>
    <w:rsid w:val="00DA3B5C"/>
    <w:rsid w:val="00DA6292"/>
    <w:rsid w:val="00DA75F4"/>
    <w:rsid w:val="00DB2D2A"/>
    <w:rsid w:val="00DB3DDB"/>
    <w:rsid w:val="00DB51EA"/>
    <w:rsid w:val="00DC19B6"/>
    <w:rsid w:val="00DC2738"/>
    <w:rsid w:val="00DC32BD"/>
    <w:rsid w:val="00DC3AC5"/>
    <w:rsid w:val="00DC529D"/>
    <w:rsid w:val="00DC659A"/>
    <w:rsid w:val="00DC6C88"/>
    <w:rsid w:val="00DD1855"/>
    <w:rsid w:val="00DD239F"/>
    <w:rsid w:val="00DD3027"/>
    <w:rsid w:val="00DE2A30"/>
    <w:rsid w:val="00DE2E3A"/>
    <w:rsid w:val="00DF0C24"/>
    <w:rsid w:val="00DF5332"/>
    <w:rsid w:val="00E00D00"/>
    <w:rsid w:val="00E01934"/>
    <w:rsid w:val="00E027F1"/>
    <w:rsid w:val="00E02912"/>
    <w:rsid w:val="00E03984"/>
    <w:rsid w:val="00E03E03"/>
    <w:rsid w:val="00E05BF0"/>
    <w:rsid w:val="00E12BC5"/>
    <w:rsid w:val="00E15BE4"/>
    <w:rsid w:val="00E207B5"/>
    <w:rsid w:val="00E23D5D"/>
    <w:rsid w:val="00E24589"/>
    <w:rsid w:val="00E24B7D"/>
    <w:rsid w:val="00E31049"/>
    <w:rsid w:val="00E3215D"/>
    <w:rsid w:val="00E33E6D"/>
    <w:rsid w:val="00E34AA7"/>
    <w:rsid w:val="00E40493"/>
    <w:rsid w:val="00E4260A"/>
    <w:rsid w:val="00E42D01"/>
    <w:rsid w:val="00E5058B"/>
    <w:rsid w:val="00E523DC"/>
    <w:rsid w:val="00E52D87"/>
    <w:rsid w:val="00E56565"/>
    <w:rsid w:val="00E57609"/>
    <w:rsid w:val="00E6004F"/>
    <w:rsid w:val="00E619FB"/>
    <w:rsid w:val="00E61ADC"/>
    <w:rsid w:val="00E675E2"/>
    <w:rsid w:val="00E71899"/>
    <w:rsid w:val="00E7357D"/>
    <w:rsid w:val="00E737DA"/>
    <w:rsid w:val="00E745E2"/>
    <w:rsid w:val="00E74B19"/>
    <w:rsid w:val="00E75B27"/>
    <w:rsid w:val="00E76868"/>
    <w:rsid w:val="00E76B14"/>
    <w:rsid w:val="00E802F5"/>
    <w:rsid w:val="00E80715"/>
    <w:rsid w:val="00E82E7D"/>
    <w:rsid w:val="00E85304"/>
    <w:rsid w:val="00E905B3"/>
    <w:rsid w:val="00E91128"/>
    <w:rsid w:val="00E95513"/>
    <w:rsid w:val="00EA186B"/>
    <w:rsid w:val="00EA3FF3"/>
    <w:rsid w:val="00EA4E62"/>
    <w:rsid w:val="00EA6DD9"/>
    <w:rsid w:val="00EA718C"/>
    <w:rsid w:val="00EA7B5A"/>
    <w:rsid w:val="00EC0A9E"/>
    <w:rsid w:val="00ED10DA"/>
    <w:rsid w:val="00ED1388"/>
    <w:rsid w:val="00ED17C7"/>
    <w:rsid w:val="00ED1E21"/>
    <w:rsid w:val="00ED31BE"/>
    <w:rsid w:val="00ED3C8C"/>
    <w:rsid w:val="00EE3B5C"/>
    <w:rsid w:val="00EE55E4"/>
    <w:rsid w:val="00EE5AB1"/>
    <w:rsid w:val="00EE64D9"/>
    <w:rsid w:val="00EE66FE"/>
    <w:rsid w:val="00EE7C96"/>
    <w:rsid w:val="00EF0457"/>
    <w:rsid w:val="00EF06EA"/>
    <w:rsid w:val="00EF47B1"/>
    <w:rsid w:val="00EF4DEF"/>
    <w:rsid w:val="00EF7D16"/>
    <w:rsid w:val="00F00919"/>
    <w:rsid w:val="00F0590B"/>
    <w:rsid w:val="00F10EE2"/>
    <w:rsid w:val="00F1161B"/>
    <w:rsid w:val="00F12764"/>
    <w:rsid w:val="00F1435B"/>
    <w:rsid w:val="00F20926"/>
    <w:rsid w:val="00F231D9"/>
    <w:rsid w:val="00F2326D"/>
    <w:rsid w:val="00F268D2"/>
    <w:rsid w:val="00F268EB"/>
    <w:rsid w:val="00F275DE"/>
    <w:rsid w:val="00F302D4"/>
    <w:rsid w:val="00F3202F"/>
    <w:rsid w:val="00F3246C"/>
    <w:rsid w:val="00F34E8E"/>
    <w:rsid w:val="00F3539E"/>
    <w:rsid w:val="00F4035E"/>
    <w:rsid w:val="00F41BCE"/>
    <w:rsid w:val="00F42256"/>
    <w:rsid w:val="00F4232D"/>
    <w:rsid w:val="00F441B8"/>
    <w:rsid w:val="00F44AA2"/>
    <w:rsid w:val="00F450E4"/>
    <w:rsid w:val="00F461FC"/>
    <w:rsid w:val="00F50326"/>
    <w:rsid w:val="00F52EA3"/>
    <w:rsid w:val="00F55390"/>
    <w:rsid w:val="00F5698D"/>
    <w:rsid w:val="00F5791B"/>
    <w:rsid w:val="00F64377"/>
    <w:rsid w:val="00F65603"/>
    <w:rsid w:val="00F702A5"/>
    <w:rsid w:val="00F702BC"/>
    <w:rsid w:val="00F770E6"/>
    <w:rsid w:val="00F77A55"/>
    <w:rsid w:val="00F818CE"/>
    <w:rsid w:val="00F8515E"/>
    <w:rsid w:val="00F862B9"/>
    <w:rsid w:val="00F876F6"/>
    <w:rsid w:val="00F90D03"/>
    <w:rsid w:val="00F97879"/>
    <w:rsid w:val="00FA2C24"/>
    <w:rsid w:val="00FA302B"/>
    <w:rsid w:val="00FA4F72"/>
    <w:rsid w:val="00FB15CF"/>
    <w:rsid w:val="00FB1985"/>
    <w:rsid w:val="00FB3643"/>
    <w:rsid w:val="00FB7654"/>
    <w:rsid w:val="00FC4787"/>
    <w:rsid w:val="00FC6BC4"/>
    <w:rsid w:val="00FD252A"/>
    <w:rsid w:val="00FD39FB"/>
    <w:rsid w:val="00FD4D61"/>
    <w:rsid w:val="00FD68AD"/>
    <w:rsid w:val="00FD7834"/>
    <w:rsid w:val="00FE04E1"/>
    <w:rsid w:val="00FE1783"/>
    <w:rsid w:val="00FE22E4"/>
    <w:rsid w:val="00FE59DB"/>
    <w:rsid w:val="00FE7654"/>
    <w:rsid w:val="00FF09A4"/>
    <w:rsid w:val="00FF21D8"/>
    <w:rsid w:val="00FF428B"/>
    <w:rsid w:val="00FF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2AD75CB"/>
  <w15:docId w15:val="{ABA85D21-AAFA-4106-A0A0-C97AE368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D29"/>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CF393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041B3D"/>
    <w:pPr>
      <w:keepNext/>
      <w:spacing w:before="240" w:after="60"/>
      <w:outlineLvl w:val="1"/>
    </w:pPr>
    <w:rPr>
      <w:rFonts w:ascii="Arial" w:hAnsi="Arial" w:cs="Arial"/>
      <w:b/>
      <w:bCs/>
      <w:i/>
      <w:iCs/>
      <w:sz w:val="28"/>
      <w:szCs w:val="28"/>
    </w:rPr>
  </w:style>
  <w:style w:type="paragraph" w:styleId="Heading5">
    <w:name w:val="heading 5"/>
    <w:basedOn w:val="Normal"/>
    <w:link w:val="Heading5Char"/>
    <w:uiPriority w:val="99"/>
    <w:qFormat/>
    <w:rsid w:val="00230EBA"/>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3932"/>
    <w:rPr>
      <w:rFonts w:ascii="Cambria" w:hAnsi="Cambria" w:cs="Times New Roman"/>
      <w:b/>
      <w:bCs/>
      <w:color w:val="365F91"/>
      <w:sz w:val="28"/>
      <w:szCs w:val="28"/>
    </w:rPr>
  </w:style>
  <w:style w:type="character" w:customStyle="1" w:styleId="Heading2Char">
    <w:name w:val="Heading 2 Char"/>
    <w:basedOn w:val="DefaultParagraphFont"/>
    <w:link w:val="Heading2"/>
    <w:uiPriority w:val="9"/>
    <w:semiHidden/>
    <w:rsid w:val="008D2ABE"/>
    <w:rPr>
      <w:rFonts w:asciiTheme="majorHAnsi" w:eastAsiaTheme="majorEastAsia" w:hAnsiTheme="majorHAnsi" w:cstheme="majorBidi"/>
      <w:b/>
      <w:bCs/>
      <w:i/>
      <w:iCs/>
      <w:sz w:val="28"/>
      <w:szCs w:val="28"/>
    </w:rPr>
  </w:style>
  <w:style w:type="character" w:customStyle="1" w:styleId="Heading5Char">
    <w:name w:val="Heading 5 Char"/>
    <w:basedOn w:val="DefaultParagraphFont"/>
    <w:link w:val="Heading5"/>
    <w:uiPriority w:val="9"/>
    <w:semiHidden/>
    <w:rsid w:val="008D2ABE"/>
    <w:rPr>
      <w:rFonts w:asciiTheme="minorHAnsi" w:eastAsiaTheme="minorEastAsia" w:hAnsiTheme="minorHAnsi" w:cstheme="minorBidi"/>
      <w:b/>
      <w:bCs/>
      <w:i/>
      <w:iCs/>
      <w:sz w:val="26"/>
      <w:szCs w:val="26"/>
    </w:rPr>
  </w:style>
  <w:style w:type="character" w:styleId="FootnoteReference">
    <w:name w:val="footnote reference"/>
    <w:aliases w:val="o,fr,Style 17,o1,fr1,o2,fr2,o3,fr3,Style 13,Style 12,Style 15,Style 9,Style 18,(NECG) Footnote Reference,Style 20,Style 7,Style 8,Style 19,Style 28,Styl,Style 11,Style 16,Style 5"/>
    <w:basedOn w:val="DefaultParagraphFont"/>
    <w:rsid w:val="00C44D29"/>
    <w:rPr>
      <w:rFonts w:cs="Times New Roman"/>
    </w:rPr>
  </w:style>
  <w:style w:type="paragraph" w:styleId="Header">
    <w:name w:val="header"/>
    <w:basedOn w:val="Normal"/>
    <w:link w:val="HeaderChar"/>
    <w:uiPriority w:val="99"/>
    <w:rsid w:val="00527305"/>
    <w:pPr>
      <w:tabs>
        <w:tab w:val="center" w:pos="4320"/>
        <w:tab w:val="right" w:pos="8640"/>
      </w:tabs>
    </w:pPr>
  </w:style>
  <w:style w:type="character" w:customStyle="1" w:styleId="HeaderChar">
    <w:name w:val="Header Char"/>
    <w:basedOn w:val="DefaultParagraphFont"/>
    <w:link w:val="Header"/>
    <w:uiPriority w:val="99"/>
    <w:semiHidden/>
    <w:rsid w:val="008D2ABE"/>
    <w:rPr>
      <w:sz w:val="24"/>
      <w:szCs w:val="24"/>
    </w:rPr>
  </w:style>
  <w:style w:type="paragraph" w:styleId="Footer">
    <w:name w:val="footer"/>
    <w:basedOn w:val="Normal"/>
    <w:link w:val="FooterChar"/>
    <w:uiPriority w:val="99"/>
    <w:rsid w:val="00527305"/>
    <w:pPr>
      <w:tabs>
        <w:tab w:val="center" w:pos="4320"/>
        <w:tab w:val="right" w:pos="8640"/>
      </w:tabs>
    </w:pPr>
  </w:style>
  <w:style w:type="character" w:customStyle="1" w:styleId="FooterChar">
    <w:name w:val="Footer Char"/>
    <w:basedOn w:val="DefaultParagraphFont"/>
    <w:link w:val="Footer"/>
    <w:uiPriority w:val="99"/>
    <w:semiHidden/>
    <w:rsid w:val="008D2ABE"/>
    <w:rPr>
      <w:sz w:val="24"/>
      <w:szCs w:val="24"/>
    </w:rPr>
  </w:style>
  <w:style w:type="table" w:styleId="TableGrid">
    <w:name w:val="Table Grid"/>
    <w:basedOn w:val="TableNormal"/>
    <w:uiPriority w:val="99"/>
    <w:rsid w:val="00F34E8E"/>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4"/>
    <w:uiPriority w:val="99"/>
    <w:qFormat/>
    <w:rsid w:val="00934A86"/>
    <w:rPr>
      <w:sz w:val="20"/>
      <w:szCs w:val="20"/>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ft Char Char,ft Char1"/>
    <w:basedOn w:val="DefaultParagraphFont"/>
    <w:uiPriority w:val="99"/>
    <w:rsid w:val="008D2ABE"/>
    <w:rPr>
      <w:sz w:val="20"/>
      <w:szCs w:val="20"/>
    </w:rPr>
  </w:style>
  <w:style w:type="character" w:styleId="Hyperlink">
    <w:name w:val="Hyperlink"/>
    <w:basedOn w:val="DefaultParagraphFont"/>
    <w:uiPriority w:val="99"/>
    <w:rsid w:val="0029446F"/>
    <w:rPr>
      <w:rFonts w:cs="Times New Roman"/>
      <w:color w:val="0000FF"/>
      <w:u w:val="single"/>
    </w:rPr>
  </w:style>
  <w:style w:type="character" w:styleId="PageNumber">
    <w:name w:val="page number"/>
    <w:basedOn w:val="DefaultParagraphFont"/>
    <w:uiPriority w:val="99"/>
    <w:rsid w:val="004C5162"/>
    <w:rPr>
      <w:rFonts w:cs="Times New Roman"/>
    </w:rPr>
  </w:style>
  <w:style w:type="paragraph" w:customStyle="1" w:styleId="FERCparanumber">
    <w:name w:val="FERC paranumber"/>
    <w:basedOn w:val="Normal"/>
    <w:link w:val="FERCparanumberChar"/>
    <w:rsid w:val="00481C2C"/>
    <w:pPr>
      <w:numPr>
        <w:numId w:val="1"/>
      </w:numPr>
      <w:spacing w:line="480" w:lineRule="auto"/>
    </w:pPr>
    <w:rPr>
      <w:sz w:val="26"/>
    </w:rPr>
  </w:style>
  <w:style w:type="character" w:customStyle="1" w:styleId="FERCparanumberChar">
    <w:name w:val="FERC paranumber Char"/>
    <w:link w:val="FERCparanumber"/>
    <w:locked/>
    <w:rsid w:val="00481C2C"/>
    <w:rPr>
      <w:sz w:val="24"/>
      <w:lang w:val="en-US" w:eastAsia="en-US"/>
    </w:rPr>
  </w:style>
  <w:style w:type="character" w:customStyle="1" w:styleId="FootnoteTextChar4">
    <w:name w:val="Footnote Text Char4"/>
    <w:aliases w:val="Footnote Text Char Char2,fn Char1,Footnote Text Char1 Char3,Footnote Text Char Char Char2,Footnote Text Char1 Char Char2,Footnote Text Char Char Char Char1,Footnote Text MRP Char1,Footnote Text Char1 Char Char Char1"/>
    <w:link w:val="FootnoteText"/>
    <w:uiPriority w:val="99"/>
    <w:locked/>
    <w:rsid w:val="004A0A7C"/>
    <w:rPr>
      <w:lang w:val="en-US" w:eastAsia="en-US"/>
    </w:rPr>
  </w:style>
  <w:style w:type="paragraph" w:styleId="ListContinue">
    <w:name w:val="List Continue"/>
    <w:basedOn w:val="Normal"/>
    <w:uiPriority w:val="99"/>
    <w:rsid w:val="004A0A7C"/>
    <w:pPr>
      <w:widowControl/>
      <w:numPr>
        <w:numId w:val="2"/>
      </w:numPr>
      <w:autoSpaceDE/>
      <w:autoSpaceDN/>
      <w:adjustRightInd/>
      <w:spacing w:after="120" w:line="480" w:lineRule="auto"/>
    </w:pPr>
    <w:rPr>
      <w:sz w:val="26"/>
    </w:rPr>
  </w:style>
  <w:style w:type="paragraph" w:customStyle="1" w:styleId="LegalFormat">
    <w:name w:val="Legal Format"/>
    <w:basedOn w:val="ListContinue"/>
    <w:uiPriority w:val="99"/>
    <w:rsid w:val="004A0A7C"/>
    <w:pPr>
      <w:spacing w:after="0"/>
      <w:ind w:left="0"/>
    </w:pPr>
    <w:rPr>
      <w:u w:val="single"/>
    </w:rPr>
  </w:style>
  <w:style w:type="paragraph" w:customStyle="1" w:styleId="Style13ptBoldLeft1">
    <w:name w:val="Style 13 pt Bold Left:  1&quot;"/>
    <w:basedOn w:val="Normal"/>
    <w:uiPriority w:val="99"/>
    <w:rsid w:val="003B0C54"/>
    <w:pPr>
      <w:widowControl/>
      <w:autoSpaceDE/>
      <w:autoSpaceDN/>
      <w:adjustRightInd/>
      <w:spacing w:line="480" w:lineRule="auto"/>
      <w:ind w:left="1440"/>
    </w:pPr>
    <w:rPr>
      <w:b/>
      <w:bCs/>
      <w:sz w:val="26"/>
      <w:szCs w:val="20"/>
    </w:rPr>
  </w:style>
  <w:style w:type="paragraph" w:styleId="z-TopofForm">
    <w:name w:val="HTML Top of Form"/>
    <w:basedOn w:val="Normal"/>
    <w:next w:val="Normal"/>
    <w:link w:val="z-TopofFormChar"/>
    <w:hidden/>
    <w:uiPriority w:val="99"/>
    <w:rsid w:val="00002552"/>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D2ABE"/>
    <w:rPr>
      <w:rFonts w:ascii="Arial" w:hAnsi="Arial" w:cs="Arial"/>
      <w:vanish/>
      <w:sz w:val="16"/>
      <w:szCs w:val="16"/>
    </w:rPr>
  </w:style>
  <w:style w:type="paragraph" w:styleId="z-BottomofForm">
    <w:name w:val="HTML Bottom of Form"/>
    <w:basedOn w:val="Normal"/>
    <w:next w:val="Normal"/>
    <w:link w:val="z-BottomofFormChar"/>
    <w:hidden/>
    <w:uiPriority w:val="99"/>
    <w:rsid w:val="00002552"/>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D2ABE"/>
    <w:rPr>
      <w:rFonts w:ascii="Arial" w:hAnsi="Arial" w:cs="Arial"/>
      <w:vanish/>
      <w:sz w:val="16"/>
      <w:szCs w:val="16"/>
    </w:rPr>
  </w:style>
  <w:style w:type="character" w:styleId="FollowedHyperlink">
    <w:name w:val="FollowedHyperlink"/>
    <w:basedOn w:val="DefaultParagraphFont"/>
    <w:uiPriority w:val="99"/>
    <w:rsid w:val="00E3215D"/>
    <w:rPr>
      <w:rFonts w:cs="Times New Roman"/>
      <w:color w:val="800080"/>
      <w:u w:val="single"/>
    </w:rPr>
  </w:style>
  <w:style w:type="paragraph" w:styleId="NormalWeb">
    <w:name w:val="Normal (Web)"/>
    <w:basedOn w:val="Normal"/>
    <w:uiPriority w:val="99"/>
    <w:rsid w:val="00230EBA"/>
    <w:pPr>
      <w:widowControl/>
      <w:autoSpaceDE/>
      <w:autoSpaceDN/>
      <w:adjustRightInd/>
      <w:spacing w:before="100" w:beforeAutospacing="1" w:after="100" w:afterAutospacing="1"/>
    </w:pPr>
  </w:style>
  <w:style w:type="character" w:customStyle="1" w:styleId="updatebodytest1">
    <w:name w:val="updatebodytest1"/>
    <w:uiPriority w:val="99"/>
    <w:rsid w:val="00230EBA"/>
    <w:rPr>
      <w:rFonts w:ascii="Arial" w:hAnsi="Arial"/>
      <w:sz w:val="18"/>
    </w:rPr>
  </w:style>
  <w:style w:type="character" w:customStyle="1" w:styleId="mainheader1">
    <w:name w:val="mainheader1"/>
    <w:uiPriority w:val="99"/>
    <w:rsid w:val="00230EBA"/>
    <w:rPr>
      <w:b/>
      <w:sz w:val="31"/>
    </w:rPr>
  </w:style>
  <w:style w:type="character" w:customStyle="1" w:styleId="ptext-2">
    <w:name w:val="ptext-2"/>
    <w:uiPriority w:val="99"/>
    <w:rsid w:val="00041B3D"/>
  </w:style>
  <w:style w:type="character" w:customStyle="1" w:styleId="ptext-3">
    <w:name w:val="ptext-3"/>
    <w:uiPriority w:val="99"/>
    <w:rsid w:val="00041B3D"/>
  </w:style>
  <w:style w:type="character" w:customStyle="1" w:styleId="ptext-4">
    <w:name w:val="ptext-4"/>
    <w:uiPriority w:val="99"/>
    <w:rsid w:val="00041B3D"/>
  </w:style>
  <w:style w:type="character" w:customStyle="1" w:styleId="enumbell">
    <w:name w:val="enumbell"/>
    <w:uiPriority w:val="99"/>
    <w:rsid w:val="00041B3D"/>
    <w:rPr>
      <w:b/>
    </w:rPr>
  </w:style>
  <w:style w:type="character" w:styleId="CommentReference">
    <w:name w:val="annotation reference"/>
    <w:basedOn w:val="DefaultParagraphFont"/>
    <w:rsid w:val="00261932"/>
    <w:rPr>
      <w:rFonts w:cs="Times New Roman"/>
      <w:sz w:val="16"/>
    </w:rPr>
  </w:style>
  <w:style w:type="paragraph" w:styleId="CommentText">
    <w:name w:val="annotation text"/>
    <w:basedOn w:val="Normal"/>
    <w:link w:val="CommentTextChar"/>
    <w:rsid w:val="00261932"/>
    <w:rPr>
      <w:sz w:val="20"/>
      <w:szCs w:val="20"/>
    </w:rPr>
  </w:style>
  <w:style w:type="character" w:customStyle="1" w:styleId="CommentTextChar">
    <w:name w:val="Comment Text Char"/>
    <w:basedOn w:val="DefaultParagraphFont"/>
    <w:link w:val="CommentText"/>
    <w:rsid w:val="008D2ABE"/>
    <w:rPr>
      <w:sz w:val="20"/>
      <w:szCs w:val="20"/>
    </w:rPr>
  </w:style>
  <w:style w:type="paragraph" w:styleId="CommentSubject">
    <w:name w:val="annotation subject"/>
    <w:basedOn w:val="CommentText"/>
    <w:next w:val="CommentText"/>
    <w:link w:val="CommentSubjectChar"/>
    <w:uiPriority w:val="99"/>
    <w:semiHidden/>
    <w:rsid w:val="00261932"/>
    <w:rPr>
      <w:b/>
      <w:bCs/>
    </w:rPr>
  </w:style>
  <w:style w:type="character" w:customStyle="1" w:styleId="CommentSubjectChar">
    <w:name w:val="Comment Subject Char"/>
    <w:basedOn w:val="CommentTextChar"/>
    <w:link w:val="CommentSubject"/>
    <w:uiPriority w:val="99"/>
    <w:semiHidden/>
    <w:rsid w:val="008D2ABE"/>
    <w:rPr>
      <w:b/>
      <w:bCs/>
      <w:sz w:val="20"/>
      <w:szCs w:val="20"/>
    </w:rPr>
  </w:style>
  <w:style w:type="paragraph" w:styleId="BalloonText">
    <w:name w:val="Balloon Text"/>
    <w:basedOn w:val="Normal"/>
    <w:link w:val="BalloonTextChar"/>
    <w:uiPriority w:val="99"/>
    <w:semiHidden/>
    <w:rsid w:val="00261932"/>
    <w:rPr>
      <w:rFonts w:ascii="Tahoma" w:hAnsi="Tahoma" w:cs="Tahoma"/>
      <w:sz w:val="16"/>
      <w:szCs w:val="16"/>
    </w:rPr>
  </w:style>
  <w:style w:type="character" w:customStyle="1" w:styleId="BalloonTextChar">
    <w:name w:val="Balloon Text Char"/>
    <w:basedOn w:val="DefaultParagraphFont"/>
    <w:link w:val="BalloonText"/>
    <w:uiPriority w:val="99"/>
    <w:semiHidden/>
    <w:rsid w:val="008D2ABE"/>
    <w:rPr>
      <w:sz w:val="0"/>
      <w:szCs w:val="0"/>
    </w:rPr>
  </w:style>
  <w:style w:type="paragraph" w:styleId="PlainText">
    <w:name w:val="Plain Text"/>
    <w:basedOn w:val="Normal"/>
    <w:link w:val="PlainTextChar"/>
    <w:uiPriority w:val="99"/>
    <w:rsid w:val="004E46DB"/>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D2ABE"/>
    <w:rPr>
      <w:rFonts w:ascii="Courier New" w:hAnsi="Courier New" w:cs="Courier New"/>
      <w:sz w:val="20"/>
      <w:szCs w:val="20"/>
    </w:rPr>
  </w:style>
  <w:style w:type="paragraph" w:customStyle="1" w:styleId="Default">
    <w:name w:val="Default"/>
    <w:uiPriority w:val="99"/>
    <w:rsid w:val="00927C53"/>
    <w:pPr>
      <w:autoSpaceDE w:val="0"/>
      <w:autoSpaceDN w:val="0"/>
      <w:adjustRightInd w:val="0"/>
    </w:pPr>
    <w:rPr>
      <w:rFonts w:ascii="OMODMN+ArialNarrow" w:hAnsi="OMODMN+ArialNarrow" w:cs="OMODMN+ArialNarrow"/>
      <w:color w:val="000000"/>
      <w:sz w:val="24"/>
      <w:szCs w:val="24"/>
    </w:rPr>
  </w:style>
  <w:style w:type="paragraph" w:customStyle="1" w:styleId="CM1">
    <w:name w:val="CM1"/>
    <w:basedOn w:val="Default"/>
    <w:next w:val="Default"/>
    <w:uiPriority w:val="99"/>
    <w:rsid w:val="00927C53"/>
    <w:rPr>
      <w:rFonts w:cs="Times New Roman"/>
      <w:color w:val="auto"/>
    </w:rPr>
  </w:style>
  <w:style w:type="character" w:styleId="Strong">
    <w:name w:val="Strong"/>
    <w:basedOn w:val="DefaultParagraphFont"/>
    <w:uiPriority w:val="99"/>
    <w:qFormat/>
    <w:rsid w:val="005F7FE2"/>
    <w:rPr>
      <w:rFonts w:cs="Times New Roman"/>
      <w:b/>
    </w:rPr>
  </w:style>
  <w:style w:type="character" w:customStyle="1" w:styleId="EllenBrown">
    <w:name w:val="Ellen Brown"/>
    <w:uiPriority w:val="99"/>
    <w:semiHidden/>
    <w:rsid w:val="00715F63"/>
    <w:rPr>
      <w:rFonts w:ascii="Arial" w:hAnsi="Arial"/>
      <w:color w:val="000080"/>
      <w:sz w:val="20"/>
    </w:rPr>
  </w:style>
  <w:style w:type="paragraph" w:styleId="HTMLPreformatted">
    <w:name w:val="HTML Preformatted"/>
    <w:basedOn w:val="Normal"/>
    <w:link w:val="HTMLPreformattedChar"/>
    <w:uiPriority w:val="99"/>
    <w:rsid w:val="001C78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9828EB"/>
    <w:rPr>
      <w:rFonts w:ascii="Courier New" w:hAnsi="Courier New"/>
    </w:rPr>
  </w:style>
  <w:style w:type="character" w:customStyle="1" w:styleId="Hypertext">
    <w:name w:val="Hypertext"/>
    <w:uiPriority w:val="99"/>
    <w:rsid w:val="00BB5847"/>
    <w:rPr>
      <w:color w:val="0000FF"/>
      <w:u w:val="single"/>
    </w:rPr>
  </w:style>
  <w:style w:type="character" w:customStyle="1" w:styleId="FERCparanumberChar1">
    <w:name w:val="FERC paranumber Char1"/>
    <w:uiPriority w:val="99"/>
    <w:rsid w:val="004F0B92"/>
    <w:rPr>
      <w:sz w:val="24"/>
      <w:lang w:val="en-US" w:eastAsia="en-US"/>
    </w:rPr>
  </w:style>
  <w:style w:type="paragraph" w:styleId="ListParagraph">
    <w:name w:val="List Paragraph"/>
    <w:basedOn w:val="Normal"/>
    <w:uiPriority w:val="34"/>
    <w:qFormat/>
    <w:rsid w:val="00AE6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95748">
      <w:bodyDiv w:val="1"/>
      <w:marLeft w:val="0"/>
      <w:marRight w:val="0"/>
      <w:marTop w:val="0"/>
      <w:marBottom w:val="0"/>
      <w:divBdr>
        <w:top w:val="none" w:sz="0" w:space="0" w:color="auto"/>
        <w:left w:val="none" w:sz="0" w:space="0" w:color="auto"/>
        <w:bottom w:val="none" w:sz="0" w:space="0" w:color="auto"/>
        <w:right w:val="none" w:sz="0" w:space="0" w:color="auto"/>
      </w:divBdr>
    </w:div>
    <w:div w:id="1396853553">
      <w:bodyDiv w:val="1"/>
      <w:marLeft w:val="0"/>
      <w:marRight w:val="0"/>
      <w:marTop w:val="0"/>
      <w:marBottom w:val="0"/>
      <w:divBdr>
        <w:top w:val="none" w:sz="0" w:space="0" w:color="auto"/>
        <w:left w:val="none" w:sz="0" w:space="0" w:color="auto"/>
        <w:bottom w:val="none" w:sz="0" w:space="0" w:color="auto"/>
        <w:right w:val="none" w:sz="0" w:space="0" w:color="auto"/>
      </w:divBdr>
    </w:div>
    <w:div w:id="1948004713">
      <w:marLeft w:val="0"/>
      <w:marRight w:val="0"/>
      <w:marTop w:val="0"/>
      <w:marBottom w:val="0"/>
      <w:divBdr>
        <w:top w:val="none" w:sz="0" w:space="0" w:color="auto"/>
        <w:left w:val="none" w:sz="0" w:space="0" w:color="auto"/>
        <w:bottom w:val="none" w:sz="0" w:space="0" w:color="auto"/>
        <w:right w:val="none" w:sz="0" w:space="0" w:color="auto"/>
      </w:divBdr>
    </w:div>
    <w:div w:id="1948004720">
      <w:marLeft w:val="0"/>
      <w:marRight w:val="0"/>
      <w:marTop w:val="0"/>
      <w:marBottom w:val="0"/>
      <w:divBdr>
        <w:top w:val="none" w:sz="0" w:space="0" w:color="auto"/>
        <w:left w:val="none" w:sz="0" w:space="0" w:color="auto"/>
        <w:bottom w:val="none" w:sz="0" w:space="0" w:color="auto"/>
        <w:right w:val="none" w:sz="0" w:space="0" w:color="auto"/>
      </w:divBdr>
    </w:div>
    <w:div w:id="1948004726">
      <w:marLeft w:val="0"/>
      <w:marRight w:val="0"/>
      <w:marTop w:val="0"/>
      <w:marBottom w:val="0"/>
      <w:divBdr>
        <w:top w:val="none" w:sz="0" w:space="0" w:color="auto"/>
        <w:left w:val="none" w:sz="0" w:space="0" w:color="auto"/>
        <w:bottom w:val="none" w:sz="0" w:space="0" w:color="auto"/>
        <w:right w:val="none" w:sz="0" w:space="0" w:color="auto"/>
      </w:divBdr>
    </w:div>
    <w:div w:id="1948004730">
      <w:marLeft w:val="0"/>
      <w:marRight w:val="0"/>
      <w:marTop w:val="0"/>
      <w:marBottom w:val="0"/>
      <w:divBdr>
        <w:top w:val="none" w:sz="0" w:space="0" w:color="auto"/>
        <w:left w:val="none" w:sz="0" w:space="0" w:color="auto"/>
        <w:bottom w:val="none" w:sz="0" w:space="0" w:color="auto"/>
        <w:right w:val="none" w:sz="0" w:space="0" w:color="auto"/>
      </w:divBdr>
    </w:div>
    <w:div w:id="1948004731">
      <w:marLeft w:val="0"/>
      <w:marRight w:val="0"/>
      <w:marTop w:val="0"/>
      <w:marBottom w:val="0"/>
      <w:divBdr>
        <w:top w:val="none" w:sz="0" w:space="0" w:color="auto"/>
        <w:left w:val="none" w:sz="0" w:space="0" w:color="auto"/>
        <w:bottom w:val="none" w:sz="0" w:space="0" w:color="auto"/>
        <w:right w:val="none" w:sz="0" w:space="0" w:color="auto"/>
      </w:divBdr>
    </w:div>
    <w:div w:id="1948004733">
      <w:marLeft w:val="0"/>
      <w:marRight w:val="0"/>
      <w:marTop w:val="0"/>
      <w:marBottom w:val="0"/>
      <w:divBdr>
        <w:top w:val="none" w:sz="0" w:space="0" w:color="auto"/>
        <w:left w:val="none" w:sz="0" w:space="0" w:color="auto"/>
        <w:bottom w:val="none" w:sz="0" w:space="0" w:color="auto"/>
        <w:right w:val="none" w:sz="0" w:space="0" w:color="auto"/>
      </w:divBdr>
    </w:div>
    <w:div w:id="1948004741">
      <w:marLeft w:val="0"/>
      <w:marRight w:val="0"/>
      <w:marTop w:val="0"/>
      <w:marBottom w:val="0"/>
      <w:divBdr>
        <w:top w:val="none" w:sz="0" w:space="0" w:color="auto"/>
        <w:left w:val="none" w:sz="0" w:space="0" w:color="auto"/>
        <w:bottom w:val="none" w:sz="0" w:space="0" w:color="auto"/>
        <w:right w:val="none" w:sz="0" w:space="0" w:color="auto"/>
      </w:divBdr>
    </w:div>
    <w:div w:id="1948004756">
      <w:marLeft w:val="0"/>
      <w:marRight w:val="0"/>
      <w:marTop w:val="0"/>
      <w:marBottom w:val="0"/>
      <w:divBdr>
        <w:top w:val="none" w:sz="0" w:space="0" w:color="auto"/>
        <w:left w:val="none" w:sz="0" w:space="0" w:color="auto"/>
        <w:bottom w:val="none" w:sz="0" w:space="0" w:color="auto"/>
        <w:right w:val="none" w:sz="0" w:space="0" w:color="auto"/>
      </w:divBdr>
    </w:div>
    <w:div w:id="1948004757">
      <w:marLeft w:val="0"/>
      <w:marRight w:val="0"/>
      <w:marTop w:val="0"/>
      <w:marBottom w:val="0"/>
      <w:divBdr>
        <w:top w:val="none" w:sz="0" w:space="0" w:color="auto"/>
        <w:left w:val="none" w:sz="0" w:space="0" w:color="auto"/>
        <w:bottom w:val="none" w:sz="0" w:space="0" w:color="auto"/>
        <w:right w:val="none" w:sz="0" w:space="0" w:color="auto"/>
      </w:divBdr>
    </w:div>
    <w:div w:id="1948004759">
      <w:marLeft w:val="0"/>
      <w:marRight w:val="0"/>
      <w:marTop w:val="0"/>
      <w:marBottom w:val="0"/>
      <w:divBdr>
        <w:top w:val="none" w:sz="0" w:space="0" w:color="auto"/>
        <w:left w:val="none" w:sz="0" w:space="0" w:color="auto"/>
        <w:bottom w:val="none" w:sz="0" w:space="0" w:color="auto"/>
        <w:right w:val="none" w:sz="0" w:space="0" w:color="auto"/>
      </w:divBdr>
    </w:div>
    <w:div w:id="1948004762">
      <w:marLeft w:val="0"/>
      <w:marRight w:val="0"/>
      <w:marTop w:val="0"/>
      <w:marBottom w:val="0"/>
      <w:divBdr>
        <w:top w:val="none" w:sz="0" w:space="0" w:color="auto"/>
        <w:left w:val="none" w:sz="0" w:space="0" w:color="auto"/>
        <w:bottom w:val="none" w:sz="0" w:space="0" w:color="auto"/>
        <w:right w:val="none" w:sz="0" w:space="0" w:color="auto"/>
      </w:divBdr>
    </w:div>
    <w:div w:id="1948004765">
      <w:marLeft w:val="0"/>
      <w:marRight w:val="0"/>
      <w:marTop w:val="0"/>
      <w:marBottom w:val="0"/>
      <w:divBdr>
        <w:top w:val="none" w:sz="0" w:space="0" w:color="auto"/>
        <w:left w:val="none" w:sz="0" w:space="0" w:color="auto"/>
        <w:bottom w:val="none" w:sz="0" w:space="0" w:color="auto"/>
        <w:right w:val="none" w:sz="0" w:space="0" w:color="auto"/>
      </w:divBdr>
    </w:div>
    <w:div w:id="1948004766">
      <w:marLeft w:val="0"/>
      <w:marRight w:val="0"/>
      <w:marTop w:val="0"/>
      <w:marBottom w:val="0"/>
      <w:divBdr>
        <w:top w:val="none" w:sz="0" w:space="0" w:color="auto"/>
        <w:left w:val="none" w:sz="0" w:space="0" w:color="auto"/>
        <w:bottom w:val="none" w:sz="0" w:space="0" w:color="auto"/>
        <w:right w:val="none" w:sz="0" w:space="0" w:color="auto"/>
      </w:divBdr>
    </w:div>
    <w:div w:id="1948004772">
      <w:marLeft w:val="0"/>
      <w:marRight w:val="0"/>
      <w:marTop w:val="0"/>
      <w:marBottom w:val="0"/>
      <w:divBdr>
        <w:top w:val="none" w:sz="0" w:space="0" w:color="auto"/>
        <w:left w:val="none" w:sz="0" w:space="0" w:color="auto"/>
        <w:bottom w:val="none" w:sz="0" w:space="0" w:color="auto"/>
        <w:right w:val="none" w:sz="0" w:space="0" w:color="auto"/>
      </w:divBdr>
      <w:divsChild>
        <w:div w:id="1948004774">
          <w:marLeft w:val="0"/>
          <w:marRight w:val="0"/>
          <w:marTop w:val="0"/>
          <w:marBottom w:val="0"/>
          <w:divBdr>
            <w:top w:val="none" w:sz="0" w:space="0" w:color="auto"/>
            <w:left w:val="none" w:sz="0" w:space="0" w:color="auto"/>
            <w:bottom w:val="none" w:sz="0" w:space="0" w:color="auto"/>
            <w:right w:val="none" w:sz="0" w:space="0" w:color="auto"/>
          </w:divBdr>
          <w:divsChild>
            <w:div w:id="1948004799">
              <w:marLeft w:val="0"/>
              <w:marRight w:val="0"/>
              <w:marTop w:val="0"/>
              <w:marBottom w:val="0"/>
              <w:divBdr>
                <w:top w:val="single" w:sz="6" w:space="0" w:color="333333"/>
                <w:left w:val="single" w:sz="6" w:space="0" w:color="333333"/>
                <w:bottom w:val="single" w:sz="6" w:space="0" w:color="333333"/>
                <w:right w:val="single" w:sz="6" w:space="0" w:color="333333"/>
              </w:divBdr>
              <w:divsChild>
                <w:div w:id="1948004778">
                  <w:marLeft w:val="0"/>
                  <w:marRight w:val="0"/>
                  <w:marTop w:val="0"/>
                  <w:marBottom w:val="0"/>
                  <w:divBdr>
                    <w:top w:val="none" w:sz="0" w:space="0" w:color="auto"/>
                    <w:left w:val="none" w:sz="0" w:space="0" w:color="auto"/>
                    <w:bottom w:val="none" w:sz="0" w:space="0" w:color="auto"/>
                    <w:right w:val="none" w:sz="0" w:space="0" w:color="auto"/>
                  </w:divBdr>
                  <w:divsChild>
                    <w:div w:id="1948004771">
                      <w:marLeft w:val="0"/>
                      <w:marRight w:val="0"/>
                      <w:marTop w:val="0"/>
                      <w:marBottom w:val="0"/>
                      <w:divBdr>
                        <w:top w:val="none" w:sz="0" w:space="0" w:color="auto"/>
                        <w:left w:val="none" w:sz="0" w:space="0" w:color="auto"/>
                        <w:bottom w:val="none" w:sz="0" w:space="0" w:color="auto"/>
                        <w:right w:val="none" w:sz="0" w:space="0" w:color="auto"/>
                      </w:divBdr>
                      <w:divsChild>
                        <w:div w:id="1948004791">
                          <w:marLeft w:val="0"/>
                          <w:marRight w:val="0"/>
                          <w:marTop w:val="0"/>
                          <w:marBottom w:val="0"/>
                          <w:divBdr>
                            <w:top w:val="none" w:sz="0" w:space="0" w:color="auto"/>
                            <w:left w:val="none" w:sz="0" w:space="0" w:color="auto"/>
                            <w:bottom w:val="none" w:sz="0" w:space="0" w:color="auto"/>
                            <w:right w:val="none" w:sz="0" w:space="0" w:color="auto"/>
                          </w:divBdr>
                          <w:divsChild>
                            <w:div w:id="1948004739">
                              <w:marLeft w:val="1"/>
                              <w:marRight w:val="1"/>
                              <w:marTop w:val="120"/>
                              <w:marBottom w:val="120"/>
                              <w:divBdr>
                                <w:top w:val="none" w:sz="0" w:space="0" w:color="auto"/>
                                <w:left w:val="none" w:sz="0" w:space="0" w:color="auto"/>
                                <w:bottom w:val="none" w:sz="0" w:space="0" w:color="auto"/>
                                <w:right w:val="none" w:sz="0" w:space="0" w:color="auto"/>
                              </w:divBdr>
                              <w:divsChild>
                                <w:div w:id="1948004709">
                                  <w:marLeft w:val="0"/>
                                  <w:marRight w:val="0"/>
                                  <w:marTop w:val="0"/>
                                  <w:marBottom w:val="0"/>
                                  <w:divBdr>
                                    <w:top w:val="none" w:sz="0" w:space="0" w:color="auto"/>
                                    <w:left w:val="none" w:sz="0" w:space="0" w:color="auto"/>
                                    <w:bottom w:val="none" w:sz="0" w:space="0" w:color="auto"/>
                                    <w:right w:val="none" w:sz="0" w:space="0" w:color="auto"/>
                                  </w:divBdr>
                                  <w:divsChild>
                                    <w:div w:id="1948004738">
                                      <w:marLeft w:val="0"/>
                                      <w:marRight w:val="0"/>
                                      <w:marTop w:val="0"/>
                                      <w:marBottom w:val="0"/>
                                      <w:divBdr>
                                        <w:top w:val="none" w:sz="0" w:space="0" w:color="auto"/>
                                        <w:left w:val="none" w:sz="0" w:space="0" w:color="auto"/>
                                        <w:bottom w:val="none" w:sz="0" w:space="0" w:color="auto"/>
                                        <w:right w:val="none" w:sz="0" w:space="0" w:color="auto"/>
                                      </w:divBdr>
                                      <w:divsChild>
                                        <w:div w:id="1948004710">
                                          <w:marLeft w:val="4"/>
                                          <w:marRight w:val="0"/>
                                          <w:marTop w:val="0"/>
                                          <w:marBottom w:val="0"/>
                                          <w:divBdr>
                                            <w:top w:val="none" w:sz="0" w:space="0" w:color="auto"/>
                                            <w:left w:val="none" w:sz="0" w:space="0" w:color="auto"/>
                                            <w:bottom w:val="none" w:sz="0" w:space="0" w:color="auto"/>
                                            <w:right w:val="none" w:sz="0" w:space="0" w:color="auto"/>
                                          </w:divBdr>
                                          <w:divsChild>
                                            <w:div w:id="1948004804">
                                              <w:marLeft w:val="0"/>
                                              <w:marRight w:val="0"/>
                                              <w:marTop w:val="0"/>
                                              <w:marBottom w:val="0"/>
                                              <w:divBdr>
                                                <w:top w:val="none" w:sz="0" w:space="0" w:color="auto"/>
                                                <w:left w:val="none" w:sz="0" w:space="0" w:color="auto"/>
                                                <w:bottom w:val="none" w:sz="0" w:space="0" w:color="auto"/>
                                                <w:right w:val="none" w:sz="0" w:space="0" w:color="auto"/>
                                              </w:divBdr>
                                            </w:div>
                                          </w:divsChild>
                                        </w:div>
                                        <w:div w:id="1948004711">
                                          <w:marLeft w:val="4"/>
                                          <w:marRight w:val="0"/>
                                          <w:marTop w:val="0"/>
                                          <w:marBottom w:val="0"/>
                                          <w:divBdr>
                                            <w:top w:val="none" w:sz="0" w:space="0" w:color="auto"/>
                                            <w:left w:val="none" w:sz="0" w:space="0" w:color="auto"/>
                                            <w:bottom w:val="none" w:sz="0" w:space="0" w:color="auto"/>
                                            <w:right w:val="none" w:sz="0" w:space="0" w:color="auto"/>
                                          </w:divBdr>
                                          <w:divsChild>
                                            <w:div w:id="1948004712">
                                              <w:marLeft w:val="0"/>
                                              <w:marRight w:val="0"/>
                                              <w:marTop w:val="0"/>
                                              <w:marBottom w:val="0"/>
                                              <w:divBdr>
                                                <w:top w:val="none" w:sz="0" w:space="0" w:color="auto"/>
                                                <w:left w:val="none" w:sz="0" w:space="0" w:color="auto"/>
                                                <w:bottom w:val="none" w:sz="0" w:space="0" w:color="auto"/>
                                                <w:right w:val="none" w:sz="0" w:space="0" w:color="auto"/>
                                              </w:divBdr>
                                            </w:div>
                                          </w:divsChild>
                                        </w:div>
                                        <w:div w:id="1948004734">
                                          <w:marLeft w:val="4"/>
                                          <w:marRight w:val="0"/>
                                          <w:marTop w:val="0"/>
                                          <w:marBottom w:val="0"/>
                                          <w:divBdr>
                                            <w:top w:val="none" w:sz="0" w:space="0" w:color="auto"/>
                                            <w:left w:val="none" w:sz="0" w:space="0" w:color="auto"/>
                                            <w:bottom w:val="none" w:sz="0" w:space="0" w:color="auto"/>
                                            <w:right w:val="none" w:sz="0" w:space="0" w:color="auto"/>
                                          </w:divBdr>
                                          <w:divsChild>
                                            <w:div w:id="1948004783">
                                              <w:marLeft w:val="0"/>
                                              <w:marRight w:val="0"/>
                                              <w:marTop w:val="0"/>
                                              <w:marBottom w:val="0"/>
                                              <w:divBdr>
                                                <w:top w:val="none" w:sz="0" w:space="0" w:color="auto"/>
                                                <w:left w:val="none" w:sz="0" w:space="0" w:color="auto"/>
                                                <w:bottom w:val="none" w:sz="0" w:space="0" w:color="auto"/>
                                                <w:right w:val="none" w:sz="0" w:space="0" w:color="auto"/>
                                              </w:divBdr>
                                            </w:div>
                                          </w:divsChild>
                                        </w:div>
                                        <w:div w:id="1948004748">
                                          <w:marLeft w:val="4"/>
                                          <w:marRight w:val="0"/>
                                          <w:marTop w:val="0"/>
                                          <w:marBottom w:val="0"/>
                                          <w:divBdr>
                                            <w:top w:val="none" w:sz="0" w:space="0" w:color="auto"/>
                                            <w:left w:val="none" w:sz="0" w:space="0" w:color="auto"/>
                                            <w:bottom w:val="none" w:sz="0" w:space="0" w:color="auto"/>
                                            <w:right w:val="none" w:sz="0" w:space="0" w:color="auto"/>
                                          </w:divBdr>
                                          <w:divsChild>
                                            <w:div w:id="1948004715">
                                              <w:marLeft w:val="0"/>
                                              <w:marRight w:val="0"/>
                                              <w:marTop w:val="0"/>
                                              <w:marBottom w:val="0"/>
                                              <w:divBdr>
                                                <w:top w:val="none" w:sz="0" w:space="0" w:color="auto"/>
                                                <w:left w:val="none" w:sz="0" w:space="0" w:color="auto"/>
                                                <w:bottom w:val="none" w:sz="0" w:space="0" w:color="auto"/>
                                                <w:right w:val="none" w:sz="0" w:space="0" w:color="auto"/>
                                              </w:divBdr>
                                            </w:div>
                                          </w:divsChild>
                                        </w:div>
                                        <w:div w:id="1948004755">
                                          <w:marLeft w:val="4"/>
                                          <w:marRight w:val="0"/>
                                          <w:marTop w:val="0"/>
                                          <w:marBottom w:val="0"/>
                                          <w:divBdr>
                                            <w:top w:val="none" w:sz="0" w:space="0" w:color="auto"/>
                                            <w:left w:val="none" w:sz="0" w:space="0" w:color="auto"/>
                                            <w:bottom w:val="none" w:sz="0" w:space="0" w:color="auto"/>
                                            <w:right w:val="none" w:sz="0" w:space="0" w:color="auto"/>
                                          </w:divBdr>
                                          <w:divsChild>
                                            <w:div w:id="1948004716">
                                              <w:marLeft w:val="4"/>
                                              <w:marRight w:val="0"/>
                                              <w:marTop w:val="0"/>
                                              <w:marBottom w:val="0"/>
                                              <w:divBdr>
                                                <w:top w:val="none" w:sz="0" w:space="0" w:color="auto"/>
                                                <w:left w:val="none" w:sz="0" w:space="0" w:color="auto"/>
                                                <w:bottom w:val="none" w:sz="0" w:space="0" w:color="auto"/>
                                                <w:right w:val="none" w:sz="0" w:space="0" w:color="auto"/>
                                              </w:divBdr>
                                              <w:divsChild>
                                                <w:div w:id="1948004736">
                                                  <w:marLeft w:val="4"/>
                                                  <w:marRight w:val="0"/>
                                                  <w:marTop w:val="0"/>
                                                  <w:marBottom w:val="0"/>
                                                  <w:divBdr>
                                                    <w:top w:val="none" w:sz="0" w:space="0" w:color="auto"/>
                                                    <w:left w:val="none" w:sz="0" w:space="0" w:color="auto"/>
                                                    <w:bottom w:val="none" w:sz="0" w:space="0" w:color="auto"/>
                                                    <w:right w:val="none" w:sz="0" w:space="0" w:color="auto"/>
                                                  </w:divBdr>
                                                </w:div>
                                                <w:div w:id="1948004768">
                                                  <w:marLeft w:val="0"/>
                                                  <w:marRight w:val="0"/>
                                                  <w:marTop w:val="0"/>
                                                  <w:marBottom w:val="0"/>
                                                  <w:divBdr>
                                                    <w:top w:val="none" w:sz="0" w:space="0" w:color="auto"/>
                                                    <w:left w:val="none" w:sz="0" w:space="0" w:color="auto"/>
                                                    <w:bottom w:val="none" w:sz="0" w:space="0" w:color="auto"/>
                                                    <w:right w:val="none" w:sz="0" w:space="0" w:color="auto"/>
                                                  </w:divBdr>
                                                </w:div>
                                                <w:div w:id="1948004781">
                                                  <w:marLeft w:val="4"/>
                                                  <w:marRight w:val="0"/>
                                                  <w:marTop w:val="0"/>
                                                  <w:marBottom w:val="0"/>
                                                  <w:divBdr>
                                                    <w:top w:val="none" w:sz="0" w:space="0" w:color="auto"/>
                                                    <w:left w:val="none" w:sz="0" w:space="0" w:color="auto"/>
                                                    <w:bottom w:val="none" w:sz="0" w:space="0" w:color="auto"/>
                                                    <w:right w:val="none" w:sz="0" w:space="0" w:color="auto"/>
                                                  </w:divBdr>
                                                </w:div>
                                              </w:divsChild>
                                            </w:div>
                                            <w:div w:id="1948004727">
                                              <w:marLeft w:val="4"/>
                                              <w:marRight w:val="0"/>
                                              <w:marTop w:val="0"/>
                                              <w:marBottom w:val="0"/>
                                              <w:divBdr>
                                                <w:top w:val="none" w:sz="0" w:space="0" w:color="auto"/>
                                                <w:left w:val="none" w:sz="0" w:space="0" w:color="auto"/>
                                                <w:bottom w:val="none" w:sz="0" w:space="0" w:color="auto"/>
                                                <w:right w:val="none" w:sz="0" w:space="0" w:color="auto"/>
                                              </w:divBdr>
                                            </w:div>
                                            <w:div w:id="1948004742">
                                              <w:marLeft w:val="0"/>
                                              <w:marRight w:val="0"/>
                                              <w:marTop w:val="0"/>
                                              <w:marBottom w:val="0"/>
                                              <w:divBdr>
                                                <w:top w:val="none" w:sz="0" w:space="0" w:color="auto"/>
                                                <w:left w:val="none" w:sz="0" w:space="0" w:color="auto"/>
                                                <w:bottom w:val="none" w:sz="0" w:space="0" w:color="auto"/>
                                                <w:right w:val="none" w:sz="0" w:space="0" w:color="auto"/>
                                              </w:divBdr>
                                            </w:div>
                                            <w:div w:id="1948004743">
                                              <w:marLeft w:val="4"/>
                                              <w:marRight w:val="0"/>
                                              <w:marTop w:val="0"/>
                                              <w:marBottom w:val="0"/>
                                              <w:divBdr>
                                                <w:top w:val="none" w:sz="0" w:space="0" w:color="auto"/>
                                                <w:left w:val="none" w:sz="0" w:space="0" w:color="auto"/>
                                                <w:bottom w:val="none" w:sz="0" w:space="0" w:color="auto"/>
                                                <w:right w:val="none" w:sz="0" w:space="0" w:color="auto"/>
                                              </w:divBdr>
                                            </w:div>
                                            <w:div w:id="1948004744">
                                              <w:marLeft w:val="4"/>
                                              <w:marRight w:val="0"/>
                                              <w:marTop w:val="0"/>
                                              <w:marBottom w:val="0"/>
                                              <w:divBdr>
                                                <w:top w:val="none" w:sz="0" w:space="0" w:color="auto"/>
                                                <w:left w:val="none" w:sz="0" w:space="0" w:color="auto"/>
                                                <w:bottom w:val="none" w:sz="0" w:space="0" w:color="auto"/>
                                                <w:right w:val="none" w:sz="0" w:space="0" w:color="auto"/>
                                              </w:divBdr>
                                            </w:div>
                                            <w:div w:id="1948004745">
                                              <w:marLeft w:val="4"/>
                                              <w:marRight w:val="0"/>
                                              <w:marTop w:val="0"/>
                                              <w:marBottom w:val="0"/>
                                              <w:divBdr>
                                                <w:top w:val="none" w:sz="0" w:space="0" w:color="auto"/>
                                                <w:left w:val="none" w:sz="0" w:space="0" w:color="auto"/>
                                                <w:bottom w:val="none" w:sz="0" w:space="0" w:color="auto"/>
                                                <w:right w:val="none" w:sz="0" w:space="0" w:color="auto"/>
                                              </w:divBdr>
                                            </w:div>
                                            <w:div w:id="1948004746">
                                              <w:marLeft w:val="4"/>
                                              <w:marRight w:val="0"/>
                                              <w:marTop w:val="0"/>
                                              <w:marBottom w:val="0"/>
                                              <w:divBdr>
                                                <w:top w:val="none" w:sz="0" w:space="0" w:color="auto"/>
                                                <w:left w:val="none" w:sz="0" w:space="0" w:color="auto"/>
                                                <w:bottom w:val="none" w:sz="0" w:space="0" w:color="auto"/>
                                                <w:right w:val="none" w:sz="0" w:space="0" w:color="auto"/>
                                              </w:divBdr>
                                            </w:div>
                                            <w:div w:id="1948004758">
                                              <w:marLeft w:val="4"/>
                                              <w:marRight w:val="0"/>
                                              <w:marTop w:val="0"/>
                                              <w:marBottom w:val="0"/>
                                              <w:divBdr>
                                                <w:top w:val="none" w:sz="0" w:space="0" w:color="auto"/>
                                                <w:left w:val="none" w:sz="0" w:space="0" w:color="auto"/>
                                                <w:bottom w:val="none" w:sz="0" w:space="0" w:color="auto"/>
                                                <w:right w:val="none" w:sz="0" w:space="0" w:color="auto"/>
                                              </w:divBdr>
                                            </w:div>
                                            <w:div w:id="1948004803">
                                              <w:marLeft w:val="4"/>
                                              <w:marRight w:val="0"/>
                                              <w:marTop w:val="0"/>
                                              <w:marBottom w:val="0"/>
                                              <w:divBdr>
                                                <w:top w:val="none" w:sz="0" w:space="0" w:color="auto"/>
                                                <w:left w:val="none" w:sz="0" w:space="0" w:color="auto"/>
                                                <w:bottom w:val="none" w:sz="0" w:space="0" w:color="auto"/>
                                                <w:right w:val="none" w:sz="0" w:space="0" w:color="auto"/>
                                              </w:divBdr>
                                            </w:div>
                                          </w:divsChild>
                                        </w:div>
                                        <w:div w:id="1948004763">
                                          <w:marLeft w:val="4"/>
                                          <w:marRight w:val="0"/>
                                          <w:marTop w:val="0"/>
                                          <w:marBottom w:val="0"/>
                                          <w:divBdr>
                                            <w:top w:val="none" w:sz="0" w:space="0" w:color="auto"/>
                                            <w:left w:val="none" w:sz="0" w:space="0" w:color="auto"/>
                                            <w:bottom w:val="none" w:sz="0" w:space="0" w:color="auto"/>
                                            <w:right w:val="none" w:sz="0" w:space="0" w:color="auto"/>
                                          </w:divBdr>
                                          <w:divsChild>
                                            <w:div w:id="1948004740">
                                              <w:marLeft w:val="4"/>
                                              <w:marRight w:val="0"/>
                                              <w:marTop w:val="0"/>
                                              <w:marBottom w:val="0"/>
                                              <w:divBdr>
                                                <w:top w:val="none" w:sz="0" w:space="0" w:color="auto"/>
                                                <w:left w:val="none" w:sz="0" w:space="0" w:color="auto"/>
                                                <w:bottom w:val="none" w:sz="0" w:space="0" w:color="auto"/>
                                                <w:right w:val="none" w:sz="0" w:space="0" w:color="auto"/>
                                              </w:divBdr>
                                            </w:div>
                                            <w:div w:id="1948004747">
                                              <w:marLeft w:val="4"/>
                                              <w:marRight w:val="0"/>
                                              <w:marTop w:val="0"/>
                                              <w:marBottom w:val="0"/>
                                              <w:divBdr>
                                                <w:top w:val="none" w:sz="0" w:space="0" w:color="auto"/>
                                                <w:left w:val="none" w:sz="0" w:space="0" w:color="auto"/>
                                                <w:bottom w:val="none" w:sz="0" w:space="0" w:color="auto"/>
                                                <w:right w:val="none" w:sz="0" w:space="0" w:color="auto"/>
                                              </w:divBdr>
                                            </w:div>
                                          </w:divsChild>
                                        </w:div>
                                        <w:div w:id="1948004764">
                                          <w:marLeft w:val="4"/>
                                          <w:marRight w:val="0"/>
                                          <w:marTop w:val="0"/>
                                          <w:marBottom w:val="0"/>
                                          <w:divBdr>
                                            <w:top w:val="none" w:sz="0" w:space="0" w:color="auto"/>
                                            <w:left w:val="none" w:sz="0" w:space="0" w:color="auto"/>
                                            <w:bottom w:val="none" w:sz="0" w:space="0" w:color="auto"/>
                                            <w:right w:val="none" w:sz="0" w:space="0" w:color="auto"/>
                                          </w:divBdr>
                                          <w:divsChild>
                                            <w:div w:id="1948004728">
                                              <w:marLeft w:val="4"/>
                                              <w:marRight w:val="0"/>
                                              <w:marTop w:val="0"/>
                                              <w:marBottom w:val="0"/>
                                              <w:divBdr>
                                                <w:top w:val="none" w:sz="0" w:space="0" w:color="auto"/>
                                                <w:left w:val="none" w:sz="0" w:space="0" w:color="auto"/>
                                                <w:bottom w:val="none" w:sz="0" w:space="0" w:color="auto"/>
                                                <w:right w:val="none" w:sz="0" w:space="0" w:color="auto"/>
                                              </w:divBdr>
                                            </w:div>
                                            <w:div w:id="1948004750">
                                              <w:marLeft w:val="4"/>
                                              <w:marRight w:val="0"/>
                                              <w:marTop w:val="0"/>
                                              <w:marBottom w:val="0"/>
                                              <w:divBdr>
                                                <w:top w:val="none" w:sz="0" w:space="0" w:color="auto"/>
                                                <w:left w:val="none" w:sz="0" w:space="0" w:color="auto"/>
                                                <w:bottom w:val="none" w:sz="0" w:space="0" w:color="auto"/>
                                                <w:right w:val="none" w:sz="0" w:space="0" w:color="auto"/>
                                              </w:divBdr>
                                            </w:div>
                                            <w:div w:id="1948004773">
                                              <w:marLeft w:val="4"/>
                                              <w:marRight w:val="0"/>
                                              <w:marTop w:val="0"/>
                                              <w:marBottom w:val="0"/>
                                              <w:divBdr>
                                                <w:top w:val="none" w:sz="0" w:space="0" w:color="auto"/>
                                                <w:left w:val="none" w:sz="0" w:space="0" w:color="auto"/>
                                                <w:bottom w:val="none" w:sz="0" w:space="0" w:color="auto"/>
                                                <w:right w:val="none" w:sz="0" w:space="0" w:color="auto"/>
                                              </w:divBdr>
                                              <w:divsChild>
                                                <w:div w:id="1948004725">
                                                  <w:marLeft w:val="4"/>
                                                  <w:marRight w:val="0"/>
                                                  <w:marTop w:val="0"/>
                                                  <w:marBottom w:val="0"/>
                                                  <w:divBdr>
                                                    <w:top w:val="none" w:sz="0" w:space="0" w:color="auto"/>
                                                    <w:left w:val="none" w:sz="0" w:space="0" w:color="auto"/>
                                                    <w:bottom w:val="none" w:sz="0" w:space="0" w:color="auto"/>
                                                    <w:right w:val="none" w:sz="0" w:space="0" w:color="auto"/>
                                                  </w:divBdr>
                                                </w:div>
                                                <w:div w:id="1948004735">
                                                  <w:marLeft w:val="4"/>
                                                  <w:marRight w:val="0"/>
                                                  <w:marTop w:val="0"/>
                                                  <w:marBottom w:val="0"/>
                                                  <w:divBdr>
                                                    <w:top w:val="none" w:sz="0" w:space="0" w:color="auto"/>
                                                    <w:left w:val="none" w:sz="0" w:space="0" w:color="auto"/>
                                                    <w:bottom w:val="none" w:sz="0" w:space="0" w:color="auto"/>
                                                    <w:right w:val="none" w:sz="0" w:space="0" w:color="auto"/>
                                                  </w:divBdr>
                                                </w:div>
                                                <w:div w:id="1948004752">
                                                  <w:marLeft w:val="4"/>
                                                  <w:marRight w:val="0"/>
                                                  <w:marTop w:val="0"/>
                                                  <w:marBottom w:val="0"/>
                                                  <w:divBdr>
                                                    <w:top w:val="none" w:sz="0" w:space="0" w:color="auto"/>
                                                    <w:left w:val="none" w:sz="0" w:space="0" w:color="auto"/>
                                                    <w:bottom w:val="none" w:sz="0" w:space="0" w:color="auto"/>
                                                    <w:right w:val="none" w:sz="0" w:space="0" w:color="auto"/>
                                                  </w:divBdr>
                                                </w:div>
                                                <w:div w:id="1948004806">
                                                  <w:marLeft w:val="0"/>
                                                  <w:marRight w:val="0"/>
                                                  <w:marTop w:val="0"/>
                                                  <w:marBottom w:val="0"/>
                                                  <w:divBdr>
                                                    <w:top w:val="none" w:sz="0" w:space="0" w:color="auto"/>
                                                    <w:left w:val="none" w:sz="0" w:space="0" w:color="auto"/>
                                                    <w:bottom w:val="none" w:sz="0" w:space="0" w:color="auto"/>
                                                    <w:right w:val="none" w:sz="0" w:space="0" w:color="auto"/>
                                                  </w:divBdr>
                                                </w:div>
                                              </w:divsChild>
                                            </w:div>
                                            <w:div w:id="1948004776">
                                              <w:marLeft w:val="4"/>
                                              <w:marRight w:val="0"/>
                                              <w:marTop w:val="0"/>
                                              <w:marBottom w:val="0"/>
                                              <w:divBdr>
                                                <w:top w:val="none" w:sz="0" w:space="0" w:color="auto"/>
                                                <w:left w:val="none" w:sz="0" w:space="0" w:color="auto"/>
                                                <w:bottom w:val="none" w:sz="0" w:space="0" w:color="auto"/>
                                                <w:right w:val="none" w:sz="0" w:space="0" w:color="auto"/>
                                              </w:divBdr>
                                            </w:div>
                                            <w:div w:id="1948004777">
                                              <w:marLeft w:val="4"/>
                                              <w:marRight w:val="0"/>
                                              <w:marTop w:val="0"/>
                                              <w:marBottom w:val="0"/>
                                              <w:divBdr>
                                                <w:top w:val="none" w:sz="0" w:space="0" w:color="auto"/>
                                                <w:left w:val="none" w:sz="0" w:space="0" w:color="auto"/>
                                                <w:bottom w:val="none" w:sz="0" w:space="0" w:color="auto"/>
                                                <w:right w:val="none" w:sz="0" w:space="0" w:color="auto"/>
                                              </w:divBdr>
                                            </w:div>
                                            <w:div w:id="1948004784">
                                              <w:marLeft w:val="4"/>
                                              <w:marRight w:val="0"/>
                                              <w:marTop w:val="0"/>
                                              <w:marBottom w:val="0"/>
                                              <w:divBdr>
                                                <w:top w:val="none" w:sz="0" w:space="0" w:color="auto"/>
                                                <w:left w:val="none" w:sz="0" w:space="0" w:color="auto"/>
                                                <w:bottom w:val="none" w:sz="0" w:space="0" w:color="auto"/>
                                                <w:right w:val="none" w:sz="0" w:space="0" w:color="auto"/>
                                              </w:divBdr>
                                            </w:div>
                                          </w:divsChild>
                                        </w:div>
                                        <w:div w:id="1948004767">
                                          <w:marLeft w:val="4"/>
                                          <w:marRight w:val="0"/>
                                          <w:marTop w:val="0"/>
                                          <w:marBottom w:val="0"/>
                                          <w:divBdr>
                                            <w:top w:val="none" w:sz="0" w:space="0" w:color="auto"/>
                                            <w:left w:val="none" w:sz="0" w:space="0" w:color="auto"/>
                                            <w:bottom w:val="none" w:sz="0" w:space="0" w:color="auto"/>
                                            <w:right w:val="none" w:sz="0" w:space="0" w:color="auto"/>
                                          </w:divBdr>
                                          <w:divsChild>
                                            <w:div w:id="1948004721">
                                              <w:marLeft w:val="4"/>
                                              <w:marRight w:val="0"/>
                                              <w:marTop w:val="0"/>
                                              <w:marBottom w:val="0"/>
                                              <w:divBdr>
                                                <w:top w:val="none" w:sz="0" w:space="0" w:color="auto"/>
                                                <w:left w:val="none" w:sz="0" w:space="0" w:color="auto"/>
                                                <w:bottom w:val="none" w:sz="0" w:space="0" w:color="auto"/>
                                                <w:right w:val="none" w:sz="0" w:space="0" w:color="auto"/>
                                              </w:divBdr>
                                            </w:div>
                                            <w:div w:id="1948004770">
                                              <w:marLeft w:val="4"/>
                                              <w:marRight w:val="0"/>
                                              <w:marTop w:val="0"/>
                                              <w:marBottom w:val="0"/>
                                              <w:divBdr>
                                                <w:top w:val="none" w:sz="0" w:space="0" w:color="auto"/>
                                                <w:left w:val="none" w:sz="0" w:space="0" w:color="auto"/>
                                                <w:bottom w:val="none" w:sz="0" w:space="0" w:color="auto"/>
                                                <w:right w:val="none" w:sz="0" w:space="0" w:color="auto"/>
                                              </w:divBdr>
                                              <w:divsChild>
                                                <w:div w:id="1948004724">
                                                  <w:marLeft w:val="4"/>
                                                  <w:marRight w:val="0"/>
                                                  <w:marTop w:val="0"/>
                                                  <w:marBottom w:val="0"/>
                                                  <w:divBdr>
                                                    <w:top w:val="none" w:sz="0" w:space="0" w:color="auto"/>
                                                    <w:left w:val="none" w:sz="0" w:space="0" w:color="auto"/>
                                                    <w:bottom w:val="none" w:sz="0" w:space="0" w:color="auto"/>
                                                    <w:right w:val="none" w:sz="0" w:space="0" w:color="auto"/>
                                                  </w:divBdr>
                                                </w:div>
                                                <w:div w:id="1948004789">
                                                  <w:marLeft w:val="4"/>
                                                  <w:marRight w:val="0"/>
                                                  <w:marTop w:val="0"/>
                                                  <w:marBottom w:val="0"/>
                                                  <w:divBdr>
                                                    <w:top w:val="none" w:sz="0" w:space="0" w:color="auto"/>
                                                    <w:left w:val="none" w:sz="0" w:space="0" w:color="auto"/>
                                                    <w:bottom w:val="none" w:sz="0" w:space="0" w:color="auto"/>
                                                    <w:right w:val="none" w:sz="0" w:space="0" w:color="auto"/>
                                                  </w:divBdr>
                                                </w:div>
                                                <w:div w:id="1948004790">
                                                  <w:marLeft w:val="4"/>
                                                  <w:marRight w:val="0"/>
                                                  <w:marTop w:val="0"/>
                                                  <w:marBottom w:val="0"/>
                                                  <w:divBdr>
                                                    <w:top w:val="none" w:sz="0" w:space="0" w:color="auto"/>
                                                    <w:left w:val="none" w:sz="0" w:space="0" w:color="auto"/>
                                                    <w:bottom w:val="none" w:sz="0" w:space="0" w:color="auto"/>
                                                    <w:right w:val="none" w:sz="0" w:space="0" w:color="auto"/>
                                                  </w:divBdr>
                                                </w:div>
                                                <w:div w:id="1948004797">
                                                  <w:marLeft w:val="4"/>
                                                  <w:marRight w:val="0"/>
                                                  <w:marTop w:val="0"/>
                                                  <w:marBottom w:val="0"/>
                                                  <w:divBdr>
                                                    <w:top w:val="none" w:sz="0" w:space="0" w:color="auto"/>
                                                    <w:left w:val="none" w:sz="0" w:space="0" w:color="auto"/>
                                                    <w:bottom w:val="none" w:sz="0" w:space="0" w:color="auto"/>
                                                    <w:right w:val="none" w:sz="0" w:space="0" w:color="auto"/>
                                                  </w:divBdr>
                                                </w:div>
                                                <w:div w:id="1948004798">
                                                  <w:marLeft w:val="4"/>
                                                  <w:marRight w:val="0"/>
                                                  <w:marTop w:val="0"/>
                                                  <w:marBottom w:val="0"/>
                                                  <w:divBdr>
                                                    <w:top w:val="none" w:sz="0" w:space="0" w:color="auto"/>
                                                    <w:left w:val="none" w:sz="0" w:space="0" w:color="auto"/>
                                                    <w:bottom w:val="none" w:sz="0" w:space="0" w:color="auto"/>
                                                    <w:right w:val="none" w:sz="0" w:space="0" w:color="auto"/>
                                                  </w:divBdr>
                                                </w:div>
                                              </w:divsChild>
                                            </w:div>
                                            <w:div w:id="1948004793">
                                              <w:marLeft w:val="0"/>
                                              <w:marRight w:val="0"/>
                                              <w:marTop w:val="0"/>
                                              <w:marBottom w:val="0"/>
                                              <w:divBdr>
                                                <w:top w:val="none" w:sz="0" w:space="0" w:color="auto"/>
                                                <w:left w:val="none" w:sz="0" w:space="0" w:color="auto"/>
                                                <w:bottom w:val="none" w:sz="0" w:space="0" w:color="auto"/>
                                                <w:right w:val="none" w:sz="0" w:space="0" w:color="auto"/>
                                              </w:divBdr>
                                            </w:div>
                                          </w:divsChild>
                                        </w:div>
                                        <w:div w:id="1948004769">
                                          <w:marLeft w:val="4"/>
                                          <w:marRight w:val="0"/>
                                          <w:marTop w:val="0"/>
                                          <w:marBottom w:val="0"/>
                                          <w:divBdr>
                                            <w:top w:val="none" w:sz="0" w:space="0" w:color="auto"/>
                                            <w:left w:val="none" w:sz="0" w:space="0" w:color="auto"/>
                                            <w:bottom w:val="none" w:sz="0" w:space="0" w:color="auto"/>
                                            <w:right w:val="none" w:sz="0" w:space="0" w:color="auto"/>
                                          </w:divBdr>
                                          <w:divsChild>
                                            <w:div w:id="1948004718">
                                              <w:marLeft w:val="4"/>
                                              <w:marRight w:val="0"/>
                                              <w:marTop w:val="0"/>
                                              <w:marBottom w:val="0"/>
                                              <w:divBdr>
                                                <w:top w:val="none" w:sz="0" w:space="0" w:color="auto"/>
                                                <w:left w:val="none" w:sz="0" w:space="0" w:color="auto"/>
                                                <w:bottom w:val="none" w:sz="0" w:space="0" w:color="auto"/>
                                                <w:right w:val="none" w:sz="0" w:space="0" w:color="auto"/>
                                              </w:divBdr>
                                            </w:div>
                                            <w:div w:id="1948004737">
                                              <w:marLeft w:val="4"/>
                                              <w:marRight w:val="0"/>
                                              <w:marTop w:val="0"/>
                                              <w:marBottom w:val="0"/>
                                              <w:divBdr>
                                                <w:top w:val="none" w:sz="0" w:space="0" w:color="auto"/>
                                                <w:left w:val="none" w:sz="0" w:space="0" w:color="auto"/>
                                                <w:bottom w:val="none" w:sz="0" w:space="0" w:color="auto"/>
                                                <w:right w:val="none" w:sz="0" w:space="0" w:color="auto"/>
                                              </w:divBdr>
                                            </w:div>
                                            <w:div w:id="1948004749">
                                              <w:marLeft w:val="4"/>
                                              <w:marRight w:val="0"/>
                                              <w:marTop w:val="0"/>
                                              <w:marBottom w:val="0"/>
                                              <w:divBdr>
                                                <w:top w:val="none" w:sz="0" w:space="0" w:color="auto"/>
                                                <w:left w:val="none" w:sz="0" w:space="0" w:color="auto"/>
                                                <w:bottom w:val="none" w:sz="0" w:space="0" w:color="auto"/>
                                                <w:right w:val="none" w:sz="0" w:space="0" w:color="auto"/>
                                              </w:divBdr>
                                            </w:div>
                                            <w:div w:id="1948004754">
                                              <w:marLeft w:val="4"/>
                                              <w:marRight w:val="0"/>
                                              <w:marTop w:val="0"/>
                                              <w:marBottom w:val="0"/>
                                              <w:divBdr>
                                                <w:top w:val="none" w:sz="0" w:space="0" w:color="auto"/>
                                                <w:left w:val="none" w:sz="0" w:space="0" w:color="auto"/>
                                                <w:bottom w:val="none" w:sz="0" w:space="0" w:color="auto"/>
                                                <w:right w:val="none" w:sz="0" w:space="0" w:color="auto"/>
                                              </w:divBdr>
                                            </w:div>
                                            <w:div w:id="1948004787">
                                              <w:marLeft w:val="4"/>
                                              <w:marRight w:val="0"/>
                                              <w:marTop w:val="0"/>
                                              <w:marBottom w:val="0"/>
                                              <w:divBdr>
                                                <w:top w:val="none" w:sz="0" w:space="0" w:color="auto"/>
                                                <w:left w:val="none" w:sz="0" w:space="0" w:color="auto"/>
                                                <w:bottom w:val="none" w:sz="0" w:space="0" w:color="auto"/>
                                                <w:right w:val="none" w:sz="0" w:space="0" w:color="auto"/>
                                              </w:divBdr>
                                            </w:div>
                                          </w:divsChild>
                                        </w:div>
                                        <w:div w:id="1948004779">
                                          <w:marLeft w:val="4"/>
                                          <w:marRight w:val="0"/>
                                          <w:marTop w:val="0"/>
                                          <w:marBottom w:val="0"/>
                                          <w:divBdr>
                                            <w:top w:val="none" w:sz="0" w:space="0" w:color="auto"/>
                                            <w:left w:val="none" w:sz="0" w:space="0" w:color="auto"/>
                                            <w:bottom w:val="none" w:sz="0" w:space="0" w:color="auto"/>
                                            <w:right w:val="none" w:sz="0" w:space="0" w:color="auto"/>
                                          </w:divBdr>
                                          <w:divsChild>
                                            <w:div w:id="1948004802">
                                              <w:marLeft w:val="0"/>
                                              <w:marRight w:val="0"/>
                                              <w:marTop w:val="0"/>
                                              <w:marBottom w:val="0"/>
                                              <w:divBdr>
                                                <w:top w:val="none" w:sz="0" w:space="0" w:color="auto"/>
                                                <w:left w:val="none" w:sz="0" w:space="0" w:color="auto"/>
                                                <w:bottom w:val="none" w:sz="0" w:space="0" w:color="auto"/>
                                                <w:right w:val="none" w:sz="0" w:space="0" w:color="auto"/>
                                              </w:divBdr>
                                            </w:div>
                                          </w:divsChild>
                                        </w:div>
                                        <w:div w:id="1948004800">
                                          <w:marLeft w:val="4"/>
                                          <w:marRight w:val="0"/>
                                          <w:marTop w:val="0"/>
                                          <w:marBottom w:val="0"/>
                                          <w:divBdr>
                                            <w:top w:val="none" w:sz="0" w:space="0" w:color="auto"/>
                                            <w:left w:val="none" w:sz="0" w:space="0" w:color="auto"/>
                                            <w:bottom w:val="none" w:sz="0" w:space="0" w:color="auto"/>
                                            <w:right w:val="none" w:sz="0" w:space="0" w:color="auto"/>
                                          </w:divBdr>
                                          <w:divsChild>
                                            <w:div w:id="1948004714">
                                              <w:marLeft w:val="4"/>
                                              <w:marRight w:val="0"/>
                                              <w:marTop w:val="0"/>
                                              <w:marBottom w:val="0"/>
                                              <w:divBdr>
                                                <w:top w:val="none" w:sz="0" w:space="0" w:color="auto"/>
                                                <w:left w:val="none" w:sz="0" w:space="0" w:color="auto"/>
                                                <w:bottom w:val="none" w:sz="0" w:space="0" w:color="auto"/>
                                                <w:right w:val="none" w:sz="0" w:space="0" w:color="auto"/>
                                              </w:divBdr>
                                            </w:div>
                                            <w:div w:id="1948004717">
                                              <w:marLeft w:val="4"/>
                                              <w:marRight w:val="0"/>
                                              <w:marTop w:val="0"/>
                                              <w:marBottom w:val="0"/>
                                              <w:divBdr>
                                                <w:top w:val="none" w:sz="0" w:space="0" w:color="auto"/>
                                                <w:left w:val="none" w:sz="0" w:space="0" w:color="auto"/>
                                                <w:bottom w:val="none" w:sz="0" w:space="0" w:color="auto"/>
                                                <w:right w:val="none" w:sz="0" w:space="0" w:color="auto"/>
                                              </w:divBdr>
                                            </w:div>
                                            <w:div w:id="1948004722">
                                              <w:marLeft w:val="4"/>
                                              <w:marRight w:val="0"/>
                                              <w:marTop w:val="0"/>
                                              <w:marBottom w:val="0"/>
                                              <w:divBdr>
                                                <w:top w:val="none" w:sz="0" w:space="0" w:color="auto"/>
                                                <w:left w:val="none" w:sz="0" w:space="0" w:color="auto"/>
                                                <w:bottom w:val="none" w:sz="0" w:space="0" w:color="auto"/>
                                                <w:right w:val="none" w:sz="0" w:space="0" w:color="auto"/>
                                              </w:divBdr>
                                              <w:divsChild>
                                                <w:div w:id="1948004719">
                                                  <w:marLeft w:val="4"/>
                                                  <w:marRight w:val="0"/>
                                                  <w:marTop w:val="0"/>
                                                  <w:marBottom w:val="0"/>
                                                  <w:divBdr>
                                                    <w:top w:val="none" w:sz="0" w:space="0" w:color="auto"/>
                                                    <w:left w:val="none" w:sz="0" w:space="0" w:color="auto"/>
                                                    <w:bottom w:val="none" w:sz="0" w:space="0" w:color="auto"/>
                                                    <w:right w:val="none" w:sz="0" w:space="0" w:color="auto"/>
                                                  </w:divBdr>
                                                  <w:divsChild>
                                                    <w:div w:id="1948004732">
                                                      <w:marLeft w:val="4"/>
                                                      <w:marRight w:val="0"/>
                                                      <w:marTop w:val="0"/>
                                                      <w:marBottom w:val="0"/>
                                                      <w:divBdr>
                                                        <w:top w:val="none" w:sz="0" w:space="0" w:color="auto"/>
                                                        <w:left w:val="none" w:sz="0" w:space="0" w:color="auto"/>
                                                        <w:bottom w:val="none" w:sz="0" w:space="0" w:color="auto"/>
                                                        <w:right w:val="none" w:sz="0" w:space="0" w:color="auto"/>
                                                      </w:divBdr>
                                                    </w:div>
                                                    <w:div w:id="1948004753">
                                                      <w:marLeft w:val="4"/>
                                                      <w:marRight w:val="0"/>
                                                      <w:marTop w:val="0"/>
                                                      <w:marBottom w:val="0"/>
                                                      <w:divBdr>
                                                        <w:top w:val="none" w:sz="0" w:space="0" w:color="auto"/>
                                                        <w:left w:val="none" w:sz="0" w:space="0" w:color="auto"/>
                                                        <w:bottom w:val="none" w:sz="0" w:space="0" w:color="auto"/>
                                                        <w:right w:val="none" w:sz="0" w:space="0" w:color="auto"/>
                                                      </w:divBdr>
                                                    </w:div>
                                                    <w:div w:id="1948004805">
                                                      <w:marLeft w:val="4"/>
                                                      <w:marRight w:val="0"/>
                                                      <w:marTop w:val="0"/>
                                                      <w:marBottom w:val="0"/>
                                                      <w:divBdr>
                                                        <w:top w:val="none" w:sz="0" w:space="0" w:color="auto"/>
                                                        <w:left w:val="none" w:sz="0" w:space="0" w:color="auto"/>
                                                        <w:bottom w:val="none" w:sz="0" w:space="0" w:color="auto"/>
                                                        <w:right w:val="none" w:sz="0" w:space="0" w:color="auto"/>
                                                      </w:divBdr>
                                                    </w:div>
                                                  </w:divsChild>
                                                </w:div>
                                                <w:div w:id="1948004751">
                                                  <w:marLeft w:val="4"/>
                                                  <w:marRight w:val="0"/>
                                                  <w:marTop w:val="0"/>
                                                  <w:marBottom w:val="0"/>
                                                  <w:divBdr>
                                                    <w:top w:val="none" w:sz="0" w:space="0" w:color="auto"/>
                                                    <w:left w:val="none" w:sz="0" w:space="0" w:color="auto"/>
                                                    <w:bottom w:val="none" w:sz="0" w:space="0" w:color="auto"/>
                                                    <w:right w:val="none" w:sz="0" w:space="0" w:color="auto"/>
                                                  </w:divBdr>
                                                </w:div>
                                                <w:div w:id="1948004760">
                                                  <w:marLeft w:val="4"/>
                                                  <w:marRight w:val="0"/>
                                                  <w:marTop w:val="0"/>
                                                  <w:marBottom w:val="0"/>
                                                  <w:divBdr>
                                                    <w:top w:val="none" w:sz="0" w:space="0" w:color="auto"/>
                                                    <w:left w:val="none" w:sz="0" w:space="0" w:color="auto"/>
                                                    <w:bottom w:val="none" w:sz="0" w:space="0" w:color="auto"/>
                                                    <w:right w:val="none" w:sz="0" w:space="0" w:color="auto"/>
                                                  </w:divBdr>
                                                </w:div>
                                                <w:div w:id="1948004807">
                                                  <w:marLeft w:val="0"/>
                                                  <w:marRight w:val="0"/>
                                                  <w:marTop w:val="0"/>
                                                  <w:marBottom w:val="0"/>
                                                  <w:divBdr>
                                                    <w:top w:val="none" w:sz="0" w:space="0" w:color="auto"/>
                                                    <w:left w:val="none" w:sz="0" w:space="0" w:color="auto"/>
                                                    <w:bottom w:val="none" w:sz="0" w:space="0" w:color="auto"/>
                                                    <w:right w:val="none" w:sz="0" w:space="0" w:color="auto"/>
                                                  </w:divBdr>
                                                </w:div>
                                              </w:divsChild>
                                            </w:div>
                                            <w:div w:id="1948004729">
                                              <w:marLeft w:val="4"/>
                                              <w:marRight w:val="0"/>
                                              <w:marTop w:val="0"/>
                                              <w:marBottom w:val="0"/>
                                              <w:divBdr>
                                                <w:top w:val="none" w:sz="0" w:space="0" w:color="auto"/>
                                                <w:left w:val="none" w:sz="0" w:space="0" w:color="auto"/>
                                                <w:bottom w:val="none" w:sz="0" w:space="0" w:color="auto"/>
                                                <w:right w:val="none" w:sz="0" w:space="0" w:color="auto"/>
                                              </w:divBdr>
                                              <w:divsChild>
                                                <w:div w:id="1948004788">
                                                  <w:marLeft w:val="4"/>
                                                  <w:marRight w:val="0"/>
                                                  <w:marTop w:val="0"/>
                                                  <w:marBottom w:val="0"/>
                                                  <w:divBdr>
                                                    <w:top w:val="none" w:sz="0" w:space="0" w:color="auto"/>
                                                    <w:left w:val="none" w:sz="0" w:space="0" w:color="auto"/>
                                                    <w:bottom w:val="none" w:sz="0" w:space="0" w:color="auto"/>
                                                    <w:right w:val="none" w:sz="0" w:space="0" w:color="auto"/>
                                                  </w:divBdr>
                                                </w:div>
                                                <w:div w:id="1948004796">
                                                  <w:marLeft w:val="4"/>
                                                  <w:marRight w:val="0"/>
                                                  <w:marTop w:val="0"/>
                                                  <w:marBottom w:val="0"/>
                                                  <w:divBdr>
                                                    <w:top w:val="none" w:sz="0" w:space="0" w:color="auto"/>
                                                    <w:left w:val="none" w:sz="0" w:space="0" w:color="auto"/>
                                                    <w:bottom w:val="none" w:sz="0" w:space="0" w:color="auto"/>
                                                    <w:right w:val="none" w:sz="0" w:space="0" w:color="auto"/>
                                                  </w:divBdr>
                                                </w:div>
                                              </w:divsChild>
                                            </w:div>
                                            <w:div w:id="1948004775">
                                              <w:marLeft w:val="4"/>
                                              <w:marRight w:val="0"/>
                                              <w:marTop w:val="0"/>
                                              <w:marBottom w:val="0"/>
                                              <w:divBdr>
                                                <w:top w:val="none" w:sz="0" w:space="0" w:color="auto"/>
                                                <w:left w:val="none" w:sz="0" w:space="0" w:color="auto"/>
                                                <w:bottom w:val="none" w:sz="0" w:space="0" w:color="auto"/>
                                                <w:right w:val="none" w:sz="0" w:space="0" w:color="auto"/>
                                              </w:divBdr>
                                            </w:div>
                                            <w:div w:id="1948004795">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948004761">
                                      <w:marLeft w:val="0"/>
                                      <w:marRight w:val="0"/>
                                      <w:marTop w:val="0"/>
                                      <w:marBottom w:val="0"/>
                                      <w:divBdr>
                                        <w:top w:val="none" w:sz="0" w:space="0" w:color="auto"/>
                                        <w:left w:val="none" w:sz="0" w:space="0" w:color="auto"/>
                                        <w:bottom w:val="none" w:sz="0" w:space="0" w:color="auto"/>
                                        <w:right w:val="none" w:sz="0" w:space="0" w:color="auto"/>
                                      </w:divBdr>
                                      <w:divsChild>
                                        <w:div w:id="1948004723">
                                          <w:marLeft w:val="0"/>
                                          <w:marRight w:val="0"/>
                                          <w:marTop w:val="0"/>
                                          <w:marBottom w:val="0"/>
                                          <w:divBdr>
                                            <w:top w:val="none" w:sz="0" w:space="0" w:color="auto"/>
                                            <w:left w:val="none" w:sz="0" w:space="0" w:color="auto"/>
                                            <w:bottom w:val="none" w:sz="0" w:space="0" w:color="auto"/>
                                            <w:right w:val="none" w:sz="0" w:space="0" w:color="auto"/>
                                          </w:divBdr>
                                        </w:div>
                                        <w:div w:id="1948004782">
                                          <w:marLeft w:val="0"/>
                                          <w:marRight w:val="0"/>
                                          <w:marTop w:val="0"/>
                                          <w:marBottom w:val="2"/>
                                          <w:divBdr>
                                            <w:top w:val="none" w:sz="0" w:space="0" w:color="auto"/>
                                            <w:left w:val="none" w:sz="0" w:space="0" w:color="auto"/>
                                            <w:bottom w:val="none" w:sz="0" w:space="0" w:color="auto"/>
                                            <w:right w:val="none" w:sz="0" w:space="0" w:color="auto"/>
                                          </w:divBdr>
                                        </w:div>
                                      </w:divsChild>
                                    </w:div>
                                    <w:div w:id="1948004801">
                                      <w:marLeft w:val="0"/>
                                      <w:marRight w:val="0"/>
                                      <w:marTop w:val="0"/>
                                      <w:marBottom w:val="0"/>
                                      <w:divBdr>
                                        <w:top w:val="none" w:sz="0" w:space="0" w:color="auto"/>
                                        <w:left w:val="none" w:sz="0" w:space="0" w:color="auto"/>
                                        <w:bottom w:val="none" w:sz="0" w:space="0" w:color="auto"/>
                                        <w:right w:val="none" w:sz="0" w:space="0" w:color="auto"/>
                                      </w:divBdr>
                                      <w:divsChild>
                                        <w:div w:id="19480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8004785">
      <w:marLeft w:val="0"/>
      <w:marRight w:val="0"/>
      <w:marTop w:val="0"/>
      <w:marBottom w:val="0"/>
      <w:divBdr>
        <w:top w:val="none" w:sz="0" w:space="0" w:color="auto"/>
        <w:left w:val="none" w:sz="0" w:space="0" w:color="auto"/>
        <w:bottom w:val="none" w:sz="0" w:space="0" w:color="auto"/>
        <w:right w:val="none" w:sz="0" w:space="0" w:color="auto"/>
      </w:divBdr>
    </w:div>
    <w:div w:id="1948004786">
      <w:marLeft w:val="0"/>
      <w:marRight w:val="0"/>
      <w:marTop w:val="0"/>
      <w:marBottom w:val="0"/>
      <w:divBdr>
        <w:top w:val="none" w:sz="0" w:space="0" w:color="auto"/>
        <w:left w:val="none" w:sz="0" w:space="0" w:color="auto"/>
        <w:bottom w:val="none" w:sz="0" w:space="0" w:color="auto"/>
        <w:right w:val="none" w:sz="0" w:space="0" w:color="auto"/>
      </w:divBdr>
    </w:div>
    <w:div w:id="1948004792">
      <w:marLeft w:val="0"/>
      <w:marRight w:val="0"/>
      <w:marTop w:val="0"/>
      <w:marBottom w:val="0"/>
      <w:divBdr>
        <w:top w:val="none" w:sz="0" w:space="0" w:color="auto"/>
        <w:left w:val="none" w:sz="0" w:space="0" w:color="auto"/>
        <w:bottom w:val="none" w:sz="0" w:space="0" w:color="auto"/>
        <w:right w:val="none" w:sz="0" w:space="0" w:color="auto"/>
      </w:divBdr>
    </w:div>
    <w:div w:id="1948004794">
      <w:marLeft w:val="0"/>
      <w:marRight w:val="0"/>
      <w:marTop w:val="0"/>
      <w:marBottom w:val="0"/>
      <w:divBdr>
        <w:top w:val="none" w:sz="0" w:space="0" w:color="auto"/>
        <w:left w:val="none" w:sz="0" w:space="0" w:color="auto"/>
        <w:bottom w:val="none" w:sz="0" w:space="0" w:color="auto"/>
        <w:right w:val="none" w:sz="0" w:space="0" w:color="auto"/>
      </w:divBdr>
    </w:div>
    <w:div w:id="205685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forms.a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_x0031__x002e__x0020_Collection_x0020_Number>
    <Date xmlns="d6eefc7d-9817-4fa6-84d5-3bc009be21b8">2016-09-14T04:00:00+00:00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IC16-11</_x0031__x002e__x0020_Docket_x0020_Number>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4F594-8490-46C9-8C10-4C004B5EB6B8}">
  <ds:schemaRefs>
    <ds:schemaRef ds:uri="http://schemas.microsoft.com/office/2006/metadata/customXsn"/>
  </ds:schemaRefs>
</ds:datastoreItem>
</file>

<file path=customXml/itemProps2.xml><?xml version="1.0" encoding="utf-8"?>
<ds:datastoreItem xmlns:ds="http://schemas.openxmlformats.org/officeDocument/2006/customXml" ds:itemID="{6854F1B9-3045-48FA-881E-DB7235F9A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2027FE-4CFE-4B20-A499-A3FEBF4B0FB6}">
  <ds:schemaRefs>
    <ds:schemaRef ds:uri="http://www.w3.org/XML/1998/namespace"/>
    <ds:schemaRef ds:uri="http://schemas.microsoft.com/office/2006/documentManagement/types"/>
    <ds:schemaRef ds:uri="d6eefc7d-9817-4fa6-84d5-3bc009be21b8"/>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9002CEA-35E9-4630-8B7A-D7E16FC480AC}">
  <ds:schemaRefs>
    <ds:schemaRef ds:uri="http://schemas.microsoft.com/sharepoint/v3/contenttype/forms"/>
  </ds:schemaRefs>
</ds:datastoreItem>
</file>

<file path=customXml/itemProps5.xml><?xml version="1.0" encoding="utf-8"?>
<ds:datastoreItem xmlns:ds="http://schemas.openxmlformats.org/officeDocument/2006/customXml" ds:itemID="{93384E22-492E-4BF1-B9C3-B9026C486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1953</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FERC</Company>
  <LinksUpToDate>false</LinksUpToDate>
  <CharactersWithSpaces>13062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6</dc:title>
  <dc:creator>Anthony May</dc:creator>
  <cp:lastModifiedBy>Ellen Brown</cp:lastModifiedBy>
  <cp:revision>6</cp:revision>
  <cp:lastPrinted>2011-08-10T14:13:00Z</cp:lastPrinted>
  <dcterms:created xsi:type="dcterms:W3CDTF">2016-08-26T17:53:00Z</dcterms:created>
  <dcterms:modified xsi:type="dcterms:W3CDTF">2016-09-14T15:46:00Z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0x0101003837EBEE62F2E248B8AD112B0E89FEBA</vt:lpwstr>
  </property>
</Properties>
</file>