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38595" w14:textId="77777777" w:rsidR="00EB3E6F" w:rsidRPr="006C693E" w:rsidRDefault="00FD66F1" w:rsidP="00A40A0C">
      <w:pPr>
        <w:spacing w:after="0" w:line="240" w:lineRule="auto"/>
        <w:jc w:val="center"/>
        <w:rPr>
          <w:rFonts w:ascii="Times New Roman" w:hAnsi="Times New Roman" w:cs="Times New Roman"/>
          <w:sz w:val="24"/>
          <w:szCs w:val="24"/>
        </w:rPr>
      </w:pPr>
      <w:r w:rsidRPr="006C693E">
        <w:rPr>
          <w:rFonts w:ascii="Times New Roman" w:hAnsi="Times New Roman" w:cs="Times New Roman"/>
          <w:sz w:val="24"/>
          <w:szCs w:val="24"/>
        </w:rPr>
        <w:t>Supporting Statement</w:t>
      </w:r>
    </w:p>
    <w:p w14:paraId="06A875C1" w14:textId="77777777" w:rsidR="00FD66F1" w:rsidRPr="006C693E" w:rsidRDefault="00FD66F1" w:rsidP="00A40A0C">
      <w:pPr>
        <w:spacing w:after="0" w:line="240" w:lineRule="auto"/>
        <w:jc w:val="center"/>
        <w:rPr>
          <w:rFonts w:ascii="Times New Roman" w:hAnsi="Times New Roman" w:cs="Times New Roman"/>
          <w:b/>
          <w:sz w:val="24"/>
          <w:szCs w:val="24"/>
        </w:rPr>
      </w:pPr>
      <w:r w:rsidRPr="006C693E">
        <w:rPr>
          <w:rFonts w:ascii="Times New Roman" w:hAnsi="Times New Roman" w:cs="Times New Roman"/>
          <w:b/>
          <w:sz w:val="24"/>
          <w:szCs w:val="24"/>
        </w:rPr>
        <w:t>FERC-</w:t>
      </w:r>
      <w:r w:rsidR="00FF49AC" w:rsidRPr="006C693E">
        <w:rPr>
          <w:rFonts w:ascii="Times New Roman" w:hAnsi="Times New Roman" w:cs="Times New Roman"/>
          <w:b/>
          <w:sz w:val="24"/>
          <w:szCs w:val="24"/>
        </w:rPr>
        <w:t>550, Oil Pipeline Rate - Tariff Filings</w:t>
      </w:r>
    </w:p>
    <w:p w14:paraId="07BA31AD" w14:textId="77777777" w:rsidR="00FD66F1" w:rsidRPr="006C693E" w:rsidRDefault="00FD66F1" w:rsidP="00A40A0C">
      <w:pPr>
        <w:spacing w:after="0" w:line="240" w:lineRule="auto"/>
        <w:jc w:val="center"/>
        <w:rPr>
          <w:rFonts w:ascii="Times New Roman" w:hAnsi="Times New Roman" w:cs="Times New Roman"/>
          <w:sz w:val="24"/>
          <w:szCs w:val="24"/>
        </w:rPr>
      </w:pPr>
    </w:p>
    <w:p w14:paraId="0D10750B" w14:textId="77777777" w:rsidR="0002242D" w:rsidRPr="006C693E" w:rsidRDefault="00FF49AC" w:rsidP="00A40A0C">
      <w:pPr>
        <w:spacing w:after="0" w:line="240" w:lineRule="auto"/>
        <w:rPr>
          <w:rFonts w:ascii="Times New Roman" w:hAnsi="Times New Roman" w:cs="Times New Roman"/>
          <w:sz w:val="24"/>
          <w:szCs w:val="24"/>
        </w:rPr>
      </w:pPr>
      <w:r w:rsidRPr="006C693E">
        <w:rPr>
          <w:rFonts w:ascii="Times New Roman" w:hAnsi="Times New Roman" w:cs="Times New Roman"/>
          <w:sz w:val="24"/>
          <w:szCs w:val="24"/>
        </w:rPr>
        <w:t xml:space="preserve">The Federal Energy Regulatory Commission (Commission or FERC) requests that the Office of Management and Budget (OMB) review and approve </w:t>
      </w:r>
      <w:r w:rsidRPr="006C693E">
        <w:rPr>
          <w:rFonts w:ascii="Times New Roman" w:hAnsi="Times New Roman" w:cs="Times New Roman"/>
          <w:b/>
          <w:bCs/>
          <w:sz w:val="24"/>
          <w:szCs w:val="24"/>
        </w:rPr>
        <w:t>FERC</w:t>
      </w:r>
      <w:r w:rsidRPr="006C693E">
        <w:rPr>
          <w:rFonts w:ascii="Times New Roman" w:hAnsi="Times New Roman" w:cs="Times New Roman"/>
          <w:b/>
          <w:bCs/>
          <w:sz w:val="24"/>
          <w:szCs w:val="24"/>
        </w:rPr>
        <w:noBreakHyphen/>
        <w:t>550, Oil Pipeline Rates – Tariff Filings,</w:t>
      </w:r>
      <w:r w:rsidRPr="006C693E">
        <w:rPr>
          <w:rFonts w:ascii="Times New Roman" w:hAnsi="Times New Roman" w:cs="Times New Roman"/>
          <w:sz w:val="24"/>
          <w:szCs w:val="24"/>
        </w:rPr>
        <w:t xml:space="preserve"> for a three year period.  FERC-550 is an existing collection</w:t>
      </w:r>
      <w:r w:rsidR="006C693E" w:rsidRPr="006C693E">
        <w:rPr>
          <w:rFonts w:ascii="Times New Roman" w:hAnsi="Times New Roman" w:cs="Times New Roman"/>
          <w:sz w:val="24"/>
          <w:szCs w:val="24"/>
        </w:rPr>
        <w:t>, with no changes to the reporting requirements</w:t>
      </w:r>
      <w:r w:rsidR="007B32D9" w:rsidRPr="006C693E">
        <w:rPr>
          <w:rFonts w:ascii="Times New Roman" w:hAnsi="Times New Roman" w:cs="Times New Roman"/>
          <w:sz w:val="24"/>
          <w:szCs w:val="24"/>
        </w:rPr>
        <w:t>.</w:t>
      </w:r>
    </w:p>
    <w:p w14:paraId="4B66ED81" w14:textId="77777777" w:rsidR="00A23AB8" w:rsidRPr="006C693E" w:rsidRDefault="00A23AB8" w:rsidP="00A40A0C">
      <w:pPr>
        <w:spacing w:after="0" w:line="240" w:lineRule="auto"/>
        <w:rPr>
          <w:rFonts w:ascii="Times New Roman" w:hAnsi="Times New Roman" w:cs="Times New Roman"/>
          <w:sz w:val="24"/>
          <w:szCs w:val="24"/>
        </w:rPr>
      </w:pPr>
    </w:p>
    <w:p w14:paraId="46B244C8" w14:textId="77777777" w:rsidR="0002242D" w:rsidRPr="006C693E" w:rsidRDefault="0002242D" w:rsidP="00A40A0C">
      <w:pPr>
        <w:spacing w:after="0" w:line="240" w:lineRule="auto"/>
        <w:rPr>
          <w:rFonts w:ascii="Times New Roman" w:hAnsi="Times New Roman" w:cs="Times New Roman"/>
          <w:sz w:val="24"/>
          <w:szCs w:val="24"/>
        </w:rPr>
      </w:pPr>
    </w:p>
    <w:p w14:paraId="40057B1B" w14:textId="77777777" w:rsidR="00A72E7B" w:rsidRPr="006C693E" w:rsidRDefault="00A72E7B" w:rsidP="00A40A0C">
      <w:pPr>
        <w:pStyle w:val="ListParagraph"/>
        <w:numPr>
          <w:ilvl w:val="0"/>
          <w:numId w:val="1"/>
        </w:numPr>
        <w:spacing w:after="0" w:line="240" w:lineRule="auto"/>
        <w:ind w:left="360"/>
        <w:rPr>
          <w:rFonts w:ascii="Times New Roman" w:hAnsi="Times New Roman" w:cs="Times New Roman"/>
          <w:b/>
          <w:sz w:val="24"/>
          <w:szCs w:val="24"/>
        </w:rPr>
      </w:pPr>
      <w:r w:rsidRPr="006C693E">
        <w:rPr>
          <w:rFonts w:ascii="Times New Roman" w:hAnsi="Times New Roman" w:cs="Times New Roman"/>
          <w:b/>
          <w:sz w:val="24"/>
          <w:szCs w:val="24"/>
        </w:rPr>
        <w:t>CIRCUMSTANCES THAT MAKE THE COLLECTION OF INFORMATION NECESSARY</w:t>
      </w:r>
    </w:p>
    <w:p w14:paraId="2D509B78" w14:textId="77777777" w:rsidR="00A72E7B" w:rsidRPr="006C693E" w:rsidRDefault="00A72E7B" w:rsidP="00A40A0C">
      <w:pPr>
        <w:spacing w:after="0" w:line="240" w:lineRule="auto"/>
        <w:rPr>
          <w:rFonts w:ascii="Times New Roman" w:hAnsi="Times New Roman" w:cs="Times New Roman"/>
          <w:sz w:val="24"/>
          <w:szCs w:val="24"/>
        </w:rPr>
      </w:pPr>
    </w:p>
    <w:p w14:paraId="08690A36" w14:textId="77777777" w:rsidR="007A6FC9" w:rsidRPr="006C693E" w:rsidRDefault="007B32D9" w:rsidP="00A40A0C">
      <w:pPr>
        <w:spacing w:after="0" w:line="240" w:lineRule="auto"/>
        <w:rPr>
          <w:rFonts w:ascii="Times New Roman" w:hAnsi="Times New Roman" w:cs="Times New Roman"/>
          <w:sz w:val="24"/>
          <w:szCs w:val="24"/>
        </w:rPr>
      </w:pPr>
      <w:r w:rsidRPr="006C693E">
        <w:rPr>
          <w:rFonts w:ascii="Times New Roman" w:hAnsi="Times New Roman" w:cs="Times New Roman"/>
          <w:sz w:val="24"/>
          <w:szCs w:val="24"/>
        </w:rPr>
        <w:t>The Commission's regulatory jurisdiction</w:t>
      </w:r>
      <w:r w:rsidRPr="006C693E">
        <w:rPr>
          <w:rStyle w:val="FootnoteReference"/>
          <w:rFonts w:ascii="Times New Roman" w:hAnsi="Times New Roman" w:cs="Times New Roman"/>
          <w:sz w:val="24"/>
          <w:szCs w:val="24"/>
          <w:vertAlign w:val="superscript"/>
        </w:rPr>
        <w:footnoteReference w:id="1"/>
      </w:r>
      <w:r w:rsidRPr="006C693E">
        <w:rPr>
          <w:rFonts w:ascii="Times New Roman" w:hAnsi="Times New Roman" w:cs="Times New Roman"/>
          <w:sz w:val="24"/>
          <w:szCs w:val="24"/>
        </w:rPr>
        <w:t xml:space="preserve"> </w:t>
      </w:r>
      <w:r w:rsidR="007A6FC9" w:rsidRPr="006C693E">
        <w:rPr>
          <w:rFonts w:ascii="Times New Roman" w:hAnsi="Times New Roman" w:cs="Times New Roman"/>
          <w:sz w:val="24"/>
          <w:szCs w:val="24"/>
        </w:rPr>
        <w:t>over oil pipelines includes:</w:t>
      </w:r>
    </w:p>
    <w:p w14:paraId="40B97543" w14:textId="77777777" w:rsidR="007A6FC9" w:rsidRPr="006C693E" w:rsidRDefault="007A6FC9" w:rsidP="00A40A0C">
      <w:pPr>
        <w:numPr>
          <w:ilvl w:val="0"/>
          <w:numId w:val="5"/>
        </w:numPr>
        <w:spacing w:after="0" w:line="240" w:lineRule="auto"/>
        <w:rPr>
          <w:rFonts w:ascii="Times New Roman" w:hAnsi="Times New Roman" w:cs="Times New Roman"/>
          <w:b/>
          <w:sz w:val="24"/>
          <w:szCs w:val="24"/>
        </w:rPr>
      </w:pPr>
      <w:r w:rsidRPr="006C693E">
        <w:rPr>
          <w:rFonts w:ascii="Times New Roman" w:hAnsi="Times New Roman" w:cs="Times New Roman"/>
          <w:sz w:val="24"/>
          <w:szCs w:val="24"/>
        </w:rPr>
        <w:t xml:space="preserve">the regulation of rates and practices of oil pipeline companies engaged in interstate transportation; </w:t>
      </w:r>
    </w:p>
    <w:p w14:paraId="25D4554C" w14:textId="77777777" w:rsidR="007A6FC9" w:rsidRPr="006C693E" w:rsidRDefault="007A6FC9" w:rsidP="00A40A0C">
      <w:pPr>
        <w:numPr>
          <w:ilvl w:val="0"/>
          <w:numId w:val="5"/>
        </w:numPr>
        <w:spacing w:after="0" w:line="240" w:lineRule="auto"/>
        <w:rPr>
          <w:rFonts w:ascii="Times New Roman" w:hAnsi="Times New Roman" w:cs="Times New Roman"/>
          <w:b/>
          <w:sz w:val="24"/>
          <w:szCs w:val="24"/>
        </w:rPr>
      </w:pPr>
      <w:r w:rsidRPr="006C693E">
        <w:rPr>
          <w:rFonts w:ascii="Times New Roman" w:hAnsi="Times New Roman" w:cs="Times New Roman"/>
          <w:sz w:val="24"/>
          <w:szCs w:val="24"/>
        </w:rPr>
        <w:t xml:space="preserve">the establishment of equal service conditions to provide shippers with equal access to pipeline transportation; and </w:t>
      </w:r>
    </w:p>
    <w:p w14:paraId="5DD902CC" w14:textId="77777777" w:rsidR="007A6FC9" w:rsidRPr="006C693E" w:rsidRDefault="007A6FC9" w:rsidP="00A40A0C">
      <w:pPr>
        <w:numPr>
          <w:ilvl w:val="0"/>
          <w:numId w:val="5"/>
        </w:numPr>
        <w:spacing w:after="0" w:line="240" w:lineRule="auto"/>
        <w:rPr>
          <w:rFonts w:ascii="Times New Roman" w:hAnsi="Times New Roman" w:cs="Times New Roman"/>
          <w:b/>
          <w:sz w:val="24"/>
          <w:szCs w:val="24"/>
        </w:rPr>
      </w:pPr>
      <w:r w:rsidRPr="006C693E">
        <w:rPr>
          <w:rFonts w:ascii="Times New Roman" w:hAnsi="Times New Roman" w:cs="Times New Roman"/>
          <w:sz w:val="24"/>
          <w:szCs w:val="24"/>
        </w:rPr>
        <w:t xml:space="preserve">the establishment of reasonable rates for transporting petroleum and petroleum products by pipeline. </w:t>
      </w:r>
    </w:p>
    <w:p w14:paraId="694D432B" w14:textId="77777777" w:rsidR="007A6FC9" w:rsidRPr="006C693E" w:rsidRDefault="007A6FC9" w:rsidP="00A40A0C">
      <w:pPr>
        <w:spacing w:after="0" w:line="240" w:lineRule="auto"/>
        <w:rPr>
          <w:rFonts w:ascii="Times New Roman" w:hAnsi="Times New Roman" w:cs="Times New Roman"/>
          <w:sz w:val="24"/>
          <w:szCs w:val="24"/>
        </w:rPr>
      </w:pPr>
    </w:p>
    <w:p w14:paraId="5416BA83" w14:textId="77777777" w:rsidR="007B32D9" w:rsidRPr="006C693E" w:rsidRDefault="007B32D9" w:rsidP="00A40A0C">
      <w:pPr>
        <w:spacing w:after="0" w:line="240" w:lineRule="auto"/>
        <w:rPr>
          <w:rFonts w:ascii="Times New Roman" w:hAnsi="Times New Roman" w:cs="Times New Roman"/>
          <w:sz w:val="24"/>
          <w:szCs w:val="24"/>
        </w:rPr>
      </w:pPr>
      <w:r w:rsidRPr="006C693E">
        <w:rPr>
          <w:rFonts w:ascii="Times New Roman" w:hAnsi="Times New Roman" w:cs="Times New Roman"/>
          <w:sz w:val="24"/>
          <w:szCs w:val="24"/>
        </w:rPr>
        <w:t xml:space="preserve">Order </w:t>
      </w:r>
      <w:r w:rsidR="00796D90">
        <w:rPr>
          <w:rFonts w:ascii="Times New Roman" w:hAnsi="Times New Roman" w:cs="Times New Roman"/>
          <w:sz w:val="24"/>
          <w:szCs w:val="24"/>
        </w:rPr>
        <w:t xml:space="preserve">No. </w:t>
      </w:r>
      <w:r w:rsidRPr="006C693E">
        <w:rPr>
          <w:rFonts w:ascii="Times New Roman" w:hAnsi="Times New Roman" w:cs="Times New Roman"/>
          <w:sz w:val="24"/>
          <w:szCs w:val="24"/>
        </w:rPr>
        <w:t xml:space="preserve">561 (issued 10/22/1993 in Docket No. RM93-11) revised the Commission’s “regulations of oil pipelines in order to implement the requirements of Title XVIII of the Energy Policy Act of 1992. </w:t>
      </w:r>
      <w:r w:rsidR="00796D90">
        <w:rPr>
          <w:rFonts w:ascii="Times New Roman" w:hAnsi="Times New Roman" w:cs="Times New Roman"/>
          <w:sz w:val="24"/>
          <w:szCs w:val="24"/>
        </w:rPr>
        <w:t xml:space="preserve"> </w:t>
      </w:r>
      <w:r w:rsidRPr="006C693E">
        <w:rPr>
          <w:rFonts w:ascii="Times New Roman" w:hAnsi="Times New Roman" w:cs="Times New Roman"/>
          <w:sz w:val="24"/>
          <w:szCs w:val="24"/>
        </w:rPr>
        <w:t xml:space="preserve">The revisions provide a simplified and generally applicable method for regulating oil pipeline rates by use of an index for setting rate ceilings for such rates. </w:t>
      </w:r>
      <w:r w:rsidR="00796D90">
        <w:rPr>
          <w:rFonts w:ascii="Times New Roman" w:hAnsi="Times New Roman" w:cs="Times New Roman"/>
          <w:sz w:val="24"/>
          <w:szCs w:val="24"/>
        </w:rPr>
        <w:t xml:space="preserve"> </w:t>
      </w:r>
      <w:r w:rsidRPr="006C693E">
        <w:rPr>
          <w:rFonts w:ascii="Times New Roman" w:hAnsi="Times New Roman" w:cs="Times New Roman"/>
          <w:sz w:val="24"/>
          <w:szCs w:val="24"/>
        </w:rPr>
        <w:t xml:space="preserve">In certain circumstances, an oil pipeline would be permitted to establish rates using </w:t>
      </w:r>
      <w:r w:rsidR="00796D90">
        <w:rPr>
          <w:rFonts w:ascii="Times New Roman" w:hAnsi="Times New Roman" w:cs="Times New Roman"/>
          <w:sz w:val="24"/>
          <w:szCs w:val="24"/>
        </w:rPr>
        <w:t xml:space="preserve">a </w:t>
      </w:r>
      <w:r w:rsidRPr="006C693E">
        <w:rPr>
          <w:rFonts w:ascii="Times New Roman" w:hAnsi="Times New Roman" w:cs="Times New Roman"/>
          <w:sz w:val="24"/>
          <w:szCs w:val="24"/>
        </w:rPr>
        <w:t>traditional cost of service or other methods of ratemaking.”</w:t>
      </w:r>
      <w:r w:rsidR="0069402A" w:rsidRPr="006C693E">
        <w:rPr>
          <w:rFonts w:ascii="Times New Roman" w:hAnsi="Times New Roman" w:cs="Times New Roman"/>
          <w:sz w:val="24"/>
          <w:szCs w:val="24"/>
        </w:rPr>
        <w:t xml:space="preserve">  As discussed further in Order </w:t>
      </w:r>
      <w:r w:rsidR="00796D90">
        <w:rPr>
          <w:rFonts w:ascii="Times New Roman" w:hAnsi="Times New Roman" w:cs="Times New Roman"/>
          <w:sz w:val="24"/>
          <w:szCs w:val="24"/>
        </w:rPr>
        <w:t xml:space="preserve">No. </w:t>
      </w:r>
      <w:r w:rsidR="0069402A" w:rsidRPr="006C693E">
        <w:rPr>
          <w:rFonts w:ascii="Times New Roman" w:hAnsi="Times New Roman" w:cs="Times New Roman"/>
          <w:sz w:val="24"/>
          <w:szCs w:val="24"/>
        </w:rPr>
        <w:t>650 (issued 8/27/2004 in Docket RM93-11-002), “[a]mong other things, Order No. 561 established a price cap for oil pipeline rates, to be</w:t>
      </w:r>
      <w:r w:rsidR="006C693E" w:rsidRPr="006C693E">
        <w:rPr>
          <w:rFonts w:ascii="Times New Roman" w:hAnsi="Times New Roman" w:cs="Times New Roman"/>
          <w:sz w:val="24"/>
          <w:szCs w:val="24"/>
        </w:rPr>
        <w:t xml:space="preserve"> </w:t>
      </w:r>
      <w:r w:rsidR="0069402A" w:rsidRPr="006C693E">
        <w:rPr>
          <w:rFonts w:ascii="Times New Roman" w:hAnsi="Times New Roman" w:cs="Times New Roman"/>
          <w:sz w:val="24"/>
          <w:szCs w:val="24"/>
        </w:rPr>
        <w:t>adjusted annually based upon changes in the Producer Price Index for Finished Goods</w:t>
      </w:r>
      <w:r w:rsidR="006C693E" w:rsidRPr="006C693E">
        <w:rPr>
          <w:rFonts w:ascii="Times New Roman" w:hAnsi="Times New Roman" w:cs="Times New Roman"/>
          <w:sz w:val="24"/>
          <w:szCs w:val="24"/>
        </w:rPr>
        <w:t xml:space="preserve"> </w:t>
      </w:r>
      <w:r w:rsidR="0069402A" w:rsidRPr="006C693E">
        <w:rPr>
          <w:rFonts w:ascii="Times New Roman" w:hAnsi="Times New Roman" w:cs="Times New Roman"/>
          <w:sz w:val="24"/>
          <w:szCs w:val="24"/>
        </w:rPr>
        <w:t>(published each May by the U.S. Department of Labor, Bureau of Labor Statistics) minus</w:t>
      </w:r>
      <w:r w:rsidR="006C693E" w:rsidRPr="006C693E">
        <w:rPr>
          <w:rFonts w:ascii="Times New Roman" w:hAnsi="Times New Roman" w:cs="Times New Roman"/>
          <w:sz w:val="24"/>
          <w:szCs w:val="24"/>
        </w:rPr>
        <w:t xml:space="preserve"> </w:t>
      </w:r>
      <w:r w:rsidR="0069402A" w:rsidRPr="006C693E">
        <w:rPr>
          <w:rFonts w:ascii="Times New Roman" w:hAnsi="Times New Roman" w:cs="Times New Roman"/>
          <w:sz w:val="24"/>
          <w:szCs w:val="24"/>
        </w:rPr>
        <w:t xml:space="preserve">one percent (PPI-1). </w:t>
      </w:r>
      <w:r w:rsidR="00796D90">
        <w:rPr>
          <w:rFonts w:ascii="Times New Roman" w:hAnsi="Times New Roman" w:cs="Times New Roman"/>
          <w:sz w:val="24"/>
          <w:szCs w:val="24"/>
        </w:rPr>
        <w:t xml:space="preserve"> </w:t>
      </w:r>
      <w:r w:rsidR="0069402A" w:rsidRPr="006C693E">
        <w:rPr>
          <w:rFonts w:ascii="Times New Roman" w:hAnsi="Times New Roman" w:cs="Times New Roman"/>
          <w:sz w:val="24"/>
          <w:szCs w:val="24"/>
        </w:rPr>
        <w:t>Order No. 561 recognized that its responsibilities under the</w:t>
      </w:r>
      <w:r w:rsidR="006C693E" w:rsidRPr="006C693E">
        <w:rPr>
          <w:rFonts w:ascii="Times New Roman" w:hAnsi="Times New Roman" w:cs="Times New Roman"/>
          <w:sz w:val="24"/>
          <w:szCs w:val="24"/>
        </w:rPr>
        <w:t xml:space="preserve"> </w:t>
      </w:r>
      <w:r w:rsidR="0069402A" w:rsidRPr="006C693E">
        <w:rPr>
          <w:rFonts w:ascii="Times New Roman" w:hAnsi="Times New Roman" w:cs="Times New Roman"/>
          <w:sz w:val="24"/>
          <w:szCs w:val="24"/>
        </w:rPr>
        <w:t>Interstate Commerce Act,</w:t>
      </w:r>
      <w:r w:rsidR="0069402A" w:rsidRPr="006C693E">
        <w:rPr>
          <w:rStyle w:val="FootnoteReference"/>
          <w:rFonts w:ascii="Times New Roman" w:hAnsi="Times New Roman" w:cs="Times New Roman"/>
          <w:sz w:val="24"/>
          <w:szCs w:val="24"/>
          <w:vertAlign w:val="superscript"/>
        </w:rPr>
        <w:footnoteReference w:id="2"/>
      </w:r>
      <w:r w:rsidR="0069402A" w:rsidRPr="006C693E">
        <w:rPr>
          <w:rFonts w:ascii="Times New Roman" w:hAnsi="Times New Roman" w:cs="Times New Roman"/>
          <w:sz w:val="24"/>
          <w:szCs w:val="24"/>
        </w:rPr>
        <w:t xml:space="preserve"> to both shippers and pipelines, required monitoring of the</w:t>
      </w:r>
      <w:r w:rsidR="006C693E" w:rsidRPr="006C693E">
        <w:rPr>
          <w:rFonts w:ascii="Times New Roman" w:hAnsi="Times New Roman" w:cs="Times New Roman"/>
          <w:sz w:val="24"/>
          <w:szCs w:val="24"/>
        </w:rPr>
        <w:t xml:space="preserve"> </w:t>
      </w:r>
      <w:r w:rsidR="0069402A" w:rsidRPr="006C693E">
        <w:rPr>
          <w:rFonts w:ascii="Times New Roman" w:hAnsi="Times New Roman" w:cs="Times New Roman"/>
          <w:sz w:val="24"/>
          <w:szCs w:val="24"/>
        </w:rPr>
        <w:t>relationship between the change in the selected index and the actual cost changes</w:t>
      </w:r>
      <w:r w:rsidR="006C693E" w:rsidRPr="006C693E">
        <w:rPr>
          <w:rFonts w:ascii="Times New Roman" w:hAnsi="Times New Roman" w:cs="Times New Roman"/>
          <w:sz w:val="24"/>
          <w:szCs w:val="24"/>
        </w:rPr>
        <w:t xml:space="preserve"> </w:t>
      </w:r>
      <w:r w:rsidR="0069402A" w:rsidRPr="006C693E">
        <w:rPr>
          <w:rFonts w:ascii="Times New Roman" w:hAnsi="Times New Roman" w:cs="Times New Roman"/>
          <w:sz w:val="24"/>
          <w:szCs w:val="24"/>
        </w:rPr>
        <w:t xml:space="preserve">experienced by the industry. </w:t>
      </w:r>
      <w:r w:rsidR="00796D90">
        <w:rPr>
          <w:rFonts w:ascii="Times New Roman" w:hAnsi="Times New Roman" w:cs="Times New Roman"/>
          <w:sz w:val="24"/>
          <w:szCs w:val="24"/>
        </w:rPr>
        <w:t xml:space="preserve"> </w:t>
      </w:r>
      <w:r w:rsidR="0069402A" w:rsidRPr="006C693E">
        <w:rPr>
          <w:rFonts w:ascii="Times New Roman" w:hAnsi="Times New Roman" w:cs="Times New Roman"/>
          <w:sz w:val="24"/>
          <w:szCs w:val="24"/>
        </w:rPr>
        <w:t>Therefore, the Commission stated that it would review the</w:t>
      </w:r>
      <w:r w:rsidR="006C693E" w:rsidRPr="006C693E">
        <w:rPr>
          <w:rFonts w:ascii="Times New Roman" w:hAnsi="Times New Roman" w:cs="Times New Roman"/>
          <w:sz w:val="24"/>
          <w:szCs w:val="24"/>
        </w:rPr>
        <w:t xml:space="preserve"> </w:t>
      </w:r>
      <w:r w:rsidR="0069402A" w:rsidRPr="006C693E">
        <w:rPr>
          <w:rFonts w:ascii="Times New Roman" w:hAnsi="Times New Roman" w:cs="Times New Roman"/>
          <w:sz w:val="24"/>
          <w:szCs w:val="24"/>
        </w:rPr>
        <w:t>choice of index every 5 years.</w:t>
      </w:r>
      <w:r w:rsidR="0069402A" w:rsidRPr="006C693E">
        <w:rPr>
          <w:rStyle w:val="FootnoteReference"/>
          <w:rFonts w:ascii="Times New Roman" w:hAnsi="Times New Roman" w:cs="Times New Roman"/>
          <w:sz w:val="24"/>
          <w:szCs w:val="24"/>
          <w:vertAlign w:val="superscript"/>
        </w:rPr>
        <w:footnoteReference w:id="3"/>
      </w:r>
      <w:r w:rsidR="006C693E" w:rsidRPr="006C693E">
        <w:rPr>
          <w:rFonts w:ascii="Times New Roman" w:hAnsi="Times New Roman" w:cs="Times New Roman"/>
          <w:sz w:val="24"/>
          <w:szCs w:val="24"/>
        </w:rPr>
        <w:t>”</w:t>
      </w:r>
    </w:p>
    <w:p w14:paraId="06FE1107" w14:textId="77777777" w:rsidR="007B32D9" w:rsidRPr="006C693E" w:rsidRDefault="007B32D9" w:rsidP="00A40A0C">
      <w:pPr>
        <w:spacing w:after="0" w:line="240" w:lineRule="auto"/>
        <w:rPr>
          <w:rFonts w:ascii="Times New Roman" w:hAnsi="Times New Roman" w:cs="Times New Roman"/>
          <w:sz w:val="24"/>
          <w:szCs w:val="24"/>
        </w:rPr>
      </w:pPr>
    </w:p>
    <w:p w14:paraId="5BE0006C" w14:textId="77777777" w:rsidR="007A6FC9" w:rsidRPr="006C693E" w:rsidRDefault="007A6FC9" w:rsidP="00A40A0C">
      <w:pPr>
        <w:spacing w:after="0" w:line="240" w:lineRule="auto"/>
        <w:rPr>
          <w:rFonts w:ascii="Times New Roman" w:hAnsi="Times New Roman" w:cs="Times New Roman"/>
          <w:sz w:val="24"/>
          <w:szCs w:val="24"/>
        </w:rPr>
      </w:pPr>
      <w:r w:rsidRPr="006C693E">
        <w:rPr>
          <w:rFonts w:ascii="Times New Roman" w:hAnsi="Times New Roman" w:cs="Times New Roman"/>
          <w:sz w:val="24"/>
          <w:szCs w:val="24"/>
        </w:rPr>
        <w:t>The filing requirements for oil pipeline tariffs and rates</w:t>
      </w:r>
      <w:r w:rsidRPr="006C693E">
        <w:rPr>
          <w:rFonts w:ascii="Times New Roman" w:hAnsi="Times New Roman" w:cs="Times New Roman"/>
          <w:sz w:val="24"/>
          <w:szCs w:val="24"/>
          <w:vertAlign w:val="superscript"/>
        </w:rPr>
        <w:footnoteReference w:id="4"/>
      </w:r>
      <w:r w:rsidRPr="006C693E">
        <w:rPr>
          <w:rFonts w:ascii="Times New Roman" w:hAnsi="Times New Roman" w:cs="Times New Roman"/>
          <w:sz w:val="24"/>
          <w:szCs w:val="24"/>
        </w:rPr>
        <w:t xml:space="preserve"> </w:t>
      </w:r>
      <w:r w:rsidR="00BC2D6A" w:rsidRPr="006C693E">
        <w:rPr>
          <w:rFonts w:ascii="Times New Roman" w:hAnsi="Times New Roman" w:cs="Times New Roman"/>
          <w:sz w:val="24"/>
          <w:szCs w:val="24"/>
        </w:rPr>
        <w:t>under</w:t>
      </w:r>
      <w:r w:rsidRPr="006C693E">
        <w:rPr>
          <w:rFonts w:ascii="Times New Roman" w:hAnsi="Times New Roman" w:cs="Times New Roman"/>
          <w:sz w:val="24"/>
          <w:szCs w:val="24"/>
        </w:rPr>
        <w:t xml:space="preserve"> the FERC-550 data collection provide the Commission with the information it needs to analyze the rates, practices, and service conditions of oil pipelines.  As a result, the Commission can implemen</w:t>
      </w:r>
      <w:r w:rsidR="007313EF" w:rsidRPr="006C693E">
        <w:rPr>
          <w:rFonts w:ascii="Times New Roman" w:hAnsi="Times New Roman" w:cs="Times New Roman"/>
          <w:sz w:val="24"/>
          <w:szCs w:val="24"/>
        </w:rPr>
        <w:t xml:space="preserve">t statutory directives for </w:t>
      </w:r>
      <w:r w:rsidR="007313EF" w:rsidRPr="006C693E">
        <w:rPr>
          <w:rFonts w:ascii="Times New Roman" w:hAnsi="Times New Roman" w:cs="Times New Roman"/>
          <w:sz w:val="24"/>
          <w:szCs w:val="24"/>
        </w:rPr>
        <w:lastRenderedPageBreak/>
        <w:t>the f</w:t>
      </w:r>
      <w:r w:rsidRPr="006C693E">
        <w:rPr>
          <w:rFonts w:ascii="Times New Roman" w:hAnsi="Times New Roman" w:cs="Times New Roman"/>
          <w:sz w:val="24"/>
          <w:szCs w:val="24"/>
        </w:rPr>
        <w:t xml:space="preserve">ederal regulation of these carriers.  Major statutory and rate-making milestones in the Commission’s regulation of oil pipelines rates </w:t>
      </w:r>
      <w:r w:rsidR="00AA02EB" w:rsidRPr="006C693E">
        <w:rPr>
          <w:rFonts w:ascii="Times New Roman" w:hAnsi="Times New Roman" w:cs="Times New Roman"/>
          <w:sz w:val="24"/>
          <w:szCs w:val="24"/>
        </w:rPr>
        <w:t>(“</w:t>
      </w:r>
      <w:r w:rsidR="00AA02EB" w:rsidRPr="006C693E">
        <w:rPr>
          <w:rFonts w:ascii="Times New Roman" w:hAnsi="Times New Roman" w:cs="Times New Roman"/>
          <w:i/>
          <w:sz w:val="24"/>
          <w:szCs w:val="24"/>
        </w:rPr>
        <w:t>Historical Background of Oil Pipeline Ratemaking</w:t>
      </w:r>
      <w:r w:rsidR="00AA02EB" w:rsidRPr="006C693E">
        <w:rPr>
          <w:rFonts w:ascii="Times New Roman" w:hAnsi="Times New Roman" w:cs="Times New Roman"/>
          <w:sz w:val="24"/>
          <w:szCs w:val="24"/>
        </w:rPr>
        <w:t xml:space="preserve">”) </w:t>
      </w:r>
      <w:r w:rsidRPr="006C693E">
        <w:rPr>
          <w:rFonts w:ascii="Times New Roman" w:hAnsi="Times New Roman" w:cs="Times New Roman"/>
          <w:sz w:val="24"/>
          <w:szCs w:val="24"/>
        </w:rPr>
        <w:t xml:space="preserve">are </w:t>
      </w:r>
      <w:r w:rsidR="007B32D9" w:rsidRPr="006C693E">
        <w:rPr>
          <w:rFonts w:ascii="Times New Roman" w:hAnsi="Times New Roman" w:cs="Times New Roman"/>
          <w:sz w:val="24"/>
          <w:szCs w:val="24"/>
        </w:rPr>
        <w:t>included in reginfo.gov and ROCIS under</w:t>
      </w:r>
      <w:r w:rsidR="00AA02EB" w:rsidRPr="006C693E">
        <w:rPr>
          <w:rFonts w:ascii="Times New Roman" w:hAnsi="Times New Roman" w:cs="Times New Roman"/>
          <w:sz w:val="24"/>
          <w:szCs w:val="24"/>
        </w:rPr>
        <w:t xml:space="preserve"> “Supplementary Documents”</w:t>
      </w:r>
      <w:r w:rsidR="007B32D9" w:rsidRPr="006C693E">
        <w:rPr>
          <w:rFonts w:ascii="Times New Roman" w:hAnsi="Times New Roman" w:cs="Times New Roman"/>
          <w:sz w:val="24"/>
          <w:szCs w:val="24"/>
        </w:rPr>
        <w:t xml:space="preserve"> and posted at http://www.ferc.gov/industries/oil.asp.</w:t>
      </w:r>
    </w:p>
    <w:p w14:paraId="3B7D28FE" w14:textId="77777777" w:rsidR="00EB3E6F" w:rsidRPr="006C693E" w:rsidRDefault="00EB3E6F" w:rsidP="00A40A0C">
      <w:pPr>
        <w:spacing w:after="0" w:line="240" w:lineRule="auto"/>
        <w:rPr>
          <w:rFonts w:ascii="Times New Roman" w:hAnsi="Times New Roman" w:cs="Times New Roman"/>
          <w:sz w:val="24"/>
          <w:szCs w:val="24"/>
        </w:rPr>
      </w:pPr>
    </w:p>
    <w:p w14:paraId="4B9A787B" w14:textId="77777777" w:rsidR="00A72E7B" w:rsidRPr="006C693E" w:rsidRDefault="00EB3E6F" w:rsidP="00A40A0C">
      <w:pPr>
        <w:pStyle w:val="ListParagraph"/>
        <w:numPr>
          <w:ilvl w:val="0"/>
          <w:numId w:val="1"/>
        </w:numPr>
        <w:spacing w:after="0" w:line="240" w:lineRule="auto"/>
        <w:ind w:left="360"/>
        <w:rPr>
          <w:rFonts w:ascii="Times New Roman" w:hAnsi="Times New Roman" w:cs="Times New Roman"/>
          <w:b/>
          <w:sz w:val="24"/>
          <w:szCs w:val="24"/>
        </w:rPr>
      </w:pPr>
      <w:r w:rsidRPr="006C693E">
        <w:rPr>
          <w:rFonts w:ascii="Times New Roman" w:hAnsi="Times New Roman" w:cs="Times New Roman"/>
          <w:b/>
          <w:sz w:val="24"/>
          <w:szCs w:val="24"/>
        </w:rPr>
        <w:t>HOW, BY WHOM, AND FOR WHAT PURPOSE THE INFORMATION IS TO BE USED AND THE CONSEQUENCES OF NOT COLLECTING THE INFORMATION</w:t>
      </w:r>
    </w:p>
    <w:p w14:paraId="000CE938" w14:textId="77777777" w:rsidR="00EB3E6F" w:rsidRPr="006C693E" w:rsidRDefault="00EB3E6F" w:rsidP="00A40A0C">
      <w:pPr>
        <w:spacing w:after="0" w:line="240" w:lineRule="auto"/>
        <w:rPr>
          <w:rFonts w:ascii="Times New Roman" w:hAnsi="Times New Roman" w:cs="Times New Roman"/>
          <w:sz w:val="24"/>
          <w:szCs w:val="24"/>
        </w:rPr>
      </w:pPr>
    </w:p>
    <w:p w14:paraId="0A5BB75A" w14:textId="77777777" w:rsidR="007A6FC9" w:rsidRPr="006C693E" w:rsidRDefault="007A6FC9" w:rsidP="00A40A0C">
      <w:pPr>
        <w:spacing w:after="0" w:line="240" w:lineRule="auto"/>
        <w:rPr>
          <w:rFonts w:ascii="Times New Roman" w:hAnsi="Times New Roman" w:cs="Times New Roman"/>
          <w:sz w:val="24"/>
          <w:szCs w:val="24"/>
        </w:rPr>
      </w:pPr>
      <w:r w:rsidRPr="006C693E">
        <w:rPr>
          <w:rFonts w:ascii="Times New Roman" w:hAnsi="Times New Roman" w:cs="Times New Roman"/>
          <w:sz w:val="24"/>
          <w:szCs w:val="24"/>
        </w:rPr>
        <w:t>The Commission uses information provided through the FERC-550 collection to analyze proposed tariffs, rates, fares, and charges of oil pipelines and other carriers in connection with the transportation of crude oil and petroleum products.  The Commission uses this information to determine whether the proposed tariffs and rates are just and reasonable.  If the FERC-550 information were not collected, the Commission could not determine whether the proposed rates of oil pipelines are just and reasonable.</w:t>
      </w:r>
    </w:p>
    <w:p w14:paraId="7B95BF66" w14:textId="77777777" w:rsidR="00EB3E6F" w:rsidRPr="006C693E" w:rsidRDefault="00EB3E6F" w:rsidP="00A40A0C">
      <w:pPr>
        <w:spacing w:after="0" w:line="240" w:lineRule="auto"/>
        <w:rPr>
          <w:rFonts w:ascii="Times New Roman" w:hAnsi="Times New Roman" w:cs="Times New Roman"/>
          <w:sz w:val="24"/>
          <w:szCs w:val="24"/>
        </w:rPr>
      </w:pPr>
    </w:p>
    <w:p w14:paraId="3ADCB365" w14:textId="77777777" w:rsidR="00EB3E6F" w:rsidRPr="006C693E" w:rsidRDefault="00EB3E6F" w:rsidP="00A40A0C">
      <w:pPr>
        <w:pStyle w:val="ListParagraph"/>
        <w:numPr>
          <w:ilvl w:val="0"/>
          <w:numId w:val="1"/>
        </w:numPr>
        <w:spacing w:after="0" w:line="240" w:lineRule="auto"/>
        <w:ind w:left="360"/>
        <w:rPr>
          <w:rFonts w:ascii="Times New Roman" w:hAnsi="Times New Roman" w:cs="Times New Roman"/>
          <w:b/>
          <w:sz w:val="24"/>
          <w:szCs w:val="24"/>
        </w:rPr>
      </w:pPr>
      <w:r w:rsidRPr="006C693E">
        <w:rPr>
          <w:rFonts w:ascii="Times New Roman" w:hAnsi="Times New Roman" w:cs="Times New Roman"/>
          <w:b/>
          <w:sz w:val="24"/>
          <w:szCs w:val="24"/>
        </w:rPr>
        <w:t>DESCRIBE ANY CONSIDERATION OF THE USE OF IMPROVED INFORMATION TECHNOLOGY TO REDUCE THE BURDEN AND TECHNICAL OR LEGAL OBSTACLES TO REDUCING BURDEN</w:t>
      </w:r>
    </w:p>
    <w:p w14:paraId="3FDAFD63" w14:textId="77777777" w:rsidR="00EB3E6F" w:rsidRPr="006C693E" w:rsidRDefault="00EB3E6F" w:rsidP="00A40A0C">
      <w:pPr>
        <w:spacing w:after="0" w:line="240" w:lineRule="auto"/>
        <w:rPr>
          <w:rFonts w:ascii="Times New Roman" w:hAnsi="Times New Roman" w:cs="Times New Roman"/>
          <w:sz w:val="24"/>
          <w:szCs w:val="24"/>
        </w:rPr>
      </w:pPr>
    </w:p>
    <w:p w14:paraId="4F3794AF" w14:textId="77777777" w:rsidR="007A6FC9" w:rsidRPr="006C693E" w:rsidRDefault="007A6FC9" w:rsidP="00A40A0C">
      <w:pPr>
        <w:spacing w:after="0" w:line="240" w:lineRule="auto"/>
        <w:rPr>
          <w:rFonts w:ascii="Times New Roman" w:hAnsi="Times New Roman" w:cs="Times New Roman"/>
          <w:sz w:val="24"/>
          <w:szCs w:val="24"/>
        </w:rPr>
      </w:pPr>
      <w:r w:rsidRPr="006C693E">
        <w:rPr>
          <w:rFonts w:ascii="Times New Roman" w:hAnsi="Times New Roman" w:cs="Times New Roman"/>
          <w:sz w:val="24"/>
          <w:szCs w:val="24"/>
        </w:rPr>
        <w:t>In Order No. 714</w:t>
      </w:r>
      <w:bookmarkStart w:id="0" w:name="_Ref317664307"/>
      <w:r w:rsidR="00652C6D">
        <w:rPr>
          <w:rFonts w:ascii="Times New Roman" w:hAnsi="Times New Roman" w:cs="Times New Roman"/>
          <w:sz w:val="24"/>
          <w:szCs w:val="24"/>
        </w:rPr>
        <w:t>,</w:t>
      </w:r>
      <w:r w:rsidRPr="006C693E">
        <w:rPr>
          <w:rFonts w:ascii="Times New Roman" w:hAnsi="Times New Roman" w:cs="Times New Roman"/>
          <w:sz w:val="24"/>
          <w:szCs w:val="24"/>
          <w:vertAlign w:val="superscript"/>
        </w:rPr>
        <w:footnoteReference w:id="5"/>
      </w:r>
      <w:bookmarkEnd w:id="0"/>
      <w:r w:rsidRPr="006C693E">
        <w:rPr>
          <w:rFonts w:ascii="Times New Roman" w:hAnsi="Times New Roman" w:cs="Times New Roman"/>
          <w:sz w:val="24"/>
          <w:szCs w:val="24"/>
        </w:rPr>
        <w:t xml:space="preserve"> the Commission adopted regulations requiring that tariff and tariff-related filings be made electronically.  The Commission provided that the conversion from paper to electronic tariff filings in the eTariff system would begin in April 2010 with pipelines and utilities filing baseline tariffs according to a six-month, staggered filing schedule.  Since it completed the transition into eTariff, the Commission has been receiving, analyzing and acting on oil pipeline tariff filings </w:t>
      </w:r>
      <w:r w:rsidR="00996367" w:rsidRPr="006C693E">
        <w:rPr>
          <w:rFonts w:ascii="Times New Roman" w:hAnsi="Times New Roman" w:cs="Times New Roman"/>
          <w:sz w:val="24"/>
          <w:szCs w:val="24"/>
        </w:rPr>
        <w:t>electronically.</w:t>
      </w:r>
    </w:p>
    <w:p w14:paraId="224FCF9F" w14:textId="77777777" w:rsidR="00EB3E6F" w:rsidRPr="006C693E" w:rsidRDefault="00EB3E6F" w:rsidP="00A40A0C">
      <w:pPr>
        <w:spacing w:after="0" w:line="240" w:lineRule="auto"/>
        <w:rPr>
          <w:rFonts w:ascii="Times New Roman" w:hAnsi="Times New Roman" w:cs="Times New Roman"/>
          <w:sz w:val="24"/>
          <w:szCs w:val="24"/>
        </w:rPr>
      </w:pPr>
    </w:p>
    <w:p w14:paraId="6ADCDCA1" w14:textId="77777777" w:rsidR="00EB3E6F" w:rsidRPr="006C693E" w:rsidRDefault="00EB3E6F" w:rsidP="00A40A0C">
      <w:pPr>
        <w:pStyle w:val="ListParagraph"/>
        <w:numPr>
          <w:ilvl w:val="0"/>
          <w:numId w:val="1"/>
        </w:numPr>
        <w:spacing w:after="0" w:line="240" w:lineRule="auto"/>
        <w:ind w:left="360"/>
        <w:rPr>
          <w:rFonts w:ascii="Times New Roman" w:hAnsi="Times New Roman" w:cs="Times New Roman"/>
          <w:b/>
          <w:sz w:val="24"/>
          <w:szCs w:val="24"/>
        </w:rPr>
      </w:pPr>
      <w:r w:rsidRPr="006C693E">
        <w:rPr>
          <w:rFonts w:ascii="Times New Roman" w:hAnsi="Times New Roman" w:cs="Times New Roman"/>
          <w:b/>
          <w:sz w:val="24"/>
          <w:szCs w:val="24"/>
        </w:rPr>
        <w:t>DESCRIBE EFFORTS TO IDENTIF</w:t>
      </w:r>
      <w:r w:rsidR="00C9204B" w:rsidRPr="006C693E">
        <w:rPr>
          <w:rFonts w:ascii="Times New Roman" w:hAnsi="Times New Roman" w:cs="Times New Roman"/>
          <w:b/>
          <w:sz w:val="24"/>
          <w:szCs w:val="24"/>
        </w:rPr>
        <w:t>Y</w:t>
      </w:r>
      <w:r w:rsidRPr="006C693E">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3608EC79" w14:textId="77777777" w:rsidR="00EB3E6F" w:rsidRPr="006C693E" w:rsidRDefault="00EB3E6F" w:rsidP="00A40A0C">
      <w:pPr>
        <w:spacing w:after="0" w:line="240" w:lineRule="auto"/>
        <w:rPr>
          <w:rFonts w:ascii="Times New Roman" w:hAnsi="Times New Roman" w:cs="Times New Roman"/>
          <w:sz w:val="24"/>
          <w:szCs w:val="24"/>
        </w:rPr>
      </w:pPr>
    </w:p>
    <w:p w14:paraId="0F64ABA9" w14:textId="77777777" w:rsidR="007A6FC9" w:rsidRPr="006C693E" w:rsidRDefault="007A6FC9" w:rsidP="00A40A0C">
      <w:pPr>
        <w:spacing w:after="0" w:line="240" w:lineRule="auto"/>
        <w:rPr>
          <w:rFonts w:ascii="Times New Roman" w:hAnsi="Times New Roman" w:cs="Times New Roman"/>
          <w:sz w:val="24"/>
          <w:szCs w:val="24"/>
        </w:rPr>
      </w:pPr>
      <w:r w:rsidRPr="006C693E">
        <w:rPr>
          <w:rFonts w:ascii="Times New Roman" w:hAnsi="Times New Roman" w:cs="Times New Roman"/>
          <w:sz w:val="24"/>
          <w:szCs w:val="24"/>
        </w:rPr>
        <w:t xml:space="preserve">The FERC-550 tariff filing requirements are reviewed </w:t>
      </w:r>
      <w:r w:rsidR="00C9204B" w:rsidRPr="006C693E">
        <w:rPr>
          <w:rFonts w:ascii="Times New Roman" w:hAnsi="Times New Roman" w:cs="Times New Roman"/>
          <w:sz w:val="24"/>
          <w:szCs w:val="24"/>
        </w:rPr>
        <w:t xml:space="preserve">at least </w:t>
      </w:r>
      <w:r w:rsidRPr="006C693E">
        <w:rPr>
          <w:rFonts w:ascii="Times New Roman" w:hAnsi="Times New Roman" w:cs="Times New Roman"/>
          <w:sz w:val="24"/>
          <w:szCs w:val="24"/>
        </w:rPr>
        <w:t>every three years as the Commission’s authorization from OMB to collect this data nears its expiration date</w:t>
      </w:r>
      <w:r w:rsidR="00C9204B" w:rsidRPr="006C693E">
        <w:rPr>
          <w:rFonts w:ascii="Times New Roman" w:hAnsi="Times New Roman" w:cs="Times New Roman"/>
          <w:sz w:val="24"/>
          <w:szCs w:val="24"/>
        </w:rPr>
        <w:t xml:space="preserve"> or when the Commission proposes changes</w:t>
      </w:r>
      <w:r w:rsidRPr="006C693E">
        <w:rPr>
          <w:rFonts w:ascii="Times New Roman" w:hAnsi="Times New Roman" w:cs="Times New Roman"/>
          <w:sz w:val="24"/>
          <w:szCs w:val="24"/>
        </w:rPr>
        <w:t>.  The information filed in each tariff under the FERC-550 authorization is specific to the filing pipeline and its operations.  There are no similar sources of information that can be used or modified for the Commission’s</w:t>
      </w:r>
      <w:r w:rsidR="002D27F9" w:rsidRPr="006C693E">
        <w:rPr>
          <w:rFonts w:ascii="Times New Roman" w:hAnsi="Times New Roman" w:cs="Times New Roman"/>
          <w:sz w:val="24"/>
          <w:szCs w:val="24"/>
        </w:rPr>
        <w:t xml:space="preserve"> oil pipeline rate regulation.</w:t>
      </w:r>
    </w:p>
    <w:p w14:paraId="241A33BC" w14:textId="77777777" w:rsidR="00EB3E6F" w:rsidRPr="006C693E" w:rsidRDefault="00EB3E6F" w:rsidP="00A40A0C">
      <w:pPr>
        <w:spacing w:after="0" w:line="240" w:lineRule="auto"/>
        <w:rPr>
          <w:rFonts w:ascii="Times New Roman" w:hAnsi="Times New Roman" w:cs="Times New Roman"/>
          <w:sz w:val="24"/>
          <w:szCs w:val="24"/>
        </w:rPr>
      </w:pPr>
    </w:p>
    <w:p w14:paraId="1C3F75C3" w14:textId="77777777" w:rsidR="00EB3E6F" w:rsidRPr="006C693E" w:rsidRDefault="00EB3E6F" w:rsidP="00A40A0C">
      <w:pPr>
        <w:pStyle w:val="ListParagraph"/>
        <w:numPr>
          <w:ilvl w:val="0"/>
          <w:numId w:val="1"/>
        </w:numPr>
        <w:spacing w:after="0" w:line="240" w:lineRule="auto"/>
        <w:ind w:left="360"/>
        <w:rPr>
          <w:rFonts w:ascii="Times New Roman" w:hAnsi="Times New Roman" w:cs="Times New Roman"/>
          <w:b/>
          <w:sz w:val="24"/>
          <w:szCs w:val="24"/>
        </w:rPr>
      </w:pPr>
      <w:r w:rsidRPr="006C693E">
        <w:rPr>
          <w:rFonts w:ascii="Times New Roman" w:hAnsi="Times New Roman" w:cs="Times New Roman"/>
          <w:b/>
          <w:sz w:val="24"/>
          <w:szCs w:val="24"/>
        </w:rPr>
        <w:t>METHODS USED TO MINIMIZE THE BURDEN IN COLLECTION OF INFORMATION INVOLVING SMALL ENTITIES</w:t>
      </w:r>
    </w:p>
    <w:p w14:paraId="499571BC" w14:textId="77777777" w:rsidR="00544B9D" w:rsidRDefault="00544B9D" w:rsidP="007C79F5">
      <w:pPr>
        <w:pStyle w:val="FERCparanumber"/>
        <w:numPr>
          <w:ilvl w:val="0"/>
          <w:numId w:val="0"/>
        </w:numPr>
        <w:rPr>
          <w:rFonts w:eastAsiaTheme="minorHAnsi"/>
          <w:sz w:val="24"/>
        </w:rPr>
      </w:pPr>
    </w:p>
    <w:p w14:paraId="05392679" w14:textId="77777777" w:rsidR="006B06CF" w:rsidRPr="003B48CA" w:rsidRDefault="006B06CF" w:rsidP="007C79F5">
      <w:pPr>
        <w:pStyle w:val="FERCparanumber"/>
        <w:numPr>
          <w:ilvl w:val="0"/>
          <w:numId w:val="0"/>
        </w:numPr>
        <w:rPr>
          <w:color w:val="000000" w:themeColor="text1"/>
          <w:szCs w:val="26"/>
        </w:rPr>
      </w:pPr>
      <w:r>
        <w:rPr>
          <w:sz w:val="24"/>
        </w:rPr>
        <w:t xml:space="preserve">None of the oil pipeline companies required to file the FERC-550 qualify for the Small Business Administration </w:t>
      </w:r>
      <w:r w:rsidR="004D2586">
        <w:rPr>
          <w:sz w:val="24"/>
        </w:rPr>
        <w:t>defini</w:t>
      </w:r>
      <w:r>
        <w:rPr>
          <w:sz w:val="24"/>
        </w:rPr>
        <w:t xml:space="preserve">tion of “small entity.”  However, the Commission’s regulations </w:t>
      </w:r>
      <w:r w:rsidR="00544B9D">
        <w:rPr>
          <w:sz w:val="24"/>
        </w:rPr>
        <w:t xml:space="preserve">for </w:t>
      </w:r>
      <w:r>
        <w:rPr>
          <w:sz w:val="24"/>
        </w:rPr>
        <w:t xml:space="preserve">filing </w:t>
      </w:r>
      <w:r w:rsidR="00544B9D">
        <w:rPr>
          <w:sz w:val="24"/>
        </w:rPr>
        <w:t xml:space="preserve">the FERC-550 </w:t>
      </w:r>
      <w:r>
        <w:rPr>
          <w:sz w:val="24"/>
        </w:rPr>
        <w:t xml:space="preserve">oil tariffs </w:t>
      </w:r>
      <w:r w:rsidR="004D2586">
        <w:rPr>
          <w:sz w:val="24"/>
        </w:rPr>
        <w:t>un</w:t>
      </w:r>
      <w:r w:rsidR="00A92229">
        <w:rPr>
          <w:sz w:val="24"/>
        </w:rPr>
        <w:t>d</w:t>
      </w:r>
      <w:r w:rsidR="004D2586">
        <w:rPr>
          <w:sz w:val="24"/>
        </w:rPr>
        <w:t>er</w:t>
      </w:r>
      <w:r w:rsidR="00544B9D">
        <w:rPr>
          <w:sz w:val="24"/>
        </w:rPr>
        <w:t xml:space="preserve"> 18 C.F.R </w:t>
      </w:r>
      <w:r w:rsidR="00544B9D" w:rsidRPr="007C79F5">
        <w:rPr>
          <w:sz w:val="24"/>
        </w:rPr>
        <w:t>§</w:t>
      </w:r>
      <w:r w:rsidR="00544B9D">
        <w:t xml:space="preserve"> </w:t>
      </w:r>
      <w:r w:rsidR="00544B9D">
        <w:rPr>
          <w:sz w:val="24"/>
        </w:rPr>
        <w:t xml:space="preserve">341 </w:t>
      </w:r>
      <w:r w:rsidR="004D2586">
        <w:rPr>
          <w:sz w:val="24"/>
        </w:rPr>
        <w:t xml:space="preserve">allow a </w:t>
      </w:r>
      <w:r>
        <w:rPr>
          <w:sz w:val="24"/>
        </w:rPr>
        <w:t xml:space="preserve">pipeline which owns 100 percent of its </w:t>
      </w:r>
      <w:r>
        <w:rPr>
          <w:sz w:val="24"/>
        </w:rPr>
        <w:lastRenderedPageBreak/>
        <w:t xml:space="preserve">crude shipped </w:t>
      </w:r>
      <w:r w:rsidR="004D2586">
        <w:rPr>
          <w:sz w:val="24"/>
        </w:rPr>
        <w:t xml:space="preserve">to seek </w:t>
      </w:r>
      <w:r>
        <w:rPr>
          <w:sz w:val="24"/>
        </w:rPr>
        <w:t xml:space="preserve">a waiver </w:t>
      </w:r>
      <w:r w:rsidR="004D2586">
        <w:rPr>
          <w:sz w:val="24"/>
        </w:rPr>
        <w:t xml:space="preserve">by the Commission </w:t>
      </w:r>
      <w:r>
        <w:rPr>
          <w:sz w:val="24"/>
        </w:rPr>
        <w:t xml:space="preserve">of the notice and tariff requirements of section 6(3) of the Interstate Commerce Act.  </w:t>
      </w:r>
      <w:r w:rsidRPr="003B48CA">
        <w:rPr>
          <w:color w:val="000000" w:themeColor="text1"/>
          <w:szCs w:val="26"/>
        </w:rPr>
        <w:t xml:space="preserve">The criteria to qualify for a temporary waiver of the filing and reporting requirements of the Commission’s regulations </w:t>
      </w:r>
      <w:r w:rsidR="00544B9D">
        <w:rPr>
          <w:color w:val="000000" w:themeColor="text1"/>
          <w:szCs w:val="26"/>
        </w:rPr>
        <w:t xml:space="preserve">implementing </w:t>
      </w:r>
      <w:r w:rsidRPr="003B48CA">
        <w:rPr>
          <w:color w:val="000000" w:themeColor="text1"/>
          <w:szCs w:val="26"/>
        </w:rPr>
        <w:t>sections 6 and 20 of the ICA are as follows.</w:t>
      </w:r>
      <w:r w:rsidRPr="007C79F5">
        <w:rPr>
          <w:rStyle w:val="FootnoteReference"/>
          <w:color w:val="000000" w:themeColor="text1"/>
          <w:vertAlign w:val="superscript"/>
        </w:rPr>
        <w:footnoteReference w:id="6"/>
      </w:r>
      <w:r w:rsidRPr="003B48CA">
        <w:rPr>
          <w:color w:val="000000" w:themeColor="text1"/>
          <w:szCs w:val="26"/>
        </w:rPr>
        <w:t xml:space="preserve">  First, the pipeline requesting a temporary waiver (or its affiliates) must own 100 percent of the throughput on the line.  Second, there should be no demonstrated third-party interest in gaining access to or shipping upon the line.  Third, there should be no likelihood such third-party interest will materialize.  Fourth, there is no opposition to granting the waivers.</w:t>
      </w:r>
    </w:p>
    <w:p w14:paraId="7C859604" w14:textId="77777777" w:rsidR="00EB3E6F" w:rsidRPr="006C693E" w:rsidRDefault="00EB3E6F" w:rsidP="00A40A0C">
      <w:pPr>
        <w:spacing w:after="0" w:line="240" w:lineRule="auto"/>
        <w:rPr>
          <w:rFonts w:ascii="Times New Roman" w:hAnsi="Times New Roman" w:cs="Times New Roman"/>
          <w:sz w:val="24"/>
          <w:szCs w:val="24"/>
        </w:rPr>
      </w:pPr>
    </w:p>
    <w:p w14:paraId="2BD92226" w14:textId="77777777" w:rsidR="00EB3E6F" w:rsidRPr="006C693E" w:rsidRDefault="00EB3E6F" w:rsidP="00A40A0C">
      <w:pPr>
        <w:pStyle w:val="ListParagraph"/>
        <w:numPr>
          <w:ilvl w:val="0"/>
          <w:numId w:val="1"/>
        </w:numPr>
        <w:spacing w:after="0" w:line="240" w:lineRule="auto"/>
        <w:ind w:left="360"/>
        <w:rPr>
          <w:rFonts w:ascii="Times New Roman" w:hAnsi="Times New Roman" w:cs="Times New Roman"/>
          <w:b/>
          <w:sz w:val="24"/>
          <w:szCs w:val="24"/>
        </w:rPr>
      </w:pPr>
      <w:r w:rsidRPr="006C693E">
        <w:rPr>
          <w:rFonts w:ascii="Times New Roman" w:hAnsi="Times New Roman" w:cs="Times New Roman"/>
          <w:b/>
          <w:sz w:val="24"/>
          <w:szCs w:val="24"/>
        </w:rPr>
        <w:t>CONSEQUENCE TO FEDERAL PROGRAM IF COLLECTION WERE CONDUCTED LESS FREQUENTLY</w:t>
      </w:r>
    </w:p>
    <w:p w14:paraId="43FFC7AC" w14:textId="77777777" w:rsidR="00EB3E6F" w:rsidRPr="006C693E" w:rsidRDefault="00EB3E6F" w:rsidP="00A40A0C">
      <w:pPr>
        <w:spacing w:after="0" w:line="240" w:lineRule="auto"/>
        <w:rPr>
          <w:rFonts w:ascii="Times New Roman" w:hAnsi="Times New Roman" w:cs="Times New Roman"/>
          <w:sz w:val="24"/>
          <w:szCs w:val="24"/>
        </w:rPr>
      </w:pPr>
    </w:p>
    <w:p w14:paraId="469BF058" w14:textId="77777777" w:rsidR="007A6FC9" w:rsidRPr="006C693E" w:rsidRDefault="007A6FC9" w:rsidP="00A40A0C">
      <w:pPr>
        <w:spacing w:after="0" w:line="240" w:lineRule="auto"/>
        <w:rPr>
          <w:rFonts w:ascii="Times New Roman" w:hAnsi="Times New Roman" w:cs="Times New Roman"/>
          <w:sz w:val="24"/>
          <w:szCs w:val="24"/>
        </w:rPr>
      </w:pPr>
      <w:r w:rsidRPr="006C693E">
        <w:rPr>
          <w:rFonts w:ascii="Times New Roman" w:hAnsi="Times New Roman" w:cs="Times New Roman"/>
          <w:sz w:val="24"/>
          <w:szCs w:val="24"/>
        </w:rPr>
        <w:t xml:space="preserve">The Commission collects the FERC-550 information when oil pipelines propose to change or establish tariffs and rates.  There is no set timeframe or filing cycle for submittal of the FERC-550.  The information arrives when a pipeline seeks Commission review of proposed tariffs and rates.  As described previously, the Commission needs the FERC-550 data for its oil ratemaking work.  If the FERC-550 data were not collected as part of a rate change filing, the Commission would be unable to fulfill its statutory mandate.  </w:t>
      </w:r>
    </w:p>
    <w:p w14:paraId="67603828" w14:textId="77777777" w:rsidR="00EB3E6F" w:rsidRPr="006C693E" w:rsidRDefault="00EB3E6F" w:rsidP="00A40A0C">
      <w:pPr>
        <w:spacing w:after="0" w:line="240" w:lineRule="auto"/>
        <w:rPr>
          <w:rFonts w:ascii="Times New Roman" w:hAnsi="Times New Roman" w:cs="Times New Roman"/>
          <w:sz w:val="24"/>
          <w:szCs w:val="24"/>
        </w:rPr>
      </w:pPr>
    </w:p>
    <w:p w14:paraId="71574EB7" w14:textId="77777777" w:rsidR="00EB3E6F" w:rsidRPr="006C693E" w:rsidRDefault="00EB3E6F" w:rsidP="00A40A0C">
      <w:pPr>
        <w:pStyle w:val="ListParagraph"/>
        <w:numPr>
          <w:ilvl w:val="0"/>
          <w:numId w:val="1"/>
        </w:numPr>
        <w:spacing w:after="0" w:line="240" w:lineRule="auto"/>
        <w:ind w:left="360"/>
        <w:rPr>
          <w:rFonts w:ascii="Times New Roman" w:hAnsi="Times New Roman" w:cs="Times New Roman"/>
          <w:b/>
          <w:sz w:val="24"/>
          <w:szCs w:val="24"/>
        </w:rPr>
      </w:pPr>
      <w:r w:rsidRPr="006C693E">
        <w:rPr>
          <w:rFonts w:ascii="Times New Roman" w:hAnsi="Times New Roman" w:cs="Times New Roman"/>
          <w:b/>
          <w:sz w:val="24"/>
          <w:szCs w:val="24"/>
        </w:rPr>
        <w:t>EXPLAIN ANY SPECIAL CIRCUMSTANCES RELATING TO THE INFORMATION COLLECTION</w:t>
      </w:r>
    </w:p>
    <w:p w14:paraId="3D73A9CF" w14:textId="77777777" w:rsidR="00EB3E6F" w:rsidRPr="006C693E" w:rsidRDefault="00EB3E6F" w:rsidP="00A40A0C">
      <w:pPr>
        <w:spacing w:after="0" w:line="240" w:lineRule="auto"/>
        <w:rPr>
          <w:rFonts w:ascii="Times New Roman" w:hAnsi="Times New Roman" w:cs="Times New Roman"/>
          <w:sz w:val="24"/>
          <w:szCs w:val="24"/>
        </w:rPr>
      </w:pPr>
    </w:p>
    <w:p w14:paraId="19463043" w14:textId="77777777" w:rsidR="00B5507D" w:rsidRPr="006C693E" w:rsidRDefault="00B5507D" w:rsidP="00A40A0C">
      <w:pPr>
        <w:spacing w:after="0" w:line="240" w:lineRule="auto"/>
        <w:rPr>
          <w:rFonts w:ascii="Times New Roman" w:hAnsi="Times New Roman" w:cs="Times New Roman"/>
          <w:sz w:val="24"/>
          <w:szCs w:val="24"/>
        </w:rPr>
      </w:pPr>
      <w:r w:rsidRPr="006C693E">
        <w:rPr>
          <w:rFonts w:ascii="Times New Roman" w:hAnsi="Times New Roman" w:cs="Times New Roman"/>
          <w:sz w:val="24"/>
          <w:szCs w:val="24"/>
        </w:rPr>
        <w:t>Under some circumstances filers may be required to submit information regarding their tariffs on a more than quarterly basis.  These are not reoccurring filings but are e</w:t>
      </w:r>
      <w:r w:rsidR="0048787E" w:rsidRPr="006C693E">
        <w:rPr>
          <w:rFonts w:ascii="Times New Roman" w:hAnsi="Times New Roman" w:cs="Times New Roman"/>
          <w:sz w:val="24"/>
          <w:szCs w:val="24"/>
        </w:rPr>
        <w:t>vent drive</w:t>
      </w:r>
      <w:r w:rsidR="00F55301">
        <w:rPr>
          <w:rFonts w:ascii="Times New Roman" w:hAnsi="Times New Roman" w:cs="Times New Roman"/>
          <w:sz w:val="24"/>
          <w:szCs w:val="24"/>
        </w:rPr>
        <w:t>n</w:t>
      </w:r>
      <w:r w:rsidR="0048787E" w:rsidRPr="006C693E">
        <w:rPr>
          <w:rFonts w:ascii="Times New Roman" w:hAnsi="Times New Roman" w:cs="Times New Roman"/>
          <w:sz w:val="24"/>
          <w:szCs w:val="24"/>
        </w:rPr>
        <w:t xml:space="preserve"> (i.e.</w:t>
      </w:r>
      <w:r w:rsidR="00C07F05">
        <w:rPr>
          <w:rFonts w:ascii="Times New Roman" w:hAnsi="Times New Roman" w:cs="Times New Roman"/>
          <w:sz w:val="24"/>
          <w:szCs w:val="24"/>
        </w:rPr>
        <w:t>,</w:t>
      </w:r>
      <w:r w:rsidRPr="006C693E">
        <w:rPr>
          <w:rFonts w:ascii="Times New Roman" w:hAnsi="Times New Roman" w:cs="Times New Roman"/>
          <w:sz w:val="24"/>
          <w:szCs w:val="24"/>
        </w:rPr>
        <w:t xml:space="preserve"> </w:t>
      </w:r>
      <w:r w:rsidR="00AA02EB" w:rsidRPr="006C693E">
        <w:rPr>
          <w:rFonts w:ascii="Times New Roman" w:hAnsi="Times New Roman" w:cs="Times New Roman"/>
          <w:sz w:val="24"/>
          <w:szCs w:val="24"/>
        </w:rPr>
        <w:t xml:space="preserve">based on a pipeline business decision or </w:t>
      </w:r>
      <w:r w:rsidRPr="006C693E">
        <w:rPr>
          <w:rFonts w:ascii="Times New Roman" w:hAnsi="Times New Roman" w:cs="Times New Roman"/>
          <w:sz w:val="24"/>
          <w:szCs w:val="24"/>
        </w:rPr>
        <w:t xml:space="preserve">something about a particular tariff changes).  </w:t>
      </w:r>
      <w:r w:rsidR="00EB6E05" w:rsidRPr="006C693E">
        <w:rPr>
          <w:rFonts w:ascii="Times New Roman" w:hAnsi="Times New Roman" w:cs="Times New Roman"/>
          <w:sz w:val="24"/>
          <w:szCs w:val="24"/>
        </w:rPr>
        <w:t>The Commission uses information provided through the FERC-550 collection to analyze proposed tariffs, rates, fares, and charges of oil pipelines and other carriers in connection with the transportation of crude oil and petroleum products.  The Commission uses this information to determine whether the proposed tariffs and rates are just and reasonable.  Updated tariffs allow the Commission to fulfill its statutory obligations related to regulating oil pipelines.</w:t>
      </w:r>
      <w:r w:rsidRPr="006C693E">
        <w:rPr>
          <w:rFonts w:ascii="Times New Roman" w:hAnsi="Times New Roman" w:cs="Times New Roman"/>
          <w:sz w:val="24"/>
          <w:szCs w:val="24"/>
        </w:rPr>
        <w:t xml:space="preserve">  </w:t>
      </w:r>
    </w:p>
    <w:p w14:paraId="34B62773" w14:textId="77777777" w:rsidR="00EB3E6F" w:rsidRPr="006C693E" w:rsidRDefault="00EB3E6F" w:rsidP="00A40A0C">
      <w:pPr>
        <w:spacing w:after="0" w:line="240" w:lineRule="auto"/>
        <w:rPr>
          <w:rFonts w:ascii="Times New Roman" w:hAnsi="Times New Roman" w:cs="Times New Roman"/>
          <w:sz w:val="24"/>
          <w:szCs w:val="24"/>
        </w:rPr>
      </w:pPr>
    </w:p>
    <w:p w14:paraId="4B142797" w14:textId="77777777" w:rsidR="00EB3E6F" w:rsidRDefault="00EB3E6F" w:rsidP="00A40A0C">
      <w:pPr>
        <w:pStyle w:val="ListParagraph"/>
        <w:numPr>
          <w:ilvl w:val="0"/>
          <w:numId w:val="1"/>
        </w:numPr>
        <w:spacing w:after="0" w:line="240" w:lineRule="auto"/>
        <w:ind w:left="360"/>
        <w:rPr>
          <w:rFonts w:ascii="Times New Roman" w:hAnsi="Times New Roman" w:cs="Times New Roman"/>
          <w:b/>
          <w:sz w:val="24"/>
          <w:szCs w:val="24"/>
        </w:rPr>
      </w:pPr>
      <w:r w:rsidRPr="006C693E">
        <w:rPr>
          <w:rFonts w:ascii="Times New Roman" w:hAnsi="Times New Roman" w:cs="Times New Roman"/>
          <w:b/>
          <w:sz w:val="24"/>
          <w:szCs w:val="24"/>
        </w:rPr>
        <w:t>DESCRIBE EFFORTS TO CONSULT OUTSIDE THE AGENCY: SUMMARIZE PUBLIC COMMENTS AND THE AGENCY’S RESPONSE</w:t>
      </w:r>
    </w:p>
    <w:p w14:paraId="5F3FAA43" w14:textId="77777777" w:rsidR="006C693E" w:rsidRPr="006C693E" w:rsidRDefault="006C693E" w:rsidP="00A40A0C">
      <w:pPr>
        <w:pStyle w:val="ListParagraph"/>
        <w:spacing w:after="0" w:line="240" w:lineRule="auto"/>
        <w:ind w:left="360"/>
        <w:rPr>
          <w:rFonts w:ascii="Times New Roman" w:hAnsi="Times New Roman" w:cs="Times New Roman"/>
          <w:b/>
          <w:sz w:val="24"/>
          <w:szCs w:val="24"/>
        </w:rPr>
      </w:pPr>
    </w:p>
    <w:p w14:paraId="2873C773" w14:textId="77777777" w:rsidR="00980797" w:rsidRPr="006C693E" w:rsidRDefault="00980797">
      <w:pPr>
        <w:widowControl w:val="0"/>
        <w:autoSpaceDE w:val="0"/>
        <w:autoSpaceDN w:val="0"/>
        <w:adjustRightInd w:val="0"/>
        <w:spacing w:after="0" w:line="240" w:lineRule="auto"/>
        <w:rPr>
          <w:rFonts w:ascii="Times New Roman" w:eastAsia="Times New Roman" w:hAnsi="Times New Roman" w:cs="Times New Roman"/>
          <w:sz w:val="24"/>
          <w:szCs w:val="24"/>
        </w:rPr>
      </w:pPr>
      <w:r w:rsidRPr="006C693E">
        <w:rPr>
          <w:rFonts w:ascii="Times New Roman" w:eastAsia="Times New Roman" w:hAnsi="Times New Roman" w:cs="Times New Roman"/>
          <w:sz w:val="24"/>
          <w:szCs w:val="24"/>
        </w:rPr>
        <w:t>In accordance with OMB requirements, the Commission issued a 60-day notice on 5/20/2016 in Docket IC16-10 requesting public comment.</w:t>
      </w:r>
      <w:r w:rsidRPr="006C693E">
        <w:rPr>
          <w:rStyle w:val="FootnoteReference"/>
          <w:rFonts w:ascii="Times New Roman" w:eastAsia="Times New Roman" w:hAnsi="Times New Roman" w:cs="Times New Roman"/>
          <w:sz w:val="24"/>
          <w:szCs w:val="24"/>
          <w:vertAlign w:val="superscript"/>
        </w:rPr>
        <w:footnoteReference w:id="7"/>
      </w:r>
      <w:r w:rsidRPr="006C693E">
        <w:rPr>
          <w:rFonts w:ascii="Times New Roman" w:eastAsia="Times New Roman" w:hAnsi="Times New Roman" w:cs="Times New Roman"/>
          <w:sz w:val="24"/>
          <w:szCs w:val="24"/>
        </w:rPr>
        <w:t xml:space="preserve">  The public notice stated that FERC would be requesting a three-year extension of the public reporting burden with no change to the existing </w:t>
      </w:r>
      <w:r w:rsidRPr="006C693E">
        <w:rPr>
          <w:rFonts w:ascii="Times New Roman" w:eastAsia="Times New Roman" w:hAnsi="Times New Roman" w:cs="Times New Roman"/>
          <w:sz w:val="24"/>
          <w:szCs w:val="24"/>
        </w:rPr>
        <w:lastRenderedPageBreak/>
        <w:t xml:space="preserve">requirements concerning the collection of data.  The Commission received no comments.  </w:t>
      </w:r>
    </w:p>
    <w:p w14:paraId="7CB74AF5" w14:textId="77777777" w:rsidR="00980797" w:rsidRPr="006C693E" w:rsidRDefault="00980797" w:rsidP="00A40A0C">
      <w:pPr>
        <w:spacing w:after="0" w:line="240" w:lineRule="auto"/>
        <w:rPr>
          <w:rFonts w:ascii="Times New Roman" w:hAnsi="Times New Roman" w:cs="Times New Roman"/>
          <w:sz w:val="24"/>
          <w:szCs w:val="24"/>
        </w:rPr>
      </w:pPr>
    </w:p>
    <w:p w14:paraId="1EC3A473" w14:textId="77777777" w:rsidR="00980797" w:rsidRPr="006C693E" w:rsidRDefault="00980797" w:rsidP="00A40A0C">
      <w:pPr>
        <w:spacing w:after="0" w:line="240" w:lineRule="auto"/>
        <w:rPr>
          <w:rFonts w:ascii="Times New Roman" w:hAnsi="Times New Roman" w:cs="Times New Roman"/>
          <w:sz w:val="24"/>
          <w:szCs w:val="24"/>
        </w:rPr>
      </w:pPr>
      <w:r w:rsidRPr="006C693E">
        <w:rPr>
          <w:rFonts w:ascii="Times New Roman" w:hAnsi="Times New Roman" w:cs="Times New Roman"/>
          <w:sz w:val="24"/>
          <w:szCs w:val="24"/>
        </w:rPr>
        <w:t>The 30-day Notice will also be published in the Federal Register.</w:t>
      </w:r>
    </w:p>
    <w:p w14:paraId="5288849A" w14:textId="77777777" w:rsidR="00EB3E6F" w:rsidRPr="006C693E" w:rsidRDefault="00EB3E6F" w:rsidP="00A40A0C">
      <w:pPr>
        <w:spacing w:after="0" w:line="240" w:lineRule="auto"/>
        <w:rPr>
          <w:rFonts w:ascii="Times New Roman" w:hAnsi="Times New Roman" w:cs="Times New Roman"/>
          <w:sz w:val="24"/>
          <w:szCs w:val="24"/>
        </w:rPr>
      </w:pPr>
    </w:p>
    <w:p w14:paraId="5A53E3F5" w14:textId="77777777" w:rsidR="00EB3E6F" w:rsidRPr="006C693E" w:rsidRDefault="00D80FBD" w:rsidP="00A40A0C">
      <w:pPr>
        <w:pStyle w:val="ListParagraph"/>
        <w:numPr>
          <w:ilvl w:val="0"/>
          <w:numId w:val="1"/>
        </w:numPr>
        <w:spacing w:after="0" w:line="240" w:lineRule="auto"/>
        <w:ind w:left="360"/>
        <w:rPr>
          <w:rFonts w:ascii="Times New Roman" w:hAnsi="Times New Roman" w:cs="Times New Roman"/>
          <w:b/>
          <w:sz w:val="24"/>
          <w:szCs w:val="24"/>
        </w:rPr>
      </w:pPr>
      <w:r w:rsidRPr="006C693E">
        <w:rPr>
          <w:rFonts w:ascii="Times New Roman" w:hAnsi="Times New Roman" w:cs="Times New Roman"/>
          <w:b/>
          <w:sz w:val="24"/>
          <w:szCs w:val="24"/>
        </w:rPr>
        <w:t>EXPLAIN ANY PAYMENT OR GIFTS TO RESPONDENTS</w:t>
      </w:r>
    </w:p>
    <w:p w14:paraId="5F5D09F0" w14:textId="77777777" w:rsidR="00D80FBD" w:rsidRPr="006C693E" w:rsidRDefault="00D80FBD" w:rsidP="00A40A0C">
      <w:pPr>
        <w:spacing w:after="0" w:line="240" w:lineRule="auto"/>
        <w:rPr>
          <w:rFonts w:ascii="Times New Roman" w:hAnsi="Times New Roman" w:cs="Times New Roman"/>
          <w:sz w:val="24"/>
          <w:szCs w:val="24"/>
        </w:rPr>
      </w:pPr>
    </w:p>
    <w:p w14:paraId="0F533786" w14:textId="77777777" w:rsidR="00EB6E05" w:rsidRPr="006C693E" w:rsidRDefault="00EB6E05" w:rsidP="00A40A0C">
      <w:pPr>
        <w:spacing w:after="0" w:line="240" w:lineRule="auto"/>
        <w:rPr>
          <w:rFonts w:ascii="Times New Roman" w:hAnsi="Times New Roman" w:cs="Times New Roman"/>
          <w:sz w:val="24"/>
          <w:szCs w:val="24"/>
        </w:rPr>
      </w:pPr>
      <w:r w:rsidRPr="006C693E">
        <w:rPr>
          <w:rFonts w:ascii="Times New Roman" w:hAnsi="Times New Roman" w:cs="Times New Roman"/>
          <w:sz w:val="24"/>
          <w:szCs w:val="24"/>
        </w:rPr>
        <w:t>The Commission makes no payments or gifts to respondents as part of this collection.</w:t>
      </w:r>
    </w:p>
    <w:p w14:paraId="0685C269" w14:textId="77777777" w:rsidR="00D80FBD" w:rsidRPr="006C693E" w:rsidRDefault="00D80FBD" w:rsidP="00A40A0C">
      <w:pPr>
        <w:spacing w:after="0" w:line="240" w:lineRule="auto"/>
        <w:rPr>
          <w:rFonts w:ascii="Times New Roman" w:hAnsi="Times New Roman" w:cs="Times New Roman"/>
          <w:sz w:val="24"/>
          <w:szCs w:val="24"/>
        </w:rPr>
      </w:pPr>
    </w:p>
    <w:p w14:paraId="547FE87F" w14:textId="77777777" w:rsidR="00D80FBD" w:rsidRPr="006C693E" w:rsidRDefault="00D80FBD" w:rsidP="00A40A0C">
      <w:pPr>
        <w:pStyle w:val="ListParagraph"/>
        <w:numPr>
          <w:ilvl w:val="0"/>
          <w:numId w:val="1"/>
        </w:numPr>
        <w:spacing w:after="0" w:line="240" w:lineRule="auto"/>
        <w:ind w:left="360"/>
        <w:rPr>
          <w:rFonts w:ascii="Times New Roman" w:hAnsi="Times New Roman" w:cs="Times New Roman"/>
          <w:b/>
          <w:sz w:val="24"/>
          <w:szCs w:val="24"/>
        </w:rPr>
      </w:pPr>
      <w:r w:rsidRPr="006C693E">
        <w:rPr>
          <w:rFonts w:ascii="Times New Roman" w:hAnsi="Times New Roman" w:cs="Times New Roman"/>
          <w:b/>
          <w:sz w:val="24"/>
          <w:szCs w:val="24"/>
        </w:rPr>
        <w:t>DESCRIBE ANY ASSURANCE OF CONFIDENTIALITY PROVIDED TO RESPONDENTS</w:t>
      </w:r>
    </w:p>
    <w:p w14:paraId="4A072C60" w14:textId="77777777" w:rsidR="00EB50CA" w:rsidRPr="006C693E" w:rsidRDefault="00EB50CA" w:rsidP="00A40A0C">
      <w:pPr>
        <w:pStyle w:val="ListParagraph"/>
        <w:spacing w:after="0" w:line="240" w:lineRule="auto"/>
        <w:ind w:left="360"/>
        <w:rPr>
          <w:rFonts w:ascii="Times New Roman" w:hAnsi="Times New Roman" w:cs="Times New Roman"/>
          <w:b/>
          <w:sz w:val="24"/>
          <w:szCs w:val="24"/>
        </w:rPr>
      </w:pPr>
    </w:p>
    <w:p w14:paraId="103E295B" w14:textId="77777777" w:rsidR="00D80FBD" w:rsidRPr="006C693E" w:rsidRDefault="00EB50CA" w:rsidP="00A40A0C">
      <w:pPr>
        <w:spacing w:after="0" w:line="240" w:lineRule="auto"/>
        <w:rPr>
          <w:rFonts w:ascii="Times New Roman" w:hAnsi="Times New Roman" w:cs="Times New Roman"/>
          <w:sz w:val="24"/>
          <w:szCs w:val="24"/>
        </w:rPr>
      </w:pPr>
      <w:r w:rsidRPr="006C693E">
        <w:rPr>
          <w:rFonts w:ascii="Times New Roman" w:hAnsi="Times New Roman" w:cs="Times New Roman"/>
          <w:sz w:val="24"/>
          <w:szCs w:val="24"/>
        </w:rPr>
        <w:t>The Commission does not consider the information collected in these filings to be confidential.  However, the filer may request privileged treatment of a filing pursuant to 18</w:t>
      </w:r>
      <w:r w:rsidR="00652C6D">
        <w:rPr>
          <w:rFonts w:ascii="Times New Roman" w:hAnsi="Times New Roman" w:cs="Times New Roman"/>
          <w:sz w:val="24"/>
          <w:szCs w:val="24"/>
        </w:rPr>
        <w:t xml:space="preserve"> </w:t>
      </w:r>
      <w:r w:rsidRPr="006C693E">
        <w:rPr>
          <w:rFonts w:ascii="Times New Roman" w:hAnsi="Times New Roman" w:cs="Times New Roman"/>
          <w:sz w:val="24"/>
          <w:szCs w:val="24"/>
        </w:rPr>
        <w:t>C</w:t>
      </w:r>
      <w:r w:rsidR="00652C6D">
        <w:rPr>
          <w:rFonts w:ascii="Times New Roman" w:hAnsi="Times New Roman" w:cs="Times New Roman"/>
          <w:sz w:val="24"/>
          <w:szCs w:val="24"/>
        </w:rPr>
        <w:t>.</w:t>
      </w:r>
      <w:r w:rsidRPr="006C693E">
        <w:rPr>
          <w:rFonts w:ascii="Times New Roman" w:hAnsi="Times New Roman" w:cs="Times New Roman"/>
          <w:sz w:val="24"/>
          <w:szCs w:val="24"/>
        </w:rPr>
        <w:t>F</w:t>
      </w:r>
      <w:r w:rsidR="00652C6D">
        <w:rPr>
          <w:rFonts w:ascii="Times New Roman" w:hAnsi="Times New Roman" w:cs="Times New Roman"/>
          <w:sz w:val="24"/>
          <w:szCs w:val="24"/>
        </w:rPr>
        <w:t>.</w:t>
      </w:r>
      <w:r w:rsidRPr="006C693E">
        <w:rPr>
          <w:rFonts w:ascii="Times New Roman" w:hAnsi="Times New Roman" w:cs="Times New Roman"/>
          <w:sz w:val="24"/>
          <w:szCs w:val="24"/>
        </w:rPr>
        <w:t>R</w:t>
      </w:r>
      <w:r w:rsidR="00652C6D">
        <w:rPr>
          <w:rFonts w:ascii="Times New Roman" w:hAnsi="Times New Roman" w:cs="Times New Roman"/>
          <w:sz w:val="24"/>
          <w:szCs w:val="24"/>
        </w:rPr>
        <w:t xml:space="preserve">. </w:t>
      </w:r>
      <w:r w:rsidR="00652C6D">
        <w:t xml:space="preserve">§ </w:t>
      </w:r>
      <w:r w:rsidRPr="006C693E">
        <w:rPr>
          <w:rFonts w:ascii="Times New Roman" w:hAnsi="Times New Roman" w:cs="Times New Roman"/>
          <w:sz w:val="24"/>
          <w:szCs w:val="24"/>
        </w:rPr>
        <w:t xml:space="preserve">388.112.   </w:t>
      </w:r>
    </w:p>
    <w:p w14:paraId="3BC550AA" w14:textId="77777777" w:rsidR="006C693E" w:rsidRPr="006C693E" w:rsidRDefault="006C693E" w:rsidP="00A40A0C">
      <w:pPr>
        <w:spacing w:after="0" w:line="240" w:lineRule="auto"/>
        <w:rPr>
          <w:rFonts w:ascii="Times New Roman" w:hAnsi="Times New Roman" w:cs="Times New Roman"/>
          <w:sz w:val="24"/>
          <w:szCs w:val="24"/>
        </w:rPr>
      </w:pPr>
    </w:p>
    <w:p w14:paraId="1BB463F9" w14:textId="77777777" w:rsidR="00EB50CA" w:rsidRPr="006C693E" w:rsidRDefault="00EB50CA" w:rsidP="00A40A0C">
      <w:pPr>
        <w:pStyle w:val="ListParagraph"/>
        <w:numPr>
          <w:ilvl w:val="0"/>
          <w:numId w:val="1"/>
        </w:numPr>
        <w:spacing w:after="0" w:line="240" w:lineRule="auto"/>
        <w:ind w:left="360"/>
        <w:rPr>
          <w:rFonts w:ascii="Times New Roman" w:hAnsi="Times New Roman" w:cs="Times New Roman"/>
          <w:b/>
          <w:sz w:val="24"/>
          <w:szCs w:val="24"/>
        </w:rPr>
      </w:pPr>
      <w:r w:rsidRPr="006C693E">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w:t>
      </w:r>
    </w:p>
    <w:p w14:paraId="726C159B" w14:textId="77777777" w:rsidR="00EB50CA" w:rsidRPr="006C693E" w:rsidRDefault="00EB50CA" w:rsidP="00A40A0C">
      <w:pPr>
        <w:pStyle w:val="ListParagraph"/>
        <w:spacing w:after="0" w:line="240" w:lineRule="auto"/>
        <w:ind w:left="360"/>
        <w:rPr>
          <w:rFonts w:ascii="Times New Roman" w:hAnsi="Times New Roman" w:cs="Times New Roman"/>
          <w:b/>
          <w:sz w:val="24"/>
          <w:szCs w:val="24"/>
        </w:rPr>
      </w:pPr>
    </w:p>
    <w:p w14:paraId="3785C675" w14:textId="77777777" w:rsidR="00EB50CA" w:rsidRPr="006C693E" w:rsidRDefault="00EB50CA" w:rsidP="00A40A0C">
      <w:pPr>
        <w:spacing w:after="0" w:line="240" w:lineRule="auto"/>
        <w:rPr>
          <w:rFonts w:ascii="Times New Roman" w:hAnsi="Times New Roman" w:cs="Times New Roman"/>
          <w:sz w:val="24"/>
          <w:szCs w:val="24"/>
        </w:rPr>
      </w:pPr>
      <w:r w:rsidRPr="006C693E">
        <w:rPr>
          <w:rFonts w:ascii="Times New Roman" w:hAnsi="Times New Roman" w:cs="Times New Roman"/>
          <w:sz w:val="24"/>
          <w:szCs w:val="24"/>
        </w:rPr>
        <w:t xml:space="preserve">There are no questions of a sensitive nature associated with the reporting requirements.  </w:t>
      </w:r>
    </w:p>
    <w:p w14:paraId="221B46C1" w14:textId="77777777" w:rsidR="00D80FBD" w:rsidRPr="006C693E" w:rsidRDefault="00D80FBD" w:rsidP="00A40A0C">
      <w:pPr>
        <w:spacing w:after="0" w:line="240" w:lineRule="auto"/>
        <w:rPr>
          <w:rFonts w:ascii="Times New Roman" w:hAnsi="Times New Roman" w:cs="Times New Roman"/>
          <w:sz w:val="24"/>
          <w:szCs w:val="24"/>
        </w:rPr>
      </w:pPr>
    </w:p>
    <w:p w14:paraId="0B762233" w14:textId="57D4CAE8" w:rsidR="00D80FBD" w:rsidRPr="006C693E" w:rsidRDefault="00D80FBD" w:rsidP="00A40A0C">
      <w:pPr>
        <w:pStyle w:val="ListParagraph"/>
        <w:numPr>
          <w:ilvl w:val="0"/>
          <w:numId w:val="1"/>
        </w:numPr>
        <w:spacing w:after="0" w:line="240" w:lineRule="auto"/>
        <w:ind w:left="360"/>
        <w:rPr>
          <w:rFonts w:ascii="Times New Roman" w:hAnsi="Times New Roman" w:cs="Times New Roman"/>
          <w:b/>
          <w:sz w:val="24"/>
          <w:szCs w:val="24"/>
        </w:rPr>
      </w:pPr>
      <w:r w:rsidRPr="006C693E">
        <w:rPr>
          <w:rFonts w:ascii="Times New Roman" w:hAnsi="Times New Roman" w:cs="Times New Roman"/>
          <w:b/>
          <w:sz w:val="24"/>
          <w:szCs w:val="24"/>
        </w:rPr>
        <w:t>ESTIMATED BURDEN OF COLLECTION OF INFORMATION</w:t>
      </w:r>
    </w:p>
    <w:p w14:paraId="4E0AA7F6" w14:textId="77777777" w:rsidR="00D80FBD" w:rsidRPr="006C693E" w:rsidRDefault="00D80FBD">
      <w:pPr>
        <w:spacing w:after="0" w:line="240" w:lineRule="auto"/>
        <w:rPr>
          <w:rFonts w:ascii="Times New Roman" w:hAnsi="Times New Roman" w:cs="Times New Roman"/>
          <w:sz w:val="24"/>
          <w:szCs w:val="24"/>
        </w:rPr>
      </w:pPr>
    </w:p>
    <w:p w14:paraId="09DA735E" w14:textId="268FA138" w:rsidR="002200D3" w:rsidRPr="006C693E" w:rsidRDefault="002200D3">
      <w:pPr>
        <w:spacing w:after="0" w:line="240" w:lineRule="auto"/>
        <w:rPr>
          <w:rFonts w:ascii="Times New Roman" w:eastAsia="Times New Roman" w:hAnsi="Times New Roman" w:cs="Times New Roman"/>
          <w:sz w:val="24"/>
          <w:szCs w:val="24"/>
        </w:rPr>
      </w:pPr>
      <w:r w:rsidRPr="006C693E">
        <w:rPr>
          <w:rFonts w:ascii="Times New Roman" w:eastAsia="Times New Roman" w:hAnsi="Times New Roman" w:cs="Times New Roman"/>
          <w:sz w:val="24"/>
          <w:szCs w:val="24"/>
        </w:rPr>
        <w:t>The Commission estimates the annual public reporting burden</w:t>
      </w:r>
      <w:r w:rsidRPr="006C693E">
        <w:rPr>
          <w:rFonts w:ascii="Times New Roman" w:eastAsia="Times New Roman" w:hAnsi="Times New Roman" w:cs="Times New Roman"/>
          <w:b/>
          <w:sz w:val="24"/>
          <w:szCs w:val="24"/>
          <w:vertAlign w:val="superscript"/>
        </w:rPr>
        <w:footnoteReference w:id="8"/>
      </w:r>
      <w:r w:rsidRPr="006C693E">
        <w:rPr>
          <w:rFonts w:ascii="Times New Roman" w:eastAsia="Times New Roman" w:hAnsi="Times New Roman" w:cs="Times New Roman"/>
          <w:sz w:val="24"/>
          <w:szCs w:val="24"/>
        </w:rPr>
        <w:t xml:space="preserve"> and cost</w:t>
      </w:r>
      <w:r w:rsidRPr="006C693E">
        <w:rPr>
          <w:rFonts w:ascii="Times New Roman" w:eastAsia="Times New Roman" w:hAnsi="Times New Roman" w:cs="Times New Roman"/>
          <w:b/>
          <w:sz w:val="24"/>
          <w:szCs w:val="24"/>
          <w:vertAlign w:val="superscript"/>
        </w:rPr>
        <w:footnoteReference w:id="9"/>
      </w:r>
      <w:r w:rsidRPr="006C693E">
        <w:rPr>
          <w:rFonts w:ascii="Times New Roman" w:eastAsia="Times New Roman" w:hAnsi="Times New Roman" w:cs="Times New Roman"/>
          <w:sz w:val="24"/>
          <w:szCs w:val="24"/>
        </w:rPr>
        <w:t xml:space="preserve"> for the FERC-550 information collection as follows</w:t>
      </w:r>
      <w:r w:rsidR="00B46807">
        <w:rPr>
          <w:rFonts w:ascii="Times New Roman" w:eastAsia="Times New Roman" w:hAnsi="Times New Roman" w:cs="Times New Roman"/>
          <w:sz w:val="24"/>
          <w:szCs w:val="24"/>
        </w:rPr>
        <w:t>:</w:t>
      </w:r>
      <w:r w:rsidR="00B46807" w:rsidRPr="001446C7">
        <w:rPr>
          <w:rStyle w:val="FootnoteReference"/>
          <w:rFonts w:ascii="Times New Roman" w:eastAsia="Times New Roman" w:hAnsi="Times New Roman" w:cs="Times New Roman"/>
          <w:sz w:val="24"/>
          <w:szCs w:val="24"/>
          <w:vertAlign w:val="superscript"/>
        </w:rPr>
        <w:footnoteReference w:id="10"/>
      </w:r>
    </w:p>
    <w:p w14:paraId="1C889F50" w14:textId="77777777" w:rsidR="00C81F6A" w:rsidRPr="00A40A0C" w:rsidRDefault="00C81F6A">
      <w:pPr>
        <w:spacing w:after="0" w:line="240" w:lineRule="auto"/>
        <w:rPr>
          <w:rFonts w:ascii="Times New Roman" w:eastAsia="Times New Roman" w:hAnsi="Times New Roman" w:cs="Times New Roman"/>
          <w:sz w:val="24"/>
          <w:szCs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1495"/>
        <w:gridCol w:w="1495"/>
        <w:gridCol w:w="1409"/>
        <w:gridCol w:w="1222"/>
        <w:gridCol w:w="1405"/>
        <w:gridCol w:w="1234"/>
      </w:tblGrid>
      <w:tr w:rsidR="002200D3" w:rsidRPr="006C693E" w14:paraId="0A2C826E" w14:textId="77777777" w:rsidTr="00FE5399">
        <w:trPr>
          <w:cantSplit/>
        </w:trPr>
        <w:tc>
          <w:tcPr>
            <w:tcW w:w="878" w:type="pct"/>
            <w:shd w:val="clear" w:color="auto" w:fill="D9D9D9"/>
          </w:tcPr>
          <w:p w14:paraId="40548273" w14:textId="77777777" w:rsidR="002200D3" w:rsidRPr="00A40A0C" w:rsidRDefault="002200D3">
            <w:pPr>
              <w:spacing w:after="0" w:line="240" w:lineRule="auto"/>
              <w:jc w:val="center"/>
              <w:rPr>
                <w:rFonts w:ascii="Times New Roman" w:eastAsia="Calibri" w:hAnsi="Times New Roman" w:cs="Times New Roman"/>
                <w:b/>
                <w:sz w:val="24"/>
                <w:szCs w:val="24"/>
              </w:rPr>
            </w:pPr>
          </w:p>
        </w:tc>
        <w:tc>
          <w:tcPr>
            <w:tcW w:w="746" w:type="pct"/>
            <w:shd w:val="clear" w:color="auto" w:fill="D9D9D9"/>
            <w:vAlign w:val="bottom"/>
          </w:tcPr>
          <w:p w14:paraId="051D4D13" w14:textId="77777777" w:rsidR="002200D3" w:rsidRPr="00A40A0C" w:rsidRDefault="002200D3">
            <w:pPr>
              <w:spacing w:after="0" w:line="240" w:lineRule="auto"/>
              <w:jc w:val="center"/>
              <w:rPr>
                <w:rFonts w:ascii="Times New Roman" w:eastAsia="Calibri" w:hAnsi="Times New Roman" w:cs="Times New Roman"/>
                <w:b/>
                <w:sz w:val="24"/>
                <w:szCs w:val="24"/>
              </w:rPr>
            </w:pPr>
            <w:r w:rsidRPr="00A40A0C">
              <w:rPr>
                <w:rFonts w:ascii="Times New Roman" w:eastAsia="Calibri" w:hAnsi="Times New Roman" w:cs="Times New Roman"/>
                <w:b/>
                <w:sz w:val="24"/>
                <w:szCs w:val="24"/>
              </w:rPr>
              <w:t>Number of Respondents</w:t>
            </w:r>
            <w:r w:rsidRPr="00A40A0C">
              <w:rPr>
                <w:rFonts w:ascii="Times New Roman" w:eastAsia="Calibri" w:hAnsi="Times New Roman" w:cs="Times New Roman"/>
                <w:b/>
                <w:sz w:val="24"/>
                <w:szCs w:val="24"/>
              </w:rPr>
              <w:br/>
              <w:t>(1)</w:t>
            </w:r>
          </w:p>
        </w:tc>
        <w:tc>
          <w:tcPr>
            <w:tcW w:w="746" w:type="pct"/>
            <w:shd w:val="clear" w:color="auto" w:fill="D9D9D9"/>
            <w:vAlign w:val="bottom"/>
          </w:tcPr>
          <w:p w14:paraId="50227677" w14:textId="77777777" w:rsidR="002200D3" w:rsidRPr="00980EFA" w:rsidRDefault="002200D3">
            <w:pPr>
              <w:spacing w:after="0" w:line="240" w:lineRule="auto"/>
              <w:jc w:val="center"/>
              <w:rPr>
                <w:rFonts w:ascii="Times New Roman" w:eastAsia="Calibri" w:hAnsi="Times New Roman" w:cs="Times New Roman"/>
                <w:b/>
                <w:sz w:val="24"/>
                <w:szCs w:val="24"/>
              </w:rPr>
            </w:pPr>
            <w:r w:rsidRPr="00980EFA">
              <w:rPr>
                <w:rFonts w:ascii="Times New Roman" w:eastAsia="Calibri" w:hAnsi="Times New Roman" w:cs="Times New Roman"/>
                <w:b/>
                <w:sz w:val="24"/>
                <w:szCs w:val="24"/>
              </w:rPr>
              <w:t>Annual Number of Responses per Respondent</w:t>
            </w:r>
          </w:p>
          <w:p w14:paraId="5527A5A5" w14:textId="77777777" w:rsidR="002200D3" w:rsidRPr="00980EFA" w:rsidRDefault="002200D3">
            <w:pPr>
              <w:spacing w:after="0" w:line="240" w:lineRule="auto"/>
              <w:jc w:val="center"/>
              <w:rPr>
                <w:rFonts w:ascii="Times New Roman" w:eastAsia="Calibri" w:hAnsi="Times New Roman" w:cs="Times New Roman"/>
                <w:b/>
                <w:sz w:val="24"/>
                <w:szCs w:val="24"/>
              </w:rPr>
            </w:pPr>
            <w:r w:rsidRPr="00980EFA">
              <w:rPr>
                <w:rFonts w:ascii="Times New Roman" w:eastAsia="Calibri" w:hAnsi="Times New Roman" w:cs="Times New Roman"/>
                <w:b/>
                <w:sz w:val="24"/>
                <w:szCs w:val="24"/>
              </w:rPr>
              <w:t>(2)</w:t>
            </w:r>
          </w:p>
        </w:tc>
        <w:tc>
          <w:tcPr>
            <w:tcW w:w="703" w:type="pct"/>
            <w:shd w:val="clear" w:color="auto" w:fill="D9D9D9"/>
            <w:vAlign w:val="bottom"/>
          </w:tcPr>
          <w:p w14:paraId="6D0A92CA" w14:textId="77777777" w:rsidR="002200D3" w:rsidRPr="00980EFA" w:rsidRDefault="002200D3">
            <w:pPr>
              <w:spacing w:after="0" w:line="240" w:lineRule="auto"/>
              <w:jc w:val="center"/>
              <w:rPr>
                <w:rFonts w:ascii="Times New Roman" w:eastAsia="Calibri" w:hAnsi="Times New Roman" w:cs="Times New Roman"/>
                <w:b/>
                <w:sz w:val="24"/>
                <w:szCs w:val="24"/>
              </w:rPr>
            </w:pPr>
            <w:r w:rsidRPr="00980EFA">
              <w:rPr>
                <w:rFonts w:ascii="Times New Roman" w:eastAsia="Calibri" w:hAnsi="Times New Roman" w:cs="Times New Roman"/>
                <w:b/>
                <w:sz w:val="24"/>
                <w:szCs w:val="24"/>
              </w:rPr>
              <w:t>Total Number of Responses (1)*(2)=(3)</w:t>
            </w:r>
          </w:p>
        </w:tc>
        <w:tc>
          <w:tcPr>
            <w:tcW w:w="610" w:type="pct"/>
            <w:shd w:val="clear" w:color="auto" w:fill="D9D9D9"/>
            <w:vAlign w:val="bottom"/>
          </w:tcPr>
          <w:p w14:paraId="49AE4625" w14:textId="77777777" w:rsidR="002200D3" w:rsidRPr="00980EFA" w:rsidRDefault="002200D3">
            <w:pPr>
              <w:spacing w:after="0" w:line="240" w:lineRule="auto"/>
              <w:jc w:val="center"/>
              <w:rPr>
                <w:rFonts w:ascii="Times New Roman" w:eastAsia="Calibri" w:hAnsi="Times New Roman" w:cs="Times New Roman"/>
                <w:b/>
                <w:sz w:val="24"/>
                <w:szCs w:val="24"/>
              </w:rPr>
            </w:pPr>
            <w:r w:rsidRPr="00980EFA">
              <w:rPr>
                <w:rFonts w:ascii="Times New Roman" w:eastAsia="Calibri" w:hAnsi="Times New Roman" w:cs="Times New Roman"/>
                <w:b/>
                <w:sz w:val="24"/>
                <w:szCs w:val="24"/>
              </w:rPr>
              <w:t>Average Burden &amp; Cost Per Response</w:t>
            </w:r>
          </w:p>
          <w:p w14:paraId="3DC5CF89" w14:textId="77777777" w:rsidR="002200D3" w:rsidRPr="00980EFA" w:rsidRDefault="002200D3">
            <w:pPr>
              <w:spacing w:after="0" w:line="240" w:lineRule="auto"/>
              <w:jc w:val="center"/>
              <w:rPr>
                <w:rFonts w:ascii="Times New Roman" w:eastAsia="Calibri" w:hAnsi="Times New Roman" w:cs="Times New Roman"/>
                <w:b/>
                <w:sz w:val="24"/>
                <w:szCs w:val="24"/>
              </w:rPr>
            </w:pPr>
            <w:r w:rsidRPr="00980EFA">
              <w:rPr>
                <w:rFonts w:ascii="Times New Roman" w:eastAsia="Calibri" w:hAnsi="Times New Roman" w:cs="Times New Roman"/>
                <w:b/>
                <w:sz w:val="24"/>
                <w:szCs w:val="24"/>
              </w:rPr>
              <w:t>(4)</w:t>
            </w:r>
          </w:p>
        </w:tc>
        <w:tc>
          <w:tcPr>
            <w:tcW w:w="701" w:type="pct"/>
            <w:shd w:val="clear" w:color="auto" w:fill="D9D9D9"/>
            <w:vAlign w:val="bottom"/>
          </w:tcPr>
          <w:p w14:paraId="68B7894B" w14:textId="77777777" w:rsidR="002200D3" w:rsidRPr="00980EFA" w:rsidRDefault="002200D3">
            <w:pPr>
              <w:spacing w:after="0" w:line="240" w:lineRule="auto"/>
              <w:jc w:val="center"/>
              <w:rPr>
                <w:rFonts w:ascii="Times New Roman" w:eastAsia="Calibri" w:hAnsi="Times New Roman" w:cs="Times New Roman"/>
                <w:b/>
                <w:sz w:val="24"/>
                <w:szCs w:val="24"/>
              </w:rPr>
            </w:pPr>
            <w:r w:rsidRPr="00980EFA">
              <w:rPr>
                <w:rFonts w:ascii="Times New Roman" w:eastAsia="Calibri" w:hAnsi="Times New Roman" w:cs="Times New Roman"/>
                <w:b/>
                <w:sz w:val="24"/>
                <w:szCs w:val="24"/>
              </w:rPr>
              <w:t>Total Annual Burden Hours &amp; Total Annual Cost</w:t>
            </w:r>
          </w:p>
          <w:p w14:paraId="641AE9DF" w14:textId="77777777" w:rsidR="002200D3" w:rsidRPr="00980EFA" w:rsidRDefault="002200D3">
            <w:pPr>
              <w:spacing w:after="0" w:line="240" w:lineRule="auto"/>
              <w:jc w:val="center"/>
              <w:rPr>
                <w:rFonts w:ascii="Times New Roman" w:eastAsia="Calibri" w:hAnsi="Times New Roman" w:cs="Times New Roman"/>
                <w:b/>
                <w:sz w:val="24"/>
                <w:szCs w:val="24"/>
              </w:rPr>
            </w:pPr>
            <w:r w:rsidRPr="00980EFA">
              <w:rPr>
                <w:rFonts w:ascii="Times New Roman" w:eastAsia="Calibri" w:hAnsi="Times New Roman" w:cs="Times New Roman"/>
                <w:b/>
                <w:sz w:val="24"/>
                <w:szCs w:val="24"/>
              </w:rPr>
              <w:t>(3)*(4)=(5)</w:t>
            </w:r>
          </w:p>
        </w:tc>
        <w:tc>
          <w:tcPr>
            <w:tcW w:w="616" w:type="pct"/>
            <w:shd w:val="clear" w:color="auto" w:fill="D9D9D9"/>
            <w:vAlign w:val="bottom"/>
          </w:tcPr>
          <w:p w14:paraId="778AF1DD" w14:textId="77777777" w:rsidR="002200D3" w:rsidRPr="00980EFA" w:rsidRDefault="002200D3">
            <w:pPr>
              <w:spacing w:after="0" w:line="240" w:lineRule="auto"/>
              <w:jc w:val="center"/>
              <w:rPr>
                <w:rFonts w:ascii="Times New Roman" w:eastAsia="Calibri" w:hAnsi="Times New Roman" w:cs="Times New Roman"/>
                <w:b/>
                <w:sz w:val="24"/>
                <w:szCs w:val="24"/>
              </w:rPr>
            </w:pPr>
            <w:r w:rsidRPr="00980EFA">
              <w:rPr>
                <w:rFonts w:ascii="Times New Roman" w:eastAsia="Calibri" w:hAnsi="Times New Roman" w:cs="Times New Roman"/>
                <w:b/>
                <w:sz w:val="24"/>
                <w:szCs w:val="24"/>
              </w:rPr>
              <w:t>Cost per Respondent</w:t>
            </w:r>
          </w:p>
          <w:p w14:paraId="286DB408" w14:textId="77777777" w:rsidR="002200D3" w:rsidRPr="00980EFA" w:rsidRDefault="002200D3">
            <w:pPr>
              <w:spacing w:after="0" w:line="240" w:lineRule="auto"/>
              <w:jc w:val="center"/>
              <w:rPr>
                <w:rFonts w:ascii="Times New Roman" w:eastAsia="Calibri" w:hAnsi="Times New Roman" w:cs="Times New Roman"/>
                <w:b/>
                <w:sz w:val="24"/>
                <w:szCs w:val="24"/>
              </w:rPr>
            </w:pPr>
            <w:r w:rsidRPr="00980EFA">
              <w:rPr>
                <w:rFonts w:ascii="Times New Roman" w:eastAsia="Calibri" w:hAnsi="Times New Roman" w:cs="Times New Roman"/>
                <w:b/>
                <w:sz w:val="24"/>
                <w:szCs w:val="24"/>
              </w:rPr>
              <w:t xml:space="preserve"> ($)</w:t>
            </w:r>
          </w:p>
          <w:p w14:paraId="13A05D6B" w14:textId="77777777" w:rsidR="002200D3" w:rsidRPr="00980EFA" w:rsidRDefault="002200D3">
            <w:pPr>
              <w:spacing w:after="0" w:line="240" w:lineRule="auto"/>
              <w:jc w:val="center"/>
              <w:rPr>
                <w:rFonts w:ascii="Times New Roman" w:eastAsia="Calibri" w:hAnsi="Times New Roman" w:cs="Times New Roman"/>
                <w:b/>
                <w:sz w:val="24"/>
                <w:szCs w:val="24"/>
              </w:rPr>
            </w:pPr>
            <w:r w:rsidRPr="00980EFA">
              <w:rPr>
                <w:rFonts w:ascii="Times New Roman" w:eastAsia="Calibri" w:hAnsi="Times New Roman" w:cs="Times New Roman"/>
                <w:b/>
                <w:sz w:val="24"/>
                <w:szCs w:val="24"/>
              </w:rPr>
              <w:t>(5)÷(1)</w:t>
            </w:r>
          </w:p>
        </w:tc>
      </w:tr>
      <w:tr w:rsidR="002200D3" w:rsidRPr="006C693E" w14:paraId="267C1851" w14:textId="77777777" w:rsidTr="00FE5399">
        <w:trPr>
          <w:cantSplit/>
        </w:trPr>
        <w:tc>
          <w:tcPr>
            <w:tcW w:w="878" w:type="pct"/>
          </w:tcPr>
          <w:p w14:paraId="68945E0C" w14:textId="77777777" w:rsidR="002200D3" w:rsidRPr="00A40A0C" w:rsidRDefault="002200D3">
            <w:pPr>
              <w:spacing w:after="0" w:line="240" w:lineRule="auto"/>
              <w:rPr>
                <w:rFonts w:ascii="Times New Roman" w:eastAsia="Calibri" w:hAnsi="Times New Roman" w:cs="Times New Roman"/>
                <w:sz w:val="24"/>
                <w:szCs w:val="24"/>
              </w:rPr>
            </w:pPr>
            <w:r w:rsidRPr="00A40A0C">
              <w:rPr>
                <w:rFonts w:ascii="Times New Roman" w:eastAsia="Calibri" w:hAnsi="Times New Roman" w:cs="Times New Roman"/>
                <w:sz w:val="24"/>
                <w:szCs w:val="24"/>
              </w:rPr>
              <w:t>FERC-550</w:t>
            </w:r>
          </w:p>
        </w:tc>
        <w:tc>
          <w:tcPr>
            <w:tcW w:w="746" w:type="pct"/>
          </w:tcPr>
          <w:p w14:paraId="1EE8D305" w14:textId="77777777" w:rsidR="002200D3" w:rsidRPr="00A40A0C" w:rsidRDefault="002200D3">
            <w:pPr>
              <w:spacing w:after="0" w:line="240" w:lineRule="auto"/>
              <w:jc w:val="right"/>
              <w:rPr>
                <w:rFonts w:ascii="Times New Roman" w:eastAsia="Calibri" w:hAnsi="Times New Roman" w:cs="Times New Roman"/>
                <w:sz w:val="24"/>
                <w:szCs w:val="24"/>
              </w:rPr>
            </w:pPr>
            <w:r w:rsidRPr="00A40A0C">
              <w:rPr>
                <w:rFonts w:ascii="Times New Roman" w:eastAsia="Calibri" w:hAnsi="Times New Roman" w:cs="Times New Roman"/>
                <w:sz w:val="24"/>
                <w:szCs w:val="24"/>
              </w:rPr>
              <w:t>208</w:t>
            </w:r>
          </w:p>
          <w:p w14:paraId="64F4266E" w14:textId="77777777" w:rsidR="002200D3" w:rsidRPr="00A40A0C" w:rsidRDefault="002200D3">
            <w:pPr>
              <w:spacing w:after="0" w:line="240" w:lineRule="auto"/>
              <w:jc w:val="right"/>
              <w:rPr>
                <w:rFonts w:ascii="Times New Roman" w:eastAsia="Calibri" w:hAnsi="Times New Roman" w:cs="Times New Roman"/>
                <w:sz w:val="24"/>
                <w:szCs w:val="24"/>
              </w:rPr>
            </w:pPr>
          </w:p>
        </w:tc>
        <w:tc>
          <w:tcPr>
            <w:tcW w:w="746" w:type="pct"/>
          </w:tcPr>
          <w:p w14:paraId="05732BF9" w14:textId="4249438B" w:rsidR="002200D3" w:rsidRPr="00980EFA" w:rsidRDefault="002200D3">
            <w:pPr>
              <w:spacing w:after="0" w:line="240" w:lineRule="auto"/>
              <w:jc w:val="right"/>
              <w:rPr>
                <w:rFonts w:ascii="Times New Roman" w:eastAsia="Calibri" w:hAnsi="Times New Roman" w:cs="Times New Roman"/>
                <w:sz w:val="24"/>
                <w:szCs w:val="24"/>
              </w:rPr>
            </w:pPr>
            <w:r w:rsidRPr="00980EFA">
              <w:rPr>
                <w:rFonts w:ascii="Times New Roman" w:eastAsia="Calibri" w:hAnsi="Times New Roman" w:cs="Times New Roman"/>
                <w:sz w:val="24"/>
                <w:szCs w:val="24"/>
              </w:rPr>
              <w:t>3.68</w:t>
            </w:r>
          </w:p>
        </w:tc>
        <w:tc>
          <w:tcPr>
            <w:tcW w:w="703" w:type="pct"/>
          </w:tcPr>
          <w:p w14:paraId="2E6A930D" w14:textId="0FB10616" w:rsidR="002200D3" w:rsidRPr="00980EFA" w:rsidRDefault="002200D3">
            <w:pPr>
              <w:spacing w:after="0" w:line="240" w:lineRule="auto"/>
              <w:jc w:val="right"/>
              <w:rPr>
                <w:rFonts w:ascii="Times New Roman" w:eastAsia="Calibri" w:hAnsi="Times New Roman" w:cs="Times New Roman"/>
                <w:sz w:val="24"/>
                <w:szCs w:val="24"/>
              </w:rPr>
            </w:pPr>
            <w:r w:rsidRPr="00980EFA">
              <w:rPr>
                <w:rFonts w:ascii="Times New Roman" w:eastAsia="Calibri" w:hAnsi="Times New Roman" w:cs="Times New Roman"/>
                <w:sz w:val="24"/>
                <w:szCs w:val="24"/>
              </w:rPr>
              <w:t>765</w:t>
            </w:r>
          </w:p>
        </w:tc>
        <w:tc>
          <w:tcPr>
            <w:tcW w:w="610" w:type="pct"/>
          </w:tcPr>
          <w:p w14:paraId="499817EA" w14:textId="77777777" w:rsidR="002200D3" w:rsidRPr="00980EFA" w:rsidRDefault="002200D3">
            <w:pPr>
              <w:spacing w:after="0" w:line="240" w:lineRule="auto"/>
              <w:jc w:val="right"/>
              <w:rPr>
                <w:rFonts w:ascii="Times New Roman" w:eastAsia="Calibri" w:hAnsi="Times New Roman" w:cs="Times New Roman"/>
                <w:sz w:val="24"/>
                <w:szCs w:val="24"/>
              </w:rPr>
            </w:pPr>
            <w:r w:rsidRPr="00980EFA">
              <w:rPr>
                <w:rFonts w:ascii="Times New Roman" w:eastAsia="Calibri" w:hAnsi="Times New Roman" w:cs="Times New Roman"/>
                <w:sz w:val="24"/>
                <w:szCs w:val="24"/>
              </w:rPr>
              <w:t>7.815 hrs.;</w:t>
            </w:r>
          </w:p>
          <w:p w14:paraId="6ADA3CB4" w14:textId="77777777" w:rsidR="002200D3" w:rsidRPr="00980EFA" w:rsidRDefault="002200D3">
            <w:pPr>
              <w:spacing w:after="0" w:line="240" w:lineRule="auto"/>
              <w:jc w:val="right"/>
              <w:rPr>
                <w:rFonts w:ascii="Times New Roman" w:eastAsia="Calibri" w:hAnsi="Times New Roman" w:cs="Times New Roman"/>
                <w:sz w:val="24"/>
                <w:szCs w:val="24"/>
              </w:rPr>
            </w:pPr>
            <w:r w:rsidRPr="00980EFA">
              <w:rPr>
                <w:rFonts w:ascii="Times New Roman" w:eastAsia="Calibri" w:hAnsi="Times New Roman" w:cs="Times New Roman"/>
                <w:sz w:val="24"/>
                <w:szCs w:val="24"/>
              </w:rPr>
              <w:t>$582.22</w:t>
            </w:r>
          </w:p>
        </w:tc>
        <w:tc>
          <w:tcPr>
            <w:tcW w:w="701" w:type="pct"/>
          </w:tcPr>
          <w:p w14:paraId="5157B748" w14:textId="154344A0" w:rsidR="002200D3" w:rsidRPr="00980EFA" w:rsidRDefault="002200D3">
            <w:pPr>
              <w:spacing w:after="0" w:line="240" w:lineRule="auto"/>
              <w:jc w:val="right"/>
              <w:rPr>
                <w:rFonts w:ascii="Times New Roman" w:eastAsia="Calibri" w:hAnsi="Times New Roman" w:cs="Times New Roman"/>
                <w:sz w:val="24"/>
                <w:szCs w:val="24"/>
              </w:rPr>
            </w:pPr>
            <w:r w:rsidRPr="00980EFA">
              <w:rPr>
                <w:rFonts w:ascii="Times New Roman" w:eastAsia="Calibri" w:hAnsi="Times New Roman" w:cs="Times New Roman"/>
                <w:sz w:val="24"/>
                <w:szCs w:val="24"/>
              </w:rPr>
              <w:t xml:space="preserve"> 5,978 hrs.;</w:t>
            </w:r>
          </w:p>
          <w:p w14:paraId="2D1F2298" w14:textId="7FAAA84E" w:rsidR="002200D3" w:rsidRPr="00980EFA" w:rsidRDefault="002200D3">
            <w:pPr>
              <w:spacing w:after="0" w:line="240" w:lineRule="auto"/>
              <w:jc w:val="right"/>
              <w:rPr>
                <w:rFonts w:ascii="Times New Roman" w:eastAsia="Calibri" w:hAnsi="Times New Roman" w:cs="Times New Roman"/>
                <w:sz w:val="24"/>
                <w:szCs w:val="24"/>
              </w:rPr>
            </w:pPr>
            <w:r w:rsidRPr="00980EFA">
              <w:rPr>
                <w:rFonts w:ascii="Times New Roman" w:eastAsia="Calibri" w:hAnsi="Times New Roman" w:cs="Times New Roman"/>
                <w:sz w:val="24"/>
                <w:szCs w:val="24"/>
              </w:rPr>
              <w:t>$445,396</w:t>
            </w:r>
          </w:p>
        </w:tc>
        <w:tc>
          <w:tcPr>
            <w:tcW w:w="616" w:type="pct"/>
          </w:tcPr>
          <w:p w14:paraId="1E7EE81A" w14:textId="5107AD99" w:rsidR="002200D3" w:rsidRPr="00980EFA" w:rsidRDefault="002200D3">
            <w:pPr>
              <w:spacing w:after="0" w:line="240" w:lineRule="auto"/>
              <w:jc w:val="right"/>
              <w:rPr>
                <w:rFonts w:ascii="Times New Roman" w:eastAsia="Calibri" w:hAnsi="Times New Roman" w:cs="Times New Roman"/>
                <w:sz w:val="24"/>
                <w:szCs w:val="24"/>
              </w:rPr>
            </w:pPr>
            <w:r w:rsidRPr="00980EFA">
              <w:rPr>
                <w:rFonts w:ascii="Times New Roman" w:eastAsia="Calibri" w:hAnsi="Times New Roman" w:cs="Times New Roman"/>
                <w:sz w:val="24"/>
                <w:szCs w:val="24"/>
              </w:rPr>
              <w:t xml:space="preserve">$2,141.33 </w:t>
            </w:r>
          </w:p>
          <w:p w14:paraId="059B00D8" w14:textId="77777777" w:rsidR="002200D3" w:rsidRPr="00980EFA" w:rsidRDefault="002200D3">
            <w:pPr>
              <w:spacing w:after="0" w:line="240" w:lineRule="auto"/>
              <w:jc w:val="right"/>
              <w:rPr>
                <w:rFonts w:ascii="Times New Roman" w:eastAsia="Calibri" w:hAnsi="Times New Roman" w:cs="Times New Roman"/>
                <w:sz w:val="24"/>
                <w:szCs w:val="24"/>
              </w:rPr>
            </w:pPr>
          </w:p>
        </w:tc>
      </w:tr>
    </w:tbl>
    <w:p w14:paraId="01BD9799" w14:textId="77777777" w:rsidR="00AD0B03" w:rsidRDefault="00AD0B03" w:rsidP="00A40A0C">
      <w:pPr>
        <w:spacing w:after="0" w:line="240" w:lineRule="auto"/>
        <w:rPr>
          <w:rFonts w:ascii="Times New Roman" w:hAnsi="Times New Roman" w:cs="Times New Roman"/>
          <w:sz w:val="24"/>
          <w:szCs w:val="24"/>
        </w:rPr>
      </w:pPr>
    </w:p>
    <w:p w14:paraId="616D7696" w14:textId="77777777" w:rsidR="00D80FBD" w:rsidRPr="006C693E" w:rsidRDefault="00E636D7" w:rsidP="00A40A0C">
      <w:pPr>
        <w:pStyle w:val="ListParagraph"/>
        <w:numPr>
          <w:ilvl w:val="0"/>
          <w:numId w:val="1"/>
        </w:numPr>
        <w:spacing w:after="0" w:line="240" w:lineRule="auto"/>
        <w:ind w:left="360"/>
        <w:rPr>
          <w:rFonts w:ascii="Times New Roman" w:hAnsi="Times New Roman" w:cs="Times New Roman"/>
          <w:b/>
          <w:sz w:val="24"/>
          <w:szCs w:val="24"/>
        </w:rPr>
      </w:pPr>
      <w:r w:rsidRPr="006C693E">
        <w:rPr>
          <w:rFonts w:ascii="Times New Roman" w:hAnsi="Times New Roman" w:cs="Times New Roman"/>
          <w:b/>
          <w:sz w:val="24"/>
          <w:szCs w:val="24"/>
        </w:rPr>
        <w:lastRenderedPageBreak/>
        <w:t>ESTIMATE OF THE TOTAL ANNUAL COST BURDEN TO RESPONDENTS</w:t>
      </w:r>
    </w:p>
    <w:p w14:paraId="3F6B4691" w14:textId="77777777" w:rsidR="00E636D7" w:rsidRPr="006C693E" w:rsidRDefault="00E636D7" w:rsidP="00A40A0C">
      <w:pPr>
        <w:spacing w:after="0" w:line="240" w:lineRule="auto"/>
        <w:rPr>
          <w:rFonts w:ascii="Times New Roman" w:hAnsi="Times New Roman" w:cs="Times New Roman"/>
          <w:sz w:val="24"/>
          <w:szCs w:val="24"/>
        </w:rPr>
      </w:pPr>
    </w:p>
    <w:p w14:paraId="117EECA4" w14:textId="77777777" w:rsidR="005C2470" w:rsidRPr="006C693E" w:rsidRDefault="00ED43A5" w:rsidP="00A40A0C">
      <w:pPr>
        <w:spacing w:after="0" w:line="240" w:lineRule="auto"/>
        <w:rPr>
          <w:rFonts w:ascii="Times New Roman" w:hAnsi="Times New Roman" w:cs="Times New Roman"/>
          <w:sz w:val="24"/>
          <w:szCs w:val="24"/>
        </w:rPr>
      </w:pPr>
      <w:r w:rsidRPr="006C693E">
        <w:rPr>
          <w:rFonts w:ascii="Times New Roman" w:hAnsi="Times New Roman" w:cs="Times New Roman"/>
          <w:sz w:val="24"/>
          <w:szCs w:val="24"/>
        </w:rPr>
        <w:t>All costs are related to burden hours and addressed in Questions 12 and 15.</w:t>
      </w:r>
    </w:p>
    <w:p w14:paraId="4D48F963" w14:textId="77777777" w:rsidR="005C2470" w:rsidRPr="006C693E" w:rsidRDefault="005C2470" w:rsidP="00A40A0C">
      <w:pPr>
        <w:spacing w:after="0" w:line="240" w:lineRule="auto"/>
        <w:rPr>
          <w:rFonts w:ascii="Times New Roman" w:hAnsi="Times New Roman" w:cs="Times New Roman"/>
          <w:sz w:val="24"/>
          <w:szCs w:val="24"/>
        </w:rPr>
      </w:pPr>
    </w:p>
    <w:p w14:paraId="03943272" w14:textId="77777777" w:rsidR="00E636D7" w:rsidRPr="006C693E" w:rsidRDefault="00A276F5" w:rsidP="00A40A0C">
      <w:pPr>
        <w:pStyle w:val="ListParagraph"/>
        <w:numPr>
          <w:ilvl w:val="0"/>
          <w:numId w:val="1"/>
        </w:numPr>
        <w:spacing w:after="0" w:line="240" w:lineRule="auto"/>
        <w:ind w:left="360"/>
        <w:rPr>
          <w:rFonts w:ascii="Times New Roman" w:hAnsi="Times New Roman" w:cs="Times New Roman"/>
          <w:b/>
          <w:sz w:val="24"/>
          <w:szCs w:val="24"/>
        </w:rPr>
      </w:pPr>
      <w:r w:rsidRPr="006C693E">
        <w:rPr>
          <w:rFonts w:ascii="Times New Roman" w:hAnsi="Times New Roman" w:cs="Times New Roman"/>
          <w:b/>
          <w:sz w:val="24"/>
          <w:szCs w:val="24"/>
        </w:rPr>
        <w:t>ESTIMATED ANNUALIZED COST TO FEDERAL GOVERNMENT</w:t>
      </w:r>
    </w:p>
    <w:p w14:paraId="675FECF8" w14:textId="77777777" w:rsidR="00A276F5" w:rsidRPr="006C693E" w:rsidRDefault="00A276F5" w:rsidP="00A40A0C">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953"/>
        <w:gridCol w:w="2965"/>
      </w:tblGrid>
      <w:tr w:rsidR="00F1252F" w:rsidRPr="006C693E" w14:paraId="4340E0C3" w14:textId="77777777" w:rsidTr="00AA02EB">
        <w:tc>
          <w:tcPr>
            <w:tcW w:w="2938" w:type="dxa"/>
            <w:shd w:val="clear" w:color="auto" w:fill="CCCCCC"/>
          </w:tcPr>
          <w:p w14:paraId="6612D0B7" w14:textId="77777777" w:rsidR="00F1252F" w:rsidRPr="006C693E" w:rsidRDefault="00F1252F">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953" w:type="dxa"/>
            <w:shd w:val="clear" w:color="auto" w:fill="CCCCCC"/>
          </w:tcPr>
          <w:p w14:paraId="7ADDE886" w14:textId="77777777" w:rsidR="00F1252F" w:rsidRPr="006C693E" w:rsidRDefault="00F1252F">
            <w:pPr>
              <w:widowControl w:val="0"/>
              <w:autoSpaceDE w:val="0"/>
              <w:autoSpaceDN w:val="0"/>
              <w:adjustRightInd w:val="0"/>
              <w:spacing w:after="0" w:line="240" w:lineRule="auto"/>
              <w:rPr>
                <w:rFonts w:ascii="Times New Roman" w:eastAsia="Times New Roman" w:hAnsi="Times New Roman" w:cs="Times New Roman"/>
                <w:b/>
                <w:sz w:val="24"/>
                <w:szCs w:val="24"/>
              </w:rPr>
            </w:pPr>
            <w:r w:rsidRPr="006C693E">
              <w:rPr>
                <w:rFonts w:ascii="Times New Roman" w:eastAsia="Times New Roman" w:hAnsi="Times New Roman" w:cs="Times New Roman"/>
                <w:b/>
                <w:sz w:val="24"/>
                <w:szCs w:val="24"/>
              </w:rPr>
              <w:t>Number of Employees (FTEs)</w:t>
            </w:r>
          </w:p>
        </w:tc>
        <w:tc>
          <w:tcPr>
            <w:tcW w:w="2965" w:type="dxa"/>
            <w:shd w:val="clear" w:color="auto" w:fill="CCCCCC"/>
          </w:tcPr>
          <w:p w14:paraId="2E2E5A09" w14:textId="77777777" w:rsidR="00F1252F" w:rsidRPr="006C693E" w:rsidRDefault="00F1252F">
            <w:pPr>
              <w:widowControl w:val="0"/>
              <w:autoSpaceDE w:val="0"/>
              <w:autoSpaceDN w:val="0"/>
              <w:adjustRightInd w:val="0"/>
              <w:spacing w:after="0" w:line="240" w:lineRule="auto"/>
              <w:rPr>
                <w:rFonts w:ascii="Times New Roman" w:eastAsia="Times New Roman" w:hAnsi="Times New Roman" w:cs="Times New Roman"/>
                <w:b/>
                <w:sz w:val="24"/>
                <w:szCs w:val="24"/>
              </w:rPr>
            </w:pPr>
            <w:r w:rsidRPr="006C693E">
              <w:rPr>
                <w:rFonts w:ascii="Times New Roman" w:eastAsia="Times New Roman" w:hAnsi="Times New Roman" w:cs="Times New Roman"/>
                <w:b/>
                <w:sz w:val="24"/>
                <w:szCs w:val="24"/>
              </w:rPr>
              <w:t>Estimated Annual Federal Cost</w:t>
            </w:r>
          </w:p>
        </w:tc>
      </w:tr>
      <w:tr w:rsidR="00F1252F" w:rsidRPr="006C693E" w14:paraId="758CD327" w14:textId="77777777" w:rsidTr="00AA02EB">
        <w:tc>
          <w:tcPr>
            <w:tcW w:w="2938" w:type="dxa"/>
            <w:shd w:val="clear" w:color="auto" w:fill="auto"/>
          </w:tcPr>
          <w:p w14:paraId="2AFB7C59" w14:textId="77777777" w:rsidR="00F1252F" w:rsidRPr="006C693E" w:rsidRDefault="00F1252F">
            <w:pPr>
              <w:widowControl w:val="0"/>
              <w:autoSpaceDE w:val="0"/>
              <w:autoSpaceDN w:val="0"/>
              <w:adjustRightInd w:val="0"/>
              <w:spacing w:after="0" w:line="240" w:lineRule="auto"/>
              <w:rPr>
                <w:rFonts w:ascii="Times New Roman" w:eastAsia="Times New Roman" w:hAnsi="Times New Roman" w:cs="Times New Roman"/>
                <w:sz w:val="24"/>
                <w:szCs w:val="24"/>
              </w:rPr>
            </w:pPr>
            <w:r w:rsidRPr="006C693E">
              <w:rPr>
                <w:rFonts w:ascii="Times New Roman" w:eastAsia="Times New Roman" w:hAnsi="Times New Roman" w:cs="Times New Roman"/>
                <w:sz w:val="24"/>
                <w:szCs w:val="24"/>
              </w:rPr>
              <w:t>Analysis and Processing of Filings</w:t>
            </w:r>
            <w:r w:rsidR="000C2657" w:rsidRPr="006C693E">
              <w:rPr>
                <w:rStyle w:val="FootnoteReference"/>
                <w:rFonts w:ascii="Times New Roman" w:eastAsia="Times New Roman" w:hAnsi="Times New Roman" w:cs="Times New Roman"/>
                <w:sz w:val="24"/>
                <w:szCs w:val="24"/>
                <w:vertAlign w:val="superscript"/>
              </w:rPr>
              <w:footnoteReference w:id="11"/>
            </w:r>
          </w:p>
        </w:tc>
        <w:tc>
          <w:tcPr>
            <w:tcW w:w="2953" w:type="dxa"/>
            <w:shd w:val="clear" w:color="auto" w:fill="auto"/>
          </w:tcPr>
          <w:p w14:paraId="0CDE1E34" w14:textId="77777777" w:rsidR="00F1252F" w:rsidRPr="006C693E" w:rsidRDefault="00D3676C" w:rsidP="00D3676C">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65" w:type="dxa"/>
            <w:shd w:val="clear" w:color="auto" w:fill="auto"/>
          </w:tcPr>
          <w:p w14:paraId="40396963" w14:textId="77777777" w:rsidR="00F1252F" w:rsidRPr="006C693E" w:rsidRDefault="00A92229" w:rsidP="00A9222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C693E">
              <w:rPr>
                <w:rFonts w:ascii="Times New Roman" w:eastAsia="Times New Roman" w:hAnsi="Times New Roman" w:cs="Times New Roman"/>
                <w:sz w:val="24"/>
                <w:szCs w:val="24"/>
              </w:rPr>
              <w:t>$</w:t>
            </w:r>
            <w:r>
              <w:rPr>
                <w:rFonts w:ascii="Times New Roman" w:eastAsia="Times New Roman" w:hAnsi="Times New Roman" w:cs="Times New Roman"/>
                <w:sz w:val="24"/>
                <w:szCs w:val="24"/>
              </w:rPr>
              <w:t>1,237,176</w:t>
            </w:r>
          </w:p>
        </w:tc>
      </w:tr>
      <w:tr w:rsidR="00F1252F" w:rsidRPr="006C693E" w14:paraId="00DA6AEA" w14:textId="77777777" w:rsidTr="006C693E">
        <w:tc>
          <w:tcPr>
            <w:tcW w:w="2938" w:type="dxa"/>
            <w:shd w:val="clear" w:color="auto" w:fill="auto"/>
          </w:tcPr>
          <w:p w14:paraId="368D775B" w14:textId="77777777" w:rsidR="00F1252F" w:rsidRPr="006C693E" w:rsidRDefault="00F1252F">
            <w:pPr>
              <w:widowControl w:val="0"/>
              <w:autoSpaceDE w:val="0"/>
              <w:autoSpaceDN w:val="0"/>
              <w:adjustRightInd w:val="0"/>
              <w:spacing w:after="0" w:line="240" w:lineRule="auto"/>
              <w:rPr>
                <w:rFonts w:ascii="Times New Roman" w:eastAsia="Times New Roman" w:hAnsi="Times New Roman" w:cs="Times New Roman"/>
                <w:sz w:val="24"/>
                <w:szCs w:val="24"/>
              </w:rPr>
            </w:pPr>
            <w:r w:rsidRPr="006C693E">
              <w:rPr>
                <w:rFonts w:ascii="Times New Roman" w:eastAsia="Times New Roman" w:hAnsi="Times New Roman" w:cs="Times New Roman"/>
                <w:sz w:val="24"/>
                <w:szCs w:val="24"/>
              </w:rPr>
              <w:t>PRA</w:t>
            </w:r>
            <w:r w:rsidRPr="00A40A0C">
              <w:rPr>
                <w:rFonts w:ascii="Times New Roman" w:eastAsia="Times New Roman" w:hAnsi="Times New Roman" w:cs="Times New Roman"/>
                <w:b/>
                <w:sz w:val="24"/>
                <w:szCs w:val="24"/>
                <w:vertAlign w:val="superscript"/>
              </w:rPr>
              <w:footnoteReference w:id="12"/>
            </w:r>
            <w:r w:rsidRPr="006C693E">
              <w:rPr>
                <w:rFonts w:ascii="Times New Roman" w:eastAsia="Times New Roman" w:hAnsi="Times New Roman" w:cs="Times New Roman"/>
                <w:sz w:val="24"/>
                <w:szCs w:val="24"/>
                <w:vertAlign w:val="superscript"/>
              </w:rPr>
              <w:t xml:space="preserve"> </w:t>
            </w:r>
            <w:r w:rsidRPr="006C693E">
              <w:rPr>
                <w:rFonts w:ascii="Times New Roman" w:eastAsia="Times New Roman" w:hAnsi="Times New Roman" w:cs="Times New Roman"/>
                <w:sz w:val="24"/>
                <w:szCs w:val="24"/>
              </w:rPr>
              <w:t>Administrative Cost</w:t>
            </w:r>
            <w:r w:rsidRPr="00A40A0C">
              <w:rPr>
                <w:rFonts w:ascii="Times New Roman" w:eastAsia="Times New Roman" w:hAnsi="Times New Roman" w:cs="Times New Roman"/>
                <w:b/>
                <w:sz w:val="24"/>
                <w:szCs w:val="24"/>
                <w:vertAlign w:val="superscript"/>
              </w:rPr>
              <w:footnoteReference w:id="13"/>
            </w:r>
          </w:p>
        </w:tc>
        <w:tc>
          <w:tcPr>
            <w:tcW w:w="2953" w:type="dxa"/>
            <w:shd w:val="clear" w:color="auto" w:fill="D9D9D9" w:themeFill="background1" w:themeFillShade="D9"/>
          </w:tcPr>
          <w:p w14:paraId="6C289F05" w14:textId="77777777" w:rsidR="00F1252F" w:rsidRPr="006C693E" w:rsidRDefault="00F1252F">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2965" w:type="dxa"/>
            <w:shd w:val="clear" w:color="auto" w:fill="auto"/>
          </w:tcPr>
          <w:p w14:paraId="6D696F29" w14:textId="77777777" w:rsidR="00F1252F" w:rsidRPr="006C693E" w:rsidRDefault="00F1252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C693E">
              <w:rPr>
                <w:rFonts w:ascii="Times New Roman" w:eastAsia="Times New Roman" w:hAnsi="Times New Roman" w:cs="Times New Roman"/>
                <w:sz w:val="24"/>
                <w:szCs w:val="24"/>
              </w:rPr>
              <w:t>$</w:t>
            </w:r>
            <w:r w:rsidR="000C2657" w:rsidRPr="006C693E">
              <w:rPr>
                <w:rFonts w:ascii="Times New Roman" w:eastAsia="Times New Roman" w:hAnsi="Times New Roman" w:cs="Times New Roman"/>
                <w:sz w:val="24"/>
                <w:szCs w:val="24"/>
              </w:rPr>
              <w:t>5,481</w:t>
            </w:r>
          </w:p>
        </w:tc>
      </w:tr>
      <w:tr w:rsidR="00F1252F" w:rsidRPr="006C693E" w14:paraId="17127595" w14:textId="77777777" w:rsidTr="006C693E">
        <w:tc>
          <w:tcPr>
            <w:tcW w:w="2938" w:type="dxa"/>
            <w:shd w:val="clear" w:color="auto" w:fill="auto"/>
          </w:tcPr>
          <w:p w14:paraId="56443F97" w14:textId="77777777" w:rsidR="00F1252F" w:rsidRPr="006C693E" w:rsidRDefault="00F1252F">
            <w:pPr>
              <w:widowControl w:val="0"/>
              <w:autoSpaceDE w:val="0"/>
              <w:autoSpaceDN w:val="0"/>
              <w:adjustRightInd w:val="0"/>
              <w:spacing w:after="0" w:line="240" w:lineRule="auto"/>
              <w:rPr>
                <w:rFonts w:ascii="Times New Roman" w:eastAsia="Times New Roman" w:hAnsi="Times New Roman" w:cs="Times New Roman"/>
                <w:b/>
                <w:sz w:val="24"/>
                <w:szCs w:val="24"/>
              </w:rPr>
            </w:pPr>
            <w:r w:rsidRPr="006C693E">
              <w:rPr>
                <w:rFonts w:ascii="Times New Roman" w:eastAsia="Times New Roman" w:hAnsi="Times New Roman" w:cs="Times New Roman"/>
                <w:b/>
                <w:sz w:val="24"/>
                <w:szCs w:val="24"/>
              </w:rPr>
              <w:t>FERC Total</w:t>
            </w:r>
          </w:p>
        </w:tc>
        <w:tc>
          <w:tcPr>
            <w:tcW w:w="2953" w:type="dxa"/>
            <w:shd w:val="clear" w:color="auto" w:fill="D9D9D9" w:themeFill="background1" w:themeFillShade="D9"/>
          </w:tcPr>
          <w:p w14:paraId="1348609F" w14:textId="77777777" w:rsidR="00F1252F" w:rsidRPr="006C693E" w:rsidRDefault="00F1252F">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2965" w:type="dxa"/>
            <w:shd w:val="clear" w:color="auto" w:fill="auto"/>
          </w:tcPr>
          <w:p w14:paraId="5AAF6DC1" w14:textId="77777777" w:rsidR="00F1252F" w:rsidRPr="006C693E" w:rsidRDefault="00A92229" w:rsidP="00A9222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C693E">
              <w:rPr>
                <w:rFonts w:ascii="Times New Roman" w:eastAsia="Times New Roman" w:hAnsi="Times New Roman" w:cs="Times New Roman"/>
                <w:sz w:val="24"/>
                <w:szCs w:val="24"/>
              </w:rPr>
              <w:t>$</w:t>
            </w:r>
            <w:r>
              <w:rPr>
                <w:rFonts w:ascii="Times New Roman" w:eastAsia="Times New Roman" w:hAnsi="Times New Roman" w:cs="Times New Roman"/>
                <w:sz w:val="24"/>
                <w:szCs w:val="24"/>
              </w:rPr>
              <w:t>1,242,657</w:t>
            </w:r>
          </w:p>
        </w:tc>
      </w:tr>
    </w:tbl>
    <w:p w14:paraId="3A35A142" w14:textId="77777777" w:rsidR="00B20F36" w:rsidRPr="006C693E" w:rsidRDefault="00B20F36" w:rsidP="00A40A0C">
      <w:pPr>
        <w:spacing w:after="0" w:line="240" w:lineRule="auto"/>
        <w:rPr>
          <w:rFonts w:ascii="Times New Roman" w:hAnsi="Times New Roman" w:cs="Times New Roman"/>
          <w:sz w:val="24"/>
          <w:szCs w:val="24"/>
        </w:rPr>
      </w:pPr>
    </w:p>
    <w:p w14:paraId="3678296F" w14:textId="77777777" w:rsidR="00A60EAA" w:rsidRPr="006C693E" w:rsidRDefault="00A60EAA" w:rsidP="00A40A0C">
      <w:pPr>
        <w:spacing w:after="0" w:line="240" w:lineRule="auto"/>
        <w:rPr>
          <w:rFonts w:ascii="Times New Roman" w:hAnsi="Times New Roman" w:cs="Times New Roman"/>
          <w:sz w:val="24"/>
          <w:szCs w:val="24"/>
        </w:rPr>
      </w:pPr>
    </w:p>
    <w:p w14:paraId="3ADA539A" w14:textId="77777777" w:rsidR="00A276F5" w:rsidRPr="006C693E" w:rsidRDefault="00A276F5" w:rsidP="00A40A0C">
      <w:pPr>
        <w:pStyle w:val="ListParagraph"/>
        <w:numPr>
          <w:ilvl w:val="0"/>
          <w:numId w:val="1"/>
        </w:numPr>
        <w:spacing w:after="0" w:line="240" w:lineRule="auto"/>
        <w:ind w:left="360"/>
        <w:rPr>
          <w:rFonts w:ascii="Times New Roman" w:hAnsi="Times New Roman" w:cs="Times New Roman"/>
          <w:b/>
          <w:sz w:val="24"/>
          <w:szCs w:val="24"/>
        </w:rPr>
      </w:pPr>
      <w:r w:rsidRPr="006C693E">
        <w:rPr>
          <w:rFonts w:ascii="Times New Roman" w:hAnsi="Times New Roman" w:cs="Times New Roman"/>
          <w:b/>
          <w:sz w:val="24"/>
          <w:szCs w:val="24"/>
        </w:rPr>
        <w:t>REASONS FOR CHANGES IN BURDEN INCLUDING THE NEED FOR ANY INCREASE</w:t>
      </w:r>
    </w:p>
    <w:p w14:paraId="64C61156" w14:textId="77777777" w:rsidR="00A276F5" w:rsidRDefault="00A276F5" w:rsidP="00A40A0C">
      <w:pPr>
        <w:spacing w:after="0" w:line="240" w:lineRule="auto"/>
        <w:rPr>
          <w:rFonts w:ascii="Times New Roman" w:hAnsi="Times New Roman" w:cs="Times New Roman"/>
          <w:sz w:val="24"/>
          <w:szCs w:val="24"/>
        </w:rPr>
      </w:pPr>
    </w:p>
    <w:p w14:paraId="2F0DF9E5" w14:textId="058D41E8" w:rsidR="005012D9" w:rsidRPr="006C693E" w:rsidRDefault="005012D9" w:rsidP="00A40A0C">
      <w:pPr>
        <w:spacing w:after="0" w:line="240" w:lineRule="auto"/>
        <w:rPr>
          <w:rFonts w:ascii="Times New Roman" w:hAnsi="Times New Roman" w:cs="Times New Roman"/>
          <w:sz w:val="24"/>
          <w:szCs w:val="24"/>
        </w:rPr>
      </w:pPr>
    </w:p>
    <w:p w14:paraId="1D93FAA5" w14:textId="77777777" w:rsidR="009058FD" w:rsidRPr="006C693E" w:rsidRDefault="00ED37C4" w:rsidP="00A40A0C">
      <w:pPr>
        <w:spacing w:after="0" w:line="240" w:lineRule="auto"/>
        <w:rPr>
          <w:rFonts w:ascii="Times New Roman" w:hAnsi="Times New Roman" w:cs="Times New Roman"/>
          <w:sz w:val="24"/>
          <w:szCs w:val="24"/>
        </w:rPr>
      </w:pPr>
      <w:r w:rsidRPr="006C693E">
        <w:rPr>
          <w:rFonts w:ascii="Times New Roman" w:hAnsi="Times New Roman" w:cs="Times New Roman"/>
          <w:b/>
          <w:sz w:val="24"/>
          <w:szCs w:val="24"/>
        </w:rPr>
        <w:t xml:space="preserve">Program Decrease.  </w:t>
      </w:r>
      <w:r w:rsidR="009058FD" w:rsidRPr="006C693E">
        <w:rPr>
          <w:rFonts w:ascii="Times New Roman" w:hAnsi="Times New Roman" w:cs="Times New Roman"/>
          <w:sz w:val="24"/>
          <w:szCs w:val="24"/>
        </w:rPr>
        <w:t xml:space="preserve">The one-time burden imposed by Order 780 (issued May 16, 2013, in Docket No. RM12-15-000; 78 FR 32090, 5/29/2013) has been completed and is being correspondingly removed as a program decrease (‘change due to agency discretion’).  </w:t>
      </w:r>
      <w:r w:rsidR="006C693E">
        <w:rPr>
          <w:rFonts w:ascii="Times New Roman" w:hAnsi="Times New Roman" w:cs="Times New Roman"/>
          <w:sz w:val="24"/>
          <w:szCs w:val="24"/>
        </w:rPr>
        <w:t>Similarly, that annual cost burden is being removed.</w:t>
      </w:r>
      <w:r w:rsidR="0033161F">
        <w:rPr>
          <w:rFonts w:ascii="Times New Roman" w:hAnsi="Times New Roman" w:cs="Times New Roman"/>
          <w:sz w:val="24"/>
          <w:szCs w:val="24"/>
        </w:rPr>
        <w:t xml:space="preserve">  (That results in a reduction of 167 respondents representing 167 responses and 3,340 hrs.</w:t>
      </w:r>
      <w:r w:rsidR="00D9145F" w:rsidRPr="00D9145F">
        <w:rPr>
          <w:rFonts w:ascii="Times New Roman" w:hAnsi="Times New Roman" w:cs="Times New Roman"/>
          <w:sz w:val="24"/>
          <w:szCs w:val="24"/>
        </w:rPr>
        <w:t xml:space="preserve"> </w:t>
      </w:r>
      <w:r w:rsidR="00D9145F">
        <w:rPr>
          <w:rFonts w:ascii="Times New Roman" w:hAnsi="Times New Roman" w:cs="Times New Roman"/>
          <w:sz w:val="24"/>
          <w:szCs w:val="24"/>
        </w:rPr>
        <w:t>[figures approved by OMB on 9/30/2013]</w:t>
      </w:r>
      <w:r w:rsidR="0033161F">
        <w:rPr>
          <w:rFonts w:ascii="Times New Roman" w:hAnsi="Times New Roman" w:cs="Times New Roman"/>
          <w:sz w:val="24"/>
          <w:szCs w:val="24"/>
        </w:rPr>
        <w:t>, due to completion of that effort.</w:t>
      </w:r>
      <w:r w:rsidR="00C65C12">
        <w:rPr>
          <w:rFonts w:ascii="Times New Roman" w:hAnsi="Times New Roman" w:cs="Times New Roman"/>
          <w:sz w:val="24"/>
          <w:szCs w:val="24"/>
        </w:rPr>
        <w:t xml:space="preserve">  That was represented in reginfo.gov and ROCIS in a separate stand-alone IC</w:t>
      </w:r>
      <w:r w:rsidR="00F5059F">
        <w:rPr>
          <w:rFonts w:ascii="Times New Roman" w:hAnsi="Times New Roman" w:cs="Times New Roman"/>
          <w:sz w:val="24"/>
          <w:szCs w:val="24"/>
        </w:rPr>
        <w:t xml:space="preserve"> which is removed in this submittal</w:t>
      </w:r>
      <w:r w:rsidR="00C65C12">
        <w:rPr>
          <w:rFonts w:ascii="Times New Roman" w:hAnsi="Times New Roman" w:cs="Times New Roman"/>
          <w:sz w:val="24"/>
          <w:szCs w:val="24"/>
        </w:rPr>
        <w:t>.</w:t>
      </w:r>
      <w:r w:rsidR="0033161F">
        <w:rPr>
          <w:rFonts w:ascii="Times New Roman" w:hAnsi="Times New Roman" w:cs="Times New Roman"/>
          <w:sz w:val="24"/>
          <w:szCs w:val="24"/>
        </w:rPr>
        <w:t>)</w:t>
      </w:r>
    </w:p>
    <w:p w14:paraId="51033CB8" w14:textId="77777777" w:rsidR="009058FD" w:rsidRPr="006C693E" w:rsidRDefault="009058FD" w:rsidP="00A40A0C">
      <w:pPr>
        <w:spacing w:after="0" w:line="240" w:lineRule="auto"/>
        <w:rPr>
          <w:rFonts w:ascii="Times New Roman" w:hAnsi="Times New Roman" w:cs="Times New Roman"/>
          <w:sz w:val="24"/>
          <w:szCs w:val="24"/>
        </w:rPr>
      </w:pPr>
    </w:p>
    <w:p w14:paraId="0D764B9E" w14:textId="1CF661DC" w:rsidR="009E75F9" w:rsidRDefault="00ED37C4" w:rsidP="00F12181">
      <w:pPr>
        <w:spacing w:after="0" w:line="240" w:lineRule="auto"/>
        <w:rPr>
          <w:rFonts w:ascii="Times New Roman" w:hAnsi="Times New Roman" w:cs="Times New Roman"/>
          <w:sz w:val="24"/>
          <w:szCs w:val="24"/>
        </w:rPr>
      </w:pPr>
      <w:r w:rsidRPr="00474A2E">
        <w:rPr>
          <w:rFonts w:ascii="Times New Roman" w:hAnsi="Times New Roman" w:cs="Times New Roman"/>
          <w:b/>
          <w:sz w:val="24"/>
          <w:szCs w:val="24"/>
        </w:rPr>
        <w:lastRenderedPageBreak/>
        <w:t>Adjustment</w:t>
      </w:r>
      <w:r w:rsidR="00F12181" w:rsidRPr="00474A2E">
        <w:rPr>
          <w:rFonts w:ascii="Times New Roman" w:hAnsi="Times New Roman" w:cs="Times New Roman"/>
          <w:b/>
          <w:sz w:val="24"/>
          <w:szCs w:val="24"/>
        </w:rPr>
        <w:t>s</w:t>
      </w:r>
      <w:r w:rsidRPr="00474A2E">
        <w:rPr>
          <w:rFonts w:ascii="Times New Roman" w:hAnsi="Times New Roman" w:cs="Times New Roman"/>
          <w:b/>
          <w:sz w:val="24"/>
          <w:szCs w:val="24"/>
        </w:rPr>
        <w:t xml:space="preserve"> in Estimate.</w:t>
      </w:r>
      <w:r w:rsidR="005012D9" w:rsidRPr="001446C7">
        <w:rPr>
          <w:rFonts w:ascii="Times New Roman" w:hAnsi="Times New Roman" w:cs="Times New Roman"/>
          <w:sz w:val="24"/>
          <w:szCs w:val="24"/>
          <w:vertAlign w:val="superscript"/>
        </w:rPr>
        <w:t>10</w:t>
      </w:r>
      <w:r w:rsidR="003236DF">
        <w:rPr>
          <w:rFonts w:ascii="Times New Roman" w:hAnsi="Times New Roman" w:cs="Times New Roman"/>
          <w:sz w:val="24"/>
          <w:szCs w:val="24"/>
        </w:rPr>
        <w:t xml:space="preserve">  </w:t>
      </w:r>
      <w:r w:rsidR="009E75F9" w:rsidRPr="00474A2E">
        <w:rPr>
          <w:rFonts w:ascii="Times New Roman" w:hAnsi="Times New Roman" w:cs="Times New Roman"/>
          <w:sz w:val="24"/>
          <w:szCs w:val="24"/>
        </w:rPr>
        <w:t>The estimates</w:t>
      </w:r>
      <w:r w:rsidR="00474A2E">
        <w:rPr>
          <w:rFonts w:ascii="Times New Roman" w:hAnsi="Times New Roman" w:cs="Times New Roman"/>
          <w:sz w:val="24"/>
          <w:szCs w:val="24"/>
        </w:rPr>
        <w:t xml:space="preserve"> for nos. of pipelines (respondents), filings (responses), and average annual no. of responses per respondent have </w:t>
      </w:r>
      <w:r w:rsidR="00F12181" w:rsidRPr="001446C7">
        <w:rPr>
          <w:rFonts w:ascii="Times New Roman" w:hAnsi="Times New Roman" w:cs="Times New Roman"/>
          <w:sz w:val="24"/>
          <w:szCs w:val="24"/>
        </w:rPr>
        <w:t xml:space="preserve">changed since </w:t>
      </w:r>
      <w:r w:rsidR="00B04175" w:rsidRPr="00474A2E">
        <w:rPr>
          <w:rFonts w:ascii="Times New Roman" w:hAnsi="Times New Roman" w:cs="Times New Roman"/>
          <w:sz w:val="24"/>
          <w:szCs w:val="24"/>
        </w:rPr>
        <w:t xml:space="preserve">the previous </w:t>
      </w:r>
      <w:r w:rsidR="00474A2E">
        <w:rPr>
          <w:rFonts w:ascii="Times New Roman" w:hAnsi="Times New Roman" w:cs="Times New Roman"/>
          <w:sz w:val="24"/>
          <w:szCs w:val="24"/>
        </w:rPr>
        <w:t xml:space="preserve">OMB </w:t>
      </w:r>
      <w:r w:rsidR="003236DF">
        <w:rPr>
          <w:rFonts w:ascii="Times New Roman" w:hAnsi="Times New Roman" w:cs="Times New Roman"/>
          <w:sz w:val="24"/>
          <w:szCs w:val="24"/>
        </w:rPr>
        <w:t>approval</w:t>
      </w:r>
      <w:r w:rsidR="009E75F9" w:rsidRPr="00474A2E">
        <w:rPr>
          <w:rFonts w:ascii="Times New Roman" w:hAnsi="Times New Roman" w:cs="Times New Roman"/>
          <w:sz w:val="24"/>
          <w:szCs w:val="24"/>
        </w:rPr>
        <w:t>, due to various factors</w:t>
      </w:r>
      <w:r w:rsidR="00B04175" w:rsidRPr="00474A2E">
        <w:rPr>
          <w:rFonts w:ascii="Times New Roman" w:hAnsi="Times New Roman" w:cs="Times New Roman"/>
          <w:sz w:val="24"/>
          <w:szCs w:val="24"/>
        </w:rPr>
        <w:t>, described below</w:t>
      </w:r>
      <w:r w:rsidR="00F12181" w:rsidRPr="001446C7">
        <w:rPr>
          <w:rFonts w:ascii="Times New Roman" w:hAnsi="Times New Roman" w:cs="Times New Roman"/>
          <w:sz w:val="24"/>
          <w:szCs w:val="24"/>
        </w:rPr>
        <w:t>.</w:t>
      </w:r>
    </w:p>
    <w:p w14:paraId="361D4206" w14:textId="77777777" w:rsidR="00474A2E" w:rsidRPr="00474A2E" w:rsidRDefault="00474A2E" w:rsidP="00F12181">
      <w:pPr>
        <w:spacing w:after="0" w:line="240" w:lineRule="auto"/>
        <w:rPr>
          <w:rFonts w:ascii="Times New Roman" w:hAnsi="Times New Roman" w:cs="Times New Roman"/>
          <w:sz w:val="24"/>
          <w:szCs w:val="24"/>
        </w:rPr>
      </w:pPr>
    </w:p>
    <w:p w14:paraId="476A38F6" w14:textId="571765A5" w:rsidR="00EB5611" w:rsidRPr="001446C7" w:rsidRDefault="007D4C68" w:rsidP="001446C7">
      <w:pPr>
        <w:pStyle w:val="ListParagraph"/>
        <w:numPr>
          <w:ilvl w:val="0"/>
          <w:numId w:val="8"/>
        </w:numPr>
        <w:spacing w:after="0" w:line="240" w:lineRule="auto"/>
        <w:rPr>
          <w:rFonts w:ascii="Times New Roman" w:hAnsi="Times New Roman" w:cs="Times New Roman"/>
          <w:b/>
          <w:sz w:val="24"/>
          <w:szCs w:val="24"/>
        </w:rPr>
      </w:pPr>
      <w:r w:rsidRPr="001446C7">
        <w:rPr>
          <w:rFonts w:ascii="Times New Roman" w:hAnsi="Times New Roman" w:cs="Times New Roman"/>
          <w:sz w:val="24"/>
          <w:szCs w:val="24"/>
        </w:rPr>
        <w:t xml:space="preserve">The Commission has seen an increase in the number of FERC-550 filings.  </w:t>
      </w:r>
      <w:r w:rsidR="00F12181" w:rsidRPr="001446C7">
        <w:rPr>
          <w:rFonts w:ascii="Times New Roman" w:hAnsi="Times New Roman" w:cs="Times New Roman"/>
          <w:sz w:val="24"/>
          <w:szCs w:val="24"/>
        </w:rPr>
        <w:t>There were 779 filings in all of 2015.  [</w:t>
      </w:r>
      <w:r w:rsidRPr="001446C7">
        <w:rPr>
          <w:rFonts w:ascii="Times New Roman" w:hAnsi="Times New Roman" w:cs="Times New Roman"/>
          <w:sz w:val="24"/>
          <w:szCs w:val="24"/>
        </w:rPr>
        <w:t xml:space="preserve">Between </w:t>
      </w:r>
      <w:r w:rsidR="00F12181" w:rsidRPr="001446C7">
        <w:rPr>
          <w:rFonts w:ascii="Times New Roman" w:hAnsi="Times New Roman" w:cs="Times New Roman"/>
          <w:sz w:val="24"/>
          <w:szCs w:val="24"/>
        </w:rPr>
        <w:t xml:space="preserve">January 1, 2016 to August 23, 2016there were 658 FERC-550 filings, compared to </w:t>
      </w:r>
      <w:r w:rsidRPr="001446C7">
        <w:rPr>
          <w:rFonts w:ascii="Times New Roman" w:hAnsi="Times New Roman" w:cs="Times New Roman"/>
          <w:sz w:val="24"/>
          <w:szCs w:val="24"/>
        </w:rPr>
        <w:t xml:space="preserve">607 </w:t>
      </w:r>
      <w:r w:rsidR="00F12181" w:rsidRPr="001446C7">
        <w:rPr>
          <w:rFonts w:ascii="Times New Roman" w:hAnsi="Times New Roman" w:cs="Times New Roman"/>
          <w:sz w:val="24"/>
          <w:szCs w:val="24"/>
        </w:rPr>
        <w:t>filings during that period in 2015</w:t>
      </w:r>
      <w:r w:rsidR="009E75F9" w:rsidRPr="001446C7">
        <w:rPr>
          <w:rFonts w:ascii="Times New Roman" w:hAnsi="Times New Roman" w:cs="Times New Roman"/>
          <w:sz w:val="24"/>
          <w:szCs w:val="24"/>
        </w:rPr>
        <w:t>.</w:t>
      </w:r>
      <w:r w:rsidR="00523CA3" w:rsidRPr="00474A2E">
        <w:rPr>
          <w:rFonts w:ascii="Times New Roman" w:hAnsi="Times New Roman" w:cs="Times New Roman"/>
          <w:sz w:val="24"/>
          <w:szCs w:val="24"/>
        </w:rPr>
        <w:t>]</w:t>
      </w:r>
      <w:r w:rsidR="009E75F9" w:rsidRPr="001446C7">
        <w:rPr>
          <w:rFonts w:ascii="Times New Roman" w:hAnsi="Times New Roman" w:cs="Times New Roman"/>
          <w:sz w:val="24"/>
          <w:szCs w:val="24"/>
        </w:rPr>
        <w:t xml:space="preserve">  </w:t>
      </w:r>
    </w:p>
    <w:p w14:paraId="22993B1A" w14:textId="77777777" w:rsidR="00EB5611" w:rsidRPr="00474A2E" w:rsidRDefault="00EB5611" w:rsidP="007D4C68">
      <w:pPr>
        <w:spacing w:after="0" w:line="240" w:lineRule="auto"/>
        <w:rPr>
          <w:rFonts w:ascii="Times New Roman" w:hAnsi="Times New Roman" w:cs="Times New Roman"/>
          <w:sz w:val="24"/>
          <w:szCs w:val="24"/>
        </w:rPr>
      </w:pPr>
    </w:p>
    <w:p w14:paraId="043D4234" w14:textId="44C15831" w:rsidR="007D4C68" w:rsidRPr="00474A2E" w:rsidRDefault="007D4C68" w:rsidP="001446C7">
      <w:pPr>
        <w:spacing w:after="0" w:line="240" w:lineRule="auto"/>
        <w:ind w:left="720"/>
        <w:rPr>
          <w:rFonts w:ascii="Times New Roman" w:hAnsi="Times New Roman" w:cs="Times New Roman"/>
          <w:sz w:val="24"/>
          <w:szCs w:val="24"/>
        </w:rPr>
      </w:pPr>
      <w:r w:rsidRPr="00474A2E">
        <w:rPr>
          <w:rFonts w:ascii="Times New Roman" w:hAnsi="Times New Roman" w:cs="Times New Roman"/>
          <w:sz w:val="24"/>
          <w:szCs w:val="24"/>
        </w:rPr>
        <w:t xml:space="preserve">The increase of filings is due to the number of pipelines </w:t>
      </w:r>
      <w:r w:rsidR="00523CA3" w:rsidRPr="00474A2E">
        <w:rPr>
          <w:rFonts w:ascii="Times New Roman" w:hAnsi="Times New Roman" w:cs="Times New Roman"/>
          <w:sz w:val="24"/>
          <w:szCs w:val="24"/>
        </w:rPr>
        <w:t xml:space="preserve">(respondents) </w:t>
      </w:r>
      <w:r w:rsidRPr="00474A2E">
        <w:rPr>
          <w:rFonts w:ascii="Times New Roman" w:hAnsi="Times New Roman" w:cs="Times New Roman"/>
          <w:sz w:val="24"/>
          <w:szCs w:val="24"/>
        </w:rPr>
        <w:t xml:space="preserve">which had to decrease their rates to remain under the ceiling established by the oil index.  The oil index ceiling decreased because of downward fluctuations in the economy.  </w:t>
      </w:r>
    </w:p>
    <w:p w14:paraId="3D2172D2" w14:textId="77777777" w:rsidR="000D1DA1" w:rsidRPr="00474A2E" w:rsidRDefault="000D1DA1" w:rsidP="007D4C68">
      <w:pPr>
        <w:spacing w:after="0" w:line="240" w:lineRule="auto"/>
        <w:rPr>
          <w:rFonts w:ascii="Times New Roman" w:hAnsi="Times New Roman" w:cs="Times New Roman"/>
          <w:sz w:val="24"/>
          <w:szCs w:val="24"/>
        </w:rPr>
      </w:pPr>
    </w:p>
    <w:p w14:paraId="473EC964" w14:textId="407DAD42" w:rsidR="000D1DA1" w:rsidRPr="00474A2E" w:rsidRDefault="00F12181" w:rsidP="001446C7">
      <w:pPr>
        <w:pStyle w:val="ListParagraph"/>
        <w:numPr>
          <w:ilvl w:val="0"/>
          <w:numId w:val="8"/>
        </w:numPr>
        <w:spacing w:after="0" w:line="240" w:lineRule="auto"/>
        <w:rPr>
          <w:rFonts w:ascii="Times New Roman" w:hAnsi="Times New Roman" w:cs="Times New Roman"/>
          <w:sz w:val="24"/>
          <w:szCs w:val="24"/>
        </w:rPr>
      </w:pPr>
      <w:r w:rsidRPr="001446C7">
        <w:rPr>
          <w:rFonts w:ascii="Times New Roman" w:hAnsi="Times New Roman" w:cs="Times New Roman"/>
          <w:sz w:val="24"/>
          <w:szCs w:val="24"/>
        </w:rPr>
        <w:t>In addition, t</w:t>
      </w:r>
      <w:r w:rsidR="000D1DA1" w:rsidRPr="00474A2E">
        <w:rPr>
          <w:rFonts w:ascii="Times New Roman" w:hAnsi="Times New Roman" w:cs="Times New Roman"/>
          <w:sz w:val="24"/>
          <w:szCs w:val="24"/>
        </w:rPr>
        <w:t xml:space="preserve">he number of oil pipelines </w:t>
      </w:r>
      <w:r w:rsidR="009E75F9" w:rsidRPr="001446C7">
        <w:rPr>
          <w:rFonts w:ascii="Times New Roman" w:hAnsi="Times New Roman" w:cs="Times New Roman"/>
          <w:sz w:val="24"/>
          <w:szCs w:val="24"/>
        </w:rPr>
        <w:t xml:space="preserve">(respondents) </w:t>
      </w:r>
      <w:r w:rsidR="000D1DA1" w:rsidRPr="00474A2E">
        <w:rPr>
          <w:rFonts w:ascii="Times New Roman" w:hAnsi="Times New Roman" w:cs="Times New Roman"/>
          <w:sz w:val="24"/>
          <w:szCs w:val="24"/>
        </w:rPr>
        <w:t xml:space="preserve">that filed tariff filings in 2015 increased by 80 to 208. The increase of 80 new midstream oil pipelines since the last renewal occurred because fracking and horizontal drilling during recent years significantly increased the amount of crude oil and petroleum products that need to be transported from wells to markets.   We expect the number of pipelines needing to file tariffs over the next 3 years to be at least 208.  </w:t>
      </w:r>
      <w:r w:rsidR="00BC51FC" w:rsidRPr="001446C7">
        <w:rPr>
          <w:rFonts w:ascii="Times New Roman" w:hAnsi="Times New Roman" w:cs="Times New Roman"/>
          <w:sz w:val="24"/>
          <w:szCs w:val="24"/>
        </w:rPr>
        <w:t>[</w:t>
      </w:r>
      <w:r w:rsidR="000D1DA1" w:rsidRPr="00474A2E">
        <w:rPr>
          <w:rFonts w:ascii="Times New Roman" w:hAnsi="Times New Roman" w:cs="Times New Roman"/>
          <w:sz w:val="24"/>
          <w:szCs w:val="24"/>
        </w:rPr>
        <w:t xml:space="preserve">The number we report for the next renewal cycle </w:t>
      </w:r>
      <w:r w:rsidRPr="001446C7">
        <w:rPr>
          <w:rFonts w:ascii="Times New Roman" w:hAnsi="Times New Roman" w:cs="Times New Roman"/>
          <w:sz w:val="24"/>
          <w:szCs w:val="24"/>
        </w:rPr>
        <w:t xml:space="preserve">(in approximately 2019) </w:t>
      </w:r>
      <w:r w:rsidR="000D1DA1" w:rsidRPr="00474A2E">
        <w:rPr>
          <w:rFonts w:ascii="Times New Roman" w:hAnsi="Times New Roman" w:cs="Times New Roman"/>
          <w:sz w:val="24"/>
          <w:szCs w:val="24"/>
        </w:rPr>
        <w:t xml:space="preserve">will </w:t>
      </w:r>
      <w:r w:rsidRPr="001446C7">
        <w:rPr>
          <w:rFonts w:ascii="Times New Roman" w:hAnsi="Times New Roman" w:cs="Times New Roman"/>
          <w:sz w:val="24"/>
          <w:szCs w:val="24"/>
        </w:rPr>
        <w:t>l</w:t>
      </w:r>
      <w:r w:rsidR="000D1DA1" w:rsidRPr="00474A2E">
        <w:rPr>
          <w:rFonts w:ascii="Times New Roman" w:hAnsi="Times New Roman" w:cs="Times New Roman"/>
          <w:sz w:val="24"/>
          <w:szCs w:val="24"/>
        </w:rPr>
        <w:t>ikely increase</w:t>
      </w:r>
      <w:r w:rsidR="003236DF">
        <w:rPr>
          <w:rFonts w:ascii="Times New Roman" w:hAnsi="Times New Roman" w:cs="Times New Roman"/>
          <w:sz w:val="24"/>
          <w:szCs w:val="24"/>
        </w:rPr>
        <w:t>.</w:t>
      </w:r>
      <w:r w:rsidR="000D1DA1" w:rsidRPr="00474A2E">
        <w:rPr>
          <w:rFonts w:ascii="Times New Roman" w:hAnsi="Times New Roman" w:cs="Times New Roman"/>
          <w:sz w:val="24"/>
          <w:szCs w:val="24"/>
        </w:rPr>
        <w:t xml:space="preserve"> </w:t>
      </w:r>
      <w:r w:rsidR="003236DF">
        <w:rPr>
          <w:rFonts w:ascii="Times New Roman" w:hAnsi="Times New Roman" w:cs="Times New Roman"/>
          <w:sz w:val="24"/>
          <w:szCs w:val="24"/>
        </w:rPr>
        <w:t xml:space="preserve"> N</w:t>
      </w:r>
      <w:r w:rsidR="000D1DA1" w:rsidRPr="00474A2E">
        <w:rPr>
          <w:rFonts w:ascii="Times New Roman" w:hAnsi="Times New Roman" w:cs="Times New Roman"/>
          <w:sz w:val="24"/>
          <w:szCs w:val="24"/>
        </w:rPr>
        <w:t>ew pipelines continued to be proposed in 2016</w:t>
      </w:r>
      <w:r w:rsidR="003236DF">
        <w:rPr>
          <w:rFonts w:ascii="Times New Roman" w:hAnsi="Times New Roman" w:cs="Times New Roman"/>
          <w:sz w:val="24"/>
          <w:szCs w:val="24"/>
        </w:rPr>
        <w:t>,</w:t>
      </w:r>
      <w:r w:rsidR="000D1DA1" w:rsidRPr="00474A2E">
        <w:rPr>
          <w:rFonts w:ascii="Times New Roman" w:hAnsi="Times New Roman" w:cs="Times New Roman"/>
          <w:sz w:val="24"/>
          <w:szCs w:val="24"/>
        </w:rPr>
        <w:t xml:space="preserve"> and construction on some of them began </w:t>
      </w:r>
      <w:r w:rsidR="00385844" w:rsidRPr="001446C7">
        <w:rPr>
          <w:rFonts w:ascii="Times New Roman" w:hAnsi="Times New Roman" w:cs="Times New Roman"/>
          <w:sz w:val="24"/>
          <w:szCs w:val="24"/>
        </w:rPr>
        <w:t xml:space="preserve">in </w:t>
      </w:r>
      <w:r w:rsidR="000D1DA1" w:rsidRPr="00474A2E">
        <w:rPr>
          <w:rFonts w:ascii="Times New Roman" w:hAnsi="Times New Roman" w:cs="Times New Roman"/>
          <w:sz w:val="24"/>
          <w:szCs w:val="24"/>
        </w:rPr>
        <w:t>2016.</w:t>
      </w:r>
      <w:r w:rsidR="00BC51FC" w:rsidRPr="001446C7">
        <w:rPr>
          <w:rFonts w:ascii="Times New Roman" w:hAnsi="Times New Roman" w:cs="Times New Roman"/>
          <w:sz w:val="24"/>
          <w:szCs w:val="24"/>
        </w:rPr>
        <w:t>]</w:t>
      </w:r>
    </w:p>
    <w:p w14:paraId="4EC0D8C5" w14:textId="77777777" w:rsidR="000D1DA1" w:rsidRPr="00474A2E" w:rsidRDefault="000D1DA1" w:rsidP="000D1DA1">
      <w:pPr>
        <w:spacing w:after="0" w:line="240" w:lineRule="auto"/>
        <w:rPr>
          <w:rFonts w:ascii="Times New Roman" w:hAnsi="Times New Roman" w:cs="Times New Roman"/>
          <w:sz w:val="24"/>
          <w:szCs w:val="24"/>
        </w:rPr>
      </w:pPr>
    </w:p>
    <w:p w14:paraId="20572423" w14:textId="69172012" w:rsidR="000D1DA1" w:rsidRPr="001446C7" w:rsidRDefault="009E75F9" w:rsidP="001446C7">
      <w:pPr>
        <w:pStyle w:val="ListParagraph"/>
        <w:numPr>
          <w:ilvl w:val="0"/>
          <w:numId w:val="8"/>
        </w:numPr>
        <w:spacing w:after="0" w:line="240" w:lineRule="auto"/>
        <w:rPr>
          <w:rFonts w:ascii="Times New Roman" w:hAnsi="Times New Roman" w:cs="Times New Roman"/>
          <w:sz w:val="24"/>
          <w:szCs w:val="24"/>
        </w:rPr>
      </w:pPr>
      <w:r w:rsidRPr="001446C7">
        <w:rPr>
          <w:rFonts w:ascii="Times New Roman" w:hAnsi="Times New Roman" w:cs="Times New Roman"/>
          <w:sz w:val="24"/>
          <w:szCs w:val="24"/>
        </w:rPr>
        <w:t xml:space="preserve">The average number of </w:t>
      </w:r>
      <w:r w:rsidR="00290FFB" w:rsidRPr="001446C7">
        <w:rPr>
          <w:rFonts w:ascii="Times New Roman" w:hAnsi="Times New Roman" w:cs="Times New Roman"/>
          <w:sz w:val="24"/>
          <w:szCs w:val="24"/>
        </w:rPr>
        <w:t xml:space="preserve">annual </w:t>
      </w:r>
      <w:r w:rsidRPr="001446C7">
        <w:rPr>
          <w:rFonts w:ascii="Times New Roman" w:hAnsi="Times New Roman" w:cs="Times New Roman"/>
          <w:sz w:val="24"/>
          <w:szCs w:val="24"/>
        </w:rPr>
        <w:t xml:space="preserve">filings </w:t>
      </w:r>
      <w:r w:rsidR="00290FFB" w:rsidRPr="001446C7">
        <w:rPr>
          <w:rFonts w:ascii="Times New Roman" w:hAnsi="Times New Roman" w:cs="Times New Roman"/>
          <w:sz w:val="24"/>
          <w:szCs w:val="24"/>
        </w:rPr>
        <w:t xml:space="preserve">per respondent [for the remaining IC, Oil Pipeline Rates-Tariff Filings] </w:t>
      </w:r>
      <w:r w:rsidRPr="001446C7">
        <w:rPr>
          <w:rFonts w:ascii="Times New Roman" w:hAnsi="Times New Roman" w:cs="Times New Roman"/>
          <w:sz w:val="24"/>
          <w:szCs w:val="24"/>
        </w:rPr>
        <w:t>decreased from 4.734 to 3.</w:t>
      </w:r>
      <w:r w:rsidR="003236DF">
        <w:rPr>
          <w:rFonts w:ascii="Times New Roman" w:hAnsi="Times New Roman" w:cs="Times New Roman"/>
          <w:sz w:val="24"/>
          <w:szCs w:val="24"/>
        </w:rPr>
        <w:t>68</w:t>
      </w:r>
      <w:r w:rsidRPr="001446C7">
        <w:rPr>
          <w:rFonts w:ascii="Times New Roman" w:hAnsi="Times New Roman" w:cs="Times New Roman"/>
          <w:sz w:val="24"/>
          <w:szCs w:val="24"/>
        </w:rPr>
        <w:t xml:space="preserve">.  </w:t>
      </w:r>
    </w:p>
    <w:p w14:paraId="4A1214F3" w14:textId="77777777" w:rsidR="007D4C68" w:rsidRPr="006C693E" w:rsidRDefault="007D4C68" w:rsidP="00A40A0C">
      <w:pPr>
        <w:spacing w:after="0" w:line="240" w:lineRule="auto"/>
        <w:rPr>
          <w:rFonts w:ascii="Times New Roman" w:hAnsi="Times New Roman" w:cs="Times New Roman"/>
          <w:sz w:val="24"/>
          <w:szCs w:val="24"/>
        </w:rPr>
      </w:pP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958"/>
        <w:gridCol w:w="1960"/>
      </w:tblGrid>
      <w:tr w:rsidR="005C2470" w:rsidRPr="00A266EB" w14:paraId="070A5176" w14:textId="77777777" w:rsidTr="00AA02EB">
        <w:trPr>
          <w:trHeight w:val="870"/>
        </w:trPr>
        <w:tc>
          <w:tcPr>
            <w:tcW w:w="2589" w:type="dxa"/>
            <w:shd w:val="clear" w:color="auto" w:fill="D9D9D9"/>
            <w:vAlign w:val="bottom"/>
          </w:tcPr>
          <w:p w14:paraId="32BA9DFF" w14:textId="77777777" w:rsidR="005C2470" w:rsidRPr="00C1181C" w:rsidRDefault="005C2470" w:rsidP="00A40A0C">
            <w:pPr>
              <w:spacing w:after="0" w:line="240" w:lineRule="auto"/>
              <w:rPr>
                <w:rFonts w:ascii="Times New Roman" w:hAnsi="Times New Roman" w:cs="Times New Roman"/>
                <w:b/>
                <w:sz w:val="24"/>
                <w:szCs w:val="24"/>
              </w:rPr>
            </w:pPr>
            <w:r w:rsidRPr="00C1181C">
              <w:rPr>
                <w:rFonts w:ascii="Times New Roman" w:hAnsi="Times New Roman" w:cs="Times New Roman"/>
                <w:b/>
                <w:sz w:val="24"/>
                <w:szCs w:val="24"/>
              </w:rPr>
              <w:t>FERC-550</w:t>
            </w:r>
          </w:p>
        </w:tc>
        <w:tc>
          <w:tcPr>
            <w:tcW w:w="1779" w:type="dxa"/>
            <w:shd w:val="clear" w:color="auto" w:fill="D9D9D9"/>
            <w:vAlign w:val="bottom"/>
          </w:tcPr>
          <w:p w14:paraId="3C4C12CF" w14:textId="77777777" w:rsidR="005C2470" w:rsidRPr="00C1181C" w:rsidRDefault="0084420B" w:rsidP="00A40A0C">
            <w:pPr>
              <w:spacing w:after="0" w:line="240" w:lineRule="auto"/>
              <w:rPr>
                <w:rFonts w:ascii="Times New Roman" w:hAnsi="Times New Roman" w:cs="Times New Roman"/>
                <w:b/>
                <w:sz w:val="24"/>
                <w:szCs w:val="24"/>
              </w:rPr>
            </w:pPr>
            <w:r w:rsidRPr="00C1181C">
              <w:rPr>
                <w:rFonts w:ascii="Times New Roman" w:hAnsi="Times New Roman" w:cs="Times New Roman"/>
                <w:b/>
                <w:sz w:val="24"/>
                <w:szCs w:val="24"/>
              </w:rPr>
              <w:t>Total Request</w:t>
            </w:r>
          </w:p>
        </w:tc>
        <w:tc>
          <w:tcPr>
            <w:tcW w:w="1959" w:type="dxa"/>
            <w:shd w:val="clear" w:color="auto" w:fill="D9D9D9"/>
            <w:vAlign w:val="bottom"/>
          </w:tcPr>
          <w:p w14:paraId="4D7A5A80" w14:textId="77777777" w:rsidR="005C2470" w:rsidRPr="00C1181C" w:rsidRDefault="005C2470" w:rsidP="00A40A0C">
            <w:pPr>
              <w:spacing w:after="0" w:line="240" w:lineRule="auto"/>
              <w:rPr>
                <w:rFonts w:ascii="Times New Roman" w:hAnsi="Times New Roman" w:cs="Times New Roman"/>
                <w:b/>
                <w:sz w:val="24"/>
                <w:szCs w:val="24"/>
              </w:rPr>
            </w:pPr>
            <w:r w:rsidRPr="00C1181C">
              <w:rPr>
                <w:rFonts w:ascii="Times New Roman" w:hAnsi="Times New Roman" w:cs="Times New Roman"/>
                <w:b/>
                <w:sz w:val="24"/>
                <w:szCs w:val="24"/>
              </w:rPr>
              <w:t>Previously Approved</w:t>
            </w:r>
          </w:p>
        </w:tc>
        <w:tc>
          <w:tcPr>
            <w:tcW w:w="1958" w:type="dxa"/>
            <w:shd w:val="clear" w:color="auto" w:fill="D9D9D9"/>
            <w:vAlign w:val="bottom"/>
          </w:tcPr>
          <w:p w14:paraId="69EECF64" w14:textId="77777777" w:rsidR="005C2470" w:rsidRPr="00C1181C" w:rsidRDefault="005C2470" w:rsidP="00A40A0C">
            <w:pPr>
              <w:spacing w:after="0" w:line="240" w:lineRule="auto"/>
              <w:rPr>
                <w:rFonts w:ascii="Times New Roman" w:hAnsi="Times New Roman" w:cs="Times New Roman"/>
                <w:b/>
                <w:sz w:val="24"/>
                <w:szCs w:val="24"/>
              </w:rPr>
            </w:pPr>
            <w:r w:rsidRPr="00C1181C">
              <w:rPr>
                <w:rFonts w:ascii="Times New Roman" w:hAnsi="Times New Roman" w:cs="Times New Roman"/>
                <w:b/>
                <w:sz w:val="24"/>
                <w:szCs w:val="24"/>
              </w:rPr>
              <w:t>Change due to Adjustment in Estimate</w:t>
            </w:r>
          </w:p>
        </w:tc>
        <w:tc>
          <w:tcPr>
            <w:tcW w:w="1960" w:type="dxa"/>
            <w:shd w:val="clear" w:color="auto" w:fill="D9D9D9"/>
            <w:vAlign w:val="bottom"/>
          </w:tcPr>
          <w:p w14:paraId="099728F1" w14:textId="77777777" w:rsidR="005C2470" w:rsidRPr="00C1181C" w:rsidRDefault="005C2470" w:rsidP="00A40A0C">
            <w:pPr>
              <w:spacing w:after="0" w:line="240" w:lineRule="auto"/>
              <w:rPr>
                <w:rFonts w:ascii="Times New Roman" w:hAnsi="Times New Roman" w:cs="Times New Roman"/>
                <w:b/>
                <w:sz w:val="24"/>
                <w:szCs w:val="24"/>
              </w:rPr>
            </w:pPr>
            <w:r w:rsidRPr="00C1181C">
              <w:rPr>
                <w:rFonts w:ascii="Times New Roman" w:hAnsi="Times New Roman" w:cs="Times New Roman"/>
                <w:b/>
                <w:sz w:val="24"/>
                <w:szCs w:val="24"/>
              </w:rPr>
              <w:t>Change Due to Agency Discretion</w:t>
            </w:r>
          </w:p>
        </w:tc>
      </w:tr>
      <w:tr w:rsidR="005C2470" w:rsidRPr="00980EFA" w14:paraId="09A45A13" w14:textId="77777777" w:rsidTr="00AA02EB">
        <w:trPr>
          <w:trHeight w:val="591"/>
        </w:trPr>
        <w:tc>
          <w:tcPr>
            <w:tcW w:w="2589" w:type="dxa"/>
            <w:shd w:val="clear" w:color="auto" w:fill="auto"/>
          </w:tcPr>
          <w:p w14:paraId="31E3E047" w14:textId="77777777" w:rsidR="005C2470" w:rsidRPr="00C1181C" w:rsidRDefault="005C2470" w:rsidP="00A40A0C">
            <w:pPr>
              <w:spacing w:after="0" w:line="240" w:lineRule="auto"/>
              <w:rPr>
                <w:rFonts w:ascii="Times New Roman" w:hAnsi="Times New Roman" w:cs="Times New Roman"/>
                <w:sz w:val="24"/>
                <w:szCs w:val="24"/>
              </w:rPr>
            </w:pPr>
            <w:r w:rsidRPr="00C1181C">
              <w:rPr>
                <w:rFonts w:ascii="Times New Roman" w:hAnsi="Times New Roman" w:cs="Times New Roman"/>
                <w:sz w:val="24"/>
                <w:szCs w:val="24"/>
              </w:rPr>
              <w:t>Annual Number of Responses</w:t>
            </w:r>
          </w:p>
        </w:tc>
        <w:tc>
          <w:tcPr>
            <w:tcW w:w="1779" w:type="dxa"/>
            <w:shd w:val="clear" w:color="auto" w:fill="auto"/>
            <w:vAlign w:val="bottom"/>
          </w:tcPr>
          <w:p w14:paraId="0E1FD76B" w14:textId="5031D289" w:rsidR="005C2470" w:rsidRPr="00980EFA" w:rsidRDefault="00F62553" w:rsidP="00A40A0C">
            <w:pPr>
              <w:spacing w:after="0" w:line="240" w:lineRule="auto"/>
              <w:jc w:val="right"/>
              <w:rPr>
                <w:rFonts w:ascii="Times New Roman" w:hAnsi="Times New Roman" w:cs="Times New Roman"/>
                <w:sz w:val="24"/>
                <w:szCs w:val="24"/>
              </w:rPr>
            </w:pPr>
            <w:r w:rsidRPr="00980EFA">
              <w:rPr>
                <w:rFonts w:ascii="Times New Roman" w:hAnsi="Times New Roman" w:cs="Times New Roman"/>
                <w:sz w:val="24"/>
                <w:szCs w:val="24"/>
              </w:rPr>
              <w:t>765</w:t>
            </w:r>
          </w:p>
        </w:tc>
        <w:tc>
          <w:tcPr>
            <w:tcW w:w="1959" w:type="dxa"/>
            <w:shd w:val="clear" w:color="auto" w:fill="auto"/>
            <w:vAlign w:val="bottom"/>
          </w:tcPr>
          <w:p w14:paraId="7697CC41" w14:textId="77777777" w:rsidR="005C2470" w:rsidRPr="00980EFA" w:rsidRDefault="00FF2770" w:rsidP="00A40A0C">
            <w:pPr>
              <w:spacing w:after="0" w:line="240" w:lineRule="auto"/>
              <w:jc w:val="right"/>
              <w:rPr>
                <w:rFonts w:ascii="Times New Roman" w:hAnsi="Times New Roman" w:cs="Times New Roman"/>
                <w:sz w:val="24"/>
                <w:szCs w:val="24"/>
              </w:rPr>
            </w:pPr>
            <w:r w:rsidRPr="00980EFA">
              <w:rPr>
                <w:rFonts w:ascii="Times New Roman" w:hAnsi="Times New Roman" w:cs="Times New Roman"/>
                <w:sz w:val="24"/>
                <w:szCs w:val="24"/>
              </w:rPr>
              <w:t>773</w:t>
            </w:r>
          </w:p>
        </w:tc>
        <w:tc>
          <w:tcPr>
            <w:tcW w:w="1958" w:type="dxa"/>
            <w:shd w:val="clear" w:color="auto" w:fill="auto"/>
            <w:vAlign w:val="bottom"/>
          </w:tcPr>
          <w:p w14:paraId="3883D625" w14:textId="2266A385" w:rsidR="005C2470" w:rsidRPr="00980EFA" w:rsidRDefault="00F62553">
            <w:pPr>
              <w:spacing w:after="0" w:line="240" w:lineRule="auto"/>
              <w:jc w:val="right"/>
              <w:rPr>
                <w:rFonts w:ascii="Times New Roman" w:hAnsi="Times New Roman" w:cs="Times New Roman"/>
                <w:sz w:val="24"/>
                <w:szCs w:val="24"/>
              </w:rPr>
            </w:pPr>
            <w:r w:rsidRPr="00980EFA">
              <w:rPr>
                <w:rFonts w:ascii="Times New Roman" w:hAnsi="Times New Roman" w:cs="Times New Roman"/>
                <w:sz w:val="24"/>
                <w:szCs w:val="24"/>
              </w:rPr>
              <w:t>+159</w:t>
            </w:r>
          </w:p>
        </w:tc>
        <w:tc>
          <w:tcPr>
            <w:tcW w:w="1960" w:type="dxa"/>
            <w:shd w:val="clear" w:color="auto" w:fill="auto"/>
            <w:vAlign w:val="bottom"/>
          </w:tcPr>
          <w:p w14:paraId="34BB1F16" w14:textId="77777777" w:rsidR="005C2470" w:rsidRPr="00980EFA" w:rsidRDefault="009058FD" w:rsidP="00A40A0C">
            <w:pPr>
              <w:spacing w:after="0" w:line="240" w:lineRule="auto"/>
              <w:jc w:val="right"/>
              <w:rPr>
                <w:rFonts w:ascii="Times New Roman" w:hAnsi="Times New Roman" w:cs="Times New Roman"/>
                <w:sz w:val="24"/>
                <w:szCs w:val="24"/>
              </w:rPr>
            </w:pPr>
            <w:r w:rsidRPr="00980EFA">
              <w:rPr>
                <w:rFonts w:ascii="Times New Roman" w:hAnsi="Times New Roman" w:cs="Times New Roman"/>
                <w:sz w:val="24"/>
                <w:szCs w:val="24"/>
              </w:rPr>
              <w:t>-167</w:t>
            </w:r>
          </w:p>
        </w:tc>
      </w:tr>
      <w:tr w:rsidR="005C2470" w:rsidRPr="00980EFA" w14:paraId="15D4BFE5" w14:textId="77777777" w:rsidTr="00AA02EB">
        <w:trPr>
          <w:trHeight w:val="575"/>
        </w:trPr>
        <w:tc>
          <w:tcPr>
            <w:tcW w:w="2589" w:type="dxa"/>
            <w:shd w:val="clear" w:color="auto" w:fill="auto"/>
          </w:tcPr>
          <w:p w14:paraId="01203E88" w14:textId="77777777" w:rsidR="005C2470" w:rsidRPr="00C1181C" w:rsidRDefault="005C2470" w:rsidP="00A40A0C">
            <w:pPr>
              <w:spacing w:after="0" w:line="240" w:lineRule="auto"/>
              <w:rPr>
                <w:rFonts w:ascii="Times New Roman" w:hAnsi="Times New Roman" w:cs="Times New Roman"/>
                <w:sz w:val="24"/>
                <w:szCs w:val="24"/>
              </w:rPr>
            </w:pPr>
            <w:r w:rsidRPr="00C1181C">
              <w:rPr>
                <w:rFonts w:ascii="Times New Roman" w:hAnsi="Times New Roman" w:cs="Times New Roman"/>
                <w:sz w:val="24"/>
                <w:szCs w:val="24"/>
              </w:rPr>
              <w:t>Annual Time Burden (Hr</w:t>
            </w:r>
            <w:r w:rsidR="00FF2770" w:rsidRPr="00C1181C">
              <w:rPr>
                <w:rFonts w:ascii="Times New Roman" w:hAnsi="Times New Roman" w:cs="Times New Roman"/>
                <w:sz w:val="24"/>
                <w:szCs w:val="24"/>
              </w:rPr>
              <w:t>.</w:t>
            </w:r>
            <w:r w:rsidRPr="00C1181C">
              <w:rPr>
                <w:rFonts w:ascii="Times New Roman" w:hAnsi="Times New Roman" w:cs="Times New Roman"/>
                <w:sz w:val="24"/>
                <w:szCs w:val="24"/>
              </w:rPr>
              <w:t>)</w:t>
            </w:r>
          </w:p>
        </w:tc>
        <w:tc>
          <w:tcPr>
            <w:tcW w:w="1779" w:type="dxa"/>
            <w:shd w:val="clear" w:color="auto" w:fill="auto"/>
            <w:vAlign w:val="bottom"/>
          </w:tcPr>
          <w:p w14:paraId="4D0BA0A7" w14:textId="569BDF4F" w:rsidR="005C2470" w:rsidRPr="00980EFA" w:rsidRDefault="00F62553" w:rsidP="00A40A0C">
            <w:pPr>
              <w:spacing w:after="0" w:line="240" w:lineRule="auto"/>
              <w:jc w:val="right"/>
              <w:rPr>
                <w:rFonts w:ascii="Times New Roman" w:hAnsi="Times New Roman" w:cs="Times New Roman"/>
                <w:sz w:val="24"/>
                <w:szCs w:val="24"/>
              </w:rPr>
            </w:pPr>
            <w:r w:rsidRPr="00980EFA">
              <w:rPr>
                <w:rFonts w:ascii="Times New Roman" w:hAnsi="Times New Roman" w:cs="Times New Roman"/>
                <w:sz w:val="24"/>
                <w:szCs w:val="24"/>
              </w:rPr>
              <w:t>5,978</w:t>
            </w:r>
          </w:p>
        </w:tc>
        <w:tc>
          <w:tcPr>
            <w:tcW w:w="1959" w:type="dxa"/>
            <w:shd w:val="clear" w:color="auto" w:fill="auto"/>
            <w:vAlign w:val="bottom"/>
          </w:tcPr>
          <w:p w14:paraId="521EF7D1" w14:textId="77777777" w:rsidR="00D950DE" w:rsidRPr="00980EFA" w:rsidRDefault="00FF2770" w:rsidP="00A40A0C">
            <w:pPr>
              <w:spacing w:after="0" w:line="240" w:lineRule="auto"/>
              <w:jc w:val="right"/>
              <w:rPr>
                <w:rFonts w:ascii="Times New Roman" w:hAnsi="Times New Roman" w:cs="Times New Roman"/>
                <w:sz w:val="24"/>
                <w:szCs w:val="24"/>
              </w:rPr>
            </w:pPr>
            <w:r w:rsidRPr="00980EFA">
              <w:rPr>
                <w:rFonts w:ascii="Times New Roman" w:hAnsi="Times New Roman" w:cs="Times New Roman"/>
                <w:sz w:val="24"/>
                <w:szCs w:val="24"/>
              </w:rPr>
              <w:t>8,076</w:t>
            </w:r>
          </w:p>
        </w:tc>
        <w:tc>
          <w:tcPr>
            <w:tcW w:w="1958" w:type="dxa"/>
            <w:shd w:val="clear" w:color="auto" w:fill="auto"/>
            <w:vAlign w:val="bottom"/>
          </w:tcPr>
          <w:p w14:paraId="0915E75E" w14:textId="34D2CA2B" w:rsidR="005C2470" w:rsidRPr="00980EFA" w:rsidRDefault="00F62553">
            <w:pPr>
              <w:spacing w:after="0" w:line="240" w:lineRule="auto"/>
              <w:jc w:val="right"/>
              <w:rPr>
                <w:rFonts w:ascii="Times New Roman" w:hAnsi="Times New Roman" w:cs="Times New Roman"/>
                <w:sz w:val="24"/>
                <w:szCs w:val="24"/>
              </w:rPr>
            </w:pPr>
            <w:r w:rsidRPr="00980EFA">
              <w:rPr>
                <w:rFonts w:ascii="Times New Roman" w:hAnsi="Times New Roman" w:cs="Times New Roman"/>
                <w:sz w:val="24"/>
                <w:szCs w:val="24"/>
              </w:rPr>
              <w:t>+1,242</w:t>
            </w:r>
          </w:p>
        </w:tc>
        <w:tc>
          <w:tcPr>
            <w:tcW w:w="1960" w:type="dxa"/>
            <w:shd w:val="clear" w:color="auto" w:fill="auto"/>
            <w:vAlign w:val="bottom"/>
          </w:tcPr>
          <w:p w14:paraId="2859BDD8" w14:textId="77777777" w:rsidR="005C2470" w:rsidRPr="00980EFA" w:rsidRDefault="009058FD" w:rsidP="00A40A0C">
            <w:pPr>
              <w:spacing w:after="0" w:line="240" w:lineRule="auto"/>
              <w:jc w:val="right"/>
              <w:rPr>
                <w:rFonts w:ascii="Times New Roman" w:hAnsi="Times New Roman" w:cs="Times New Roman"/>
                <w:sz w:val="24"/>
                <w:szCs w:val="24"/>
              </w:rPr>
            </w:pPr>
            <w:r w:rsidRPr="00980EFA">
              <w:rPr>
                <w:rFonts w:ascii="Times New Roman" w:hAnsi="Times New Roman" w:cs="Times New Roman"/>
                <w:sz w:val="24"/>
                <w:szCs w:val="24"/>
              </w:rPr>
              <w:t>-3,340</w:t>
            </w:r>
          </w:p>
        </w:tc>
      </w:tr>
      <w:tr w:rsidR="005C2470" w:rsidRPr="00980EFA" w14:paraId="58917412" w14:textId="77777777" w:rsidTr="00AA02EB">
        <w:trPr>
          <w:trHeight w:val="295"/>
        </w:trPr>
        <w:tc>
          <w:tcPr>
            <w:tcW w:w="2589" w:type="dxa"/>
            <w:tcBorders>
              <w:bottom w:val="single" w:sz="4" w:space="0" w:color="auto"/>
            </w:tcBorders>
            <w:shd w:val="clear" w:color="auto" w:fill="auto"/>
          </w:tcPr>
          <w:p w14:paraId="1DD25F0E" w14:textId="77777777" w:rsidR="005C2470" w:rsidRPr="00C1181C" w:rsidRDefault="005C2470" w:rsidP="00A40A0C">
            <w:pPr>
              <w:spacing w:after="0" w:line="240" w:lineRule="auto"/>
              <w:rPr>
                <w:rFonts w:ascii="Times New Roman" w:hAnsi="Times New Roman" w:cs="Times New Roman"/>
                <w:sz w:val="24"/>
                <w:szCs w:val="24"/>
              </w:rPr>
            </w:pPr>
            <w:r w:rsidRPr="00C1181C">
              <w:rPr>
                <w:rFonts w:ascii="Times New Roman" w:hAnsi="Times New Roman" w:cs="Times New Roman"/>
                <w:sz w:val="24"/>
                <w:szCs w:val="24"/>
              </w:rPr>
              <w:t>Annual Cost Burden ($)</w:t>
            </w:r>
          </w:p>
        </w:tc>
        <w:tc>
          <w:tcPr>
            <w:tcW w:w="1779" w:type="dxa"/>
            <w:tcBorders>
              <w:bottom w:val="single" w:sz="4" w:space="0" w:color="auto"/>
            </w:tcBorders>
            <w:shd w:val="clear" w:color="auto" w:fill="auto"/>
            <w:vAlign w:val="bottom"/>
          </w:tcPr>
          <w:p w14:paraId="2A954BAB" w14:textId="77777777" w:rsidR="005C2470" w:rsidRPr="00980EFA" w:rsidRDefault="009058FD" w:rsidP="00A40A0C">
            <w:pPr>
              <w:spacing w:after="0" w:line="240" w:lineRule="auto"/>
              <w:jc w:val="right"/>
              <w:rPr>
                <w:rFonts w:ascii="Times New Roman" w:hAnsi="Times New Roman" w:cs="Times New Roman"/>
                <w:sz w:val="24"/>
                <w:szCs w:val="24"/>
              </w:rPr>
            </w:pPr>
            <w:r w:rsidRPr="00980EFA">
              <w:rPr>
                <w:rFonts w:ascii="Times New Roman" w:hAnsi="Times New Roman" w:cs="Times New Roman"/>
                <w:sz w:val="24"/>
                <w:szCs w:val="24"/>
              </w:rPr>
              <w:t>0</w:t>
            </w:r>
          </w:p>
        </w:tc>
        <w:tc>
          <w:tcPr>
            <w:tcW w:w="1959" w:type="dxa"/>
            <w:tcBorders>
              <w:bottom w:val="single" w:sz="4" w:space="0" w:color="auto"/>
            </w:tcBorders>
            <w:shd w:val="clear" w:color="auto" w:fill="auto"/>
            <w:vAlign w:val="bottom"/>
          </w:tcPr>
          <w:p w14:paraId="3C849FB6" w14:textId="77777777" w:rsidR="005C2470" w:rsidRPr="00980EFA" w:rsidRDefault="00A92229" w:rsidP="00A40A0C">
            <w:pPr>
              <w:spacing w:after="0" w:line="240" w:lineRule="auto"/>
              <w:jc w:val="right"/>
              <w:rPr>
                <w:rFonts w:ascii="Times New Roman" w:hAnsi="Times New Roman" w:cs="Times New Roman"/>
                <w:sz w:val="24"/>
                <w:szCs w:val="24"/>
              </w:rPr>
            </w:pPr>
            <w:r w:rsidRPr="00980EFA">
              <w:rPr>
                <w:rFonts w:ascii="Times New Roman" w:hAnsi="Times New Roman" w:cs="Times New Roman"/>
                <w:sz w:val="24"/>
                <w:szCs w:val="24"/>
              </w:rPr>
              <w:t>$</w:t>
            </w:r>
            <w:r w:rsidR="009058FD" w:rsidRPr="00980EFA">
              <w:rPr>
                <w:rFonts w:ascii="Times New Roman" w:hAnsi="Times New Roman" w:cs="Times New Roman"/>
                <w:sz w:val="24"/>
                <w:szCs w:val="24"/>
              </w:rPr>
              <w:t>41,750</w:t>
            </w:r>
          </w:p>
        </w:tc>
        <w:tc>
          <w:tcPr>
            <w:tcW w:w="1958" w:type="dxa"/>
            <w:tcBorders>
              <w:bottom w:val="single" w:sz="4" w:space="0" w:color="auto"/>
            </w:tcBorders>
            <w:shd w:val="clear" w:color="auto" w:fill="auto"/>
            <w:vAlign w:val="bottom"/>
          </w:tcPr>
          <w:p w14:paraId="46EFD29F" w14:textId="77777777" w:rsidR="005C2470" w:rsidRPr="00980EFA" w:rsidRDefault="005C2470" w:rsidP="00A40A0C">
            <w:pPr>
              <w:spacing w:after="0" w:line="240" w:lineRule="auto"/>
              <w:jc w:val="right"/>
              <w:rPr>
                <w:rFonts w:ascii="Times New Roman" w:hAnsi="Times New Roman" w:cs="Times New Roman"/>
                <w:sz w:val="24"/>
                <w:szCs w:val="24"/>
              </w:rPr>
            </w:pPr>
            <w:r w:rsidRPr="00980EFA">
              <w:rPr>
                <w:rFonts w:ascii="Times New Roman" w:hAnsi="Times New Roman" w:cs="Times New Roman"/>
                <w:sz w:val="24"/>
                <w:szCs w:val="24"/>
              </w:rPr>
              <w:t>0</w:t>
            </w:r>
          </w:p>
        </w:tc>
        <w:tc>
          <w:tcPr>
            <w:tcW w:w="1960" w:type="dxa"/>
            <w:tcBorders>
              <w:bottom w:val="single" w:sz="4" w:space="0" w:color="auto"/>
            </w:tcBorders>
            <w:shd w:val="clear" w:color="auto" w:fill="auto"/>
            <w:vAlign w:val="bottom"/>
          </w:tcPr>
          <w:p w14:paraId="796FFEDE" w14:textId="77777777" w:rsidR="005C2470" w:rsidRPr="00980EFA" w:rsidRDefault="009058FD" w:rsidP="00A40A0C">
            <w:pPr>
              <w:spacing w:after="0" w:line="240" w:lineRule="auto"/>
              <w:jc w:val="right"/>
              <w:rPr>
                <w:rFonts w:ascii="Times New Roman" w:hAnsi="Times New Roman" w:cs="Times New Roman"/>
                <w:sz w:val="24"/>
                <w:szCs w:val="24"/>
              </w:rPr>
            </w:pPr>
            <w:r w:rsidRPr="00980EFA">
              <w:rPr>
                <w:rFonts w:ascii="Times New Roman" w:hAnsi="Times New Roman" w:cs="Times New Roman"/>
                <w:sz w:val="24"/>
                <w:szCs w:val="24"/>
              </w:rPr>
              <w:t>-$</w:t>
            </w:r>
            <w:r w:rsidR="0084420B" w:rsidRPr="00980EFA">
              <w:rPr>
                <w:rFonts w:ascii="Times New Roman" w:hAnsi="Times New Roman" w:cs="Times New Roman"/>
                <w:sz w:val="24"/>
                <w:szCs w:val="24"/>
              </w:rPr>
              <w:t>41,750</w:t>
            </w:r>
          </w:p>
        </w:tc>
      </w:tr>
    </w:tbl>
    <w:p w14:paraId="5F1EC641" w14:textId="77777777" w:rsidR="005C2470" w:rsidRPr="006C693E" w:rsidRDefault="005C2470" w:rsidP="00A40A0C">
      <w:pPr>
        <w:spacing w:after="0" w:line="240" w:lineRule="auto"/>
        <w:rPr>
          <w:rFonts w:ascii="Times New Roman" w:hAnsi="Times New Roman" w:cs="Times New Roman"/>
          <w:sz w:val="24"/>
          <w:szCs w:val="24"/>
        </w:rPr>
      </w:pPr>
      <w:r w:rsidRPr="006C693E">
        <w:rPr>
          <w:rFonts w:ascii="Times New Roman" w:hAnsi="Times New Roman" w:cs="Times New Roman"/>
          <w:sz w:val="24"/>
          <w:szCs w:val="24"/>
        </w:rPr>
        <w:t xml:space="preserve"> </w:t>
      </w:r>
    </w:p>
    <w:p w14:paraId="3AA8A526" w14:textId="77777777" w:rsidR="00A276F5" w:rsidRPr="006C693E" w:rsidRDefault="00414F32" w:rsidP="00A40A0C">
      <w:pPr>
        <w:pStyle w:val="ListParagraph"/>
        <w:numPr>
          <w:ilvl w:val="0"/>
          <w:numId w:val="1"/>
        </w:numPr>
        <w:spacing w:after="0" w:line="240" w:lineRule="auto"/>
        <w:ind w:left="360"/>
        <w:rPr>
          <w:rFonts w:ascii="Times New Roman" w:hAnsi="Times New Roman" w:cs="Times New Roman"/>
          <w:b/>
          <w:sz w:val="24"/>
          <w:szCs w:val="24"/>
        </w:rPr>
      </w:pPr>
      <w:r w:rsidRPr="006C693E">
        <w:rPr>
          <w:rFonts w:ascii="Times New Roman" w:hAnsi="Times New Roman" w:cs="Times New Roman"/>
          <w:b/>
          <w:sz w:val="24"/>
          <w:szCs w:val="24"/>
        </w:rPr>
        <w:t>TIME SCHEDULE FOR PUBLICATION OF DATA</w:t>
      </w:r>
    </w:p>
    <w:p w14:paraId="72D46E1B" w14:textId="77777777" w:rsidR="00414F32" w:rsidRPr="006C693E" w:rsidRDefault="00414F32" w:rsidP="00A40A0C">
      <w:pPr>
        <w:spacing w:after="0" w:line="240" w:lineRule="auto"/>
        <w:rPr>
          <w:rFonts w:ascii="Times New Roman" w:hAnsi="Times New Roman" w:cs="Times New Roman"/>
          <w:sz w:val="24"/>
          <w:szCs w:val="24"/>
        </w:rPr>
      </w:pPr>
    </w:p>
    <w:p w14:paraId="5A90F0B3" w14:textId="388BA621" w:rsidR="00AD7203" w:rsidRPr="006C693E" w:rsidRDefault="00AD7203" w:rsidP="00A40A0C">
      <w:pPr>
        <w:spacing w:after="0" w:line="240" w:lineRule="auto"/>
        <w:rPr>
          <w:rFonts w:ascii="Times New Roman" w:hAnsi="Times New Roman" w:cs="Times New Roman"/>
          <w:sz w:val="24"/>
          <w:szCs w:val="24"/>
        </w:rPr>
      </w:pPr>
      <w:r w:rsidRPr="006C693E">
        <w:rPr>
          <w:rFonts w:ascii="Times New Roman" w:hAnsi="Times New Roman" w:cs="Times New Roman"/>
          <w:sz w:val="24"/>
          <w:szCs w:val="24"/>
        </w:rPr>
        <w:t>The Commission does not publish data associated with this collection.  Tariff filings are available publicly through the Commission’s eTariff system.</w:t>
      </w:r>
      <w:r w:rsidR="00290FFB">
        <w:rPr>
          <w:rFonts w:ascii="Times New Roman" w:hAnsi="Times New Roman" w:cs="Times New Roman"/>
          <w:sz w:val="24"/>
          <w:szCs w:val="24"/>
        </w:rPr>
        <w:t xml:space="preserve"> </w:t>
      </w:r>
    </w:p>
    <w:p w14:paraId="056EFCA4" w14:textId="77777777" w:rsidR="00414F32" w:rsidRPr="006C693E" w:rsidRDefault="00414F32" w:rsidP="00A40A0C">
      <w:pPr>
        <w:spacing w:after="0" w:line="240" w:lineRule="auto"/>
        <w:rPr>
          <w:rFonts w:ascii="Times New Roman" w:hAnsi="Times New Roman" w:cs="Times New Roman"/>
          <w:sz w:val="24"/>
          <w:szCs w:val="24"/>
        </w:rPr>
      </w:pPr>
    </w:p>
    <w:p w14:paraId="0DDECB7D" w14:textId="77777777" w:rsidR="00414F32" w:rsidRPr="006C693E" w:rsidRDefault="00414F32" w:rsidP="00A40A0C">
      <w:pPr>
        <w:pStyle w:val="ListParagraph"/>
        <w:numPr>
          <w:ilvl w:val="0"/>
          <w:numId w:val="1"/>
        </w:numPr>
        <w:spacing w:after="0" w:line="240" w:lineRule="auto"/>
        <w:ind w:left="360"/>
        <w:rPr>
          <w:rFonts w:ascii="Times New Roman" w:hAnsi="Times New Roman" w:cs="Times New Roman"/>
          <w:b/>
          <w:sz w:val="24"/>
          <w:szCs w:val="24"/>
        </w:rPr>
      </w:pPr>
      <w:r w:rsidRPr="006C693E">
        <w:rPr>
          <w:rFonts w:ascii="Times New Roman" w:hAnsi="Times New Roman" w:cs="Times New Roman"/>
          <w:b/>
          <w:sz w:val="24"/>
          <w:szCs w:val="24"/>
        </w:rPr>
        <w:t>DISPLAY OF EXPIRATION DATE</w:t>
      </w:r>
    </w:p>
    <w:p w14:paraId="37313ED2" w14:textId="77777777" w:rsidR="00414F32" w:rsidRPr="006C693E" w:rsidRDefault="00414F32" w:rsidP="00A40A0C">
      <w:pPr>
        <w:spacing w:after="0" w:line="240" w:lineRule="auto"/>
        <w:rPr>
          <w:rFonts w:ascii="Times New Roman" w:hAnsi="Times New Roman" w:cs="Times New Roman"/>
          <w:sz w:val="24"/>
          <w:szCs w:val="24"/>
        </w:rPr>
      </w:pPr>
    </w:p>
    <w:p w14:paraId="7743D1E8" w14:textId="77777777" w:rsidR="00414F32" w:rsidRPr="006C693E" w:rsidRDefault="002511AB" w:rsidP="00A40A0C">
      <w:pPr>
        <w:spacing w:after="0" w:line="240" w:lineRule="auto"/>
        <w:rPr>
          <w:rFonts w:ascii="Times New Roman" w:hAnsi="Times New Roman" w:cs="Times New Roman"/>
          <w:sz w:val="24"/>
          <w:szCs w:val="24"/>
        </w:rPr>
      </w:pPr>
      <w:r w:rsidRPr="006C693E">
        <w:rPr>
          <w:rFonts w:ascii="Times New Roman" w:hAnsi="Times New Roman" w:cs="Times New Roman"/>
          <w:sz w:val="24"/>
          <w:szCs w:val="24"/>
        </w:rPr>
        <w:t xml:space="preserve">The expiration date is displayed in a table posted on ferc.gov at http://www.ferc.gov/docs-filing/info-collections.asp.  </w:t>
      </w:r>
    </w:p>
    <w:p w14:paraId="7FD8A664" w14:textId="77777777" w:rsidR="006C693E" w:rsidRPr="006C693E" w:rsidRDefault="006C693E" w:rsidP="00A40A0C">
      <w:pPr>
        <w:spacing w:after="0" w:line="240" w:lineRule="auto"/>
        <w:rPr>
          <w:rFonts w:ascii="Times New Roman" w:hAnsi="Times New Roman" w:cs="Times New Roman"/>
          <w:sz w:val="24"/>
          <w:szCs w:val="24"/>
        </w:rPr>
      </w:pPr>
    </w:p>
    <w:p w14:paraId="357446EF" w14:textId="77777777" w:rsidR="00414F32" w:rsidRPr="006C693E" w:rsidRDefault="00414F32" w:rsidP="00A40A0C">
      <w:pPr>
        <w:pStyle w:val="ListParagraph"/>
        <w:numPr>
          <w:ilvl w:val="0"/>
          <w:numId w:val="1"/>
        </w:numPr>
        <w:spacing w:after="0" w:line="240" w:lineRule="auto"/>
        <w:ind w:left="360"/>
        <w:rPr>
          <w:rFonts w:ascii="Times New Roman" w:hAnsi="Times New Roman" w:cs="Times New Roman"/>
          <w:b/>
          <w:sz w:val="24"/>
          <w:szCs w:val="24"/>
        </w:rPr>
      </w:pPr>
      <w:r w:rsidRPr="006C693E">
        <w:rPr>
          <w:rFonts w:ascii="Times New Roman" w:hAnsi="Times New Roman" w:cs="Times New Roman"/>
          <w:b/>
          <w:sz w:val="24"/>
          <w:szCs w:val="24"/>
        </w:rPr>
        <w:t>EXCEPTIONS TO THE CERTIFICATION STATEMENT</w:t>
      </w:r>
    </w:p>
    <w:p w14:paraId="48D21B5C" w14:textId="77777777" w:rsidR="0057700F" w:rsidRPr="006C693E" w:rsidRDefault="0057700F" w:rsidP="00A40A0C">
      <w:pPr>
        <w:spacing w:after="0" w:line="240" w:lineRule="auto"/>
        <w:rPr>
          <w:rFonts w:ascii="Times New Roman" w:hAnsi="Times New Roman" w:cs="Times New Roman"/>
          <w:b/>
          <w:sz w:val="24"/>
          <w:szCs w:val="24"/>
        </w:rPr>
      </w:pPr>
    </w:p>
    <w:p w14:paraId="3F707EC6" w14:textId="77777777" w:rsidR="00414F32" w:rsidRPr="006C693E" w:rsidRDefault="002511AB" w:rsidP="00A40A0C">
      <w:pPr>
        <w:spacing w:after="0" w:line="240" w:lineRule="auto"/>
        <w:rPr>
          <w:rFonts w:ascii="Times New Roman" w:hAnsi="Times New Roman" w:cs="Times New Roman"/>
          <w:sz w:val="24"/>
          <w:szCs w:val="24"/>
        </w:rPr>
      </w:pPr>
      <w:r w:rsidRPr="006C693E">
        <w:rPr>
          <w:rFonts w:ascii="Times New Roman" w:hAnsi="Times New Roman" w:cs="Times New Roman"/>
          <w:sz w:val="24"/>
          <w:szCs w:val="24"/>
        </w:rPr>
        <w:t>There are no exceptions.</w:t>
      </w:r>
    </w:p>
    <w:sectPr w:rsidR="00414F32" w:rsidRPr="006C693E" w:rsidSect="00AD66F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C0458" w14:textId="77777777" w:rsidR="00533D48" w:rsidRDefault="00533D48" w:rsidP="00FD66F1">
      <w:pPr>
        <w:spacing w:after="0" w:line="240" w:lineRule="auto"/>
      </w:pPr>
      <w:r>
        <w:separator/>
      </w:r>
    </w:p>
  </w:endnote>
  <w:endnote w:type="continuationSeparator" w:id="0">
    <w:p w14:paraId="6AE82D3F" w14:textId="77777777" w:rsidR="00533D48" w:rsidRDefault="00533D48"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rFonts w:ascii="Times New Roman" w:hAnsi="Times New Roman" w:cs="Times New Roman"/>
        <w:noProof/>
      </w:rPr>
    </w:sdtEndPr>
    <w:sdtContent>
      <w:p w14:paraId="0B6A7CB0" w14:textId="77777777" w:rsidR="00ED7498" w:rsidRPr="00EF7C5D" w:rsidRDefault="00AD66F1">
        <w:pPr>
          <w:pStyle w:val="Footer"/>
          <w:jc w:val="right"/>
          <w:rPr>
            <w:rFonts w:ascii="Times New Roman" w:hAnsi="Times New Roman" w:cs="Times New Roman"/>
          </w:rPr>
        </w:pPr>
        <w:r w:rsidRPr="00EF7C5D">
          <w:rPr>
            <w:rFonts w:ascii="Times New Roman" w:hAnsi="Times New Roman" w:cs="Times New Roman"/>
          </w:rPr>
          <w:fldChar w:fldCharType="begin"/>
        </w:r>
        <w:r w:rsidR="00ED7498" w:rsidRPr="00EF7C5D">
          <w:rPr>
            <w:rFonts w:ascii="Times New Roman" w:hAnsi="Times New Roman" w:cs="Times New Roman"/>
          </w:rPr>
          <w:instrText xml:space="preserve"> PAGE   \* MERGEFORMAT </w:instrText>
        </w:r>
        <w:r w:rsidRPr="00EF7C5D">
          <w:rPr>
            <w:rFonts w:ascii="Times New Roman" w:hAnsi="Times New Roman" w:cs="Times New Roman"/>
          </w:rPr>
          <w:fldChar w:fldCharType="separate"/>
        </w:r>
        <w:r w:rsidR="00B23E84">
          <w:rPr>
            <w:rFonts w:ascii="Times New Roman" w:hAnsi="Times New Roman" w:cs="Times New Roman"/>
            <w:noProof/>
          </w:rPr>
          <w:t>6</w:t>
        </w:r>
        <w:r w:rsidRPr="00EF7C5D">
          <w:rPr>
            <w:rFonts w:ascii="Times New Roman" w:hAnsi="Times New Roman" w:cs="Times New Roman"/>
            <w:noProof/>
          </w:rPr>
          <w:fldChar w:fldCharType="end"/>
        </w:r>
      </w:p>
    </w:sdtContent>
  </w:sdt>
  <w:p w14:paraId="0F3E1168" w14:textId="77777777" w:rsidR="00ED7498" w:rsidRDefault="00ED74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89B41" w14:textId="77777777" w:rsidR="00533D48" w:rsidRDefault="00533D48" w:rsidP="00FD66F1">
      <w:pPr>
        <w:spacing w:after="0" w:line="240" w:lineRule="auto"/>
      </w:pPr>
      <w:r>
        <w:separator/>
      </w:r>
    </w:p>
  </w:footnote>
  <w:footnote w:type="continuationSeparator" w:id="0">
    <w:p w14:paraId="5DC050D0" w14:textId="77777777" w:rsidR="00533D48" w:rsidRDefault="00533D48" w:rsidP="00FD66F1">
      <w:pPr>
        <w:spacing w:after="0" w:line="240" w:lineRule="auto"/>
      </w:pPr>
      <w:r>
        <w:continuationSeparator/>
      </w:r>
    </w:p>
  </w:footnote>
  <w:footnote w:id="1">
    <w:p w14:paraId="1E8E12C1" w14:textId="77777777" w:rsidR="007B32D9" w:rsidRDefault="007B32D9" w:rsidP="007B32D9">
      <w:pPr>
        <w:pStyle w:val="FootnoteText"/>
      </w:pPr>
      <w:r w:rsidRPr="006C693E">
        <w:rPr>
          <w:rStyle w:val="FootnoteReference"/>
          <w:vertAlign w:val="superscript"/>
        </w:rPr>
        <w:footnoteRef/>
      </w:r>
      <w:r w:rsidRPr="006C693E">
        <w:rPr>
          <w:vertAlign w:val="superscript"/>
        </w:rPr>
        <w:t xml:space="preserve"> </w:t>
      </w:r>
      <w:r>
        <w:t xml:space="preserve">In 1977, Congress transferred regulatory authority over oil pipelines to FERC. </w:t>
      </w:r>
      <w:r w:rsidR="00796D90">
        <w:t xml:space="preserve"> </w:t>
      </w:r>
      <w:r>
        <w:t>Section 402 of the Department of Energy Organization Act transferred the ICC's (Interstate Commerce Commission) oil pipeline jurisdiction to FERC. Department of Energy Organization Act, Pub. L. No. 95-91, 91 Stat. 565, 584 (1977) (codified at 42 U.S.C. § 7172(b)), effectuated, Exec. Order No. 12,009, 42 Fed. Reg. 161,377 240 7-18-85 46,267 (Sept. 13, 1977), implemented, 42 Fed. Reg.</w:t>
      </w:r>
      <w:r w:rsidR="00796D90">
        <w:t xml:space="preserve"> </w:t>
      </w:r>
      <w:r>
        <w:t>55,534 (Oct . 17, 1977) .</w:t>
      </w:r>
    </w:p>
  </w:footnote>
  <w:footnote w:id="2">
    <w:p w14:paraId="4B72483C" w14:textId="77777777" w:rsidR="0069402A" w:rsidRDefault="0069402A">
      <w:pPr>
        <w:pStyle w:val="FootnoteText"/>
      </w:pPr>
      <w:r w:rsidRPr="006C693E">
        <w:rPr>
          <w:rStyle w:val="FootnoteReference"/>
          <w:vertAlign w:val="superscript"/>
        </w:rPr>
        <w:footnoteRef/>
      </w:r>
      <w:r w:rsidRPr="006C693E">
        <w:rPr>
          <w:vertAlign w:val="superscript"/>
        </w:rPr>
        <w:t xml:space="preserve"> </w:t>
      </w:r>
      <w:r w:rsidRPr="0069402A">
        <w:t>49 U.S.C. app. 1 (1988).</w:t>
      </w:r>
    </w:p>
  </w:footnote>
  <w:footnote w:id="3">
    <w:p w14:paraId="7A4A02A1" w14:textId="77777777" w:rsidR="0069402A" w:rsidRDefault="0069402A">
      <w:pPr>
        <w:pStyle w:val="FootnoteText"/>
      </w:pPr>
      <w:r w:rsidRPr="006C693E">
        <w:rPr>
          <w:rStyle w:val="FootnoteReference"/>
          <w:vertAlign w:val="superscript"/>
        </w:rPr>
        <w:footnoteRef/>
      </w:r>
      <w:r w:rsidRPr="006C693E">
        <w:rPr>
          <w:vertAlign w:val="superscript"/>
        </w:rPr>
        <w:t xml:space="preserve"> </w:t>
      </w:r>
      <w:r w:rsidRPr="0069402A">
        <w:t>Order No. 561, ¶ 30,985 at 30,952.</w:t>
      </w:r>
    </w:p>
  </w:footnote>
  <w:footnote w:id="4">
    <w:p w14:paraId="0453DCB8" w14:textId="77777777" w:rsidR="00ED7498" w:rsidRPr="00AA581E" w:rsidRDefault="00ED7498" w:rsidP="002D27F9">
      <w:pPr>
        <w:pStyle w:val="FootnoteText"/>
      </w:pPr>
      <w:r w:rsidRPr="006C693E">
        <w:rPr>
          <w:rStyle w:val="FootnoteReference"/>
          <w:vertAlign w:val="superscript"/>
        </w:rPr>
        <w:footnoteRef/>
      </w:r>
      <w:r w:rsidRPr="00AA581E">
        <w:rPr>
          <w:vertAlign w:val="superscript"/>
        </w:rPr>
        <w:t xml:space="preserve"> </w:t>
      </w:r>
      <w:r w:rsidRPr="00AA581E">
        <w:t>18 C</w:t>
      </w:r>
      <w:r w:rsidR="00796D90">
        <w:t>.</w:t>
      </w:r>
      <w:r w:rsidRPr="00AA581E">
        <w:t>F</w:t>
      </w:r>
      <w:r w:rsidR="00796D90">
        <w:t>.</w:t>
      </w:r>
      <w:r w:rsidRPr="00AA581E">
        <w:t>R</w:t>
      </w:r>
      <w:r w:rsidR="00796D90">
        <w:t>.</w:t>
      </w:r>
      <w:r w:rsidRPr="00AA581E">
        <w:t xml:space="preserve"> Parts 341-348.</w:t>
      </w:r>
    </w:p>
  </w:footnote>
  <w:footnote w:id="5">
    <w:p w14:paraId="204726A2" w14:textId="77777777" w:rsidR="00ED7498" w:rsidRPr="005C5839" w:rsidRDefault="00ED7498" w:rsidP="002D27F9">
      <w:pPr>
        <w:pStyle w:val="FootnoteText"/>
        <w:rPr>
          <w:sz w:val="26"/>
          <w:szCs w:val="26"/>
        </w:rPr>
      </w:pPr>
      <w:bookmarkStart w:id="1" w:name="OLE_LINK1"/>
      <w:bookmarkStart w:id="2" w:name="OLE_LINK2"/>
      <w:r w:rsidRPr="00A40A0C">
        <w:rPr>
          <w:rStyle w:val="FootnoteReference"/>
          <w:vertAlign w:val="superscript"/>
        </w:rPr>
        <w:footnoteRef/>
      </w:r>
      <w:r w:rsidRPr="005C5839">
        <w:rPr>
          <w:sz w:val="26"/>
          <w:szCs w:val="26"/>
        </w:rPr>
        <w:t xml:space="preserve"> </w:t>
      </w:r>
      <w:r w:rsidRPr="007951F5">
        <w:t>RM01-5-000 (Issued July 8, 2004, 69 FR 43929).</w:t>
      </w:r>
    </w:p>
    <w:bookmarkEnd w:id="1"/>
    <w:bookmarkEnd w:id="2"/>
    <w:p w14:paraId="64A1D9A2" w14:textId="77777777" w:rsidR="00ED7498" w:rsidRDefault="00ED7498" w:rsidP="002D27F9">
      <w:pPr>
        <w:pStyle w:val="FootnoteText"/>
      </w:pPr>
    </w:p>
  </w:footnote>
  <w:footnote w:id="6">
    <w:p w14:paraId="30271251" w14:textId="77777777" w:rsidR="006B06CF" w:rsidRPr="007C79F5" w:rsidRDefault="006B06CF" w:rsidP="007C79F5">
      <w:pPr>
        <w:spacing w:after="0" w:line="240" w:lineRule="auto"/>
        <w:rPr>
          <w:rFonts w:ascii="Times New Roman" w:hAnsi="Times New Roman" w:cs="Times New Roman"/>
          <w:sz w:val="24"/>
          <w:szCs w:val="24"/>
        </w:rPr>
      </w:pPr>
      <w:r w:rsidRPr="007C79F5">
        <w:rPr>
          <w:rStyle w:val="FootnoteReference"/>
          <w:rFonts w:ascii="Times New Roman" w:hAnsi="Times New Roman" w:cs="Times New Roman"/>
          <w:sz w:val="24"/>
          <w:szCs w:val="24"/>
          <w:vertAlign w:val="superscript"/>
        </w:rPr>
        <w:footnoteRef/>
      </w:r>
      <w:r w:rsidRPr="007C79F5">
        <w:rPr>
          <w:rFonts w:ascii="Times New Roman" w:hAnsi="Times New Roman" w:cs="Times New Roman"/>
          <w:sz w:val="24"/>
          <w:szCs w:val="24"/>
        </w:rPr>
        <w:t xml:space="preserve"> </w:t>
      </w:r>
      <w:r w:rsidRPr="007C79F5">
        <w:rPr>
          <w:rFonts w:ascii="Times New Roman" w:hAnsi="Times New Roman" w:cs="Times New Roman"/>
          <w:i/>
          <w:sz w:val="24"/>
          <w:szCs w:val="24"/>
        </w:rPr>
        <w:t xml:space="preserve">See </w:t>
      </w:r>
      <w:r w:rsidRPr="007C79F5">
        <w:rPr>
          <w:rFonts w:ascii="Times New Roman" w:hAnsi="Times New Roman" w:cs="Times New Roman"/>
          <w:i/>
          <w:iCs/>
          <w:sz w:val="24"/>
          <w:szCs w:val="24"/>
        </w:rPr>
        <w:t>Whiting Oil and Gas Corp.</w:t>
      </w:r>
      <w:r w:rsidRPr="007C79F5">
        <w:rPr>
          <w:rFonts w:ascii="Times New Roman" w:hAnsi="Times New Roman" w:cs="Times New Roman"/>
          <w:sz w:val="24"/>
          <w:szCs w:val="24"/>
        </w:rPr>
        <w:t xml:space="preserve">, 131 FERC ¶ 61,263 (2010); </w:t>
      </w:r>
      <w:r w:rsidRPr="007C79F5">
        <w:rPr>
          <w:rFonts w:ascii="Times New Roman" w:hAnsi="Times New Roman" w:cs="Times New Roman"/>
          <w:i/>
          <w:iCs/>
          <w:sz w:val="24"/>
          <w:szCs w:val="24"/>
        </w:rPr>
        <w:t>Cimarron Gathering, L.P.</w:t>
      </w:r>
      <w:r w:rsidRPr="007C79F5">
        <w:rPr>
          <w:rFonts w:ascii="Times New Roman" w:hAnsi="Times New Roman" w:cs="Times New Roman"/>
          <w:sz w:val="24"/>
          <w:szCs w:val="24"/>
        </w:rPr>
        <w:t xml:space="preserve">, 126 FERC ¶ 61,017 (2009); </w:t>
      </w:r>
      <w:r w:rsidRPr="007C79F5">
        <w:rPr>
          <w:rFonts w:ascii="Times New Roman" w:hAnsi="Times New Roman" w:cs="Times New Roman"/>
          <w:i/>
          <w:iCs/>
          <w:sz w:val="24"/>
          <w:szCs w:val="24"/>
        </w:rPr>
        <w:t>Enbridge Pipelines (NE Texas Liquids) L.P</w:t>
      </w:r>
      <w:r w:rsidRPr="007C79F5">
        <w:rPr>
          <w:rFonts w:ascii="Times New Roman" w:hAnsi="Times New Roman" w:cs="Times New Roman"/>
          <w:sz w:val="24"/>
          <w:szCs w:val="24"/>
        </w:rPr>
        <w:t xml:space="preserve">., 117 FERC ¶ 61,046 (2006); </w:t>
      </w:r>
      <w:r w:rsidRPr="007C79F5">
        <w:rPr>
          <w:rFonts w:ascii="Times New Roman" w:hAnsi="Times New Roman" w:cs="Times New Roman"/>
          <w:i/>
          <w:iCs/>
          <w:sz w:val="24"/>
          <w:szCs w:val="24"/>
        </w:rPr>
        <w:t>Enbridge Pipelines (NE Texas Liquids) L.P</w:t>
      </w:r>
      <w:r w:rsidRPr="007C79F5">
        <w:rPr>
          <w:rFonts w:ascii="Times New Roman" w:hAnsi="Times New Roman" w:cs="Times New Roman"/>
          <w:sz w:val="24"/>
          <w:szCs w:val="24"/>
        </w:rPr>
        <w:t xml:space="preserve">., 110 FERC ¶ 61,159 (2005); </w:t>
      </w:r>
      <w:r w:rsidRPr="007C79F5">
        <w:rPr>
          <w:rFonts w:ascii="Times New Roman" w:hAnsi="Times New Roman" w:cs="Times New Roman"/>
          <w:i/>
          <w:iCs/>
          <w:sz w:val="24"/>
          <w:szCs w:val="24"/>
        </w:rPr>
        <w:t>Ciniza Pipe Line, Inc</w:t>
      </w:r>
      <w:r w:rsidRPr="007C79F5">
        <w:rPr>
          <w:rFonts w:ascii="Times New Roman" w:hAnsi="Times New Roman" w:cs="Times New Roman"/>
          <w:sz w:val="24"/>
          <w:szCs w:val="24"/>
        </w:rPr>
        <w:t xml:space="preserve">., 73 FERC ¶ 61,377 (1995); </w:t>
      </w:r>
      <w:r w:rsidRPr="007C79F5">
        <w:rPr>
          <w:rFonts w:ascii="Times New Roman" w:hAnsi="Times New Roman" w:cs="Times New Roman"/>
          <w:i/>
          <w:iCs/>
          <w:sz w:val="24"/>
          <w:szCs w:val="24"/>
        </w:rPr>
        <w:t>Hunt Refining Co</w:t>
      </w:r>
      <w:r w:rsidRPr="007C79F5">
        <w:rPr>
          <w:rFonts w:ascii="Times New Roman" w:hAnsi="Times New Roman" w:cs="Times New Roman"/>
          <w:sz w:val="24"/>
          <w:szCs w:val="24"/>
        </w:rPr>
        <w:t xml:space="preserve">.,  70 FERC ¶ 61,035 (1995); and </w:t>
      </w:r>
      <w:r w:rsidRPr="007C79F5">
        <w:rPr>
          <w:rFonts w:ascii="Times New Roman" w:hAnsi="Times New Roman" w:cs="Times New Roman"/>
          <w:i/>
          <w:iCs/>
          <w:sz w:val="24"/>
          <w:szCs w:val="24"/>
        </w:rPr>
        <w:t xml:space="preserve">Sinclair Oil Corp., </w:t>
      </w:r>
      <w:r w:rsidRPr="007C79F5">
        <w:rPr>
          <w:rFonts w:ascii="Times New Roman" w:hAnsi="Times New Roman" w:cs="Times New Roman"/>
          <w:sz w:val="24"/>
          <w:szCs w:val="24"/>
        </w:rPr>
        <w:t>4 FERC ¶ 62,026 (1978).</w:t>
      </w:r>
    </w:p>
    <w:p w14:paraId="65F66791" w14:textId="77777777" w:rsidR="006B06CF" w:rsidRPr="007C79F5" w:rsidRDefault="006B06CF" w:rsidP="006B06CF">
      <w:pPr>
        <w:spacing w:after="0" w:line="240" w:lineRule="auto"/>
        <w:rPr>
          <w:rFonts w:ascii="Times New Roman" w:hAnsi="Times New Roman" w:cs="Times New Roman"/>
          <w:i/>
          <w:sz w:val="24"/>
          <w:szCs w:val="24"/>
        </w:rPr>
      </w:pPr>
    </w:p>
  </w:footnote>
  <w:footnote w:id="7">
    <w:p w14:paraId="38F02415" w14:textId="77777777" w:rsidR="00980797" w:rsidRDefault="00980797">
      <w:pPr>
        <w:pStyle w:val="FootnoteText"/>
      </w:pPr>
      <w:r w:rsidRPr="00A40A0C">
        <w:rPr>
          <w:rStyle w:val="FootnoteReference"/>
          <w:vertAlign w:val="superscript"/>
        </w:rPr>
        <w:footnoteRef/>
      </w:r>
      <w:r w:rsidRPr="00A40A0C">
        <w:rPr>
          <w:vertAlign w:val="superscript"/>
        </w:rPr>
        <w:t xml:space="preserve"> </w:t>
      </w:r>
      <w:r>
        <w:t xml:space="preserve">The notice is available at 81 FR 33499 (5/26/2016) and posted in FERC’s eLibrary at </w:t>
      </w:r>
      <w:r w:rsidRPr="00980797">
        <w:t>http://elibrary.ferc.gov/idmws/common/opennat.asp?fileID=14252841</w:t>
      </w:r>
      <w:r>
        <w:t>.</w:t>
      </w:r>
    </w:p>
  </w:footnote>
  <w:footnote w:id="8">
    <w:p w14:paraId="6FA4FD83" w14:textId="77777777" w:rsidR="002200D3" w:rsidRPr="00610729" w:rsidRDefault="002200D3" w:rsidP="002200D3">
      <w:pPr>
        <w:pStyle w:val="FootnoteText"/>
      </w:pPr>
      <w:r w:rsidRPr="00A40A0C">
        <w:rPr>
          <w:rStyle w:val="FootnoteReference"/>
          <w:vertAlign w:val="superscript"/>
        </w:rPr>
        <w:footnoteRef/>
      </w:r>
      <w:r w:rsidRPr="00610729">
        <w:t xml:space="preserve"> The one-time burden imposed by Order 780 (issued May 16, 2013, in Docket No. RM12-15-000; 78 FR 32090, 5/29/2013) has been completed and is not included.</w:t>
      </w:r>
    </w:p>
  </w:footnote>
  <w:footnote w:id="9">
    <w:p w14:paraId="279E7A29" w14:textId="77777777" w:rsidR="002200D3" w:rsidRPr="00610729" w:rsidRDefault="002200D3" w:rsidP="002200D3">
      <w:pPr>
        <w:pStyle w:val="FootnoteText"/>
      </w:pPr>
      <w:r w:rsidRPr="00A40A0C">
        <w:rPr>
          <w:rStyle w:val="FootnoteReference"/>
          <w:vertAlign w:val="superscript"/>
        </w:rPr>
        <w:footnoteRef/>
      </w:r>
      <w:r w:rsidRPr="00A40A0C">
        <w:rPr>
          <w:vertAlign w:val="superscript"/>
        </w:rPr>
        <w:t xml:space="preserve"> </w:t>
      </w:r>
      <w:r w:rsidRPr="00610729">
        <w:t>The cost is based on FERC’s 2016 average cost (salary plus benefits) of $74.50/hour</w:t>
      </w:r>
      <w:r w:rsidRPr="002200D3">
        <w:t>.  Commission staff finds that the work done for this information collection is typically done by wage categories similar to those at FERC.</w:t>
      </w:r>
    </w:p>
  </w:footnote>
  <w:footnote w:id="10">
    <w:p w14:paraId="1B2A20B6" w14:textId="5F426CFD" w:rsidR="00B46807" w:rsidRDefault="00B46807">
      <w:pPr>
        <w:pStyle w:val="FootnoteText"/>
      </w:pPr>
      <w:r w:rsidRPr="001446C7">
        <w:rPr>
          <w:rStyle w:val="FootnoteReference"/>
          <w:vertAlign w:val="superscript"/>
        </w:rPr>
        <w:footnoteRef/>
      </w:r>
      <w:r>
        <w:t xml:space="preserve"> For information, FERC staff </w:t>
      </w:r>
      <w:r w:rsidR="003236DF">
        <w:t xml:space="preserve">recently </w:t>
      </w:r>
      <w:r>
        <w:t xml:space="preserve">verified the various estimates.  As of 12/15/2016, the no. of </w:t>
      </w:r>
    </w:p>
    <w:p w14:paraId="726D9237" w14:textId="2340C7A8" w:rsidR="00B46807" w:rsidRDefault="00B46807" w:rsidP="001446C7">
      <w:pPr>
        <w:pStyle w:val="FootnoteText"/>
        <w:numPr>
          <w:ilvl w:val="0"/>
          <w:numId w:val="9"/>
        </w:numPr>
      </w:pPr>
      <w:r>
        <w:t>average annual responses per respondent is 3.75</w:t>
      </w:r>
    </w:p>
    <w:p w14:paraId="6E230792" w14:textId="2E558C01" w:rsidR="00B46807" w:rsidRDefault="00B46807" w:rsidP="001446C7">
      <w:pPr>
        <w:pStyle w:val="FootnoteText"/>
        <w:numPr>
          <w:ilvl w:val="0"/>
          <w:numId w:val="9"/>
        </w:numPr>
      </w:pPr>
      <w:r>
        <w:t>total no. of responses is 780</w:t>
      </w:r>
    </w:p>
    <w:p w14:paraId="50E64E45" w14:textId="125C05E5" w:rsidR="00B46807" w:rsidRDefault="00B46807" w:rsidP="001446C7">
      <w:pPr>
        <w:pStyle w:val="FootnoteText"/>
        <w:numPr>
          <w:ilvl w:val="0"/>
          <w:numId w:val="9"/>
        </w:numPr>
      </w:pPr>
      <w:r>
        <w:t>total annual burden hours is 6,096</w:t>
      </w:r>
      <w:r w:rsidR="003236DF">
        <w:t>,</w:t>
      </w:r>
      <w:r>
        <w:t xml:space="preserve"> and total annual cost is $454,152</w:t>
      </w:r>
    </w:p>
    <w:p w14:paraId="22E8BB29" w14:textId="1154471E" w:rsidR="00B46807" w:rsidRDefault="00B46807" w:rsidP="001446C7">
      <w:pPr>
        <w:pStyle w:val="FootnoteText"/>
        <w:numPr>
          <w:ilvl w:val="0"/>
          <w:numId w:val="9"/>
        </w:numPr>
      </w:pPr>
      <w:r>
        <w:t>cost per respondent is $2,183.33.</w:t>
      </w:r>
    </w:p>
    <w:p w14:paraId="608FA628" w14:textId="060A2185" w:rsidR="003236DF" w:rsidRDefault="00B46807" w:rsidP="003236DF">
      <w:pPr>
        <w:pStyle w:val="FootnoteText"/>
      </w:pPr>
      <w:r>
        <w:t xml:space="preserve">Because these figures vary an insignificant amount </w:t>
      </w:r>
      <w:r w:rsidR="003236DF" w:rsidRPr="003236DF">
        <w:t xml:space="preserve">(due to several months of additional data) </w:t>
      </w:r>
      <w:r>
        <w:t xml:space="preserve">from the estimates provided </w:t>
      </w:r>
      <w:bookmarkStart w:id="3" w:name="_GoBack"/>
      <w:bookmarkEnd w:id="3"/>
      <w:r>
        <w:t xml:space="preserve">in the public Notices </w:t>
      </w:r>
      <w:r w:rsidR="003236DF" w:rsidRPr="003236DF">
        <w:t>(issued 5/20/2016 and 8/25/2016)</w:t>
      </w:r>
      <w:r w:rsidR="003236DF">
        <w:t xml:space="preserve"> </w:t>
      </w:r>
      <w:r>
        <w:t>and in the table</w:t>
      </w:r>
      <w:r w:rsidR="003236DF">
        <w:t>s in this supporting statement</w:t>
      </w:r>
      <w:r>
        <w:t>, we will continue to use the earlier estimate</w:t>
      </w:r>
      <w:r w:rsidR="003236DF">
        <w:t>s</w:t>
      </w:r>
      <w:r>
        <w:t>.</w:t>
      </w:r>
    </w:p>
  </w:footnote>
  <w:footnote w:id="11">
    <w:p w14:paraId="05C13C35" w14:textId="77777777" w:rsidR="000C2657" w:rsidRDefault="000C2657">
      <w:pPr>
        <w:pStyle w:val="FootnoteText"/>
      </w:pPr>
      <w:r w:rsidRPr="00A40A0C">
        <w:rPr>
          <w:rStyle w:val="FootnoteReference"/>
          <w:vertAlign w:val="superscript"/>
        </w:rPr>
        <w:footnoteRef/>
      </w:r>
      <w:r>
        <w:t xml:space="preserve"> </w:t>
      </w:r>
      <w:r w:rsidRPr="000C2657">
        <w:t>The cost is based upon FERC’s 2016 annual average salary plus benefits of $154,647 (or $74.50/hour).</w:t>
      </w:r>
    </w:p>
  </w:footnote>
  <w:footnote w:id="12">
    <w:p w14:paraId="612F7167" w14:textId="77777777" w:rsidR="00ED7498" w:rsidRPr="00985D7B" w:rsidRDefault="00ED7498" w:rsidP="00F1252F">
      <w:pPr>
        <w:pStyle w:val="FootnoteText"/>
      </w:pPr>
      <w:r w:rsidRPr="00A40A0C">
        <w:rPr>
          <w:rStyle w:val="FootnoteReference"/>
          <w:vertAlign w:val="superscript"/>
        </w:rPr>
        <w:footnoteRef/>
      </w:r>
      <w:r w:rsidRPr="00A40A0C">
        <w:rPr>
          <w:vertAlign w:val="superscript"/>
        </w:rPr>
        <w:t xml:space="preserve"> </w:t>
      </w:r>
      <w:r w:rsidRPr="00985D7B">
        <w:t>Paperwork Reduction Act of 1995 (PRA)</w:t>
      </w:r>
    </w:p>
  </w:footnote>
  <w:footnote w:id="13">
    <w:p w14:paraId="741E6670" w14:textId="77777777" w:rsidR="00ED7498" w:rsidRPr="00985D7B" w:rsidRDefault="00ED7498" w:rsidP="00F1252F">
      <w:pPr>
        <w:pStyle w:val="FootnoteText"/>
      </w:pPr>
      <w:r w:rsidRPr="00A40A0C">
        <w:rPr>
          <w:rStyle w:val="FootnoteReference"/>
          <w:vertAlign w:val="superscript"/>
        </w:rPr>
        <w:footnoteRef/>
      </w:r>
      <w:r w:rsidRPr="00985D7B">
        <w:t xml:space="preserve"> </w:t>
      </w:r>
      <w:r w:rsidR="00B60AB8" w:rsidRPr="00B60AB8">
        <w:t>The PRA Administrative Cost is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E85EB" w14:textId="77777777" w:rsidR="00ED7498" w:rsidRDefault="00ED7498" w:rsidP="00FF49AC">
    <w:pPr>
      <w:pStyle w:val="Header"/>
      <w:rPr>
        <w:rFonts w:ascii="Times New Roman" w:hAnsi="Times New Roman" w:cs="Times New Roman"/>
        <w:sz w:val="24"/>
        <w:szCs w:val="24"/>
      </w:rPr>
    </w:pPr>
    <w:r>
      <w:rPr>
        <w:rFonts w:ascii="Times New Roman" w:hAnsi="Times New Roman" w:cs="Times New Roman"/>
        <w:sz w:val="24"/>
        <w:szCs w:val="24"/>
      </w:rPr>
      <w:t>FERC-550 (OMB Control No. 1902-0089)</w:t>
    </w:r>
  </w:p>
  <w:p w14:paraId="182452B4" w14:textId="5F545B19" w:rsidR="007B32D9" w:rsidRDefault="00474A2E" w:rsidP="00FF49AC">
    <w:pPr>
      <w:pStyle w:val="Header"/>
      <w:rPr>
        <w:rFonts w:ascii="Times New Roman" w:hAnsi="Times New Roman" w:cs="Times New Roman"/>
        <w:sz w:val="24"/>
        <w:szCs w:val="24"/>
      </w:rPr>
    </w:pPr>
    <w:r>
      <w:rPr>
        <w:rFonts w:ascii="Times New Roman" w:hAnsi="Times New Roman" w:cs="Times New Roman"/>
        <w:sz w:val="24"/>
        <w:szCs w:val="24"/>
      </w:rPr>
      <w:t>(updated 12/1</w:t>
    </w:r>
    <w:r w:rsidR="00A34FAF">
      <w:rPr>
        <w:rFonts w:ascii="Times New Roman" w:hAnsi="Times New Roman" w:cs="Times New Roman"/>
        <w:sz w:val="24"/>
        <w:szCs w:val="24"/>
      </w:rPr>
      <w:t>6</w:t>
    </w:r>
    <w:r>
      <w:rPr>
        <w:rFonts w:ascii="Times New Roman" w:hAnsi="Times New Roman" w:cs="Times New Roman"/>
        <w:sz w:val="24"/>
        <w:szCs w:val="24"/>
      </w:rPr>
      <w:t>/2016)</w:t>
    </w:r>
  </w:p>
  <w:p w14:paraId="44857E0F" w14:textId="77777777" w:rsidR="00ED7498" w:rsidRDefault="00ED74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F3125"/>
    <w:multiLevelType w:val="hybridMultilevel"/>
    <w:tmpl w:val="11CE8E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15:restartNumberingAfterBreak="0">
    <w:nsid w:val="37D0760E"/>
    <w:multiLevelType w:val="hybridMultilevel"/>
    <w:tmpl w:val="94E82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F37C2"/>
    <w:multiLevelType w:val="hybridMultilevel"/>
    <w:tmpl w:val="BA08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58608D"/>
    <w:multiLevelType w:val="hybridMultilevel"/>
    <w:tmpl w:val="B2CE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E4DD3"/>
    <w:multiLevelType w:val="hybridMultilevel"/>
    <w:tmpl w:val="6E32FC24"/>
    <w:lvl w:ilvl="0" w:tplc="BA3E5ED2">
      <w:start w:val="1"/>
      <w:numFmt w:val="decimal"/>
      <w:pStyle w:val="FERCparanumber"/>
      <w:lvlText w:val="%1."/>
      <w:lvlJc w:val="left"/>
      <w:pPr>
        <w:tabs>
          <w:tab w:val="num" w:pos="1980"/>
        </w:tabs>
        <w:ind w:left="1260" w:firstLine="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6"/>
  </w:num>
  <w:num w:numId="4">
    <w:abstractNumId w:val="7"/>
  </w:num>
  <w:num w:numId="5">
    <w:abstractNumId w:val="0"/>
  </w:num>
  <w:num w:numId="6">
    <w:abstractNumId w:val="8"/>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visionView w:formatting="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2242D"/>
    <w:rsid w:val="00035845"/>
    <w:rsid w:val="00047FBB"/>
    <w:rsid w:val="00062FA5"/>
    <w:rsid w:val="00065F8A"/>
    <w:rsid w:val="000A6E3C"/>
    <w:rsid w:val="000B0C37"/>
    <w:rsid w:val="000C2657"/>
    <w:rsid w:val="000D0CA7"/>
    <w:rsid w:val="000D1DA1"/>
    <w:rsid w:val="00125B8E"/>
    <w:rsid w:val="00137835"/>
    <w:rsid w:val="00143103"/>
    <w:rsid w:val="001446C7"/>
    <w:rsid w:val="0014475B"/>
    <w:rsid w:val="001475DE"/>
    <w:rsid w:val="00181727"/>
    <w:rsid w:val="00185730"/>
    <w:rsid w:val="001B66C9"/>
    <w:rsid w:val="001D283E"/>
    <w:rsid w:val="001D5EA7"/>
    <w:rsid w:val="001E51BB"/>
    <w:rsid w:val="002200D3"/>
    <w:rsid w:val="002511AB"/>
    <w:rsid w:val="00264EBE"/>
    <w:rsid w:val="0026674D"/>
    <w:rsid w:val="00290FFB"/>
    <w:rsid w:val="002A03B2"/>
    <w:rsid w:val="002B13E2"/>
    <w:rsid w:val="002C6C68"/>
    <w:rsid w:val="002D27F9"/>
    <w:rsid w:val="0030656C"/>
    <w:rsid w:val="00314A21"/>
    <w:rsid w:val="00314F81"/>
    <w:rsid w:val="003236DF"/>
    <w:rsid w:val="00326DF5"/>
    <w:rsid w:val="0033161F"/>
    <w:rsid w:val="00346419"/>
    <w:rsid w:val="003472D2"/>
    <w:rsid w:val="00385844"/>
    <w:rsid w:val="003947B5"/>
    <w:rsid w:val="003B425C"/>
    <w:rsid w:val="0040161F"/>
    <w:rsid w:val="00414F32"/>
    <w:rsid w:val="00421352"/>
    <w:rsid w:val="00442A1F"/>
    <w:rsid w:val="00471A08"/>
    <w:rsid w:val="00474A2E"/>
    <w:rsid w:val="0048787E"/>
    <w:rsid w:val="004B14B6"/>
    <w:rsid w:val="004C4C89"/>
    <w:rsid w:val="004D2586"/>
    <w:rsid w:val="004F6977"/>
    <w:rsid w:val="004F71C4"/>
    <w:rsid w:val="005012D9"/>
    <w:rsid w:val="00522DA4"/>
    <w:rsid w:val="00522F69"/>
    <w:rsid w:val="00523CA3"/>
    <w:rsid w:val="00531592"/>
    <w:rsid w:val="0053287C"/>
    <w:rsid w:val="00533D48"/>
    <w:rsid w:val="00544B9D"/>
    <w:rsid w:val="00556C7F"/>
    <w:rsid w:val="005662F4"/>
    <w:rsid w:val="005712B5"/>
    <w:rsid w:val="00571C5E"/>
    <w:rsid w:val="0057700F"/>
    <w:rsid w:val="00582441"/>
    <w:rsid w:val="005A2792"/>
    <w:rsid w:val="005B77CE"/>
    <w:rsid w:val="005C2470"/>
    <w:rsid w:val="005C25C5"/>
    <w:rsid w:val="005E1973"/>
    <w:rsid w:val="005F1C3C"/>
    <w:rsid w:val="00600D67"/>
    <w:rsid w:val="0061244A"/>
    <w:rsid w:val="006166FA"/>
    <w:rsid w:val="006313AF"/>
    <w:rsid w:val="006353E7"/>
    <w:rsid w:val="006470BF"/>
    <w:rsid w:val="00652C6D"/>
    <w:rsid w:val="00664BC0"/>
    <w:rsid w:val="00690136"/>
    <w:rsid w:val="0069402A"/>
    <w:rsid w:val="006B06CF"/>
    <w:rsid w:val="006C693E"/>
    <w:rsid w:val="006F7953"/>
    <w:rsid w:val="007313EF"/>
    <w:rsid w:val="00752DBA"/>
    <w:rsid w:val="00756974"/>
    <w:rsid w:val="007617C5"/>
    <w:rsid w:val="00767B51"/>
    <w:rsid w:val="00773AEB"/>
    <w:rsid w:val="00787670"/>
    <w:rsid w:val="00796D90"/>
    <w:rsid w:val="007A2F92"/>
    <w:rsid w:val="007A6FC9"/>
    <w:rsid w:val="007B32D9"/>
    <w:rsid w:val="007C79F5"/>
    <w:rsid w:val="007D1FE5"/>
    <w:rsid w:val="007D4C68"/>
    <w:rsid w:val="007E7C0F"/>
    <w:rsid w:val="0084420B"/>
    <w:rsid w:val="008619E1"/>
    <w:rsid w:val="0087641F"/>
    <w:rsid w:val="00876F75"/>
    <w:rsid w:val="008A21A4"/>
    <w:rsid w:val="008A5C38"/>
    <w:rsid w:val="008B703B"/>
    <w:rsid w:val="008C288D"/>
    <w:rsid w:val="008C4850"/>
    <w:rsid w:val="008E6305"/>
    <w:rsid w:val="008E70CD"/>
    <w:rsid w:val="009058FD"/>
    <w:rsid w:val="00913A8B"/>
    <w:rsid w:val="00970FE4"/>
    <w:rsid w:val="00980797"/>
    <w:rsid w:val="00980EFA"/>
    <w:rsid w:val="00996367"/>
    <w:rsid w:val="009A5BD3"/>
    <w:rsid w:val="009C3B4B"/>
    <w:rsid w:val="009E1190"/>
    <w:rsid w:val="009E75F9"/>
    <w:rsid w:val="009F0265"/>
    <w:rsid w:val="009F62E6"/>
    <w:rsid w:val="00A23AB8"/>
    <w:rsid w:val="00A266EB"/>
    <w:rsid w:val="00A276F5"/>
    <w:rsid w:val="00A33B44"/>
    <w:rsid w:val="00A34FAF"/>
    <w:rsid w:val="00A40A0C"/>
    <w:rsid w:val="00A60C57"/>
    <w:rsid w:val="00A60EAA"/>
    <w:rsid w:val="00A72E7B"/>
    <w:rsid w:val="00A92229"/>
    <w:rsid w:val="00A96B65"/>
    <w:rsid w:val="00AA02EB"/>
    <w:rsid w:val="00AC2758"/>
    <w:rsid w:val="00AD0B03"/>
    <w:rsid w:val="00AD3DE5"/>
    <w:rsid w:val="00AD66F1"/>
    <w:rsid w:val="00AD7203"/>
    <w:rsid w:val="00B04175"/>
    <w:rsid w:val="00B20F36"/>
    <w:rsid w:val="00B23E84"/>
    <w:rsid w:val="00B46807"/>
    <w:rsid w:val="00B5507D"/>
    <w:rsid w:val="00B60AB8"/>
    <w:rsid w:val="00B77DCA"/>
    <w:rsid w:val="00BA1C7D"/>
    <w:rsid w:val="00BA7C56"/>
    <w:rsid w:val="00BC2D6A"/>
    <w:rsid w:val="00BC4DD5"/>
    <w:rsid w:val="00BC51FC"/>
    <w:rsid w:val="00BE34AF"/>
    <w:rsid w:val="00BF7C16"/>
    <w:rsid w:val="00C01698"/>
    <w:rsid w:val="00C0403D"/>
    <w:rsid w:val="00C05015"/>
    <w:rsid w:val="00C07F05"/>
    <w:rsid w:val="00C1181C"/>
    <w:rsid w:val="00C321A1"/>
    <w:rsid w:val="00C42E3F"/>
    <w:rsid w:val="00C510DD"/>
    <w:rsid w:val="00C51ADF"/>
    <w:rsid w:val="00C65C12"/>
    <w:rsid w:val="00C81F6A"/>
    <w:rsid w:val="00C9204B"/>
    <w:rsid w:val="00C95585"/>
    <w:rsid w:val="00CA495F"/>
    <w:rsid w:val="00CA59C3"/>
    <w:rsid w:val="00CC0CC0"/>
    <w:rsid w:val="00CF202A"/>
    <w:rsid w:val="00CF6019"/>
    <w:rsid w:val="00CF76A3"/>
    <w:rsid w:val="00D00196"/>
    <w:rsid w:val="00D02021"/>
    <w:rsid w:val="00D3676C"/>
    <w:rsid w:val="00D416C3"/>
    <w:rsid w:val="00D52B27"/>
    <w:rsid w:val="00D564D6"/>
    <w:rsid w:val="00D80FBD"/>
    <w:rsid w:val="00D81A52"/>
    <w:rsid w:val="00D87599"/>
    <w:rsid w:val="00D9145F"/>
    <w:rsid w:val="00D950DE"/>
    <w:rsid w:val="00D959A7"/>
    <w:rsid w:val="00DA14C0"/>
    <w:rsid w:val="00DA7B92"/>
    <w:rsid w:val="00DB2A2A"/>
    <w:rsid w:val="00DB36B2"/>
    <w:rsid w:val="00DB7933"/>
    <w:rsid w:val="00DC4E36"/>
    <w:rsid w:val="00DF67B7"/>
    <w:rsid w:val="00E11CA6"/>
    <w:rsid w:val="00E14565"/>
    <w:rsid w:val="00E20612"/>
    <w:rsid w:val="00E25B03"/>
    <w:rsid w:val="00E636D7"/>
    <w:rsid w:val="00E770FD"/>
    <w:rsid w:val="00E87A4F"/>
    <w:rsid w:val="00EB3E6F"/>
    <w:rsid w:val="00EB50CA"/>
    <w:rsid w:val="00EB5611"/>
    <w:rsid w:val="00EB6E05"/>
    <w:rsid w:val="00EC2189"/>
    <w:rsid w:val="00ED37C4"/>
    <w:rsid w:val="00ED43A5"/>
    <w:rsid w:val="00ED5560"/>
    <w:rsid w:val="00ED7498"/>
    <w:rsid w:val="00EF7C5D"/>
    <w:rsid w:val="00F12181"/>
    <w:rsid w:val="00F1252F"/>
    <w:rsid w:val="00F12DC2"/>
    <w:rsid w:val="00F13078"/>
    <w:rsid w:val="00F152DF"/>
    <w:rsid w:val="00F422D7"/>
    <w:rsid w:val="00F4251E"/>
    <w:rsid w:val="00F5059F"/>
    <w:rsid w:val="00F55301"/>
    <w:rsid w:val="00F62553"/>
    <w:rsid w:val="00F75E8A"/>
    <w:rsid w:val="00F81BFA"/>
    <w:rsid w:val="00FD66F1"/>
    <w:rsid w:val="00FF2770"/>
    <w:rsid w:val="00FF4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F7E66E"/>
  <w15:docId w15:val="{BCCAC660-395E-4BE3-8761-B69504F6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326DF5"/>
    <w:rPr>
      <w:color w:val="0000FF" w:themeColor="hyperlink"/>
      <w:u w:val="single"/>
    </w:rPr>
  </w:style>
  <w:style w:type="table" w:styleId="TableGrid">
    <w:name w:val="Table Grid"/>
    <w:basedOn w:val="TableNormal"/>
    <w:rsid w:val="007A6FC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rsid w:val="006B06CF"/>
    <w:pPr>
      <w:widowControl w:val="0"/>
      <w:numPr>
        <w:numId w:val="6"/>
      </w:numPr>
      <w:tabs>
        <w:tab w:val="clear" w:pos="1980"/>
        <w:tab w:val="num" w:pos="720"/>
      </w:tabs>
      <w:autoSpaceDE w:val="0"/>
      <w:autoSpaceDN w:val="0"/>
      <w:adjustRightInd w:val="0"/>
      <w:spacing w:after="0" w:line="240" w:lineRule="auto"/>
      <w:ind w:left="0"/>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16906">
      <w:bodyDiv w:val="1"/>
      <w:marLeft w:val="0"/>
      <w:marRight w:val="0"/>
      <w:marTop w:val="0"/>
      <w:marBottom w:val="0"/>
      <w:divBdr>
        <w:top w:val="none" w:sz="0" w:space="0" w:color="auto"/>
        <w:left w:val="none" w:sz="0" w:space="0" w:color="auto"/>
        <w:bottom w:val="none" w:sz="0" w:space="0" w:color="auto"/>
        <w:right w:val="none" w:sz="0" w:space="0" w:color="auto"/>
      </w:divBdr>
    </w:div>
    <w:div w:id="869222164">
      <w:bodyDiv w:val="1"/>
      <w:marLeft w:val="0"/>
      <w:marRight w:val="0"/>
      <w:marTop w:val="0"/>
      <w:marBottom w:val="0"/>
      <w:divBdr>
        <w:top w:val="none" w:sz="0" w:space="0" w:color="auto"/>
        <w:left w:val="none" w:sz="0" w:space="0" w:color="auto"/>
        <w:bottom w:val="none" w:sz="0" w:space="0" w:color="auto"/>
        <w:right w:val="none" w:sz="0" w:space="0" w:color="auto"/>
      </w:divBdr>
    </w:div>
    <w:div w:id="90322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550</_x0031__x002e__x0020_Collection_x0020_Number>
    <Date xmlns="d6eefc7d-9817-4fa6-84d5-3bc009be21b8">2016-12-16T00:00:00-05:00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IC16-10</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E3D6F-BFA6-482B-8F00-AC4FB52A5211}">
  <ds:schemaRefs>
    <ds:schemaRef ds:uri="d6eefc7d-9817-4fa6-84d5-3bc009be21b8"/>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A9EBED0-905A-48A0-8E76-2E2F3FEF84D8}">
  <ds:schemaRefs>
    <ds:schemaRef ds:uri="http://schemas.microsoft.com/sharepoint/v3/contenttype/forms"/>
  </ds:schemaRefs>
</ds:datastoreItem>
</file>

<file path=customXml/itemProps3.xml><?xml version="1.0" encoding="utf-8"?>
<ds:datastoreItem xmlns:ds="http://schemas.openxmlformats.org/officeDocument/2006/customXml" ds:itemID="{A24BD1E4-86B8-4A27-9914-D2B35A00C62C}">
  <ds:schemaRefs>
    <ds:schemaRef ds:uri="http://schemas.microsoft.com/office/2006/metadata/customXsn"/>
  </ds:schemaRefs>
</ds:datastoreItem>
</file>

<file path=customXml/itemProps4.xml><?xml version="1.0" encoding="utf-8"?>
<ds:datastoreItem xmlns:ds="http://schemas.openxmlformats.org/officeDocument/2006/customXml" ds:itemID="{FED55EDC-15C0-4A52-A6C9-8A1E6C0B1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D8CA16-4CF3-47D1-AF01-2D15E507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comments from OMB ~12/6/2016</vt:lpstr>
    </vt:vector>
  </TitlesOfParts>
  <Company>FERC</Company>
  <LinksUpToDate>false</LinksUpToDate>
  <CharactersWithSpaces>11988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from OMB ~12/6/2016</dc:title>
  <dc:creator>ferc</dc:creator>
  <cp:lastModifiedBy>Ellen Brown</cp:lastModifiedBy>
  <cp:revision>4</cp:revision>
  <cp:lastPrinted>2016-08-23T14:35:00Z</cp:lastPrinted>
  <dcterms:created xsi:type="dcterms:W3CDTF">2016-12-16T20:09:00Z</dcterms:created>
  <dcterms:modified xsi:type="dcterms:W3CDTF">2016-12-16T20:19:00Z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