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59ADF" w14:textId="77777777" w:rsidR="009D6B6D" w:rsidRPr="001D2EC1" w:rsidRDefault="001D2EC1" w:rsidP="001D2EC1">
      <w:pPr>
        <w:widowControl/>
        <w:tabs>
          <w:tab w:val="center" w:pos="5040"/>
        </w:tabs>
        <w:jc w:val="center"/>
      </w:pPr>
      <w:r w:rsidRPr="001D2EC1">
        <w:t>Supporting Statement for</w:t>
      </w:r>
    </w:p>
    <w:p w14:paraId="3443459D" w14:textId="0A4CFDC9" w:rsidR="009D6B6D" w:rsidRDefault="00F41B73" w:rsidP="00F41B73">
      <w:pPr>
        <w:widowControl/>
        <w:tabs>
          <w:tab w:val="center" w:pos="5040"/>
        </w:tabs>
        <w:jc w:val="center"/>
        <w:rPr>
          <w:b/>
          <w:bCs/>
        </w:rPr>
      </w:pPr>
      <w:r>
        <w:rPr>
          <w:b/>
          <w:bCs/>
        </w:rPr>
        <w:t>FERC-725I</w:t>
      </w:r>
      <w:r w:rsidR="009D6B6D" w:rsidRPr="001D2EC1">
        <w:rPr>
          <w:b/>
          <w:bCs/>
        </w:rPr>
        <w:t xml:space="preserve">, </w:t>
      </w:r>
      <w:r>
        <w:rPr>
          <w:b/>
          <w:bCs/>
        </w:rPr>
        <w:t>Mandatory Reliability Standards for the Northeast Power Coordinating Council</w:t>
      </w:r>
    </w:p>
    <w:p w14:paraId="7EFF4572" w14:textId="0E276E68" w:rsidR="0055691F" w:rsidRPr="0055691F" w:rsidRDefault="0055691F" w:rsidP="00F41B73">
      <w:pPr>
        <w:widowControl/>
        <w:tabs>
          <w:tab w:val="center" w:pos="5040"/>
        </w:tabs>
        <w:jc w:val="center"/>
      </w:pPr>
      <w:r>
        <w:rPr>
          <w:bCs/>
        </w:rPr>
        <w:t>for the Order in Docket Number RD16-8-000 (issued on 8/16/2016)</w:t>
      </w:r>
    </w:p>
    <w:p w14:paraId="13D26165" w14:textId="77777777" w:rsidR="009D6B6D" w:rsidRPr="001D2EC1" w:rsidRDefault="009D6B6D" w:rsidP="001D2EC1">
      <w:pPr>
        <w:widowControl/>
        <w:tabs>
          <w:tab w:val="center" w:pos="5040"/>
        </w:tabs>
        <w:jc w:val="center"/>
      </w:pPr>
    </w:p>
    <w:p w14:paraId="08EF0C81" w14:textId="338D495E" w:rsidR="009D6B6D" w:rsidRPr="00912316" w:rsidRDefault="009D6B6D" w:rsidP="00912316">
      <w:pPr>
        <w:widowControl/>
        <w:tabs>
          <w:tab w:val="center" w:pos="5040"/>
        </w:tabs>
        <w:rPr>
          <w:b/>
          <w:bCs/>
        </w:rPr>
      </w:pPr>
      <w:r w:rsidRPr="001D2EC1">
        <w:rPr>
          <w:bCs/>
        </w:rPr>
        <w:t xml:space="preserve">The Federal Energy Regulatory Commission (Commission or FERC) requests that the Office of Management and Budget (OMB) review and approve </w:t>
      </w:r>
      <w:r w:rsidR="00F41B73">
        <w:rPr>
          <w:b/>
          <w:bCs/>
        </w:rPr>
        <w:t>FERC-725I</w:t>
      </w:r>
      <w:r w:rsidR="0064706B">
        <w:rPr>
          <w:b/>
          <w:bCs/>
        </w:rPr>
        <w:t xml:space="preserve"> (</w:t>
      </w:r>
      <w:r w:rsidR="00F41B73">
        <w:rPr>
          <w:b/>
          <w:bCs/>
        </w:rPr>
        <w:t>Mandatory Reliability Standards for the Northeast Power Coordinating Council</w:t>
      </w:r>
      <w:r w:rsidR="00912316">
        <w:rPr>
          <w:b/>
          <w:bCs/>
        </w:rPr>
        <w:t>)</w:t>
      </w:r>
      <w:r w:rsidR="0064706B">
        <w:rPr>
          <w:b/>
          <w:bCs/>
        </w:rPr>
        <w:t xml:space="preserve"> </w:t>
      </w:r>
      <w:r w:rsidR="0035481D" w:rsidRPr="001D2EC1">
        <w:rPr>
          <w:bCs/>
        </w:rPr>
        <w:t>(</w:t>
      </w:r>
      <w:r w:rsidR="00F41B73">
        <w:rPr>
          <w:bCs/>
        </w:rPr>
        <w:t>OMB Control No. 1902-0258</w:t>
      </w:r>
      <w:r w:rsidR="00E32773" w:rsidRPr="001D2EC1">
        <w:rPr>
          <w:bCs/>
        </w:rPr>
        <w:t>)</w:t>
      </w:r>
      <w:r w:rsidR="005D6791" w:rsidRPr="001D2EC1">
        <w:rPr>
          <w:bCs/>
        </w:rPr>
        <w:t>,</w:t>
      </w:r>
      <w:r w:rsidR="00E32773" w:rsidRPr="001D2EC1">
        <w:rPr>
          <w:bCs/>
        </w:rPr>
        <w:t xml:space="preserve"> for a three-</w:t>
      </w:r>
      <w:r w:rsidRPr="001D2EC1">
        <w:rPr>
          <w:bCs/>
        </w:rPr>
        <w:t xml:space="preserve">year period.  </w:t>
      </w:r>
      <w:r w:rsidR="0021208A">
        <w:rPr>
          <w:bCs/>
        </w:rPr>
        <w:t>FERC-</w:t>
      </w:r>
      <w:r w:rsidR="0055691F">
        <w:rPr>
          <w:bCs/>
        </w:rPr>
        <w:t>725I</w:t>
      </w:r>
      <w:r w:rsidR="007D3EF2">
        <w:t xml:space="preserve"> </w:t>
      </w:r>
      <w:r w:rsidR="00CC615D">
        <w:t xml:space="preserve">is an existing data collection with </w:t>
      </w:r>
      <w:r w:rsidRPr="001D2EC1">
        <w:t xml:space="preserve">reporting requirement in 18 Code of Federal Regulations (CFR) </w:t>
      </w:r>
      <w:r w:rsidR="00F41B73">
        <w:t>Part</w:t>
      </w:r>
      <w:r w:rsidR="0064706B" w:rsidRPr="00992C1B">
        <w:t xml:space="preserve"> </w:t>
      </w:r>
      <w:r w:rsidR="00F41B73">
        <w:t>40.</w:t>
      </w:r>
    </w:p>
    <w:p w14:paraId="55BF55CD" w14:textId="77777777" w:rsidR="009D6B6D" w:rsidRPr="001D2EC1" w:rsidRDefault="009D6B6D" w:rsidP="001D2EC1">
      <w:pPr>
        <w:widowControl/>
      </w:pPr>
    </w:p>
    <w:p w14:paraId="284B885E" w14:textId="77777777" w:rsidR="009D6B6D" w:rsidRPr="001D2EC1" w:rsidRDefault="009D6B6D" w:rsidP="001D2EC1">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p>
    <w:p w14:paraId="74BB5164" w14:textId="77777777" w:rsidR="009D6B6D" w:rsidRPr="001D2EC1" w:rsidRDefault="009D6B6D" w:rsidP="001D2EC1">
      <w:pPr>
        <w:widowControl/>
        <w:ind w:left="1440"/>
        <w:rPr>
          <w:b/>
        </w:rPr>
      </w:pPr>
    </w:p>
    <w:p w14:paraId="657EB1B4" w14:textId="1483A4D3" w:rsidR="0055691F" w:rsidRDefault="0055691F" w:rsidP="0055691F">
      <w:r>
        <w:t>In the Energy Policy Act of 2005 (EPAct 2005), Congress entrusted the Commission with a major new responsibility to oversee mandatory, enforceable Reliability Standards for the Nation’s Bulk-Power System (excluding Alaska and Hawaii).  This authority is in Section 215 of the Federal Power Act (FPA)</w:t>
      </w:r>
      <w:r w:rsidR="00EB2BE3" w:rsidRPr="00EB2BE3">
        <w:rPr>
          <w:rStyle w:val="FootnoteReference"/>
          <w:vertAlign w:val="superscript"/>
        </w:rPr>
        <w:footnoteReference w:id="1"/>
      </w:r>
      <w:r>
        <w:t>.  Section 215 requires the Commission to select an Electric Reliability Organization (ERO) that is responsible for proposing, for Commission review and approval, Reliability Standards or modifications to existing Reliability Standards to help protect and improve the reliability of the Nation’s Bulk-Power System.  The Commission has certified the North American Electric Reliability Corporation (NERC) as the ERO.  The Reliability Standards apply to the users, owners and operators of the Bulk-Power System and become mandatory and enforceable in the United States only after Commission approval.  The ERO also is authorized to impose, after notice and opportunity for a hearing, penalties for violations of the Reliability Standards, subject to Commission review and approval.  The ERO may delegate certain responsibilities to Regional Entities, subject to Commission approval.</w:t>
      </w:r>
    </w:p>
    <w:p w14:paraId="0C942598" w14:textId="77777777" w:rsidR="0055691F" w:rsidRDefault="0055691F" w:rsidP="0055691F"/>
    <w:p w14:paraId="48742720" w14:textId="33EE420B" w:rsidR="0055691F" w:rsidRDefault="0055691F" w:rsidP="0055691F">
      <w:r>
        <w:t>The Commission may approve proposed Reliability Standards or modifications to previously approved standards if it finds them “just, reasonable, not unduly discriminatory or preferential, and in the public interest.”  The Commission itself does not have authority to modify proposed standards.  Rather, if the Commission disapproves of a proposed standard o</w:t>
      </w:r>
      <w:r w:rsidR="00EB2BE3">
        <w:t>r modification, S</w:t>
      </w:r>
      <w:r>
        <w:t>ection 215 requires the Commission to remand it to the ERO for further consideration.  The Commission, upon its own motion or upon complaint, may direct the ERO to submit a proposed standard or modification on a specific matter but it does not have the authority to modify or author a standard and must depend upon the ERO to do so.</w:t>
      </w:r>
    </w:p>
    <w:p w14:paraId="1C693E9F" w14:textId="77777777" w:rsidR="0055691F" w:rsidRDefault="0055691F" w:rsidP="0055691F"/>
    <w:p w14:paraId="2B0DD436" w14:textId="77777777" w:rsidR="0055691F" w:rsidRDefault="0055691F" w:rsidP="0055691F">
      <w:r>
        <w:t xml:space="preserve">Reliability Standards that the ERO proposes to the Commission may include Reliability Standards that are developed by a Regional Entity.   On April 19, 2007, the Commission approved delegation agreements between NERC and eight Regional Entities, including NPCC.   In the Delegation Agreement Order, the Commission accepted NPCC as a Regional Entity and accepted NPCC’s Standards Development Manual, which sets forth the process for NPCC’s development of regional Reliability Standards.   The NPCC region is a less than interconnection-wide region, and its standards apply only to that part of the Eastern Interconnection within the </w:t>
      </w:r>
      <w:r>
        <w:lastRenderedPageBreak/>
        <w:t>NPCC geographical footprint.</w:t>
      </w:r>
    </w:p>
    <w:p w14:paraId="3592DCBD" w14:textId="77777777" w:rsidR="006856DD" w:rsidRDefault="006856DD" w:rsidP="0055691F"/>
    <w:p w14:paraId="4C92F070" w14:textId="77777777" w:rsidR="0055691F" w:rsidRDefault="0055691F" w:rsidP="0055691F">
      <w:r>
        <w:t>In Order No. 672, the Commission urged uniformity of Reliability Standards, but recognized a potential need for regional differences.   Accordingly, the Commission stated that:</w:t>
      </w:r>
    </w:p>
    <w:p w14:paraId="3C1EC3D7" w14:textId="3491F7B1" w:rsidR="0055691F" w:rsidRDefault="0055691F" w:rsidP="0055691F">
      <w:r>
        <w:t>As a general matter, we will accept the following two types of regional differences, provided they are otherwise just, reasonable, not unduly discriminatory or preferential and in the public interest, as required under the statute:  (1) a regional difference that is more stringent than the continent-wide Reliability Standard, including a regional difference that addresses matters that the continent-wide Reliability Standard does not; and (2) a regional Reliability Standard that is necessitated by a physical difference in the Bulk-Power System.</w:t>
      </w:r>
    </w:p>
    <w:p w14:paraId="14C0693D" w14:textId="77777777" w:rsidR="0055691F" w:rsidRDefault="0055691F" w:rsidP="0055691F"/>
    <w:p w14:paraId="6ABDCCB9" w14:textId="77777777" w:rsidR="00F80188" w:rsidRDefault="0055691F" w:rsidP="0055691F">
      <w:r>
        <w:t xml:space="preserve">On March 16, 2007, the Commission issued Order No. 693, approving 83 of the 107 Reliability Standards filed by the ERO.   In that order, the Commission determined that it would not take action on certain proposed Reliability Standards that required supplemental information from regional reliability organizations.  Such Reliability Standards refer to regional criteria or procedures that had not been submitted to the Commission for approval and, as such, are referred to as “fill-in-the-blank” standards.  </w:t>
      </w:r>
    </w:p>
    <w:p w14:paraId="27358C5C" w14:textId="77777777" w:rsidR="00F80188" w:rsidRDefault="00F80188" w:rsidP="0055691F"/>
    <w:p w14:paraId="034BF011" w14:textId="4C567D3D" w:rsidR="0055691F" w:rsidRDefault="00F80188" w:rsidP="0055691F">
      <w:r>
        <w:t xml:space="preserve">The </w:t>
      </w:r>
      <w:r w:rsidR="0055691F">
        <w:t>Reliability Standard PRC-002-1 (Define Regional Disturban</w:t>
      </w:r>
      <w:r w:rsidR="006856DD">
        <w:t>ce Monitoring and Reporting) was</w:t>
      </w:r>
      <w:r w:rsidR="0055691F">
        <w:t xml:space="preserve"> one such fill-in-the-b</w:t>
      </w:r>
      <w:r w:rsidR="003E0EE9">
        <w:t>lank standard and, therefore, was</w:t>
      </w:r>
      <w:r w:rsidR="0055691F">
        <w:t xml:space="preserve"> not enforceable.  NERC’s continent-wide, fill-in-the-blank standard PRC-002-1 would require regional reliability organizations to establish:  (i) installation requirements for sequence of event recording, fault recording, and dynamic disturbance recording, and (ii) reporting requirements for recorded disturb</w:t>
      </w:r>
      <w:r w:rsidR="003E0EE9">
        <w:t>ance data.  Because PRC-002-1 was</w:t>
      </w:r>
      <w:r w:rsidR="0055691F">
        <w:t xml:space="preserve"> an unenforceable and unapproved fill-in-the-blank standard, NPCC’s proposed regional Reliabi</w:t>
      </w:r>
      <w:r w:rsidR="003E0EE9">
        <w:t>lity Standard PRC-002-NPCC-01 was</w:t>
      </w:r>
      <w:r w:rsidR="0055691F">
        <w:t xml:space="preserve"> intended to fill the reliability gap related to disturbance monitoring and reporting by establishing enforceable disturbance monitoring and reporting requirements for the NPCC region.</w:t>
      </w:r>
    </w:p>
    <w:p w14:paraId="5ED8136C" w14:textId="77777777" w:rsidR="0055691F" w:rsidRDefault="0055691F" w:rsidP="0055691F"/>
    <w:p w14:paraId="6231B397" w14:textId="058E567A" w:rsidR="0064706B" w:rsidRPr="00912316" w:rsidRDefault="0055691F" w:rsidP="0055691F">
      <w:r>
        <w:t>The Regional Reliability stand</w:t>
      </w:r>
      <w:r w:rsidR="00F80188">
        <w:t>ard, PRC-006-NPCC-1 (</w:t>
      </w:r>
      <w:r>
        <w:t>Automat</w:t>
      </w:r>
      <w:r w:rsidR="00F80188">
        <w:t>ic Underfrequency Load Shedding</w:t>
      </w:r>
      <w:r w:rsidR="00F80188" w:rsidRPr="00F80188">
        <w:rPr>
          <w:rStyle w:val="FootnoteReference"/>
          <w:vertAlign w:val="superscript"/>
        </w:rPr>
        <w:footnoteReference w:id="2"/>
      </w:r>
      <w:r w:rsidR="00F80188">
        <w:t>)</w:t>
      </w:r>
      <w:r>
        <w:t xml:space="preserve"> will provide regional requirements for Automatic Underfrequency Load Shedding to applicable entities in NPCC. UFLS requirements have been in place at a continent-wide level and within NPCC for many years prior to the implementation of federally mandated reliability standards in 2007.  NPCC and its members believe that a region-wide, fully coordinated single set of UFLS requirements is necessary to create an effective and efficient UFLS program, and their experience has supported that belief</w:t>
      </w:r>
      <w:r w:rsidR="00B342A4">
        <w:t>.</w:t>
      </w:r>
    </w:p>
    <w:p w14:paraId="095CE0E8" w14:textId="77777777" w:rsidR="001F3ADE" w:rsidRPr="00912316" w:rsidRDefault="001F3ADE" w:rsidP="001F3ADE">
      <w:pPr>
        <w:pStyle w:val="FERCparanumber"/>
        <w:numPr>
          <w:ilvl w:val="0"/>
          <w:numId w:val="0"/>
        </w:numPr>
        <w:tabs>
          <w:tab w:val="left" w:pos="720"/>
          <w:tab w:val="left" w:pos="4860"/>
        </w:tabs>
        <w:rPr>
          <w:sz w:val="24"/>
        </w:rPr>
      </w:pPr>
    </w:p>
    <w:p w14:paraId="31D7969C" w14:textId="77777777" w:rsidR="009D6B6D" w:rsidRPr="00980E8E" w:rsidRDefault="009D6B6D" w:rsidP="001D2EC1">
      <w:pPr>
        <w:pStyle w:val="FERCparanumber"/>
        <w:numPr>
          <w:ilvl w:val="0"/>
          <w:numId w:val="7"/>
        </w:numPr>
        <w:tabs>
          <w:tab w:val="left" w:pos="720"/>
          <w:tab w:val="left" w:pos="4860"/>
        </w:tabs>
        <w:rPr>
          <w:sz w:val="24"/>
        </w:rPr>
      </w:pPr>
      <w:r w:rsidRPr="001D2EC1">
        <w:rPr>
          <w:b/>
          <w:sz w:val="24"/>
        </w:rPr>
        <w:t>HOW, BY WHOM AND FOR WHAT P</w:t>
      </w:r>
      <w:r w:rsidR="00980E8E">
        <w:rPr>
          <w:b/>
          <w:sz w:val="24"/>
        </w:rPr>
        <w:t xml:space="preserve">URPOSE IS THE INFORMATION </w:t>
      </w:r>
      <w:r w:rsidR="00980E8E" w:rsidRPr="00980E8E">
        <w:rPr>
          <w:b/>
          <w:sz w:val="24"/>
        </w:rPr>
        <w:t>USED AND THE CONSEQUENCES OF NOT COLLECTING THE INFORMATION</w:t>
      </w:r>
    </w:p>
    <w:p w14:paraId="2D8172A9" w14:textId="77777777" w:rsidR="003E0EE9" w:rsidRDefault="003E0EE9" w:rsidP="003E0EE9"/>
    <w:p w14:paraId="597CEEF6" w14:textId="1A1E4CDC" w:rsidR="008060D2" w:rsidRDefault="003E0EE9" w:rsidP="003E0EE9">
      <w:r w:rsidRPr="003E2E05">
        <w:rPr>
          <w:szCs w:val="26"/>
        </w:rPr>
        <w:t>On Jun</w:t>
      </w:r>
      <w:r>
        <w:rPr>
          <w:szCs w:val="26"/>
        </w:rPr>
        <w:t>e 9, 2016, the NERC and the NPCC</w:t>
      </w:r>
      <w:r w:rsidRPr="003E2E05">
        <w:rPr>
          <w:szCs w:val="26"/>
        </w:rPr>
        <w:t xml:space="preserve"> filed a petition for Co</w:t>
      </w:r>
      <w:r w:rsidR="00EB2BE3">
        <w:rPr>
          <w:szCs w:val="26"/>
        </w:rPr>
        <w:t>mmission approval, pursuant to S</w:t>
      </w:r>
      <w:r w:rsidRPr="003E2E05">
        <w:rPr>
          <w:szCs w:val="26"/>
        </w:rPr>
        <w:t>ection 215(d)</w:t>
      </w:r>
      <w:r w:rsidR="00EB2BE3">
        <w:rPr>
          <w:szCs w:val="26"/>
        </w:rPr>
        <w:t>(1)  of the FPA</w:t>
      </w:r>
      <w:r w:rsidRPr="003E2E05">
        <w:rPr>
          <w:szCs w:val="26"/>
        </w:rPr>
        <w:t xml:space="preserve"> and Section 39.5</w:t>
      </w:r>
      <w:r w:rsidRPr="003E2E05">
        <w:rPr>
          <w:rStyle w:val="FootnoteReference"/>
        </w:rPr>
        <w:footnoteReference w:id="3"/>
      </w:r>
      <w:r w:rsidRPr="003E2E05">
        <w:rPr>
          <w:szCs w:val="26"/>
        </w:rPr>
        <w:t xml:space="preserve"> of the </w:t>
      </w:r>
      <w:r w:rsidR="00051C82">
        <w:rPr>
          <w:szCs w:val="26"/>
        </w:rPr>
        <w:t>FERC</w:t>
      </w:r>
      <w:r w:rsidRPr="003E2E05">
        <w:rPr>
          <w:szCs w:val="26"/>
        </w:rPr>
        <w:t>’s  regulations, of the retirement of NPCC Regional Reliability Standard PRC-002-NPCC-01 (Disturbance Monitoring) and the two related NPCC regional definitions, Current Zero Time and Generating Plant</w:t>
      </w:r>
      <w:r w:rsidR="00051C82">
        <w:t>.</w:t>
      </w:r>
    </w:p>
    <w:p w14:paraId="7506C8AD" w14:textId="3C6D7E7B" w:rsidR="005131E3" w:rsidRDefault="005131E3" w:rsidP="003E0EE9"/>
    <w:p w14:paraId="70D87E2D" w14:textId="2C875983" w:rsidR="005131E3" w:rsidRPr="00FC04B5" w:rsidRDefault="005131E3" w:rsidP="003E0EE9">
      <w:r w:rsidRPr="005131E3">
        <w:t>On August 16, 2016, FERC issued a letter order approving the joint petition filed by NERC and NPCC for the retirement of PRC-002-NPCC-01 Reliability Standard.</w:t>
      </w:r>
    </w:p>
    <w:p w14:paraId="32B2D492" w14:textId="77777777" w:rsidR="00980E8E" w:rsidRPr="00980E8E" w:rsidRDefault="00980E8E" w:rsidP="00980E8E">
      <w:pPr>
        <w:pStyle w:val="FERCparanumber"/>
        <w:numPr>
          <w:ilvl w:val="0"/>
          <w:numId w:val="0"/>
        </w:numPr>
        <w:tabs>
          <w:tab w:val="left" w:pos="720"/>
          <w:tab w:val="left" w:pos="4860"/>
        </w:tabs>
        <w:rPr>
          <w:sz w:val="24"/>
        </w:rPr>
      </w:pPr>
    </w:p>
    <w:p w14:paraId="1191C360" w14:textId="77777777" w:rsidR="00980E8E" w:rsidRPr="00980E8E" w:rsidRDefault="00980E8E" w:rsidP="005240A1">
      <w:pPr>
        <w:widowControl/>
        <w:numPr>
          <w:ilvl w:val="0"/>
          <w:numId w:val="7"/>
        </w:numPr>
      </w:pPr>
      <w:r w:rsidRPr="001D2EC1">
        <w:rPr>
          <w:b/>
        </w:rPr>
        <w:t>DESCRIBE ANY CONSIDERATION OF THE USE OF IMPROVED INFORMATION TECHNOLOGY TO REDUCE BURDEN AND THE TECHNICAL OR LE</w:t>
      </w:r>
      <w:r>
        <w:rPr>
          <w:b/>
        </w:rPr>
        <w:t>GAL OBSTACLES TO REDUCING BURDEN</w:t>
      </w:r>
    </w:p>
    <w:p w14:paraId="200107A7" w14:textId="77777777" w:rsidR="00980E8E" w:rsidRPr="00980E8E" w:rsidRDefault="00980E8E" w:rsidP="00980E8E"/>
    <w:p w14:paraId="307B8A29" w14:textId="077FD46B" w:rsidR="005240A1" w:rsidRDefault="00111258" w:rsidP="007B3A75">
      <w:r>
        <w:t xml:space="preserve">The retired </w:t>
      </w:r>
      <w:r w:rsidR="00F80188">
        <w:t xml:space="preserve">PRC-002-NPCC-01 </w:t>
      </w:r>
      <w:r>
        <w:t>Reliability Standard</w:t>
      </w:r>
      <w:r w:rsidRPr="00111258">
        <w:t xml:space="preserve"> do</w:t>
      </w:r>
      <w:r>
        <w:t>es</w:t>
      </w:r>
      <w:r w:rsidRPr="00111258">
        <w:t xml:space="preserve"> not require information to</w:t>
      </w:r>
      <w:r>
        <w:t xml:space="preserve"> be filed with the Commission</w:t>
      </w:r>
      <w:r w:rsidR="00042ECE" w:rsidRPr="00400F07">
        <w:t>.</w:t>
      </w:r>
    </w:p>
    <w:p w14:paraId="1133AECD" w14:textId="77777777" w:rsidR="00042ECE" w:rsidRDefault="00042ECE" w:rsidP="00042ECE"/>
    <w:p w14:paraId="0E702588" w14:textId="77777777" w:rsidR="009D6B6D" w:rsidRPr="00BD4039" w:rsidRDefault="009D6B6D" w:rsidP="005240A1">
      <w:pPr>
        <w:pStyle w:val="FERCparanumber"/>
        <w:numPr>
          <w:ilvl w:val="0"/>
          <w:numId w:val="7"/>
        </w:numPr>
        <w:rPr>
          <w:sz w:val="24"/>
        </w:rPr>
      </w:pPr>
      <w:r w:rsidRPr="001D2EC1">
        <w:rPr>
          <w:b/>
          <w:sz w:val="24"/>
        </w:rPr>
        <w:t>DESCRIBE EFFORTS TO IDENTIFY DUPLICATON AND SHOW SPECIFICALLY WHY ANY SIMILAR INFORMATION ALREADY AVAILABLE CANNOT BE USED OR MODIFIED FOR USE FOR THE PURPOSE(S) DESCRIBED IN INSTRUCTION NO. 2.</w:t>
      </w:r>
    </w:p>
    <w:p w14:paraId="7F5C95B0" w14:textId="77777777" w:rsidR="00BD4039" w:rsidRDefault="00BD4039" w:rsidP="00BD4039">
      <w:pPr>
        <w:pStyle w:val="FERCparanumber"/>
        <w:numPr>
          <w:ilvl w:val="0"/>
          <w:numId w:val="0"/>
        </w:numPr>
        <w:rPr>
          <w:b/>
          <w:sz w:val="24"/>
        </w:rPr>
      </w:pPr>
    </w:p>
    <w:p w14:paraId="2F69EA4C" w14:textId="77777777" w:rsidR="00111258" w:rsidRDefault="00111258" w:rsidP="00111258">
      <w:r>
        <w:t>The Commission periodically reviews filing requirements concurrent with OMB review or as the Commission deems necessary to eliminate duplicative filing and to minimize the filing burden.</w:t>
      </w:r>
    </w:p>
    <w:p w14:paraId="0D4E278D" w14:textId="263101E0" w:rsidR="00111258" w:rsidRDefault="00111258" w:rsidP="00111258">
      <w:r>
        <w:t>Reliability Standards are developed by a collaborative process which requires industry participation.</w:t>
      </w:r>
    </w:p>
    <w:p w14:paraId="4DF7602A" w14:textId="77777777" w:rsidR="00111258" w:rsidRDefault="00111258" w:rsidP="00111258"/>
    <w:p w14:paraId="44C363AB" w14:textId="47E83934" w:rsidR="00BD4039" w:rsidRDefault="00111258" w:rsidP="00111258">
      <w:r>
        <w:t>The Commission is unaware of any other source of information similar to the retired requirements</w:t>
      </w:r>
      <w:r w:rsidR="007B3A75">
        <w:t>.</w:t>
      </w:r>
    </w:p>
    <w:p w14:paraId="01E02908" w14:textId="77777777" w:rsidR="008060D2" w:rsidRPr="00BD4039" w:rsidRDefault="008060D2" w:rsidP="00BD4039">
      <w:pPr>
        <w:pStyle w:val="FERCparanumber"/>
        <w:numPr>
          <w:ilvl w:val="0"/>
          <w:numId w:val="0"/>
        </w:numPr>
        <w:rPr>
          <w:sz w:val="24"/>
        </w:rPr>
      </w:pPr>
    </w:p>
    <w:p w14:paraId="16D376F5" w14:textId="77777777" w:rsidR="009D6B6D" w:rsidRPr="001D2EC1" w:rsidRDefault="009D6B6D" w:rsidP="005240A1">
      <w:pPr>
        <w:pStyle w:val="FERCparanumber"/>
        <w:numPr>
          <w:ilvl w:val="0"/>
          <w:numId w:val="7"/>
        </w:numPr>
        <w:rPr>
          <w:sz w:val="24"/>
        </w:rPr>
      </w:pPr>
      <w:r w:rsidRPr="00BD4039">
        <w:rPr>
          <w:b/>
          <w:sz w:val="24"/>
        </w:rPr>
        <w:t>METHODS USED TO MINIMIZE BURDEN IN COLLECTION OF INFORMATION INVOLVING SMALL ENTITIES</w:t>
      </w:r>
      <w:r w:rsidRPr="001D2EC1">
        <w:rPr>
          <w:sz w:val="24"/>
        </w:rPr>
        <w:t xml:space="preserve"> </w:t>
      </w:r>
    </w:p>
    <w:p w14:paraId="498754B1" w14:textId="77777777" w:rsidR="009D6B6D" w:rsidRPr="001D2EC1" w:rsidRDefault="009D6B6D" w:rsidP="001D2EC1">
      <w:pPr>
        <w:widowControl/>
        <w:ind w:left="1440"/>
      </w:pPr>
    </w:p>
    <w:p w14:paraId="130179B7" w14:textId="7608819B" w:rsidR="00111258" w:rsidRPr="00111258" w:rsidRDefault="00F80188" w:rsidP="00111258">
      <w:pPr>
        <w:rPr>
          <w:bCs/>
        </w:rPr>
      </w:pPr>
      <w:r>
        <w:rPr>
          <w:bCs/>
        </w:rPr>
        <w:t xml:space="preserve">The </w:t>
      </w:r>
      <w:r>
        <w:t xml:space="preserve">PRC-002-NPCC-01 </w:t>
      </w:r>
      <w:r w:rsidR="00111258" w:rsidRPr="00111258">
        <w:rPr>
          <w:bCs/>
        </w:rPr>
        <w:t>Reliability Standard do</w:t>
      </w:r>
      <w:r>
        <w:rPr>
          <w:bCs/>
        </w:rPr>
        <w:t>es</w:t>
      </w:r>
      <w:r w:rsidR="00111258" w:rsidRPr="00111258">
        <w:rPr>
          <w:bCs/>
        </w:rPr>
        <w:t xml:space="preserve"> not contain provisions for minimizing the burden of the collection for small entities.  All the requirements in the Reliability Standard apply to every applicable entity. However, Small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at sections 507 and 508.</w:t>
      </w:r>
      <w:r w:rsidR="00111258" w:rsidRPr="00111258">
        <w:rPr>
          <w:bCs/>
          <w:vertAlign w:val="superscript"/>
        </w:rPr>
        <w:footnoteReference w:id="4"/>
      </w:r>
    </w:p>
    <w:p w14:paraId="2329B0A1" w14:textId="77777777" w:rsidR="005240A1" w:rsidRDefault="005240A1" w:rsidP="005240A1">
      <w:pPr>
        <w:pStyle w:val="FERCparanumber"/>
        <w:numPr>
          <w:ilvl w:val="0"/>
          <w:numId w:val="0"/>
        </w:numPr>
        <w:tabs>
          <w:tab w:val="num" w:pos="0"/>
        </w:tabs>
        <w:rPr>
          <w:sz w:val="24"/>
        </w:rPr>
      </w:pPr>
    </w:p>
    <w:p w14:paraId="1169CF0E" w14:textId="77777777" w:rsidR="009D6B6D" w:rsidRPr="00BB6095" w:rsidRDefault="009D6B6D" w:rsidP="005240A1">
      <w:pPr>
        <w:pStyle w:val="FERCparanumber"/>
        <w:numPr>
          <w:ilvl w:val="0"/>
          <w:numId w:val="7"/>
        </w:numPr>
        <w:rPr>
          <w:sz w:val="24"/>
        </w:rPr>
      </w:pPr>
      <w:r w:rsidRPr="001D2EC1">
        <w:rPr>
          <w:b/>
          <w:sz w:val="24"/>
        </w:rPr>
        <w:t>CONSEQUENCE TO FEDERAL PROGRAM IF COLLECTION WERE CONDUCTED LESS FREQUENTLY</w:t>
      </w:r>
    </w:p>
    <w:p w14:paraId="23391944" w14:textId="77777777" w:rsidR="00BB6095" w:rsidRDefault="00BB6095" w:rsidP="00BB6095">
      <w:pPr>
        <w:pStyle w:val="FERCparanumber"/>
        <w:numPr>
          <w:ilvl w:val="0"/>
          <w:numId w:val="0"/>
        </w:numPr>
        <w:rPr>
          <w:b/>
          <w:sz w:val="24"/>
        </w:rPr>
      </w:pPr>
    </w:p>
    <w:p w14:paraId="4F0A656F" w14:textId="3E263335" w:rsidR="00BB6095" w:rsidRDefault="00111258" w:rsidP="00BB6095">
      <w:pPr>
        <w:pStyle w:val="FERCparanumber"/>
        <w:numPr>
          <w:ilvl w:val="0"/>
          <w:numId w:val="0"/>
        </w:numPr>
        <w:rPr>
          <w:sz w:val="24"/>
        </w:rPr>
      </w:pPr>
      <w:r>
        <w:rPr>
          <w:sz w:val="24"/>
        </w:rPr>
        <w:t xml:space="preserve">The </w:t>
      </w:r>
      <w:r w:rsidR="00F80188">
        <w:t xml:space="preserve">PRC-002-NPCC-01 </w:t>
      </w:r>
      <w:r>
        <w:rPr>
          <w:sz w:val="24"/>
        </w:rPr>
        <w:t>Reliability Standard</w:t>
      </w:r>
      <w:r w:rsidR="00F80188">
        <w:rPr>
          <w:sz w:val="24"/>
        </w:rPr>
        <w:t xml:space="preserve"> and two NPCC definitions are</w:t>
      </w:r>
      <w:r>
        <w:rPr>
          <w:sz w:val="24"/>
        </w:rPr>
        <w:t xml:space="preserve"> being retired.  The NPCC Regional Reliability Standard requirement</w:t>
      </w:r>
      <w:r w:rsidR="00F80188">
        <w:rPr>
          <w:sz w:val="24"/>
        </w:rPr>
        <w:t>s</w:t>
      </w:r>
      <w:r>
        <w:rPr>
          <w:sz w:val="24"/>
        </w:rPr>
        <w:t xml:space="preserve"> </w:t>
      </w:r>
      <w:r w:rsidR="00F80188">
        <w:rPr>
          <w:sz w:val="24"/>
        </w:rPr>
        <w:t>are</w:t>
      </w:r>
      <w:r>
        <w:rPr>
          <w:sz w:val="24"/>
        </w:rPr>
        <w:t xml:space="preserve"> addressed in the continent-wide Reliability Standard and can be retired with no adverse effect on reliability</w:t>
      </w:r>
      <w:r w:rsidRPr="00111258">
        <w:rPr>
          <w:rStyle w:val="FootnoteReference"/>
          <w:sz w:val="24"/>
          <w:vertAlign w:val="superscript"/>
        </w:rPr>
        <w:footnoteReference w:id="5"/>
      </w:r>
      <w:r>
        <w:rPr>
          <w:sz w:val="24"/>
        </w:rPr>
        <w:t>.</w:t>
      </w:r>
    </w:p>
    <w:p w14:paraId="69D49CAE" w14:textId="77777777" w:rsidR="00111258" w:rsidRPr="00BB6095" w:rsidRDefault="00111258" w:rsidP="00BB6095">
      <w:pPr>
        <w:pStyle w:val="FERCparanumber"/>
        <w:numPr>
          <w:ilvl w:val="0"/>
          <w:numId w:val="0"/>
        </w:numPr>
        <w:rPr>
          <w:sz w:val="24"/>
        </w:rPr>
      </w:pPr>
    </w:p>
    <w:p w14:paraId="5CE22EF6" w14:textId="77777777" w:rsidR="00BB6095" w:rsidRPr="00BB6095" w:rsidRDefault="00BB6095" w:rsidP="005240A1">
      <w:pPr>
        <w:pStyle w:val="FERCparanumber"/>
        <w:numPr>
          <w:ilvl w:val="0"/>
          <w:numId w:val="7"/>
        </w:numPr>
        <w:rPr>
          <w:sz w:val="24"/>
        </w:rPr>
      </w:pPr>
      <w:r w:rsidRPr="001D2EC1">
        <w:rPr>
          <w:b/>
          <w:sz w:val="24"/>
        </w:rPr>
        <w:lastRenderedPageBreak/>
        <w:t>EXPLAIN ANY SPECIAL CIRCUMSTANCES RELATING TO THE INFORMATION</w:t>
      </w:r>
    </w:p>
    <w:p w14:paraId="6C3072D3" w14:textId="77777777" w:rsidR="00BB6095" w:rsidRDefault="00BB6095" w:rsidP="00BB6095">
      <w:pPr>
        <w:pStyle w:val="FERCparanumber"/>
        <w:numPr>
          <w:ilvl w:val="0"/>
          <w:numId w:val="0"/>
        </w:numPr>
        <w:rPr>
          <w:b/>
          <w:sz w:val="24"/>
        </w:rPr>
      </w:pPr>
    </w:p>
    <w:p w14:paraId="19B1F23B" w14:textId="46BAD2DE" w:rsidR="00BB6095" w:rsidRPr="001D2EC1" w:rsidRDefault="009D6E84" w:rsidP="00042ECE">
      <w:r w:rsidRPr="009D6E84">
        <w:t>There are no special circumstances</w:t>
      </w:r>
      <w:r w:rsidR="00CB3EA0" w:rsidRPr="000B2C9D">
        <w:t>.</w:t>
      </w:r>
      <w:r w:rsidR="00BB6095" w:rsidRPr="001D2EC1">
        <w:t xml:space="preserve"> </w:t>
      </w:r>
    </w:p>
    <w:p w14:paraId="5AA6725C" w14:textId="77777777" w:rsidR="00BB6095" w:rsidRPr="00BB6095" w:rsidRDefault="00BB6095" w:rsidP="00BB6095">
      <w:pPr>
        <w:pStyle w:val="FERCparanumber"/>
        <w:numPr>
          <w:ilvl w:val="0"/>
          <w:numId w:val="0"/>
        </w:numPr>
        <w:rPr>
          <w:sz w:val="24"/>
        </w:rPr>
      </w:pPr>
    </w:p>
    <w:p w14:paraId="3E7E24B7" w14:textId="77777777" w:rsidR="009D6B6D" w:rsidRPr="00BB6095" w:rsidRDefault="00BB6095" w:rsidP="001D2EC1">
      <w:pPr>
        <w:pStyle w:val="FERCparanumber"/>
        <w:numPr>
          <w:ilvl w:val="0"/>
          <w:numId w:val="7"/>
        </w:numPr>
        <w:rPr>
          <w:sz w:val="24"/>
        </w:rPr>
      </w:pPr>
      <w:r w:rsidRPr="001D2EC1">
        <w:rPr>
          <w:b/>
          <w:sz w:val="24"/>
        </w:rPr>
        <w:t>DESCRIBE EFFORTS TO CONSULT OUTSIDE THE AGENCY: SUMMARIZE PUBLIC COMMENTS AND THE AGENCY’S RESPONSE TO THESE COMMENTS</w:t>
      </w:r>
    </w:p>
    <w:p w14:paraId="08534C89" w14:textId="77777777" w:rsidR="00BB6095" w:rsidRDefault="00BB6095" w:rsidP="00BB6095">
      <w:pPr>
        <w:pStyle w:val="FERCparanumber"/>
        <w:numPr>
          <w:ilvl w:val="0"/>
          <w:numId w:val="0"/>
        </w:numPr>
        <w:rPr>
          <w:b/>
          <w:sz w:val="24"/>
        </w:rPr>
      </w:pPr>
    </w:p>
    <w:p w14:paraId="7EABE541" w14:textId="43B06C10" w:rsidR="00BB6095" w:rsidRPr="001D2EC1" w:rsidRDefault="00BB6095" w:rsidP="00BB6095">
      <w:r w:rsidRPr="00E138E1">
        <w:t>In accordance with OMB requirements, the Commission published a 60-day notice</w:t>
      </w:r>
      <w:bookmarkStart w:id="0" w:name="_Ref332712251"/>
      <w:r w:rsidRPr="00E138E1">
        <w:rPr>
          <w:rStyle w:val="FootnoteReference"/>
          <w:vertAlign w:val="superscript"/>
        </w:rPr>
        <w:footnoteReference w:id="6"/>
      </w:r>
      <w:bookmarkEnd w:id="0"/>
      <w:r w:rsidRPr="00E138E1">
        <w:t xml:space="preserve"> and a 30-day notice</w:t>
      </w:r>
      <w:r w:rsidRPr="00E138E1">
        <w:rPr>
          <w:rStyle w:val="FootnoteReference"/>
          <w:vertAlign w:val="superscript"/>
        </w:rPr>
        <w:footnoteReference w:id="7"/>
      </w:r>
      <w:r w:rsidRPr="00E138E1">
        <w:t xml:space="preserve"> to the public regarding this information collection on </w:t>
      </w:r>
      <w:r w:rsidR="009D6E84">
        <w:t>8/16</w:t>
      </w:r>
      <w:r w:rsidR="00CB3EA0">
        <w:t>/</w:t>
      </w:r>
      <w:r w:rsidR="00CB3EA0" w:rsidRPr="00111258">
        <w:t>2016</w:t>
      </w:r>
      <w:r w:rsidRPr="00111258">
        <w:t xml:space="preserve"> and </w:t>
      </w:r>
      <w:r w:rsidR="00111258" w:rsidRPr="00111258">
        <w:t>10/26</w:t>
      </w:r>
      <w:r w:rsidR="006C1E96" w:rsidRPr="00111258">
        <w:t>/2016</w:t>
      </w:r>
      <w:r w:rsidRPr="00111258">
        <w:t>, respectively. Within the public notice, the Commission noted that it would be requesting a three</w:t>
      </w:r>
      <w:r w:rsidRPr="00E138E1">
        <w:t>-year extension of the public reporting burden with no change to the existing requirements concerning the collection of data.  The Commission received no comments.</w:t>
      </w:r>
      <w:r w:rsidRPr="001D2EC1">
        <w:t xml:space="preserve">  </w:t>
      </w:r>
    </w:p>
    <w:p w14:paraId="2386E560" w14:textId="77777777" w:rsidR="00BB6095" w:rsidRPr="00BB6095" w:rsidRDefault="00BB6095" w:rsidP="00BB6095">
      <w:pPr>
        <w:pStyle w:val="FERCparanumber"/>
        <w:numPr>
          <w:ilvl w:val="0"/>
          <w:numId w:val="0"/>
        </w:numPr>
        <w:rPr>
          <w:sz w:val="24"/>
        </w:rPr>
      </w:pPr>
    </w:p>
    <w:p w14:paraId="091A69F9" w14:textId="77777777" w:rsidR="009D6B6D" w:rsidRPr="00BB6095" w:rsidRDefault="00BB6095" w:rsidP="001D2EC1">
      <w:pPr>
        <w:pStyle w:val="FERCparanumber"/>
        <w:numPr>
          <w:ilvl w:val="0"/>
          <w:numId w:val="7"/>
        </w:numPr>
        <w:rPr>
          <w:sz w:val="24"/>
        </w:rPr>
      </w:pPr>
      <w:r w:rsidRPr="001D2EC1">
        <w:rPr>
          <w:b/>
          <w:sz w:val="24"/>
        </w:rPr>
        <w:t>EXPLAIN ANY PAYMENT OR GIFTS TO RESPONDENTS</w:t>
      </w:r>
    </w:p>
    <w:p w14:paraId="55601D9E" w14:textId="77777777" w:rsidR="00BB6095" w:rsidRDefault="00BB6095" w:rsidP="00BB6095">
      <w:pPr>
        <w:pStyle w:val="FERCparanumber"/>
        <w:numPr>
          <w:ilvl w:val="0"/>
          <w:numId w:val="0"/>
        </w:numPr>
        <w:rPr>
          <w:b/>
          <w:sz w:val="24"/>
        </w:rPr>
      </w:pPr>
    </w:p>
    <w:p w14:paraId="635D1E06" w14:textId="520716E5" w:rsidR="00BB6095" w:rsidRPr="001D2EC1" w:rsidRDefault="00BB6095" w:rsidP="00BB6095">
      <w:pPr>
        <w:widowControl/>
      </w:pPr>
      <w:r w:rsidRPr="001D2EC1">
        <w:t xml:space="preserve">There are no payments or gifts to respondents </w:t>
      </w:r>
      <w:r w:rsidR="007B025D">
        <w:t>of</w:t>
      </w:r>
      <w:r w:rsidRPr="001D2EC1">
        <w:t xml:space="preserve"> this collection.</w:t>
      </w:r>
    </w:p>
    <w:p w14:paraId="0655AE0A" w14:textId="77777777" w:rsidR="00BB6095" w:rsidRDefault="00BB6095" w:rsidP="00BB6095">
      <w:pPr>
        <w:pStyle w:val="FERCparanumber"/>
        <w:numPr>
          <w:ilvl w:val="0"/>
          <w:numId w:val="0"/>
        </w:numPr>
        <w:rPr>
          <w:b/>
          <w:sz w:val="24"/>
        </w:rPr>
      </w:pPr>
    </w:p>
    <w:p w14:paraId="200271A7" w14:textId="77777777" w:rsidR="00BB6095" w:rsidRPr="00BB6095" w:rsidRDefault="00BB6095" w:rsidP="00BB6095">
      <w:pPr>
        <w:pStyle w:val="FERCparanumber"/>
        <w:numPr>
          <w:ilvl w:val="0"/>
          <w:numId w:val="0"/>
        </w:numPr>
        <w:rPr>
          <w:sz w:val="24"/>
        </w:rPr>
      </w:pPr>
    </w:p>
    <w:p w14:paraId="18CEDA1A" w14:textId="77777777" w:rsidR="009D6B6D" w:rsidRPr="00BB6095" w:rsidRDefault="00BB6095" w:rsidP="001D2EC1">
      <w:pPr>
        <w:pStyle w:val="FERCparanumber"/>
        <w:numPr>
          <w:ilvl w:val="0"/>
          <w:numId w:val="7"/>
        </w:numPr>
        <w:rPr>
          <w:sz w:val="24"/>
        </w:rPr>
      </w:pPr>
      <w:r w:rsidRPr="001D2EC1">
        <w:rPr>
          <w:b/>
          <w:sz w:val="24"/>
        </w:rPr>
        <w:t>DESCRIBE ANY ASSURANCE OF CONFIDENTIALITY PROVIDED TO RESPONDENTS</w:t>
      </w:r>
    </w:p>
    <w:p w14:paraId="5291E765" w14:textId="77777777" w:rsidR="00BB6095" w:rsidRDefault="00BB6095" w:rsidP="00BB6095">
      <w:pPr>
        <w:pStyle w:val="FERCparanumber"/>
        <w:numPr>
          <w:ilvl w:val="0"/>
          <w:numId w:val="0"/>
        </w:numPr>
        <w:rPr>
          <w:b/>
          <w:sz w:val="24"/>
        </w:rPr>
      </w:pPr>
    </w:p>
    <w:p w14:paraId="61546FD8" w14:textId="77777777" w:rsidR="000C4146" w:rsidRPr="00E7335D" w:rsidRDefault="000C4146" w:rsidP="000C4146">
      <w:r w:rsidRPr="00E7335D">
        <w:t>According to t</w:t>
      </w:r>
      <w:r>
        <w:t>he NERC Rule of Procedure 1502,</w:t>
      </w:r>
      <w:r w:rsidRPr="00E7335D">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7F53A47B" w14:textId="77777777" w:rsidR="000C4146" w:rsidRPr="00E7335D" w:rsidRDefault="000C4146" w:rsidP="000C4146"/>
    <w:p w14:paraId="7FB64A9E" w14:textId="46D9FBEB" w:rsidR="00BB6095" w:rsidRDefault="000C4146" w:rsidP="000C4146">
      <w:pPr>
        <w:pStyle w:val="FERCparanumber"/>
        <w:numPr>
          <w:ilvl w:val="0"/>
          <w:numId w:val="0"/>
        </w:numPr>
        <w:rPr>
          <w:sz w:val="24"/>
        </w:rPr>
      </w:pPr>
      <w:r w:rsidRPr="00E7335D">
        <w:rPr>
          <w:sz w:val="24"/>
        </w:rPr>
        <w:t>Responding entities do not submit the information collected under the approved Reliability Standards to FERC.  Rather, they maintain it internally.  Since there are no submissions made to FERC, FERC provides no specific provisions in order to protect confidentiality unless and until any such information is submitted to FERC as part of an enforcement action or other compliance review.</w:t>
      </w:r>
    </w:p>
    <w:p w14:paraId="33A23C51" w14:textId="77777777" w:rsidR="000C4146" w:rsidRPr="00BB6095" w:rsidRDefault="000C4146" w:rsidP="000C4146">
      <w:pPr>
        <w:pStyle w:val="FERCparanumber"/>
        <w:numPr>
          <w:ilvl w:val="0"/>
          <w:numId w:val="0"/>
        </w:numPr>
        <w:rPr>
          <w:sz w:val="24"/>
        </w:rPr>
      </w:pPr>
    </w:p>
    <w:p w14:paraId="0F599F44" w14:textId="6387DEE9" w:rsidR="009D6B6D" w:rsidRPr="00BB6095" w:rsidRDefault="00BB6095" w:rsidP="001D2EC1">
      <w:pPr>
        <w:pStyle w:val="FERCparanumber"/>
        <w:numPr>
          <w:ilvl w:val="0"/>
          <w:numId w:val="7"/>
        </w:numPr>
        <w:rPr>
          <w:sz w:val="24"/>
        </w:rPr>
      </w:pPr>
      <w:r w:rsidRPr="001D2EC1">
        <w:rPr>
          <w:b/>
          <w:sz w:val="24"/>
        </w:rPr>
        <w:t>PROVIDE ADDITIONAL JUSTIFICATION FOR ANY QUESTIONS OF A SENSITIVE NATURE</w:t>
      </w:r>
      <w:r w:rsidR="00860C58">
        <w:rPr>
          <w:b/>
          <w:sz w:val="24"/>
        </w:rPr>
        <w:t xml:space="preserve">, </w:t>
      </w:r>
      <w:r w:rsidR="00860C58" w:rsidRPr="00C62F55">
        <w:rPr>
          <w:b/>
          <w:sz w:val="24"/>
        </w:rPr>
        <w:t>SUCH AS SEXUAL BEHAVIOR AND ATTITUDES, RELIGIOUS BELIEFS, AND OTHER MATTERS THAT ARE COMMONLY CONSIDERED PRIVATE</w:t>
      </w:r>
    </w:p>
    <w:p w14:paraId="7C3F9D96" w14:textId="77777777" w:rsidR="00BB6095" w:rsidRDefault="00BB6095" w:rsidP="00BB6095">
      <w:pPr>
        <w:pStyle w:val="FERCparanumber"/>
        <w:numPr>
          <w:ilvl w:val="0"/>
          <w:numId w:val="0"/>
        </w:numPr>
        <w:rPr>
          <w:b/>
          <w:sz w:val="24"/>
        </w:rPr>
      </w:pPr>
    </w:p>
    <w:p w14:paraId="2F8D71F0" w14:textId="68B79577" w:rsidR="00BB6095" w:rsidRPr="001D2EC1" w:rsidRDefault="000C4146" w:rsidP="00BB6095">
      <w:pPr>
        <w:widowControl/>
        <w:rPr>
          <w:b/>
        </w:rPr>
      </w:pPr>
      <w:r w:rsidRPr="00B16372">
        <w:t>This collection does not include any questions of a sensitive nature</w:t>
      </w:r>
      <w:r w:rsidR="00C444C6">
        <w:t>.</w:t>
      </w:r>
    </w:p>
    <w:p w14:paraId="6058D422" w14:textId="77777777" w:rsidR="00BB6095" w:rsidRPr="00BB6095" w:rsidRDefault="00BB6095" w:rsidP="00BB6095">
      <w:pPr>
        <w:pStyle w:val="FERCparanumber"/>
        <w:numPr>
          <w:ilvl w:val="0"/>
          <w:numId w:val="0"/>
        </w:numPr>
        <w:rPr>
          <w:sz w:val="24"/>
        </w:rPr>
      </w:pPr>
    </w:p>
    <w:p w14:paraId="4ACF1549" w14:textId="77777777" w:rsidR="00BB6095" w:rsidRPr="00BB6095" w:rsidRDefault="00BB6095" w:rsidP="001D2EC1">
      <w:pPr>
        <w:pStyle w:val="FERCparanumber"/>
        <w:numPr>
          <w:ilvl w:val="0"/>
          <w:numId w:val="7"/>
        </w:numPr>
        <w:rPr>
          <w:sz w:val="24"/>
        </w:rPr>
      </w:pPr>
      <w:r w:rsidRPr="001D2EC1">
        <w:rPr>
          <w:b/>
          <w:sz w:val="24"/>
        </w:rPr>
        <w:t>ESTIMATED BURDEN COLLECTION OF INFORMATION</w:t>
      </w:r>
    </w:p>
    <w:p w14:paraId="057071CE" w14:textId="77777777" w:rsidR="00BB6095" w:rsidRDefault="00BB6095" w:rsidP="00BB6095">
      <w:pPr>
        <w:pStyle w:val="FERCparanumber"/>
        <w:numPr>
          <w:ilvl w:val="0"/>
          <w:numId w:val="0"/>
        </w:numPr>
        <w:rPr>
          <w:b/>
          <w:sz w:val="24"/>
        </w:rPr>
      </w:pPr>
    </w:p>
    <w:p w14:paraId="5F68386D" w14:textId="047E6A7F" w:rsidR="005131E3" w:rsidRPr="005131E3" w:rsidRDefault="005131E3" w:rsidP="00BB6095">
      <w:pPr>
        <w:pStyle w:val="FERCparanumber"/>
        <w:numPr>
          <w:ilvl w:val="0"/>
          <w:numId w:val="0"/>
        </w:numPr>
        <w:rPr>
          <w:sz w:val="24"/>
        </w:rPr>
      </w:pPr>
      <w:r>
        <w:rPr>
          <w:sz w:val="24"/>
        </w:rPr>
        <w:lastRenderedPageBreak/>
        <w:t>The following table contains the total reductions to FERC-725I information collection due to the retirement of the PRC-002-NPCC-01 Reliability Standard:</w:t>
      </w:r>
    </w:p>
    <w:p w14:paraId="40359737" w14:textId="77777777" w:rsidR="005131E3" w:rsidRDefault="005131E3" w:rsidP="00BB6095">
      <w:pPr>
        <w:pStyle w:val="FERCparanumber"/>
        <w:numPr>
          <w:ilvl w:val="0"/>
          <w:numId w:val="0"/>
        </w:numPr>
        <w:rPr>
          <w:b/>
          <w:sz w:val="24"/>
        </w:rPr>
      </w:pPr>
    </w:p>
    <w:tbl>
      <w:tblPr>
        <w:tblW w:w="479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7"/>
        <w:gridCol w:w="1320"/>
        <w:gridCol w:w="1499"/>
        <w:gridCol w:w="1409"/>
        <w:gridCol w:w="1312"/>
        <w:gridCol w:w="1318"/>
      </w:tblGrid>
      <w:tr w:rsidR="005131E3" w:rsidRPr="003E2E05" w14:paraId="256D6B90" w14:textId="77777777" w:rsidTr="005131E3">
        <w:trPr>
          <w:cantSplit/>
        </w:trPr>
        <w:tc>
          <w:tcPr>
            <w:tcW w:w="5000" w:type="pct"/>
            <w:gridSpan w:val="6"/>
            <w:shd w:val="clear" w:color="auto" w:fill="D9D9D9"/>
            <w:vAlign w:val="bottom"/>
          </w:tcPr>
          <w:p w14:paraId="5D872A44" w14:textId="059FD2D7" w:rsidR="005131E3" w:rsidRPr="003E2E05" w:rsidRDefault="005131E3" w:rsidP="005131E3">
            <w:pPr>
              <w:jc w:val="center"/>
              <w:rPr>
                <w:rFonts w:eastAsia="Calibri"/>
                <w:b/>
                <w:sz w:val="20"/>
                <w:szCs w:val="20"/>
              </w:rPr>
            </w:pPr>
            <w:r>
              <w:rPr>
                <w:rFonts w:eastAsia="Calibri"/>
                <w:b/>
                <w:sz w:val="20"/>
                <w:szCs w:val="20"/>
              </w:rPr>
              <w:t>Reductions to the FERC-725I information collection due to the retirement of PRC-002-NPCC-01 Reliability Standard</w:t>
            </w:r>
          </w:p>
        </w:tc>
      </w:tr>
      <w:tr w:rsidR="000C4146" w:rsidRPr="003E2E05" w14:paraId="17E360F9" w14:textId="77777777" w:rsidTr="00B007F2">
        <w:trPr>
          <w:cantSplit/>
        </w:trPr>
        <w:tc>
          <w:tcPr>
            <w:tcW w:w="1175" w:type="pct"/>
            <w:shd w:val="clear" w:color="auto" w:fill="D9D9D9"/>
            <w:vAlign w:val="bottom"/>
          </w:tcPr>
          <w:p w14:paraId="260558E9" w14:textId="77777777" w:rsidR="000C4146" w:rsidRPr="003E2E05" w:rsidRDefault="000C4146" w:rsidP="00B007F2">
            <w:pPr>
              <w:jc w:val="center"/>
              <w:rPr>
                <w:rFonts w:eastAsia="Calibri"/>
                <w:b/>
                <w:sz w:val="20"/>
                <w:szCs w:val="20"/>
              </w:rPr>
            </w:pPr>
            <w:r w:rsidRPr="003E2E05">
              <w:rPr>
                <w:rFonts w:eastAsia="Calibri"/>
                <w:b/>
                <w:sz w:val="20"/>
                <w:szCs w:val="20"/>
              </w:rPr>
              <w:t xml:space="preserve">Information Collection Requirements </w:t>
            </w:r>
          </w:p>
        </w:tc>
        <w:tc>
          <w:tcPr>
            <w:tcW w:w="736" w:type="pct"/>
            <w:shd w:val="clear" w:color="auto" w:fill="D9D9D9"/>
            <w:vAlign w:val="bottom"/>
          </w:tcPr>
          <w:p w14:paraId="3630AE40" w14:textId="77777777" w:rsidR="000C4146" w:rsidRPr="003E2E05" w:rsidRDefault="000C4146" w:rsidP="00B007F2">
            <w:pPr>
              <w:jc w:val="center"/>
              <w:rPr>
                <w:rFonts w:eastAsia="Calibri"/>
                <w:b/>
                <w:sz w:val="20"/>
                <w:szCs w:val="20"/>
              </w:rPr>
            </w:pPr>
            <w:r w:rsidRPr="003E2E05">
              <w:rPr>
                <w:rFonts w:eastAsia="Calibri"/>
                <w:b/>
                <w:sz w:val="20"/>
                <w:szCs w:val="20"/>
              </w:rPr>
              <w:t>Number of Respondents</w:t>
            </w:r>
            <w:r w:rsidRPr="003E2E05">
              <w:rPr>
                <w:rFonts w:eastAsia="Calibri"/>
                <w:b/>
                <w:sz w:val="20"/>
                <w:szCs w:val="20"/>
              </w:rPr>
              <w:br/>
              <w:t>(1)</w:t>
            </w:r>
          </w:p>
        </w:tc>
        <w:tc>
          <w:tcPr>
            <w:tcW w:w="836" w:type="pct"/>
            <w:shd w:val="clear" w:color="auto" w:fill="D9D9D9"/>
            <w:vAlign w:val="bottom"/>
          </w:tcPr>
          <w:p w14:paraId="04998B4B" w14:textId="77777777" w:rsidR="000C4146" w:rsidRPr="003E2E05" w:rsidRDefault="000C4146" w:rsidP="00B007F2">
            <w:pPr>
              <w:jc w:val="center"/>
              <w:rPr>
                <w:rFonts w:eastAsia="Calibri"/>
                <w:b/>
                <w:sz w:val="20"/>
                <w:szCs w:val="20"/>
              </w:rPr>
            </w:pPr>
            <w:r w:rsidRPr="003E2E05">
              <w:rPr>
                <w:rFonts w:eastAsia="Calibri"/>
                <w:b/>
                <w:sz w:val="20"/>
                <w:szCs w:val="20"/>
              </w:rPr>
              <w:t>Annual Number of Responses per Respondent</w:t>
            </w:r>
          </w:p>
          <w:p w14:paraId="11817F03" w14:textId="77777777" w:rsidR="000C4146" w:rsidRPr="003E2E05" w:rsidRDefault="000C4146" w:rsidP="00B007F2">
            <w:pPr>
              <w:jc w:val="center"/>
              <w:rPr>
                <w:rFonts w:eastAsia="Calibri"/>
                <w:b/>
                <w:sz w:val="20"/>
                <w:szCs w:val="20"/>
              </w:rPr>
            </w:pPr>
            <w:r w:rsidRPr="003E2E05">
              <w:rPr>
                <w:rFonts w:eastAsia="Calibri"/>
                <w:b/>
                <w:sz w:val="20"/>
                <w:szCs w:val="20"/>
              </w:rPr>
              <w:t>(2)</w:t>
            </w:r>
          </w:p>
        </w:tc>
        <w:tc>
          <w:tcPr>
            <w:tcW w:w="786" w:type="pct"/>
            <w:shd w:val="clear" w:color="auto" w:fill="D9D9D9"/>
            <w:vAlign w:val="bottom"/>
          </w:tcPr>
          <w:p w14:paraId="2FF2437F" w14:textId="77777777" w:rsidR="000C4146" w:rsidRPr="003E2E05" w:rsidRDefault="000C4146" w:rsidP="00B007F2">
            <w:pPr>
              <w:jc w:val="center"/>
              <w:rPr>
                <w:rFonts w:eastAsia="Calibri"/>
                <w:b/>
                <w:sz w:val="20"/>
                <w:szCs w:val="20"/>
              </w:rPr>
            </w:pPr>
            <w:r w:rsidRPr="003E2E05">
              <w:rPr>
                <w:rFonts w:eastAsia="Calibri"/>
                <w:b/>
                <w:sz w:val="20"/>
                <w:szCs w:val="20"/>
              </w:rPr>
              <w:t>Total Number of Responses (1)*(2)=(3)</w:t>
            </w:r>
          </w:p>
        </w:tc>
        <w:tc>
          <w:tcPr>
            <w:tcW w:w="732" w:type="pct"/>
            <w:shd w:val="clear" w:color="auto" w:fill="D9D9D9"/>
            <w:vAlign w:val="bottom"/>
          </w:tcPr>
          <w:p w14:paraId="7C143BD2" w14:textId="77777777" w:rsidR="000C4146" w:rsidRPr="003E2E05" w:rsidRDefault="000C4146" w:rsidP="00B007F2">
            <w:pPr>
              <w:jc w:val="center"/>
              <w:rPr>
                <w:rFonts w:eastAsia="Calibri"/>
                <w:b/>
                <w:sz w:val="20"/>
                <w:szCs w:val="20"/>
              </w:rPr>
            </w:pPr>
            <w:r w:rsidRPr="003E2E05">
              <w:rPr>
                <w:rFonts w:eastAsia="Calibri"/>
                <w:b/>
                <w:sz w:val="20"/>
                <w:szCs w:val="20"/>
              </w:rPr>
              <w:t>Average Burden Hours</w:t>
            </w:r>
          </w:p>
          <w:p w14:paraId="2F47DB94" w14:textId="77777777" w:rsidR="000C4146" w:rsidRPr="003E2E05" w:rsidRDefault="000C4146" w:rsidP="00B007F2">
            <w:pPr>
              <w:jc w:val="center"/>
              <w:rPr>
                <w:rFonts w:eastAsia="Calibri"/>
                <w:b/>
                <w:sz w:val="20"/>
                <w:szCs w:val="20"/>
              </w:rPr>
            </w:pPr>
            <w:r w:rsidRPr="003E2E05">
              <w:rPr>
                <w:rFonts w:eastAsia="Calibri"/>
                <w:b/>
                <w:sz w:val="20"/>
                <w:szCs w:val="20"/>
              </w:rPr>
              <w:t>(4)</w:t>
            </w:r>
          </w:p>
        </w:tc>
        <w:tc>
          <w:tcPr>
            <w:tcW w:w="735" w:type="pct"/>
            <w:shd w:val="clear" w:color="auto" w:fill="D9D9D9"/>
            <w:vAlign w:val="bottom"/>
          </w:tcPr>
          <w:p w14:paraId="72BF9301" w14:textId="77777777" w:rsidR="000C4146" w:rsidRPr="003E2E05" w:rsidRDefault="000C4146" w:rsidP="00B007F2">
            <w:pPr>
              <w:jc w:val="center"/>
              <w:rPr>
                <w:rFonts w:eastAsia="Calibri"/>
                <w:b/>
                <w:sz w:val="20"/>
                <w:szCs w:val="20"/>
              </w:rPr>
            </w:pPr>
            <w:r w:rsidRPr="003E2E05">
              <w:rPr>
                <w:rFonts w:eastAsia="Calibri"/>
                <w:b/>
                <w:sz w:val="20"/>
                <w:szCs w:val="20"/>
              </w:rPr>
              <w:t>Total Annual Burden Hours</w:t>
            </w:r>
          </w:p>
          <w:p w14:paraId="3A779030" w14:textId="77777777" w:rsidR="000C4146" w:rsidRPr="003E2E05" w:rsidRDefault="000C4146" w:rsidP="00B007F2">
            <w:pPr>
              <w:jc w:val="center"/>
              <w:rPr>
                <w:rFonts w:eastAsia="Calibri"/>
                <w:b/>
                <w:sz w:val="20"/>
                <w:szCs w:val="20"/>
              </w:rPr>
            </w:pPr>
            <w:r w:rsidRPr="003E2E05">
              <w:rPr>
                <w:rFonts w:eastAsia="Calibri"/>
                <w:b/>
                <w:sz w:val="20"/>
                <w:szCs w:val="20"/>
              </w:rPr>
              <w:t>(3)*(4)=(5)</w:t>
            </w:r>
          </w:p>
        </w:tc>
      </w:tr>
      <w:tr w:rsidR="000C4146" w:rsidRPr="003E2E05" w14:paraId="322F5347" w14:textId="77777777" w:rsidTr="00B007F2">
        <w:trPr>
          <w:cantSplit/>
        </w:trPr>
        <w:tc>
          <w:tcPr>
            <w:tcW w:w="1175" w:type="pct"/>
          </w:tcPr>
          <w:p w14:paraId="090BFAA4" w14:textId="77777777" w:rsidR="000C4146" w:rsidRPr="003E2E05" w:rsidRDefault="000C4146" w:rsidP="00B007F2">
            <w:pPr>
              <w:rPr>
                <w:rFonts w:eastAsia="Calibri"/>
                <w:sz w:val="20"/>
                <w:szCs w:val="20"/>
              </w:rPr>
            </w:pPr>
            <w:r w:rsidRPr="003E2E05">
              <w:rPr>
                <w:rFonts w:eastAsia="Calibri"/>
                <w:sz w:val="20"/>
                <w:szCs w:val="20"/>
              </w:rPr>
              <w:t>R13: GO</w:t>
            </w:r>
            <w:r w:rsidRPr="003E2E05">
              <w:rPr>
                <w:rFonts w:eastAsia="Calibri"/>
                <w:b/>
                <w:sz w:val="20"/>
                <w:szCs w:val="20"/>
                <w:vertAlign w:val="superscript"/>
              </w:rPr>
              <w:footnoteReference w:id="8"/>
            </w:r>
            <w:r w:rsidRPr="003E2E05">
              <w:rPr>
                <w:rFonts w:eastAsia="Calibri"/>
                <w:sz w:val="20"/>
                <w:szCs w:val="20"/>
              </w:rPr>
              <w:t xml:space="preserve"> and TO to have evidence it acquired and installed dynamic disturbance recorders and a mutually agreed upon implementation schedule with the RC (record retention)</w:t>
            </w:r>
          </w:p>
        </w:tc>
        <w:tc>
          <w:tcPr>
            <w:tcW w:w="736" w:type="pct"/>
            <w:vAlign w:val="bottom"/>
          </w:tcPr>
          <w:p w14:paraId="2B9B1250" w14:textId="77777777" w:rsidR="000C4146" w:rsidRPr="003E2E05" w:rsidRDefault="000C4146" w:rsidP="00B007F2">
            <w:pPr>
              <w:jc w:val="right"/>
              <w:rPr>
                <w:rFonts w:eastAsia="Calibri"/>
                <w:sz w:val="20"/>
                <w:szCs w:val="20"/>
              </w:rPr>
            </w:pPr>
            <w:r w:rsidRPr="003E2E05">
              <w:rPr>
                <w:rFonts w:eastAsia="Calibri"/>
                <w:sz w:val="20"/>
                <w:szCs w:val="20"/>
              </w:rPr>
              <w:t>1</w:t>
            </w:r>
          </w:p>
        </w:tc>
        <w:tc>
          <w:tcPr>
            <w:tcW w:w="836" w:type="pct"/>
            <w:vAlign w:val="bottom"/>
          </w:tcPr>
          <w:p w14:paraId="771A4B65" w14:textId="77777777" w:rsidR="000C4146" w:rsidRPr="003E2E05" w:rsidRDefault="000C4146" w:rsidP="00B007F2">
            <w:pPr>
              <w:jc w:val="right"/>
              <w:rPr>
                <w:rFonts w:eastAsia="Calibri"/>
                <w:sz w:val="20"/>
                <w:szCs w:val="20"/>
              </w:rPr>
            </w:pPr>
            <w:r w:rsidRPr="003E2E05">
              <w:rPr>
                <w:rFonts w:eastAsia="Calibri"/>
                <w:sz w:val="20"/>
                <w:szCs w:val="20"/>
              </w:rPr>
              <w:t>1</w:t>
            </w:r>
          </w:p>
        </w:tc>
        <w:tc>
          <w:tcPr>
            <w:tcW w:w="786" w:type="pct"/>
            <w:vAlign w:val="bottom"/>
          </w:tcPr>
          <w:p w14:paraId="46CB54B5" w14:textId="77777777" w:rsidR="000C4146" w:rsidRPr="003E2E05" w:rsidRDefault="000C4146" w:rsidP="00B007F2">
            <w:pPr>
              <w:jc w:val="right"/>
              <w:rPr>
                <w:rFonts w:eastAsia="Calibri"/>
                <w:sz w:val="20"/>
                <w:szCs w:val="20"/>
              </w:rPr>
            </w:pPr>
            <w:r w:rsidRPr="003E2E05">
              <w:rPr>
                <w:rFonts w:eastAsia="Calibri"/>
                <w:sz w:val="20"/>
                <w:szCs w:val="20"/>
              </w:rPr>
              <w:t>1</w:t>
            </w:r>
          </w:p>
        </w:tc>
        <w:tc>
          <w:tcPr>
            <w:tcW w:w="732" w:type="pct"/>
            <w:vAlign w:val="bottom"/>
          </w:tcPr>
          <w:p w14:paraId="017D76B4" w14:textId="77777777" w:rsidR="000C4146" w:rsidRPr="003E2E05" w:rsidRDefault="000C4146" w:rsidP="00B007F2">
            <w:pPr>
              <w:jc w:val="right"/>
              <w:rPr>
                <w:rFonts w:eastAsia="Calibri"/>
                <w:sz w:val="20"/>
                <w:szCs w:val="20"/>
              </w:rPr>
            </w:pPr>
            <w:r w:rsidRPr="003E2E05">
              <w:rPr>
                <w:rFonts w:eastAsia="Calibri"/>
                <w:sz w:val="20"/>
                <w:szCs w:val="20"/>
              </w:rPr>
              <w:t>10 hrs.</w:t>
            </w:r>
          </w:p>
        </w:tc>
        <w:tc>
          <w:tcPr>
            <w:tcW w:w="735" w:type="pct"/>
            <w:vAlign w:val="bottom"/>
          </w:tcPr>
          <w:p w14:paraId="453F8DCA" w14:textId="77777777" w:rsidR="000C4146" w:rsidRPr="003E2E05" w:rsidRDefault="000C4146" w:rsidP="00B007F2">
            <w:pPr>
              <w:jc w:val="right"/>
              <w:rPr>
                <w:rFonts w:eastAsia="Calibri"/>
                <w:sz w:val="20"/>
                <w:szCs w:val="20"/>
              </w:rPr>
            </w:pPr>
            <w:r w:rsidRPr="003E2E05">
              <w:rPr>
                <w:rFonts w:eastAsia="Calibri"/>
                <w:sz w:val="20"/>
                <w:szCs w:val="20"/>
              </w:rPr>
              <w:t xml:space="preserve"> 10 hrs.</w:t>
            </w:r>
          </w:p>
        </w:tc>
      </w:tr>
      <w:tr w:rsidR="000C4146" w:rsidRPr="003E2E05" w14:paraId="06E843CB" w14:textId="77777777" w:rsidTr="00B007F2">
        <w:trPr>
          <w:cantSplit/>
        </w:trPr>
        <w:tc>
          <w:tcPr>
            <w:tcW w:w="1175" w:type="pct"/>
          </w:tcPr>
          <w:p w14:paraId="5C9AA861" w14:textId="77777777" w:rsidR="000C4146" w:rsidRPr="003E2E05" w:rsidRDefault="000C4146" w:rsidP="00B007F2">
            <w:pPr>
              <w:rPr>
                <w:sz w:val="20"/>
                <w:szCs w:val="20"/>
              </w:rPr>
            </w:pPr>
            <w:r w:rsidRPr="003E2E05">
              <w:rPr>
                <w:sz w:val="20"/>
                <w:szCs w:val="20"/>
              </w:rPr>
              <w:t>R14.5: GO and TO to have evidence of a maintenance and testing program for stand-alone disturbance monitoring equipment including monthly verification of active analog quantities</w:t>
            </w:r>
          </w:p>
        </w:tc>
        <w:tc>
          <w:tcPr>
            <w:tcW w:w="736" w:type="pct"/>
            <w:vAlign w:val="bottom"/>
          </w:tcPr>
          <w:p w14:paraId="343A660F" w14:textId="77777777" w:rsidR="000C4146" w:rsidRPr="003E2E05" w:rsidRDefault="000C4146" w:rsidP="00B007F2">
            <w:pPr>
              <w:jc w:val="right"/>
              <w:rPr>
                <w:rFonts w:eastAsia="Calibri"/>
                <w:sz w:val="20"/>
                <w:szCs w:val="20"/>
              </w:rPr>
            </w:pPr>
            <w:r w:rsidRPr="003E2E05">
              <w:rPr>
                <w:rFonts w:eastAsia="Calibri"/>
                <w:sz w:val="20"/>
                <w:szCs w:val="20"/>
              </w:rPr>
              <w:t>169</w:t>
            </w:r>
          </w:p>
        </w:tc>
        <w:tc>
          <w:tcPr>
            <w:tcW w:w="836" w:type="pct"/>
            <w:vAlign w:val="bottom"/>
          </w:tcPr>
          <w:p w14:paraId="3F6A189A" w14:textId="77777777" w:rsidR="000C4146" w:rsidRPr="003E2E05" w:rsidRDefault="000C4146" w:rsidP="00B007F2">
            <w:pPr>
              <w:jc w:val="right"/>
              <w:rPr>
                <w:rFonts w:eastAsia="Calibri"/>
                <w:sz w:val="20"/>
                <w:szCs w:val="20"/>
              </w:rPr>
            </w:pPr>
            <w:r w:rsidRPr="003E2E05">
              <w:rPr>
                <w:rFonts w:eastAsia="Calibri"/>
                <w:sz w:val="20"/>
                <w:szCs w:val="20"/>
              </w:rPr>
              <w:t>12</w:t>
            </w:r>
          </w:p>
        </w:tc>
        <w:tc>
          <w:tcPr>
            <w:tcW w:w="786" w:type="pct"/>
            <w:vAlign w:val="bottom"/>
          </w:tcPr>
          <w:p w14:paraId="643EACE7" w14:textId="77777777" w:rsidR="000C4146" w:rsidRPr="003E2E05" w:rsidRDefault="000C4146" w:rsidP="00B007F2">
            <w:pPr>
              <w:jc w:val="right"/>
              <w:rPr>
                <w:rFonts w:eastAsia="Calibri"/>
                <w:sz w:val="20"/>
                <w:szCs w:val="20"/>
              </w:rPr>
            </w:pPr>
            <w:r w:rsidRPr="003E2E05">
              <w:rPr>
                <w:rFonts w:eastAsia="Calibri"/>
                <w:sz w:val="20"/>
                <w:szCs w:val="20"/>
              </w:rPr>
              <w:t>2028</w:t>
            </w:r>
          </w:p>
        </w:tc>
        <w:tc>
          <w:tcPr>
            <w:tcW w:w="732" w:type="pct"/>
            <w:vAlign w:val="bottom"/>
          </w:tcPr>
          <w:p w14:paraId="537BF568" w14:textId="77777777" w:rsidR="000C4146" w:rsidRPr="003E2E05" w:rsidRDefault="000C4146" w:rsidP="00B007F2">
            <w:pPr>
              <w:jc w:val="right"/>
              <w:rPr>
                <w:rFonts w:eastAsia="Calibri"/>
                <w:sz w:val="20"/>
                <w:szCs w:val="20"/>
              </w:rPr>
            </w:pPr>
            <w:r w:rsidRPr="003E2E05">
              <w:rPr>
                <w:rFonts w:eastAsia="Calibri"/>
                <w:sz w:val="20"/>
                <w:szCs w:val="20"/>
              </w:rPr>
              <w:t>5 hrs.</w:t>
            </w:r>
          </w:p>
        </w:tc>
        <w:tc>
          <w:tcPr>
            <w:tcW w:w="735" w:type="pct"/>
            <w:vAlign w:val="bottom"/>
          </w:tcPr>
          <w:p w14:paraId="5582684D" w14:textId="77777777" w:rsidR="000C4146" w:rsidRPr="003E2E05" w:rsidRDefault="000C4146" w:rsidP="00B007F2">
            <w:pPr>
              <w:jc w:val="right"/>
              <w:rPr>
                <w:rFonts w:eastAsia="Calibri"/>
                <w:sz w:val="20"/>
                <w:szCs w:val="20"/>
              </w:rPr>
            </w:pPr>
            <w:r w:rsidRPr="003E2E05">
              <w:rPr>
                <w:rFonts w:eastAsia="Calibri"/>
                <w:sz w:val="20"/>
                <w:szCs w:val="20"/>
              </w:rPr>
              <w:t>10,140 hrs.</w:t>
            </w:r>
          </w:p>
        </w:tc>
      </w:tr>
      <w:tr w:rsidR="000C4146" w:rsidRPr="003E2E05" w14:paraId="1C191CDD" w14:textId="77777777" w:rsidTr="00B007F2">
        <w:trPr>
          <w:cantSplit/>
        </w:trPr>
        <w:tc>
          <w:tcPr>
            <w:tcW w:w="1175" w:type="pct"/>
          </w:tcPr>
          <w:p w14:paraId="177D72DA" w14:textId="4FEB2E1F" w:rsidR="000C4146" w:rsidRPr="003E2E05" w:rsidRDefault="000C4146" w:rsidP="00AE207A">
            <w:pPr>
              <w:rPr>
                <w:sz w:val="20"/>
                <w:szCs w:val="20"/>
              </w:rPr>
            </w:pPr>
            <w:r w:rsidRPr="003E2E05">
              <w:rPr>
                <w:sz w:val="20"/>
                <w:szCs w:val="20"/>
              </w:rPr>
              <w:t>R14.7: GO and TO to record efforts to return failed units to service if it takes longer than 90 days</w:t>
            </w:r>
            <w:r w:rsidR="00126E4A" w:rsidRPr="00126E4A">
              <w:rPr>
                <w:rStyle w:val="FootnoteReference"/>
                <w:sz w:val="20"/>
                <w:szCs w:val="20"/>
                <w:vertAlign w:val="superscript"/>
              </w:rPr>
              <w:footnoteReference w:id="9"/>
            </w:r>
          </w:p>
        </w:tc>
        <w:tc>
          <w:tcPr>
            <w:tcW w:w="736" w:type="pct"/>
            <w:vAlign w:val="bottom"/>
          </w:tcPr>
          <w:p w14:paraId="42ABE033" w14:textId="77777777" w:rsidR="000C4146" w:rsidRPr="003E2E05" w:rsidRDefault="000C4146" w:rsidP="00B007F2">
            <w:pPr>
              <w:jc w:val="right"/>
              <w:rPr>
                <w:rFonts w:eastAsia="Calibri"/>
                <w:sz w:val="20"/>
                <w:szCs w:val="20"/>
              </w:rPr>
            </w:pPr>
            <w:r w:rsidRPr="003E2E05">
              <w:rPr>
                <w:rFonts w:eastAsia="Calibri"/>
                <w:sz w:val="20"/>
                <w:szCs w:val="20"/>
              </w:rPr>
              <w:t>33</w:t>
            </w:r>
          </w:p>
        </w:tc>
        <w:tc>
          <w:tcPr>
            <w:tcW w:w="836" w:type="pct"/>
            <w:vAlign w:val="bottom"/>
          </w:tcPr>
          <w:p w14:paraId="56C4D78C" w14:textId="77777777" w:rsidR="000C4146" w:rsidRPr="003E2E05" w:rsidRDefault="000C4146" w:rsidP="00B007F2">
            <w:pPr>
              <w:jc w:val="right"/>
              <w:rPr>
                <w:rFonts w:eastAsia="Calibri"/>
                <w:sz w:val="20"/>
                <w:szCs w:val="20"/>
              </w:rPr>
            </w:pPr>
            <w:r w:rsidRPr="003E2E05">
              <w:rPr>
                <w:rFonts w:eastAsia="Calibri"/>
                <w:sz w:val="20"/>
                <w:szCs w:val="20"/>
              </w:rPr>
              <w:t>1</w:t>
            </w:r>
          </w:p>
        </w:tc>
        <w:tc>
          <w:tcPr>
            <w:tcW w:w="786" w:type="pct"/>
            <w:vAlign w:val="bottom"/>
          </w:tcPr>
          <w:p w14:paraId="588DF996" w14:textId="77777777" w:rsidR="000C4146" w:rsidRPr="003E2E05" w:rsidRDefault="000C4146" w:rsidP="00B007F2">
            <w:pPr>
              <w:jc w:val="right"/>
              <w:rPr>
                <w:rFonts w:eastAsia="Calibri"/>
                <w:sz w:val="20"/>
                <w:szCs w:val="20"/>
              </w:rPr>
            </w:pPr>
            <w:r w:rsidRPr="003E2E05">
              <w:rPr>
                <w:rFonts w:eastAsia="Calibri"/>
                <w:sz w:val="20"/>
                <w:szCs w:val="20"/>
              </w:rPr>
              <w:t>33</w:t>
            </w:r>
          </w:p>
        </w:tc>
        <w:tc>
          <w:tcPr>
            <w:tcW w:w="732" w:type="pct"/>
            <w:vAlign w:val="bottom"/>
          </w:tcPr>
          <w:p w14:paraId="59ACE6A0" w14:textId="77777777" w:rsidR="000C4146" w:rsidRPr="003E2E05" w:rsidRDefault="000C4146" w:rsidP="00B007F2">
            <w:pPr>
              <w:jc w:val="right"/>
              <w:rPr>
                <w:rFonts w:eastAsia="Calibri"/>
                <w:sz w:val="20"/>
                <w:szCs w:val="20"/>
              </w:rPr>
            </w:pPr>
            <w:r w:rsidRPr="003E2E05">
              <w:rPr>
                <w:rFonts w:eastAsia="Calibri"/>
                <w:sz w:val="20"/>
                <w:szCs w:val="20"/>
              </w:rPr>
              <w:t>10 hrs.</w:t>
            </w:r>
          </w:p>
        </w:tc>
        <w:tc>
          <w:tcPr>
            <w:tcW w:w="735" w:type="pct"/>
            <w:vAlign w:val="bottom"/>
          </w:tcPr>
          <w:p w14:paraId="591880FC" w14:textId="77777777" w:rsidR="000C4146" w:rsidRPr="003E2E05" w:rsidRDefault="000C4146" w:rsidP="00B007F2">
            <w:pPr>
              <w:jc w:val="right"/>
              <w:rPr>
                <w:rFonts w:eastAsia="Calibri"/>
                <w:sz w:val="20"/>
                <w:szCs w:val="20"/>
              </w:rPr>
            </w:pPr>
            <w:r w:rsidRPr="003E2E05">
              <w:rPr>
                <w:rFonts w:eastAsia="Calibri"/>
                <w:sz w:val="20"/>
                <w:szCs w:val="20"/>
              </w:rPr>
              <w:t>330 hrs.</w:t>
            </w:r>
          </w:p>
        </w:tc>
      </w:tr>
      <w:tr w:rsidR="000C4146" w:rsidRPr="003E2E05" w14:paraId="67236937" w14:textId="77777777" w:rsidTr="00B007F2">
        <w:trPr>
          <w:cantSplit/>
        </w:trPr>
        <w:tc>
          <w:tcPr>
            <w:tcW w:w="1175" w:type="pct"/>
          </w:tcPr>
          <w:p w14:paraId="0A75118C" w14:textId="77777777" w:rsidR="000C4146" w:rsidRPr="003E2E05" w:rsidRDefault="000C4146" w:rsidP="00B007F2">
            <w:pPr>
              <w:rPr>
                <w:sz w:val="20"/>
                <w:szCs w:val="20"/>
              </w:rPr>
            </w:pPr>
            <w:r w:rsidRPr="003E2E05">
              <w:rPr>
                <w:sz w:val="20"/>
                <w:szCs w:val="20"/>
              </w:rPr>
              <w:t>R14.7: GO and TO record retention</w:t>
            </w:r>
          </w:p>
        </w:tc>
        <w:tc>
          <w:tcPr>
            <w:tcW w:w="736" w:type="pct"/>
            <w:vAlign w:val="bottom"/>
          </w:tcPr>
          <w:p w14:paraId="482ED15F" w14:textId="77777777" w:rsidR="000C4146" w:rsidRPr="003E2E05" w:rsidRDefault="000C4146" w:rsidP="00B007F2">
            <w:pPr>
              <w:jc w:val="right"/>
              <w:rPr>
                <w:rFonts w:eastAsia="Calibri"/>
                <w:sz w:val="20"/>
                <w:szCs w:val="20"/>
              </w:rPr>
            </w:pPr>
            <w:r w:rsidRPr="003E2E05">
              <w:rPr>
                <w:rFonts w:eastAsia="Calibri"/>
                <w:sz w:val="20"/>
                <w:szCs w:val="20"/>
              </w:rPr>
              <w:t>33</w:t>
            </w:r>
          </w:p>
        </w:tc>
        <w:tc>
          <w:tcPr>
            <w:tcW w:w="836" w:type="pct"/>
            <w:vAlign w:val="bottom"/>
          </w:tcPr>
          <w:p w14:paraId="4722F51D" w14:textId="77777777" w:rsidR="000C4146" w:rsidRPr="003E2E05" w:rsidRDefault="000C4146" w:rsidP="00B007F2">
            <w:pPr>
              <w:jc w:val="right"/>
              <w:rPr>
                <w:rFonts w:eastAsia="Calibri"/>
                <w:sz w:val="20"/>
                <w:szCs w:val="20"/>
              </w:rPr>
            </w:pPr>
            <w:r w:rsidRPr="003E2E05">
              <w:rPr>
                <w:rFonts w:eastAsia="Calibri"/>
                <w:sz w:val="20"/>
                <w:szCs w:val="20"/>
              </w:rPr>
              <w:t>1</w:t>
            </w:r>
          </w:p>
        </w:tc>
        <w:tc>
          <w:tcPr>
            <w:tcW w:w="786" w:type="pct"/>
            <w:vAlign w:val="bottom"/>
          </w:tcPr>
          <w:p w14:paraId="23223DF1" w14:textId="77777777" w:rsidR="000C4146" w:rsidRPr="003E2E05" w:rsidRDefault="000C4146" w:rsidP="00B007F2">
            <w:pPr>
              <w:jc w:val="right"/>
              <w:rPr>
                <w:rFonts w:eastAsia="Calibri"/>
                <w:sz w:val="20"/>
                <w:szCs w:val="20"/>
              </w:rPr>
            </w:pPr>
            <w:r w:rsidRPr="003E2E05">
              <w:rPr>
                <w:rFonts w:eastAsia="Calibri"/>
                <w:sz w:val="20"/>
                <w:szCs w:val="20"/>
              </w:rPr>
              <w:t>33</w:t>
            </w:r>
          </w:p>
        </w:tc>
        <w:tc>
          <w:tcPr>
            <w:tcW w:w="732" w:type="pct"/>
            <w:vAlign w:val="bottom"/>
          </w:tcPr>
          <w:p w14:paraId="73AF094F" w14:textId="77777777" w:rsidR="000C4146" w:rsidRPr="003E2E05" w:rsidRDefault="000C4146" w:rsidP="00B007F2">
            <w:pPr>
              <w:jc w:val="right"/>
              <w:rPr>
                <w:rFonts w:eastAsia="Calibri"/>
                <w:sz w:val="20"/>
                <w:szCs w:val="20"/>
              </w:rPr>
            </w:pPr>
            <w:r w:rsidRPr="003E2E05">
              <w:rPr>
                <w:rFonts w:eastAsia="Calibri"/>
                <w:sz w:val="20"/>
                <w:szCs w:val="20"/>
              </w:rPr>
              <w:t>10 hrs.</w:t>
            </w:r>
          </w:p>
        </w:tc>
        <w:tc>
          <w:tcPr>
            <w:tcW w:w="735" w:type="pct"/>
            <w:vAlign w:val="bottom"/>
          </w:tcPr>
          <w:p w14:paraId="1D0515D6" w14:textId="77777777" w:rsidR="000C4146" w:rsidRPr="003E2E05" w:rsidRDefault="000C4146" w:rsidP="00B007F2">
            <w:pPr>
              <w:jc w:val="right"/>
              <w:rPr>
                <w:rFonts w:eastAsia="Calibri"/>
                <w:sz w:val="20"/>
                <w:szCs w:val="20"/>
              </w:rPr>
            </w:pPr>
            <w:r w:rsidRPr="003E2E05">
              <w:rPr>
                <w:rFonts w:eastAsia="Calibri"/>
                <w:sz w:val="20"/>
                <w:szCs w:val="20"/>
              </w:rPr>
              <w:t>330 hrs.</w:t>
            </w:r>
          </w:p>
        </w:tc>
      </w:tr>
      <w:tr w:rsidR="000C4146" w:rsidRPr="003E2E05" w14:paraId="0AD5DCED" w14:textId="77777777" w:rsidTr="00B007F2">
        <w:trPr>
          <w:cantSplit/>
        </w:trPr>
        <w:tc>
          <w:tcPr>
            <w:tcW w:w="1175" w:type="pct"/>
          </w:tcPr>
          <w:p w14:paraId="54883ED7" w14:textId="77777777" w:rsidR="000C4146" w:rsidRPr="003E2E05" w:rsidRDefault="000C4146" w:rsidP="00B007F2">
            <w:pPr>
              <w:rPr>
                <w:sz w:val="20"/>
                <w:szCs w:val="20"/>
              </w:rPr>
            </w:pPr>
            <w:r w:rsidRPr="003E2E05">
              <w:rPr>
                <w:sz w:val="20"/>
                <w:szCs w:val="20"/>
              </w:rPr>
              <w:t>R17: RC provide certain disturbance monitoring equipment data  to the Regional Entity upon request</w:t>
            </w:r>
          </w:p>
        </w:tc>
        <w:tc>
          <w:tcPr>
            <w:tcW w:w="736" w:type="pct"/>
            <w:vAlign w:val="bottom"/>
          </w:tcPr>
          <w:p w14:paraId="09DFB279" w14:textId="77777777" w:rsidR="000C4146" w:rsidRPr="003E2E05" w:rsidRDefault="000C4146" w:rsidP="00B007F2">
            <w:pPr>
              <w:jc w:val="right"/>
              <w:rPr>
                <w:rFonts w:eastAsia="Calibri"/>
                <w:sz w:val="20"/>
                <w:szCs w:val="20"/>
              </w:rPr>
            </w:pPr>
            <w:r w:rsidRPr="003E2E05">
              <w:rPr>
                <w:rFonts w:eastAsia="Calibri"/>
                <w:sz w:val="20"/>
                <w:szCs w:val="20"/>
              </w:rPr>
              <w:t>5</w:t>
            </w:r>
          </w:p>
        </w:tc>
        <w:tc>
          <w:tcPr>
            <w:tcW w:w="836" w:type="pct"/>
            <w:vAlign w:val="bottom"/>
          </w:tcPr>
          <w:p w14:paraId="65CE82CD" w14:textId="77777777" w:rsidR="000C4146" w:rsidRPr="003E2E05" w:rsidRDefault="000C4146" w:rsidP="00B007F2">
            <w:pPr>
              <w:jc w:val="right"/>
              <w:rPr>
                <w:rFonts w:eastAsia="Calibri"/>
                <w:sz w:val="20"/>
                <w:szCs w:val="20"/>
              </w:rPr>
            </w:pPr>
            <w:r w:rsidRPr="003E2E05">
              <w:rPr>
                <w:rFonts w:eastAsia="Calibri"/>
                <w:sz w:val="20"/>
                <w:szCs w:val="20"/>
              </w:rPr>
              <w:t>1</w:t>
            </w:r>
          </w:p>
        </w:tc>
        <w:tc>
          <w:tcPr>
            <w:tcW w:w="786" w:type="pct"/>
            <w:vAlign w:val="bottom"/>
          </w:tcPr>
          <w:p w14:paraId="3E7CF12D" w14:textId="77777777" w:rsidR="000C4146" w:rsidRPr="003E2E05" w:rsidRDefault="000C4146" w:rsidP="00B007F2">
            <w:pPr>
              <w:jc w:val="right"/>
              <w:rPr>
                <w:rFonts w:eastAsia="Calibri"/>
                <w:sz w:val="20"/>
                <w:szCs w:val="20"/>
              </w:rPr>
            </w:pPr>
            <w:r w:rsidRPr="003E2E05">
              <w:rPr>
                <w:rFonts w:eastAsia="Calibri"/>
                <w:sz w:val="20"/>
                <w:szCs w:val="20"/>
              </w:rPr>
              <w:t>5</w:t>
            </w:r>
          </w:p>
        </w:tc>
        <w:tc>
          <w:tcPr>
            <w:tcW w:w="732" w:type="pct"/>
            <w:vAlign w:val="bottom"/>
          </w:tcPr>
          <w:p w14:paraId="5A3D2B1B" w14:textId="77777777" w:rsidR="000C4146" w:rsidRPr="003E2E05" w:rsidRDefault="000C4146" w:rsidP="00B007F2">
            <w:pPr>
              <w:jc w:val="right"/>
              <w:rPr>
                <w:rFonts w:eastAsia="Calibri"/>
                <w:sz w:val="20"/>
                <w:szCs w:val="20"/>
              </w:rPr>
            </w:pPr>
            <w:r w:rsidRPr="003E2E05">
              <w:rPr>
                <w:rFonts w:eastAsia="Calibri"/>
                <w:sz w:val="20"/>
                <w:szCs w:val="20"/>
              </w:rPr>
              <w:t>5 hrs.</w:t>
            </w:r>
          </w:p>
        </w:tc>
        <w:tc>
          <w:tcPr>
            <w:tcW w:w="735" w:type="pct"/>
            <w:vAlign w:val="bottom"/>
          </w:tcPr>
          <w:p w14:paraId="77AB89E4" w14:textId="77777777" w:rsidR="000C4146" w:rsidRPr="003E2E05" w:rsidRDefault="000C4146" w:rsidP="00B007F2">
            <w:pPr>
              <w:jc w:val="right"/>
              <w:rPr>
                <w:rFonts w:eastAsia="Calibri"/>
                <w:sz w:val="20"/>
                <w:szCs w:val="20"/>
              </w:rPr>
            </w:pPr>
            <w:r w:rsidRPr="003E2E05">
              <w:rPr>
                <w:rFonts w:eastAsia="Calibri"/>
                <w:sz w:val="20"/>
                <w:szCs w:val="20"/>
              </w:rPr>
              <w:t>25 hrs.</w:t>
            </w:r>
          </w:p>
        </w:tc>
      </w:tr>
      <w:tr w:rsidR="000C4146" w:rsidRPr="003E2E05" w14:paraId="49F216AC" w14:textId="77777777" w:rsidTr="00B007F2">
        <w:trPr>
          <w:cantSplit/>
        </w:trPr>
        <w:tc>
          <w:tcPr>
            <w:tcW w:w="1175" w:type="pct"/>
          </w:tcPr>
          <w:p w14:paraId="4989358E" w14:textId="77777777" w:rsidR="000C4146" w:rsidRPr="003E2E05" w:rsidRDefault="000C4146" w:rsidP="00B007F2">
            <w:pPr>
              <w:rPr>
                <w:sz w:val="20"/>
                <w:szCs w:val="20"/>
              </w:rPr>
            </w:pPr>
            <w:r w:rsidRPr="003E2E05">
              <w:rPr>
                <w:sz w:val="20"/>
                <w:szCs w:val="20"/>
              </w:rPr>
              <w:t>R17: RC record retention</w:t>
            </w:r>
          </w:p>
        </w:tc>
        <w:tc>
          <w:tcPr>
            <w:tcW w:w="736" w:type="pct"/>
            <w:vAlign w:val="bottom"/>
          </w:tcPr>
          <w:p w14:paraId="2FD8710A" w14:textId="77777777" w:rsidR="000C4146" w:rsidRPr="003E2E05" w:rsidRDefault="000C4146" w:rsidP="00B007F2">
            <w:pPr>
              <w:jc w:val="right"/>
              <w:rPr>
                <w:rFonts w:eastAsia="Calibri"/>
                <w:sz w:val="20"/>
                <w:szCs w:val="20"/>
              </w:rPr>
            </w:pPr>
            <w:r w:rsidRPr="003E2E05">
              <w:rPr>
                <w:rFonts w:eastAsia="Calibri"/>
                <w:sz w:val="20"/>
                <w:szCs w:val="20"/>
              </w:rPr>
              <w:t>5</w:t>
            </w:r>
          </w:p>
        </w:tc>
        <w:tc>
          <w:tcPr>
            <w:tcW w:w="836" w:type="pct"/>
            <w:vAlign w:val="bottom"/>
          </w:tcPr>
          <w:p w14:paraId="1D75480E" w14:textId="77777777" w:rsidR="000C4146" w:rsidRPr="003E2E05" w:rsidRDefault="000C4146" w:rsidP="00B007F2">
            <w:pPr>
              <w:jc w:val="right"/>
              <w:rPr>
                <w:rFonts w:eastAsia="Calibri"/>
                <w:sz w:val="20"/>
                <w:szCs w:val="20"/>
              </w:rPr>
            </w:pPr>
            <w:r w:rsidRPr="003E2E05">
              <w:rPr>
                <w:rFonts w:eastAsia="Calibri"/>
                <w:sz w:val="20"/>
                <w:szCs w:val="20"/>
              </w:rPr>
              <w:t>1</w:t>
            </w:r>
          </w:p>
        </w:tc>
        <w:tc>
          <w:tcPr>
            <w:tcW w:w="786" w:type="pct"/>
            <w:vAlign w:val="bottom"/>
          </w:tcPr>
          <w:p w14:paraId="3759F623" w14:textId="77777777" w:rsidR="000C4146" w:rsidRPr="003E2E05" w:rsidRDefault="000C4146" w:rsidP="00B007F2">
            <w:pPr>
              <w:jc w:val="right"/>
              <w:rPr>
                <w:rFonts w:eastAsia="Calibri"/>
                <w:sz w:val="20"/>
                <w:szCs w:val="20"/>
              </w:rPr>
            </w:pPr>
            <w:r w:rsidRPr="003E2E05">
              <w:rPr>
                <w:rFonts w:eastAsia="Calibri"/>
                <w:sz w:val="20"/>
                <w:szCs w:val="20"/>
              </w:rPr>
              <w:t>5</w:t>
            </w:r>
          </w:p>
        </w:tc>
        <w:tc>
          <w:tcPr>
            <w:tcW w:w="732" w:type="pct"/>
            <w:vAlign w:val="bottom"/>
          </w:tcPr>
          <w:p w14:paraId="11446746" w14:textId="77777777" w:rsidR="000C4146" w:rsidRPr="003E2E05" w:rsidRDefault="000C4146" w:rsidP="00B007F2">
            <w:pPr>
              <w:jc w:val="right"/>
              <w:rPr>
                <w:rFonts w:eastAsia="Calibri"/>
                <w:sz w:val="20"/>
                <w:szCs w:val="20"/>
              </w:rPr>
            </w:pPr>
            <w:r w:rsidRPr="003E2E05">
              <w:rPr>
                <w:rFonts w:eastAsia="Calibri"/>
                <w:sz w:val="20"/>
                <w:szCs w:val="20"/>
              </w:rPr>
              <w:t>10 hrs.</w:t>
            </w:r>
          </w:p>
        </w:tc>
        <w:tc>
          <w:tcPr>
            <w:tcW w:w="735" w:type="pct"/>
            <w:vAlign w:val="bottom"/>
          </w:tcPr>
          <w:p w14:paraId="083A91A5" w14:textId="77777777" w:rsidR="000C4146" w:rsidRPr="003E2E05" w:rsidRDefault="000C4146" w:rsidP="00B007F2">
            <w:pPr>
              <w:jc w:val="right"/>
              <w:rPr>
                <w:rFonts w:eastAsia="Calibri"/>
                <w:sz w:val="20"/>
                <w:szCs w:val="20"/>
              </w:rPr>
            </w:pPr>
            <w:r w:rsidRPr="003E2E05">
              <w:rPr>
                <w:rFonts w:eastAsia="Calibri"/>
                <w:sz w:val="20"/>
                <w:szCs w:val="20"/>
              </w:rPr>
              <w:t>50 hrs.</w:t>
            </w:r>
          </w:p>
        </w:tc>
      </w:tr>
      <w:tr w:rsidR="000C4146" w:rsidRPr="003E2E05" w14:paraId="0D7804FA" w14:textId="77777777" w:rsidTr="00B007F2">
        <w:trPr>
          <w:cantSplit/>
          <w:trHeight w:val="485"/>
        </w:trPr>
        <w:tc>
          <w:tcPr>
            <w:tcW w:w="1175" w:type="pct"/>
            <w:tcBorders>
              <w:bottom w:val="single" w:sz="4" w:space="0" w:color="auto"/>
            </w:tcBorders>
          </w:tcPr>
          <w:p w14:paraId="675C9302" w14:textId="77777777" w:rsidR="000C4146" w:rsidRPr="005131E3" w:rsidRDefault="000C4146" w:rsidP="00B007F2">
            <w:pPr>
              <w:rPr>
                <w:rFonts w:eastAsia="Calibri"/>
                <w:b/>
                <w:sz w:val="22"/>
                <w:szCs w:val="22"/>
              </w:rPr>
            </w:pPr>
            <w:r w:rsidRPr="005131E3">
              <w:rPr>
                <w:rFonts w:eastAsia="Calibri"/>
                <w:b/>
                <w:sz w:val="22"/>
                <w:szCs w:val="22"/>
              </w:rPr>
              <w:t>TOTAL REDUCTIONS</w:t>
            </w:r>
          </w:p>
        </w:tc>
        <w:tc>
          <w:tcPr>
            <w:tcW w:w="1572" w:type="pct"/>
            <w:gridSpan w:val="2"/>
            <w:tcBorders>
              <w:bottom w:val="single" w:sz="4" w:space="0" w:color="auto"/>
            </w:tcBorders>
            <w:shd w:val="clear" w:color="auto" w:fill="D9D9D9"/>
            <w:vAlign w:val="bottom"/>
          </w:tcPr>
          <w:p w14:paraId="65809B5A" w14:textId="77777777" w:rsidR="000C4146" w:rsidRPr="003E2E05" w:rsidRDefault="000C4146" w:rsidP="00B007F2">
            <w:pPr>
              <w:jc w:val="right"/>
              <w:rPr>
                <w:rFonts w:eastAsia="Calibri"/>
                <w:sz w:val="20"/>
                <w:szCs w:val="20"/>
              </w:rPr>
            </w:pPr>
          </w:p>
        </w:tc>
        <w:tc>
          <w:tcPr>
            <w:tcW w:w="786" w:type="pct"/>
            <w:tcBorders>
              <w:bottom w:val="single" w:sz="4" w:space="0" w:color="auto"/>
            </w:tcBorders>
            <w:shd w:val="clear" w:color="auto" w:fill="auto"/>
            <w:vAlign w:val="bottom"/>
          </w:tcPr>
          <w:p w14:paraId="11D4AD8E" w14:textId="77777777" w:rsidR="000C4146" w:rsidRPr="003E2E05" w:rsidRDefault="000C4146" w:rsidP="00B007F2">
            <w:pPr>
              <w:jc w:val="right"/>
              <w:rPr>
                <w:rFonts w:eastAsia="Calibri"/>
                <w:b/>
                <w:sz w:val="20"/>
                <w:szCs w:val="20"/>
              </w:rPr>
            </w:pPr>
            <w:r w:rsidRPr="003E2E05">
              <w:rPr>
                <w:rFonts w:eastAsia="Calibri"/>
                <w:b/>
                <w:sz w:val="20"/>
                <w:szCs w:val="20"/>
              </w:rPr>
              <w:t>2,105</w:t>
            </w:r>
          </w:p>
        </w:tc>
        <w:tc>
          <w:tcPr>
            <w:tcW w:w="732" w:type="pct"/>
            <w:tcBorders>
              <w:bottom w:val="single" w:sz="4" w:space="0" w:color="auto"/>
            </w:tcBorders>
            <w:shd w:val="clear" w:color="auto" w:fill="D9D9D9"/>
            <w:vAlign w:val="bottom"/>
          </w:tcPr>
          <w:p w14:paraId="2712DC9B" w14:textId="77777777" w:rsidR="000C4146" w:rsidRPr="003E2E05" w:rsidRDefault="000C4146" w:rsidP="00B007F2">
            <w:pPr>
              <w:jc w:val="right"/>
              <w:rPr>
                <w:rFonts w:eastAsia="Calibri"/>
                <w:sz w:val="20"/>
                <w:szCs w:val="20"/>
              </w:rPr>
            </w:pPr>
          </w:p>
        </w:tc>
        <w:tc>
          <w:tcPr>
            <w:tcW w:w="735" w:type="pct"/>
            <w:tcBorders>
              <w:bottom w:val="single" w:sz="4" w:space="0" w:color="auto"/>
            </w:tcBorders>
            <w:vAlign w:val="bottom"/>
          </w:tcPr>
          <w:p w14:paraId="19A5ECBE" w14:textId="77777777" w:rsidR="000C4146" w:rsidRPr="003E2E05" w:rsidRDefault="000C4146" w:rsidP="00B007F2">
            <w:pPr>
              <w:jc w:val="right"/>
              <w:rPr>
                <w:rFonts w:eastAsia="Calibri"/>
                <w:b/>
                <w:sz w:val="20"/>
                <w:szCs w:val="20"/>
              </w:rPr>
            </w:pPr>
            <w:r w:rsidRPr="003E2E05">
              <w:rPr>
                <w:rFonts w:eastAsia="Calibri"/>
                <w:b/>
                <w:sz w:val="20"/>
                <w:szCs w:val="20"/>
              </w:rPr>
              <w:t>10,885 hrs.</w:t>
            </w:r>
          </w:p>
        </w:tc>
      </w:tr>
    </w:tbl>
    <w:p w14:paraId="1C3AB85B" w14:textId="77777777" w:rsidR="00BB6095" w:rsidRDefault="00BB6095" w:rsidP="00BB6095">
      <w:pPr>
        <w:pStyle w:val="FERCparanumber"/>
        <w:numPr>
          <w:ilvl w:val="0"/>
          <w:numId w:val="0"/>
        </w:numPr>
        <w:rPr>
          <w:sz w:val="24"/>
        </w:rPr>
      </w:pPr>
    </w:p>
    <w:p w14:paraId="4DEFD327" w14:textId="77777777" w:rsidR="000C4146" w:rsidRPr="00BB6095" w:rsidRDefault="000C4146" w:rsidP="00BB6095">
      <w:pPr>
        <w:pStyle w:val="FERCparanumber"/>
        <w:numPr>
          <w:ilvl w:val="0"/>
          <w:numId w:val="0"/>
        </w:numPr>
        <w:rPr>
          <w:sz w:val="24"/>
        </w:rPr>
      </w:pPr>
    </w:p>
    <w:p w14:paraId="13BF2A57" w14:textId="77777777" w:rsidR="009D6B6D" w:rsidRPr="00EF40FF" w:rsidRDefault="00BB6095" w:rsidP="001D2EC1">
      <w:pPr>
        <w:pStyle w:val="FERCparanumber"/>
        <w:numPr>
          <w:ilvl w:val="0"/>
          <w:numId w:val="7"/>
        </w:numPr>
        <w:rPr>
          <w:sz w:val="24"/>
        </w:rPr>
      </w:pPr>
      <w:r w:rsidRPr="001D2EC1">
        <w:rPr>
          <w:b/>
          <w:sz w:val="24"/>
        </w:rPr>
        <w:t>ESTIMATE OF THE TOTAL ANNUAL COST BURDEN TO RESPONDENTS</w:t>
      </w:r>
    </w:p>
    <w:p w14:paraId="27C816AF" w14:textId="77777777" w:rsidR="00EF40FF" w:rsidRDefault="00EF40FF" w:rsidP="00EF40FF">
      <w:pPr>
        <w:pStyle w:val="FERCparanumber"/>
        <w:numPr>
          <w:ilvl w:val="0"/>
          <w:numId w:val="0"/>
        </w:numPr>
        <w:rPr>
          <w:b/>
          <w:sz w:val="24"/>
        </w:rPr>
      </w:pPr>
    </w:p>
    <w:p w14:paraId="421B1190" w14:textId="77777777" w:rsidR="00432DA3" w:rsidRDefault="00432DA3" w:rsidP="00432DA3">
      <w:pPr>
        <w:widowControl/>
      </w:pPr>
      <w:r>
        <w:lastRenderedPageBreak/>
        <w:t>There are no non-labor start-up costs. All costs are related to burden hours and are addressed in Questions #12 and #15.</w:t>
      </w:r>
    </w:p>
    <w:p w14:paraId="237DA0EC" w14:textId="77777777" w:rsidR="00EF40FF" w:rsidRPr="00EF40FF" w:rsidRDefault="00EF40FF" w:rsidP="00EF40FF">
      <w:pPr>
        <w:pStyle w:val="FERCparanumber"/>
        <w:numPr>
          <w:ilvl w:val="0"/>
          <w:numId w:val="0"/>
        </w:numPr>
        <w:rPr>
          <w:sz w:val="24"/>
        </w:rPr>
      </w:pPr>
    </w:p>
    <w:p w14:paraId="25934EE2" w14:textId="77777777" w:rsidR="00EF40FF" w:rsidRDefault="00EF40FF" w:rsidP="001D2EC1">
      <w:pPr>
        <w:pStyle w:val="FERCparanumber"/>
        <w:numPr>
          <w:ilvl w:val="0"/>
          <w:numId w:val="7"/>
        </w:numPr>
        <w:rPr>
          <w:b/>
          <w:sz w:val="24"/>
        </w:rPr>
      </w:pPr>
      <w:r w:rsidRPr="00EF40FF">
        <w:rPr>
          <w:b/>
          <w:sz w:val="24"/>
        </w:rPr>
        <w:t>ESTIMATED ANNUALIZED COST TO FEDERAL GOVERNMENT</w:t>
      </w:r>
    </w:p>
    <w:p w14:paraId="1F460314" w14:textId="77777777" w:rsidR="00EF40FF" w:rsidRDefault="00EF40FF" w:rsidP="00EF40FF">
      <w:pPr>
        <w:pStyle w:val="FERCparanumber"/>
        <w:numPr>
          <w:ilvl w:val="0"/>
          <w:numId w:val="0"/>
        </w:numPr>
        <w:rPr>
          <w:b/>
          <w:sz w:val="24"/>
        </w:rPr>
      </w:pPr>
    </w:p>
    <w:p w14:paraId="5BF0DAF9" w14:textId="77777777" w:rsidR="00EF40FF" w:rsidRPr="001D2EC1" w:rsidRDefault="00EF40FF" w:rsidP="00EF40FF">
      <w:pPr>
        <w:pStyle w:val="ListParagraph"/>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042"/>
        <w:gridCol w:w="3024"/>
      </w:tblGrid>
      <w:tr w:rsidR="00EF40FF" w:rsidRPr="001D2EC1" w14:paraId="6C55F3AE" w14:textId="77777777" w:rsidTr="00D97B44">
        <w:tc>
          <w:tcPr>
            <w:tcW w:w="1756" w:type="pct"/>
            <w:shd w:val="clear" w:color="auto" w:fill="D9D9D9"/>
            <w:vAlign w:val="center"/>
          </w:tcPr>
          <w:p w14:paraId="420D71F3" w14:textId="77777777" w:rsidR="00EF40FF" w:rsidRPr="001D2EC1" w:rsidRDefault="00EF40FF" w:rsidP="00D97B44">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14:paraId="18D95BE9"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14:paraId="65A7AAF2"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Estimated Annual Federal Cost</w:t>
            </w:r>
          </w:p>
        </w:tc>
      </w:tr>
      <w:tr w:rsidR="00EF40FF" w:rsidRPr="001D2EC1" w14:paraId="73366A6A" w14:textId="77777777" w:rsidTr="00D97B44">
        <w:tc>
          <w:tcPr>
            <w:tcW w:w="1756" w:type="pct"/>
            <w:shd w:val="clear" w:color="auto" w:fill="auto"/>
            <w:vAlign w:val="center"/>
          </w:tcPr>
          <w:p w14:paraId="38725E63"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r w:rsidRPr="001D2EC1">
              <w:rPr>
                <w:rStyle w:val="FootnoteReference"/>
                <w:rFonts w:ascii="Times New Roman" w:hAnsi="Times New Roman"/>
                <w:sz w:val="24"/>
                <w:szCs w:val="24"/>
                <w:vertAlign w:val="superscript"/>
              </w:rPr>
              <w:footnoteReference w:id="10"/>
            </w:r>
          </w:p>
        </w:tc>
        <w:tc>
          <w:tcPr>
            <w:tcW w:w="1627" w:type="pct"/>
            <w:shd w:val="clear" w:color="auto" w:fill="auto"/>
            <w:vAlign w:val="center"/>
          </w:tcPr>
          <w:p w14:paraId="169BBF54" w14:textId="62E783F3" w:rsidR="00EF40FF" w:rsidRPr="001D2EC1" w:rsidRDefault="000C4146"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0</w:t>
            </w:r>
          </w:p>
        </w:tc>
        <w:tc>
          <w:tcPr>
            <w:tcW w:w="1617" w:type="pct"/>
            <w:shd w:val="clear" w:color="auto" w:fill="auto"/>
            <w:vAlign w:val="center"/>
          </w:tcPr>
          <w:p w14:paraId="7007B84E" w14:textId="20CA6EB0" w:rsidR="00EF40FF" w:rsidRPr="001D2EC1" w:rsidRDefault="006B0369"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0C4146">
              <w:rPr>
                <w:rFonts w:ascii="Times New Roman" w:hAnsi="Times New Roman"/>
                <w:sz w:val="24"/>
                <w:szCs w:val="24"/>
              </w:rPr>
              <w:t>0</w:t>
            </w:r>
          </w:p>
        </w:tc>
      </w:tr>
      <w:tr w:rsidR="00EF40FF" w:rsidRPr="001D2EC1" w14:paraId="7009D51E" w14:textId="77777777" w:rsidTr="00D97B44">
        <w:tc>
          <w:tcPr>
            <w:tcW w:w="1756" w:type="pct"/>
            <w:shd w:val="clear" w:color="auto" w:fill="auto"/>
            <w:vAlign w:val="center"/>
          </w:tcPr>
          <w:p w14:paraId="099D5BDF"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w:t>
            </w:r>
            <w:r w:rsidRPr="001D2EC1">
              <w:rPr>
                <w:rStyle w:val="FootnoteReference"/>
                <w:rFonts w:ascii="Times New Roman" w:hAnsi="Times New Roman"/>
                <w:sz w:val="24"/>
                <w:szCs w:val="24"/>
                <w:vertAlign w:val="superscript"/>
              </w:rPr>
              <w:footnoteReference w:id="11"/>
            </w:r>
            <w:r w:rsidRPr="001D2EC1">
              <w:rPr>
                <w:rFonts w:ascii="Times New Roman" w:hAnsi="Times New Roman"/>
                <w:sz w:val="24"/>
                <w:szCs w:val="24"/>
              </w:rPr>
              <w:t xml:space="preserve"> Administrative Cost</w:t>
            </w:r>
            <w:r w:rsidRPr="001D2EC1">
              <w:rPr>
                <w:rStyle w:val="FootnoteReference"/>
                <w:rFonts w:ascii="Times New Roman" w:hAnsi="Times New Roman"/>
                <w:sz w:val="24"/>
                <w:szCs w:val="24"/>
                <w:vertAlign w:val="superscript"/>
              </w:rPr>
              <w:footnoteReference w:id="12"/>
            </w:r>
          </w:p>
        </w:tc>
        <w:tc>
          <w:tcPr>
            <w:tcW w:w="1627" w:type="pct"/>
            <w:shd w:val="clear" w:color="auto" w:fill="D9D9D9"/>
            <w:vAlign w:val="center"/>
          </w:tcPr>
          <w:p w14:paraId="74DA3B1F"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731B0E8B" w14:textId="675225F8" w:rsidR="00EF40FF" w:rsidRPr="001D2EC1" w:rsidRDefault="006441AD"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$5,481</w:t>
            </w:r>
          </w:p>
        </w:tc>
      </w:tr>
      <w:tr w:rsidR="00EF40FF" w:rsidRPr="001D2EC1" w14:paraId="0A5B5FA9" w14:textId="77777777" w:rsidTr="00D97B44">
        <w:tc>
          <w:tcPr>
            <w:tcW w:w="1756" w:type="pct"/>
            <w:shd w:val="clear" w:color="auto" w:fill="auto"/>
            <w:vAlign w:val="center"/>
          </w:tcPr>
          <w:p w14:paraId="4441CC05"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14:paraId="2B3CB9DA"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53B2B876" w14:textId="0B7A5FD6" w:rsidR="00EF40FF" w:rsidRPr="001D2EC1" w:rsidRDefault="00714117"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0C4146">
              <w:rPr>
                <w:rFonts w:ascii="Times New Roman" w:hAnsi="Times New Roman"/>
                <w:sz w:val="24"/>
                <w:szCs w:val="24"/>
              </w:rPr>
              <w:t>0</w:t>
            </w:r>
          </w:p>
        </w:tc>
      </w:tr>
    </w:tbl>
    <w:p w14:paraId="6E71933C" w14:textId="77777777" w:rsidR="00EF40FF" w:rsidRPr="001D2EC1" w:rsidRDefault="00EF40FF" w:rsidP="00EF40FF">
      <w:pPr>
        <w:pStyle w:val="ListParagraph"/>
        <w:spacing w:after="0" w:line="240" w:lineRule="auto"/>
        <w:rPr>
          <w:rFonts w:ascii="Times New Roman" w:hAnsi="Times New Roman"/>
          <w:b/>
          <w:sz w:val="24"/>
          <w:szCs w:val="24"/>
        </w:rPr>
      </w:pPr>
    </w:p>
    <w:p w14:paraId="162A5185" w14:textId="77777777" w:rsidR="00EF40FF" w:rsidRPr="00EF40FF" w:rsidRDefault="00EF40FF" w:rsidP="00EF40FF">
      <w:r w:rsidRPr="001D2EC1">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7086245E" w14:textId="77777777" w:rsidR="00EF40FF" w:rsidRDefault="00EF40FF" w:rsidP="00EF40FF">
      <w:pPr>
        <w:pStyle w:val="FERCparanumber"/>
        <w:numPr>
          <w:ilvl w:val="0"/>
          <w:numId w:val="0"/>
        </w:numPr>
        <w:rPr>
          <w:b/>
          <w:sz w:val="24"/>
        </w:rPr>
      </w:pPr>
    </w:p>
    <w:p w14:paraId="652E2E2C" w14:textId="77777777" w:rsidR="00EF40FF" w:rsidRDefault="00EF40FF" w:rsidP="001D2EC1">
      <w:pPr>
        <w:pStyle w:val="FERCparanumber"/>
        <w:numPr>
          <w:ilvl w:val="0"/>
          <w:numId w:val="7"/>
        </w:numPr>
        <w:rPr>
          <w:b/>
          <w:sz w:val="24"/>
        </w:rPr>
      </w:pPr>
      <w:r w:rsidRPr="001D2EC1">
        <w:rPr>
          <w:b/>
          <w:sz w:val="24"/>
        </w:rPr>
        <w:t>REASONS FOR CHANGES IN BURDEN INCLUDING THE NEED FOR ANY INCREASE</w:t>
      </w:r>
    </w:p>
    <w:p w14:paraId="37AE29EC" w14:textId="77777777" w:rsidR="00EF40FF" w:rsidRDefault="00EF40FF" w:rsidP="00EF40FF">
      <w:pPr>
        <w:pStyle w:val="FERCparanumber"/>
        <w:numPr>
          <w:ilvl w:val="0"/>
          <w:numId w:val="0"/>
        </w:numPr>
        <w:rPr>
          <w:b/>
          <w:sz w:val="24"/>
        </w:rPr>
      </w:pPr>
    </w:p>
    <w:p w14:paraId="7F313DD6" w14:textId="78DB00D7" w:rsidR="00F02C1D" w:rsidRDefault="00F02C1D" w:rsidP="00F02C1D">
      <w:r>
        <w:t>NERC and NPCC have stated that the issues addressed in the Regional Reliability Standard are now addressed by continent-wide Reliability Standard PRC-002-2 (Disturbance Monitoring and Reporting Requirements) that were approved by the Commission in 2015.   Reliability Standard PRC-002-2 imposes mandatory requirements concerning the monitoring and reporting of disturbances and provides greater continent-wide consistency regarding collection methods for data used in the analysis of disturbances on the Bulk-Power System.  According to NERC and NPCC, Regional Reliability Standard PRC-002-NPCC-01 and the related definitions are now redundant and unnecessary for reliability and should be retired.</w:t>
      </w:r>
    </w:p>
    <w:p w14:paraId="4901A54B" w14:textId="77777777" w:rsidR="00F02C1D" w:rsidRDefault="00F02C1D" w:rsidP="00F02C1D"/>
    <w:p w14:paraId="13E32315" w14:textId="449A81DA" w:rsidR="00F02C1D" w:rsidRDefault="00267856" w:rsidP="00F02C1D">
      <w:r>
        <w:t xml:space="preserve">FERC approves NERC’s retirement of the PRC-002-NPCC-01 Reliability Standard and two NPCC regional definitions (Current Zero Time and Generating Plant). </w:t>
      </w:r>
      <w:r w:rsidR="00F02C1D">
        <w:t>.</w:t>
      </w:r>
      <w:r w:rsidRPr="00267856">
        <w:rPr>
          <w:rStyle w:val="FootnoteReference"/>
          <w:vertAlign w:val="superscript"/>
        </w:rPr>
        <w:footnoteReference w:id="13"/>
      </w:r>
      <w:r w:rsidRPr="00267856">
        <w:t xml:space="preserve"> </w:t>
      </w:r>
      <w:r>
        <w:t xml:space="preserve">The change in </w:t>
      </w:r>
      <w:r>
        <w:lastRenderedPageBreak/>
        <w:t>estimated burden here is due entirely to that Reliability Standard’s (and the related definitions) retirement and removal.</w:t>
      </w:r>
    </w:p>
    <w:p w14:paraId="37F0AF8F" w14:textId="77777777" w:rsidR="00F9384F" w:rsidRDefault="00F9384F" w:rsidP="00EF40FF">
      <w:pPr>
        <w:widowControl/>
      </w:pPr>
    </w:p>
    <w:p w14:paraId="0EF2A067" w14:textId="48B6D972" w:rsidR="00545B62" w:rsidRPr="00545B62" w:rsidRDefault="00545B62" w:rsidP="00545B62">
      <w:pPr>
        <w:rPr>
          <w:szCs w:val="26"/>
        </w:rPr>
      </w:pPr>
      <w:r>
        <w:rPr>
          <w:szCs w:val="26"/>
        </w:rPr>
        <w:t xml:space="preserve">The following table shows the </w:t>
      </w:r>
      <w:r w:rsidR="00607DF1">
        <w:rPr>
          <w:szCs w:val="26"/>
        </w:rPr>
        <w:t xml:space="preserve">annual </w:t>
      </w:r>
      <w:r>
        <w:rPr>
          <w:szCs w:val="26"/>
        </w:rPr>
        <w:t>total burden of the collection of information.  The format, labels, and definitions of the table follow the ROCIS submission system’s “Information Collection Request Summary of Burden” for the metadata.</w:t>
      </w:r>
    </w:p>
    <w:p w14:paraId="0D00454B" w14:textId="77777777" w:rsidR="00EF40FF" w:rsidRPr="001D2EC1" w:rsidRDefault="00EF40FF" w:rsidP="00EF40FF">
      <w:pPr>
        <w:widowControl/>
        <w:tabs>
          <w:tab w:val="left" w:pos="2394"/>
        </w:tabs>
      </w:pPr>
      <w:r w:rsidRPr="001D2EC1">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EF40FF" w:rsidRPr="001D2EC1" w14:paraId="46C4A5B4" w14:textId="77777777" w:rsidTr="00D97B44">
        <w:trPr>
          <w:trHeight w:val="870"/>
        </w:trPr>
        <w:tc>
          <w:tcPr>
            <w:tcW w:w="1442" w:type="pct"/>
            <w:shd w:val="clear" w:color="auto" w:fill="D9D9D9"/>
            <w:vAlign w:val="bottom"/>
          </w:tcPr>
          <w:p w14:paraId="5E6F18B9" w14:textId="5B6CA269" w:rsidR="00EF40FF" w:rsidRPr="001D2EC1" w:rsidRDefault="001D1355" w:rsidP="00D97B44">
            <w:pPr>
              <w:jc w:val="center"/>
              <w:rPr>
                <w:b/>
              </w:rPr>
            </w:pPr>
            <w:r>
              <w:rPr>
                <w:b/>
              </w:rPr>
              <w:t>F</w:t>
            </w:r>
            <w:r w:rsidR="000C4146">
              <w:rPr>
                <w:b/>
              </w:rPr>
              <w:t>ERC-725I</w:t>
            </w:r>
          </w:p>
        </w:tc>
        <w:tc>
          <w:tcPr>
            <w:tcW w:w="829" w:type="pct"/>
            <w:shd w:val="clear" w:color="auto" w:fill="D9D9D9"/>
            <w:vAlign w:val="bottom"/>
          </w:tcPr>
          <w:p w14:paraId="6714602C" w14:textId="77777777" w:rsidR="00EF40FF" w:rsidRPr="001D2EC1" w:rsidRDefault="00EF40FF" w:rsidP="00D97B44">
            <w:pPr>
              <w:jc w:val="center"/>
              <w:rPr>
                <w:b/>
              </w:rPr>
            </w:pPr>
            <w:r w:rsidRPr="001D2EC1">
              <w:rPr>
                <w:b/>
              </w:rPr>
              <w:t>Total Request</w:t>
            </w:r>
          </w:p>
        </w:tc>
        <w:tc>
          <w:tcPr>
            <w:tcW w:w="854" w:type="pct"/>
            <w:shd w:val="clear" w:color="auto" w:fill="D9D9D9"/>
            <w:vAlign w:val="bottom"/>
          </w:tcPr>
          <w:p w14:paraId="13BA7890" w14:textId="77777777" w:rsidR="00EF40FF" w:rsidRPr="001D2EC1" w:rsidRDefault="00EF40FF" w:rsidP="00D97B44">
            <w:pPr>
              <w:jc w:val="center"/>
              <w:rPr>
                <w:b/>
              </w:rPr>
            </w:pPr>
            <w:r w:rsidRPr="001D2EC1">
              <w:rPr>
                <w:b/>
              </w:rPr>
              <w:t>Previously Approved</w:t>
            </w:r>
          </w:p>
        </w:tc>
        <w:tc>
          <w:tcPr>
            <w:tcW w:w="1010" w:type="pct"/>
            <w:shd w:val="clear" w:color="auto" w:fill="D9D9D9"/>
            <w:vAlign w:val="bottom"/>
          </w:tcPr>
          <w:p w14:paraId="73AFFA76" w14:textId="77777777" w:rsidR="00EF40FF" w:rsidRPr="001D2EC1" w:rsidRDefault="00EF40FF" w:rsidP="00D97B44">
            <w:pPr>
              <w:jc w:val="center"/>
              <w:rPr>
                <w:b/>
              </w:rPr>
            </w:pPr>
            <w:r w:rsidRPr="001D2EC1">
              <w:rPr>
                <w:b/>
              </w:rPr>
              <w:t>Change due to Adjustment in Estimate</w:t>
            </w:r>
          </w:p>
        </w:tc>
        <w:tc>
          <w:tcPr>
            <w:tcW w:w="865" w:type="pct"/>
            <w:shd w:val="clear" w:color="auto" w:fill="D9D9D9"/>
            <w:vAlign w:val="bottom"/>
          </w:tcPr>
          <w:p w14:paraId="41286C04" w14:textId="77777777" w:rsidR="00EF40FF" w:rsidRPr="001D2EC1" w:rsidRDefault="00EF40FF" w:rsidP="00D97B44">
            <w:pPr>
              <w:jc w:val="center"/>
              <w:rPr>
                <w:b/>
              </w:rPr>
            </w:pPr>
            <w:r w:rsidRPr="001D2EC1">
              <w:rPr>
                <w:b/>
              </w:rPr>
              <w:t>Change Due to Agency Discretion</w:t>
            </w:r>
          </w:p>
        </w:tc>
      </w:tr>
      <w:tr w:rsidR="00EF40FF" w:rsidRPr="001D2EC1" w14:paraId="17214C13" w14:textId="77777777" w:rsidTr="00D97B44">
        <w:trPr>
          <w:trHeight w:val="591"/>
        </w:trPr>
        <w:tc>
          <w:tcPr>
            <w:tcW w:w="1442" w:type="pct"/>
            <w:shd w:val="clear" w:color="auto" w:fill="auto"/>
          </w:tcPr>
          <w:p w14:paraId="0115B27A" w14:textId="77777777" w:rsidR="00EF40FF" w:rsidRPr="001D2EC1" w:rsidRDefault="00EF40FF" w:rsidP="00D97B44">
            <w:pPr>
              <w:jc w:val="center"/>
            </w:pPr>
            <w:r w:rsidRPr="001D2EC1">
              <w:t>Annual Number of Responses</w:t>
            </w:r>
          </w:p>
        </w:tc>
        <w:tc>
          <w:tcPr>
            <w:tcW w:w="829" w:type="pct"/>
            <w:shd w:val="clear" w:color="auto" w:fill="auto"/>
            <w:vAlign w:val="center"/>
          </w:tcPr>
          <w:p w14:paraId="386C9BC2" w14:textId="1046BDCE" w:rsidR="00EF40FF" w:rsidRPr="001D2EC1" w:rsidRDefault="000C4146" w:rsidP="00D97B44">
            <w:pPr>
              <w:jc w:val="right"/>
            </w:pPr>
            <w:r>
              <w:t>302</w:t>
            </w:r>
          </w:p>
        </w:tc>
        <w:tc>
          <w:tcPr>
            <w:tcW w:w="854" w:type="pct"/>
            <w:shd w:val="clear" w:color="auto" w:fill="auto"/>
            <w:vAlign w:val="center"/>
          </w:tcPr>
          <w:p w14:paraId="39A0261D" w14:textId="01ADE440" w:rsidR="00EF40FF" w:rsidRPr="001D2EC1" w:rsidRDefault="000C4146" w:rsidP="00D97B44">
            <w:pPr>
              <w:jc w:val="right"/>
            </w:pPr>
            <w:r>
              <w:t>2,407</w:t>
            </w:r>
          </w:p>
        </w:tc>
        <w:tc>
          <w:tcPr>
            <w:tcW w:w="1010" w:type="pct"/>
            <w:shd w:val="clear" w:color="auto" w:fill="auto"/>
            <w:vAlign w:val="center"/>
          </w:tcPr>
          <w:p w14:paraId="4FE2F429" w14:textId="3DD77916" w:rsidR="00EF40FF" w:rsidRPr="001D2EC1" w:rsidRDefault="000C4146" w:rsidP="00D97B44">
            <w:pPr>
              <w:jc w:val="right"/>
            </w:pPr>
            <w:r>
              <w:t>0</w:t>
            </w:r>
          </w:p>
        </w:tc>
        <w:tc>
          <w:tcPr>
            <w:tcW w:w="865" w:type="pct"/>
            <w:shd w:val="clear" w:color="auto" w:fill="auto"/>
            <w:vAlign w:val="center"/>
          </w:tcPr>
          <w:p w14:paraId="50BDA9A0" w14:textId="64BBB68D" w:rsidR="00EF40FF" w:rsidRPr="001D2EC1" w:rsidRDefault="000C4146" w:rsidP="00D97B44">
            <w:pPr>
              <w:jc w:val="right"/>
            </w:pPr>
            <w:r>
              <w:t>-2,105</w:t>
            </w:r>
          </w:p>
        </w:tc>
      </w:tr>
      <w:tr w:rsidR="00EF40FF" w:rsidRPr="001D2EC1" w14:paraId="7258AFC0" w14:textId="77777777" w:rsidTr="00D97B44">
        <w:trPr>
          <w:trHeight w:val="575"/>
        </w:trPr>
        <w:tc>
          <w:tcPr>
            <w:tcW w:w="1442" w:type="pct"/>
            <w:shd w:val="clear" w:color="auto" w:fill="auto"/>
          </w:tcPr>
          <w:p w14:paraId="73702C6C" w14:textId="77777777" w:rsidR="00EF40FF" w:rsidRPr="001D2EC1" w:rsidRDefault="00EF40FF" w:rsidP="00D97B44">
            <w:pPr>
              <w:jc w:val="center"/>
            </w:pPr>
            <w:r w:rsidRPr="001D2EC1">
              <w:t>Annual Time Burden (Hours)</w:t>
            </w:r>
          </w:p>
        </w:tc>
        <w:tc>
          <w:tcPr>
            <w:tcW w:w="829" w:type="pct"/>
            <w:shd w:val="clear" w:color="auto" w:fill="auto"/>
            <w:vAlign w:val="center"/>
          </w:tcPr>
          <w:p w14:paraId="31651BEE" w14:textId="46F985EC" w:rsidR="00EF40FF" w:rsidRPr="001D2EC1" w:rsidRDefault="000C4146" w:rsidP="00D97B44">
            <w:pPr>
              <w:jc w:val="right"/>
            </w:pPr>
            <w:r>
              <w:t>3,044</w:t>
            </w:r>
          </w:p>
        </w:tc>
        <w:tc>
          <w:tcPr>
            <w:tcW w:w="854" w:type="pct"/>
            <w:shd w:val="clear" w:color="auto" w:fill="auto"/>
            <w:vAlign w:val="center"/>
          </w:tcPr>
          <w:p w14:paraId="0EED3422" w14:textId="3CDC9E9F" w:rsidR="00EF40FF" w:rsidRPr="001D2EC1" w:rsidRDefault="000C4146" w:rsidP="00D97B44">
            <w:pPr>
              <w:jc w:val="right"/>
            </w:pPr>
            <w:r>
              <w:t>13,929</w:t>
            </w:r>
          </w:p>
        </w:tc>
        <w:tc>
          <w:tcPr>
            <w:tcW w:w="1010" w:type="pct"/>
            <w:shd w:val="clear" w:color="auto" w:fill="auto"/>
            <w:vAlign w:val="center"/>
          </w:tcPr>
          <w:p w14:paraId="3CF5B872" w14:textId="08CA5A58" w:rsidR="00EF40FF" w:rsidRPr="001D2EC1" w:rsidRDefault="000C4146" w:rsidP="00D97B44">
            <w:pPr>
              <w:jc w:val="right"/>
            </w:pPr>
            <w:r>
              <w:t>0</w:t>
            </w:r>
          </w:p>
        </w:tc>
        <w:tc>
          <w:tcPr>
            <w:tcW w:w="865" w:type="pct"/>
            <w:shd w:val="clear" w:color="auto" w:fill="auto"/>
            <w:vAlign w:val="center"/>
          </w:tcPr>
          <w:p w14:paraId="39B1BAD1" w14:textId="60109168" w:rsidR="00EF40FF" w:rsidRPr="001D2EC1" w:rsidRDefault="000C4146" w:rsidP="00D97B44">
            <w:pPr>
              <w:jc w:val="right"/>
            </w:pPr>
            <w:r>
              <w:t>-10,885</w:t>
            </w:r>
          </w:p>
        </w:tc>
      </w:tr>
      <w:tr w:rsidR="00EF40FF" w:rsidRPr="001D2EC1" w14:paraId="32861EA7" w14:textId="77777777" w:rsidTr="00D97B44">
        <w:trPr>
          <w:trHeight w:val="295"/>
        </w:trPr>
        <w:tc>
          <w:tcPr>
            <w:tcW w:w="1442" w:type="pct"/>
            <w:tcBorders>
              <w:bottom w:val="single" w:sz="4" w:space="0" w:color="auto"/>
            </w:tcBorders>
            <w:shd w:val="clear" w:color="auto" w:fill="auto"/>
          </w:tcPr>
          <w:p w14:paraId="4F5B520F" w14:textId="77777777" w:rsidR="00EF40FF" w:rsidRPr="001D2EC1" w:rsidRDefault="00EF40FF" w:rsidP="00D97B44">
            <w:pPr>
              <w:jc w:val="center"/>
            </w:pPr>
            <w:r w:rsidRPr="001D2EC1">
              <w:t>Annual Cost Burden ($)</w:t>
            </w:r>
          </w:p>
        </w:tc>
        <w:tc>
          <w:tcPr>
            <w:tcW w:w="829" w:type="pct"/>
            <w:tcBorders>
              <w:bottom w:val="single" w:sz="4" w:space="0" w:color="auto"/>
            </w:tcBorders>
            <w:shd w:val="clear" w:color="auto" w:fill="auto"/>
            <w:vAlign w:val="center"/>
          </w:tcPr>
          <w:p w14:paraId="7D67E648" w14:textId="77777777" w:rsidR="00EF40FF" w:rsidRPr="001D2EC1" w:rsidRDefault="00EF40FF" w:rsidP="00D97B44">
            <w:pPr>
              <w:jc w:val="right"/>
            </w:pPr>
            <w:r w:rsidRPr="001D2EC1">
              <w:t>$0</w:t>
            </w:r>
          </w:p>
        </w:tc>
        <w:tc>
          <w:tcPr>
            <w:tcW w:w="854" w:type="pct"/>
            <w:tcBorders>
              <w:bottom w:val="single" w:sz="4" w:space="0" w:color="auto"/>
            </w:tcBorders>
            <w:shd w:val="clear" w:color="auto" w:fill="auto"/>
            <w:vAlign w:val="center"/>
          </w:tcPr>
          <w:p w14:paraId="15FA5A62" w14:textId="77777777" w:rsidR="00EF40FF" w:rsidRPr="001D2EC1" w:rsidRDefault="00EF40FF" w:rsidP="00D97B44">
            <w:pPr>
              <w:jc w:val="right"/>
            </w:pPr>
            <w:r w:rsidRPr="001D2EC1">
              <w:t>$0</w:t>
            </w:r>
          </w:p>
        </w:tc>
        <w:tc>
          <w:tcPr>
            <w:tcW w:w="1010" w:type="pct"/>
            <w:tcBorders>
              <w:bottom w:val="single" w:sz="4" w:space="0" w:color="auto"/>
            </w:tcBorders>
            <w:shd w:val="clear" w:color="auto" w:fill="auto"/>
            <w:vAlign w:val="center"/>
          </w:tcPr>
          <w:p w14:paraId="406A2FC1" w14:textId="77777777" w:rsidR="00EF40FF" w:rsidRPr="001D2EC1" w:rsidRDefault="00EF40FF" w:rsidP="00D97B44">
            <w:pPr>
              <w:jc w:val="right"/>
            </w:pPr>
            <w:r w:rsidRPr="001D2EC1">
              <w:t>$0</w:t>
            </w:r>
          </w:p>
        </w:tc>
        <w:tc>
          <w:tcPr>
            <w:tcW w:w="865" w:type="pct"/>
            <w:tcBorders>
              <w:bottom w:val="single" w:sz="4" w:space="0" w:color="auto"/>
            </w:tcBorders>
            <w:shd w:val="clear" w:color="auto" w:fill="auto"/>
            <w:vAlign w:val="center"/>
          </w:tcPr>
          <w:p w14:paraId="44B6C3E6" w14:textId="6EA5EB8E" w:rsidR="00EF40FF" w:rsidRPr="001D2EC1" w:rsidRDefault="00F80188" w:rsidP="00D97B44">
            <w:pPr>
              <w:jc w:val="right"/>
            </w:pPr>
            <w:r>
              <w:t>-</w:t>
            </w:r>
            <w:r w:rsidR="00545B62">
              <w:t>$</w:t>
            </w:r>
            <w:r>
              <w:t>750,000</w:t>
            </w:r>
          </w:p>
        </w:tc>
      </w:tr>
    </w:tbl>
    <w:p w14:paraId="5E52CD2D" w14:textId="77777777" w:rsidR="00EF40FF" w:rsidRPr="001D2EC1" w:rsidRDefault="00EF40FF" w:rsidP="00EF40FF">
      <w:pPr>
        <w:widowControl/>
        <w:rPr>
          <w:b/>
        </w:rPr>
      </w:pPr>
    </w:p>
    <w:p w14:paraId="29960F64" w14:textId="77777777" w:rsidR="00EF40FF" w:rsidRDefault="00EF40FF" w:rsidP="00EF40FF">
      <w:pPr>
        <w:pStyle w:val="FERCparanumber"/>
        <w:numPr>
          <w:ilvl w:val="0"/>
          <w:numId w:val="0"/>
        </w:numPr>
        <w:rPr>
          <w:b/>
          <w:sz w:val="24"/>
        </w:rPr>
      </w:pPr>
    </w:p>
    <w:p w14:paraId="7CD93336" w14:textId="77777777" w:rsidR="009D6B6D" w:rsidRDefault="00EF40FF" w:rsidP="00EF40FF">
      <w:pPr>
        <w:pStyle w:val="FERCparanumber"/>
        <w:numPr>
          <w:ilvl w:val="0"/>
          <w:numId w:val="7"/>
        </w:numPr>
        <w:rPr>
          <w:b/>
          <w:sz w:val="24"/>
        </w:rPr>
      </w:pPr>
      <w:r w:rsidRPr="001D2EC1">
        <w:rPr>
          <w:b/>
          <w:sz w:val="24"/>
        </w:rPr>
        <w:t>TIME SCHEDULE FOR PUBLICATION OF DATA</w:t>
      </w:r>
    </w:p>
    <w:p w14:paraId="338E8E30" w14:textId="77777777" w:rsidR="00EF40FF" w:rsidRDefault="00EF40FF" w:rsidP="00EF40FF">
      <w:pPr>
        <w:pStyle w:val="FERCparanumber"/>
        <w:numPr>
          <w:ilvl w:val="0"/>
          <w:numId w:val="0"/>
        </w:numPr>
        <w:rPr>
          <w:b/>
          <w:sz w:val="24"/>
        </w:rPr>
      </w:pPr>
    </w:p>
    <w:p w14:paraId="7EF18CBE" w14:textId="77777777" w:rsidR="00545B62" w:rsidRPr="008449DF" w:rsidRDefault="00545B62" w:rsidP="00545B62">
      <w:pPr>
        <w:widowControl/>
      </w:pPr>
      <w:r w:rsidRPr="008449DF">
        <w:t>There are no tabulating, statistical or tabulating analysis or publication plans for the collection of information.  The data are used for regulatory purposes only.</w:t>
      </w:r>
    </w:p>
    <w:p w14:paraId="13B155E7" w14:textId="77777777" w:rsidR="00EF40FF" w:rsidRDefault="00EF40FF" w:rsidP="00EF40FF">
      <w:pPr>
        <w:pStyle w:val="FERCparanumber"/>
        <w:numPr>
          <w:ilvl w:val="0"/>
          <w:numId w:val="0"/>
        </w:numPr>
        <w:rPr>
          <w:b/>
          <w:sz w:val="24"/>
        </w:rPr>
      </w:pPr>
    </w:p>
    <w:p w14:paraId="15394295" w14:textId="77777777" w:rsidR="009D6B6D" w:rsidRDefault="00EF40FF" w:rsidP="001D2EC1">
      <w:pPr>
        <w:pStyle w:val="FERCparanumber"/>
        <w:numPr>
          <w:ilvl w:val="0"/>
          <w:numId w:val="7"/>
        </w:numPr>
        <w:rPr>
          <w:b/>
          <w:sz w:val="24"/>
        </w:rPr>
      </w:pPr>
      <w:r>
        <w:rPr>
          <w:b/>
          <w:sz w:val="24"/>
        </w:rPr>
        <w:t>DISPLAY OF EXPIRATION DATE</w:t>
      </w:r>
    </w:p>
    <w:p w14:paraId="50BC026E" w14:textId="77777777" w:rsidR="00EF40FF" w:rsidRDefault="00EF40FF" w:rsidP="00EF40FF">
      <w:pPr>
        <w:pStyle w:val="FERCparanumber"/>
        <w:numPr>
          <w:ilvl w:val="0"/>
          <w:numId w:val="0"/>
        </w:numPr>
        <w:rPr>
          <w:b/>
          <w:sz w:val="24"/>
        </w:rPr>
      </w:pPr>
    </w:p>
    <w:p w14:paraId="587C08CA" w14:textId="18CF467A" w:rsidR="006441AD" w:rsidRDefault="006441AD" w:rsidP="006441AD">
      <w:r>
        <w:t xml:space="preserve">The expiration date is displayed in a table posted on ferc.gov at </w:t>
      </w:r>
      <w:hyperlink r:id="rId12" w:history="1">
        <w:r w:rsidRPr="00C90564">
          <w:rPr>
            <w:rStyle w:val="Hyperlink"/>
          </w:rPr>
          <w:t>http://www.ferc.gov/docs-filing/info-collections.asp</w:t>
        </w:r>
      </w:hyperlink>
      <w:r>
        <w:t>.</w:t>
      </w:r>
    </w:p>
    <w:p w14:paraId="00403C61" w14:textId="77777777" w:rsidR="00EF40FF" w:rsidRDefault="00EF40FF" w:rsidP="00EF40FF">
      <w:pPr>
        <w:pStyle w:val="FERCparanumber"/>
        <w:numPr>
          <w:ilvl w:val="0"/>
          <w:numId w:val="0"/>
        </w:numPr>
        <w:rPr>
          <w:b/>
          <w:sz w:val="24"/>
        </w:rPr>
      </w:pPr>
    </w:p>
    <w:p w14:paraId="3B590558" w14:textId="77777777" w:rsidR="00EF40FF" w:rsidRPr="00EF40FF" w:rsidRDefault="00EF40FF" w:rsidP="00E138E1">
      <w:pPr>
        <w:widowControl/>
        <w:numPr>
          <w:ilvl w:val="0"/>
          <w:numId w:val="7"/>
        </w:numPr>
        <w:ind w:hanging="720"/>
        <w:rPr>
          <w:b/>
        </w:rPr>
      </w:pPr>
      <w:r w:rsidRPr="001D2EC1">
        <w:rPr>
          <w:b/>
        </w:rPr>
        <w:t>EXCEPTIONS TO THE CERTIFICATION STATEMENT</w:t>
      </w:r>
    </w:p>
    <w:p w14:paraId="612ECBF9" w14:textId="77777777" w:rsidR="009D6B6D" w:rsidRPr="001D2EC1" w:rsidRDefault="009D6B6D" w:rsidP="001D2EC1">
      <w:pPr>
        <w:widowControl/>
        <w:ind w:left="720"/>
        <w:rPr>
          <w:b/>
        </w:rPr>
      </w:pPr>
    </w:p>
    <w:p w14:paraId="5B53F0DD" w14:textId="77777777" w:rsidR="00000F54" w:rsidRPr="001D2EC1" w:rsidRDefault="00545B62" w:rsidP="001D2EC1">
      <w:pPr>
        <w:widowControl/>
      </w:pPr>
      <w:r>
        <w:t>There are no exceptions.</w:t>
      </w:r>
    </w:p>
    <w:sectPr w:rsidR="00000F54" w:rsidRPr="001D2EC1" w:rsidSect="0070312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115B6" w14:textId="77777777" w:rsidR="00241AA6" w:rsidRDefault="00241AA6" w:rsidP="009D6B6D">
      <w:r>
        <w:separator/>
      </w:r>
    </w:p>
  </w:endnote>
  <w:endnote w:type="continuationSeparator" w:id="0">
    <w:p w14:paraId="5E6C0D97" w14:textId="77777777" w:rsidR="00241AA6" w:rsidRDefault="00241AA6"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90493"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67856">
          <w:rPr>
            <w:noProof/>
          </w:rPr>
          <w:t>7</w:t>
        </w:r>
        <w:r>
          <w:rPr>
            <w:noProof/>
          </w:rPr>
          <w:fldChar w:fldCharType="end"/>
        </w:r>
      </w:sdtContent>
    </w:sdt>
  </w:p>
  <w:p w14:paraId="7CE16875"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CFCBA" w14:textId="77777777" w:rsidR="00241AA6" w:rsidRDefault="00241AA6" w:rsidP="009D6B6D">
      <w:r>
        <w:separator/>
      </w:r>
    </w:p>
  </w:footnote>
  <w:footnote w:type="continuationSeparator" w:id="0">
    <w:p w14:paraId="192A0EBA" w14:textId="77777777" w:rsidR="00241AA6" w:rsidRDefault="00241AA6" w:rsidP="009D6B6D">
      <w:r>
        <w:continuationSeparator/>
      </w:r>
    </w:p>
  </w:footnote>
  <w:footnote w:id="1">
    <w:p w14:paraId="56A75DF7" w14:textId="77777777" w:rsidR="00EB2BE3" w:rsidRPr="00277B18" w:rsidRDefault="00EB2BE3" w:rsidP="00EB2BE3">
      <w:pPr>
        <w:pStyle w:val="FootnoteText"/>
      </w:pPr>
      <w:r w:rsidRPr="00640A04">
        <w:rPr>
          <w:rStyle w:val="FootnoteReference"/>
          <w:vertAlign w:val="superscript"/>
        </w:rPr>
        <w:footnoteRef/>
      </w:r>
      <w:r>
        <w:t xml:space="preserve"> </w:t>
      </w:r>
      <w:r w:rsidRPr="00277B18">
        <w:t>16 U.S.C. § 824o (2012).</w:t>
      </w:r>
    </w:p>
  </w:footnote>
  <w:footnote w:id="2">
    <w:p w14:paraId="409843D6" w14:textId="2D81E1BD" w:rsidR="00F80188" w:rsidRDefault="00F80188" w:rsidP="00EB2BE3">
      <w:pPr>
        <w:pStyle w:val="FootnoteText"/>
      </w:pPr>
      <w:r w:rsidRPr="00640A04">
        <w:rPr>
          <w:rStyle w:val="FootnoteReference"/>
          <w:vertAlign w:val="superscript"/>
        </w:rPr>
        <w:footnoteRef/>
      </w:r>
      <w:r>
        <w:t xml:space="preserve"> UFLS = Underfrequency Load Shedding</w:t>
      </w:r>
    </w:p>
  </w:footnote>
  <w:footnote w:id="3">
    <w:p w14:paraId="1CC778DE" w14:textId="3B4E64FF" w:rsidR="003E0EE9" w:rsidRPr="00277B18" w:rsidRDefault="003E0EE9" w:rsidP="00EB2BE3">
      <w:pPr>
        <w:pStyle w:val="FootnoteText"/>
      </w:pPr>
      <w:r w:rsidRPr="00640A04">
        <w:rPr>
          <w:rStyle w:val="FootnoteReference"/>
          <w:vertAlign w:val="superscript"/>
        </w:rPr>
        <w:footnoteRef/>
      </w:r>
      <w:r>
        <w:t xml:space="preserve"> </w:t>
      </w:r>
      <w:r w:rsidR="00EB2BE3">
        <w:t>18 CFR 39.5</w:t>
      </w:r>
      <w:r w:rsidRPr="00277B18">
        <w:t>.</w:t>
      </w:r>
    </w:p>
  </w:footnote>
  <w:footnote w:id="4">
    <w:p w14:paraId="50DF9BDC" w14:textId="683AF6E2" w:rsidR="00EB2BE3" w:rsidRPr="00794A5A" w:rsidRDefault="00111258" w:rsidP="00EB2BE3">
      <w:pPr>
        <w:pStyle w:val="FootnoteText"/>
      </w:pPr>
      <w:r w:rsidRPr="00640A04">
        <w:rPr>
          <w:rStyle w:val="FootnoteReference"/>
          <w:vertAlign w:val="superscript"/>
        </w:rPr>
        <w:footnoteRef/>
      </w:r>
      <w:r w:rsidRPr="00640A04">
        <w:rPr>
          <w:vertAlign w:val="superscript"/>
        </w:rPr>
        <w:t xml:space="preserve"> </w:t>
      </w:r>
      <w:r w:rsidRPr="00794A5A">
        <w:t xml:space="preserve">Available at </w:t>
      </w:r>
      <w:hyperlink r:id="rId1" w:history="1">
        <w:r w:rsidR="00EB2BE3" w:rsidRPr="006B4C47">
          <w:rPr>
            <w:rStyle w:val="Hyperlink"/>
          </w:rPr>
          <w:t>http://www.nerc.com/FilingsOrders/us/RuleOfProcedureDL/NERC_ROP_Effective_20160701.pdf</w:t>
        </w:r>
      </w:hyperlink>
    </w:p>
  </w:footnote>
  <w:footnote w:id="5">
    <w:p w14:paraId="0EAEF583" w14:textId="0EB46E70" w:rsidR="00111258" w:rsidRDefault="00111258" w:rsidP="00EB2BE3">
      <w:pPr>
        <w:pStyle w:val="FootnoteText"/>
      </w:pPr>
      <w:r w:rsidRPr="00640A04">
        <w:rPr>
          <w:rStyle w:val="FootnoteReference"/>
          <w:vertAlign w:val="superscript"/>
        </w:rPr>
        <w:footnoteRef/>
      </w:r>
      <w:r w:rsidRPr="00640A04">
        <w:rPr>
          <w:vertAlign w:val="superscript"/>
        </w:rPr>
        <w:t xml:space="preserve"> </w:t>
      </w:r>
      <w:r>
        <w:t>Joint Petition of NERC and the NPCC filed with FERC on 6/9/2016 (</w:t>
      </w:r>
      <w:hyperlink r:id="rId2" w:history="1">
        <w:r w:rsidRPr="006B4C47">
          <w:rPr>
            <w:rStyle w:val="Hyperlink"/>
          </w:rPr>
          <w:t>http://elibrary.ferc.gov/idmws/common/OpenNat.asp?fileID=14272971</w:t>
        </w:r>
      </w:hyperlink>
      <w:r>
        <w:t>)</w:t>
      </w:r>
    </w:p>
    <w:p w14:paraId="0050FE05" w14:textId="77777777" w:rsidR="00111258" w:rsidRDefault="00111258" w:rsidP="00EB2BE3">
      <w:pPr>
        <w:pStyle w:val="FootnoteText"/>
      </w:pPr>
    </w:p>
  </w:footnote>
  <w:footnote w:id="6">
    <w:p w14:paraId="18216F1D" w14:textId="3C65EFAA" w:rsidR="00BB6095" w:rsidRPr="000C4146" w:rsidRDefault="00BB6095" w:rsidP="00EB2BE3">
      <w:pPr>
        <w:pStyle w:val="FootnoteText"/>
      </w:pPr>
      <w:r w:rsidRPr="00E138E1">
        <w:rPr>
          <w:rStyle w:val="FootnoteReference"/>
          <w:vertAlign w:val="superscript"/>
        </w:rPr>
        <w:footnoteRef/>
      </w:r>
      <w:r w:rsidRPr="00E138E1">
        <w:rPr>
          <w:vertAlign w:val="superscript"/>
        </w:rPr>
        <w:t xml:space="preserve"> </w:t>
      </w:r>
      <w:r w:rsidR="00CB3EA0" w:rsidRPr="000C4146">
        <w:t>81</w:t>
      </w:r>
      <w:r w:rsidRPr="000C4146">
        <w:t xml:space="preserve"> FR </w:t>
      </w:r>
      <w:r w:rsidR="000C4146" w:rsidRPr="000C4146">
        <w:t>54571</w:t>
      </w:r>
    </w:p>
  </w:footnote>
  <w:footnote w:id="7">
    <w:p w14:paraId="55B071AB" w14:textId="04317019" w:rsidR="00BB6095" w:rsidRPr="00E138E1" w:rsidRDefault="00BB6095" w:rsidP="00EB2BE3">
      <w:pPr>
        <w:pStyle w:val="FootnoteText"/>
      </w:pPr>
      <w:r w:rsidRPr="000C4146">
        <w:rPr>
          <w:rStyle w:val="FootnoteReference"/>
          <w:vertAlign w:val="superscript"/>
        </w:rPr>
        <w:footnoteRef/>
      </w:r>
      <w:r w:rsidRPr="000C4146">
        <w:rPr>
          <w:vertAlign w:val="superscript"/>
        </w:rPr>
        <w:t xml:space="preserve"> </w:t>
      </w:r>
      <w:r w:rsidR="00CB3EA0" w:rsidRPr="000C4146">
        <w:t xml:space="preserve">81 FR </w:t>
      </w:r>
      <w:r w:rsidR="000C4146" w:rsidRPr="000C4146">
        <w:t>74419</w:t>
      </w:r>
    </w:p>
  </w:footnote>
  <w:footnote w:id="8">
    <w:p w14:paraId="50639707" w14:textId="77777777" w:rsidR="000C4146" w:rsidRPr="00277B18" w:rsidRDefault="000C4146" w:rsidP="00EB2BE3">
      <w:pPr>
        <w:pStyle w:val="FootnoteText"/>
      </w:pPr>
      <w:r w:rsidRPr="00640A04">
        <w:rPr>
          <w:rStyle w:val="FootnoteReference"/>
          <w:vertAlign w:val="superscript"/>
        </w:rPr>
        <w:footnoteRef/>
      </w:r>
      <w:r w:rsidRPr="00640A04">
        <w:rPr>
          <w:vertAlign w:val="superscript"/>
        </w:rPr>
        <w:t xml:space="preserve"> </w:t>
      </w:r>
      <w:r w:rsidRPr="00277B18">
        <w:t xml:space="preserve"> For purposes of these charts, generation owner is abbreviated to GO, transmission owner is abbreviated to TO, reliability coordinator is abbreviated to RC, and planning coordinator is abbreviated to PC.</w:t>
      </w:r>
    </w:p>
  </w:footnote>
  <w:footnote w:id="9">
    <w:p w14:paraId="0C5543A4" w14:textId="680F98B3" w:rsidR="00126E4A" w:rsidRDefault="00126E4A">
      <w:pPr>
        <w:pStyle w:val="FootnoteText"/>
      </w:pPr>
      <w:r>
        <w:rPr>
          <w:rStyle w:val="FootnoteReference"/>
        </w:rPr>
        <w:footnoteRef/>
      </w:r>
      <w:r>
        <w:t xml:space="preserve"> This requirement (within regional Reliability Standard PRC-002-NPCC-01) will no longer be required of GOs and TOs.  However, this requirement will be required under the Reliability Standard PRC-002-2 (a nationwide standard).</w:t>
      </w:r>
    </w:p>
  </w:footnote>
  <w:footnote w:id="10">
    <w:p w14:paraId="758C714B" w14:textId="1C0A2463" w:rsidR="00EF40FF" w:rsidRPr="00E138E1" w:rsidRDefault="00EF40FF" w:rsidP="00EB2BE3">
      <w:pPr>
        <w:rPr>
          <w:sz w:val="20"/>
          <w:szCs w:val="20"/>
        </w:rPr>
      </w:pPr>
      <w:r w:rsidRPr="00E138E1">
        <w:rPr>
          <w:rStyle w:val="FootnoteReference"/>
          <w:sz w:val="20"/>
          <w:szCs w:val="20"/>
          <w:vertAlign w:val="superscript"/>
        </w:rPr>
        <w:footnoteRef/>
      </w:r>
      <w:r w:rsidR="006441AD">
        <w:rPr>
          <w:sz w:val="20"/>
          <w:szCs w:val="20"/>
        </w:rPr>
        <w:t xml:space="preserve"> Based upon 2016</w:t>
      </w:r>
      <w:r w:rsidRPr="00E138E1">
        <w:rPr>
          <w:sz w:val="20"/>
          <w:szCs w:val="20"/>
        </w:rPr>
        <w:t xml:space="preserve"> FTE average </w:t>
      </w:r>
      <w:r w:rsidR="00ED3A92">
        <w:rPr>
          <w:sz w:val="20"/>
          <w:szCs w:val="20"/>
        </w:rPr>
        <w:t xml:space="preserve">annual </w:t>
      </w:r>
      <w:r w:rsidRPr="00E138E1">
        <w:rPr>
          <w:sz w:val="20"/>
          <w:szCs w:val="20"/>
        </w:rPr>
        <w:t>s</w:t>
      </w:r>
      <w:r w:rsidR="006441AD">
        <w:rPr>
          <w:sz w:val="20"/>
          <w:szCs w:val="20"/>
        </w:rPr>
        <w:t>alary plus benefits ($154,647</w:t>
      </w:r>
      <w:r w:rsidRPr="00E138E1">
        <w:rPr>
          <w:sz w:val="20"/>
          <w:szCs w:val="20"/>
        </w:rPr>
        <w:t>).</w:t>
      </w:r>
    </w:p>
  </w:footnote>
  <w:footnote w:id="11">
    <w:p w14:paraId="27E34FC5" w14:textId="77777777" w:rsidR="00EF40FF" w:rsidRPr="00E138E1" w:rsidRDefault="00EF40FF" w:rsidP="00EB2BE3">
      <w:pPr>
        <w:pStyle w:val="FootnoteText"/>
      </w:pPr>
      <w:r w:rsidRPr="00E138E1">
        <w:rPr>
          <w:rStyle w:val="FootnoteReference"/>
          <w:vertAlign w:val="superscript"/>
        </w:rPr>
        <w:footnoteRef/>
      </w:r>
      <w:r w:rsidRPr="00E138E1">
        <w:rPr>
          <w:vertAlign w:val="superscript"/>
        </w:rPr>
        <w:t xml:space="preserve"> </w:t>
      </w:r>
      <w:r w:rsidRPr="00E138E1">
        <w:t>Paperwork Reduction Act of 1995 (PRA).</w:t>
      </w:r>
    </w:p>
  </w:footnote>
  <w:footnote w:id="12">
    <w:p w14:paraId="5678066A" w14:textId="0C79C1DC" w:rsidR="00EF40FF" w:rsidRPr="00E138E1" w:rsidRDefault="00EF40FF" w:rsidP="00EB2BE3">
      <w:pPr>
        <w:pStyle w:val="FootnoteText"/>
      </w:pPr>
      <w:r w:rsidRPr="00E138E1">
        <w:rPr>
          <w:rStyle w:val="FootnoteReference"/>
          <w:vertAlign w:val="superscript"/>
        </w:rPr>
        <w:footnoteRef/>
      </w:r>
      <w:r w:rsidRPr="00E138E1">
        <w:rPr>
          <w:vertAlign w:val="superscript"/>
        </w:rPr>
        <w:t xml:space="preserve"> </w:t>
      </w:r>
      <w:r w:rsidR="00860C58" w:rsidRPr="00CA20F9">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 w:id="13">
    <w:p w14:paraId="47EADDAC" w14:textId="34E00F70" w:rsidR="00267856" w:rsidRDefault="00267856" w:rsidP="00267856">
      <w:pPr>
        <w:pStyle w:val="FootnoteText"/>
      </w:pPr>
      <w:r w:rsidRPr="00267856">
        <w:rPr>
          <w:rStyle w:val="FootnoteReference"/>
          <w:vertAlign w:val="superscript"/>
        </w:rPr>
        <w:footnoteRef/>
      </w:r>
      <w:r w:rsidRPr="00267856">
        <w:rPr>
          <w:vertAlign w:val="superscript"/>
        </w:rPr>
        <w:t xml:space="preserve"> </w:t>
      </w:r>
      <w:r>
        <w:t xml:space="preserve">Order at </w:t>
      </w:r>
      <w:hyperlink r:id="rId3" w:history="1">
        <w:r w:rsidRPr="00DD7D80">
          <w:rPr>
            <w:rStyle w:val="Hyperlink"/>
          </w:rPr>
          <w:t>https://elibrary.ferc.gov/idmws/common/OpenNat.asp?fileID=14330811</w:t>
        </w:r>
      </w:hyperlink>
      <w:r>
        <w:t xml:space="preserve"> </w:t>
      </w:r>
      <w:bookmarkStart w:id="1" w:name="_GoBack"/>
      <w:bookmarkEnd w:id="1"/>
      <w:r>
        <w:t xml:space="preserve">(and in ROCIS Supp. Docs.) dated 8/16/16 approved the retirements &amp; said in part </w:t>
      </w:r>
    </w:p>
    <w:p w14:paraId="1846E785" w14:textId="77777777" w:rsidR="00267856" w:rsidRDefault="00267856" w:rsidP="00267856">
      <w:pPr>
        <w:pStyle w:val="FootnoteText"/>
      </w:pPr>
      <w:r>
        <w:tab/>
        <w:t>“NERC and NPCC explain that the issues addressed in the Regional Reliability Standard are now addressed by continent-wide Reliability Standard PRC-002-2 (Disturbance Monitoring and Reporting Requirements), approved by the Commission in 2015.   Reliability Standard PRC-002-2 imposes mandatory requirements concerning the monitoring and reporting of disturbances and provides greater continent-wide consistency regarding collection methods for data used in the analysis of disturbances on the Bulk-Power System.  According to NERC and NPCC, Regional Reliability Standard PRC-002-NPCC-01 and the related definitions are now redundant and unnecessary for reliability and should be retired.  ….</w:t>
      </w:r>
    </w:p>
    <w:p w14:paraId="2075DC5D" w14:textId="732C8DEA" w:rsidR="00267856" w:rsidRDefault="00267856" w:rsidP="00267856">
      <w:pPr>
        <w:pStyle w:val="FootnoteText"/>
      </w:pPr>
      <w:r>
        <w:tab/>
        <w:t>The NERC and NPCC uncontested joint petition is hereby approved pursuant to the relevant authority delegated to the Director, [FERC’s] Office of Electric Reliability under 18 C.F.R. § 375.303 (2015), effective as of the date of this order.”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28C5" w14:textId="642AD3B8" w:rsidR="003A5BA7" w:rsidRDefault="00F41B73">
    <w:pPr>
      <w:pStyle w:val="Header"/>
    </w:pPr>
    <w:r>
      <w:t>FERC-725I</w:t>
    </w:r>
    <w:r w:rsidR="00703122">
      <w:t xml:space="preserve"> (OMB </w:t>
    </w:r>
    <w:r>
      <w:t>Control No. 1902-0258</w:t>
    </w:r>
    <w:r w:rsidR="00703122">
      <w:t>)</w:t>
    </w:r>
  </w:p>
  <w:p w14:paraId="12EDA636" w14:textId="351B9A68" w:rsidR="0055691F" w:rsidRDefault="0055691F">
    <w:pPr>
      <w:pStyle w:val="Header"/>
    </w:pPr>
    <w:r>
      <w:t>Order in RD16-8-000</w:t>
    </w:r>
  </w:p>
  <w:p w14:paraId="59FBFABE" w14:textId="33F59750" w:rsidR="00D96115" w:rsidRDefault="00D96115">
    <w:pPr>
      <w:pStyle w:val="Header"/>
    </w:pPr>
    <w:r>
      <w:t>(Updated 1-19-2017)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785FB6"/>
    <w:multiLevelType w:val="hybridMultilevel"/>
    <w:tmpl w:val="31EE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2"/>
  </w:num>
  <w:num w:numId="5">
    <w:abstractNumId w:val="6"/>
  </w:num>
  <w:num w:numId="6">
    <w:abstractNumId w:val="8"/>
  </w:num>
  <w:num w:numId="7">
    <w:abstractNumId w:val="5"/>
  </w:num>
  <w:num w:numId="8">
    <w:abstractNumId w:val="1"/>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6D"/>
    <w:rsid w:val="00021084"/>
    <w:rsid w:val="000218B7"/>
    <w:rsid w:val="00042ECE"/>
    <w:rsid w:val="00051C82"/>
    <w:rsid w:val="000806CF"/>
    <w:rsid w:val="00082439"/>
    <w:rsid w:val="000969B5"/>
    <w:rsid w:val="000C4146"/>
    <w:rsid w:val="000C5C56"/>
    <w:rsid w:val="000D0EEE"/>
    <w:rsid w:val="000F53A6"/>
    <w:rsid w:val="00111258"/>
    <w:rsid w:val="00126E4A"/>
    <w:rsid w:val="001352B5"/>
    <w:rsid w:val="00147917"/>
    <w:rsid w:val="00181B4A"/>
    <w:rsid w:val="001922FC"/>
    <w:rsid w:val="00192A85"/>
    <w:rsid w:val="001A07E0"/>
    <w:rsid w:val="001B1350"/>
    <w:rsid w:val="001B6647"/>
    <w:rsid w:val="001C042A"/>
    <w:rsid w:val="001D1355"/>
    <w:rsid w:val="001D1DD3"/>
    <w:rsid w:val="001D2EC1"/>
    <w:rsid w:val="001E6D2B"/>
    <w:rsid w:val="001F3ADE"/>
    <w:rsid w:val="001F42E7"/>
    <w:rsid w:val="001F60CC"/>
    <w:rsid w:val="001F703D"/>
    <w:rsid w:val="002000AA"/>
    <w:rsid w:val="00206367"/>
    <w:rsid w:val="0021208A"/>
    <w:rsid w:val="002142A2"/>
    <w:rsid w:val="0024137A"/>
    <w:rsid w:val="00241AA6"/>
    <w:rsid w:val="002565F8"/>
    <w:rsid w:val="002643FB"/>
    <w:rsid w:val="00267856"/>
    <w:rsid w:val="00267F92"/>
    <w:rsid w:val="002766FC"/>
    <w:rsid w:val="00295C38"/>
    <w:rsid w:val="002A2B8E"/>
    <w:rsid w:val="002B0890"/>
    <w:rsid w:val="002B4900"/>
    <w:rsid w:val="002D5138"/>
    <w:rsid w:val="002F353A"/>
    <w:rsid w:val="00307F28"/>
    <w:rsid w:val="0032225E"/>
    <w:rsid w:val="00342459"/>
    <w:rsid w:val="003431A7"/>
    <w:rsid w:val="0035481D"/>
    <w:rsid w:val="003A4AD2"/>
    <w:rsid w:val="003A6A4F"/>
    <w:rsid w:val="003B7DB9"/>
    <w:rsid w:val="003C429A"/>
    <w:rsid w:val="003D3487"/>
    <w:rsid w:val="003E0EE9"/>
    <w:rsid w:val="003E7BE6"/>
    <w:rsid w:val="00426B6E"/>
    <w:rsid w:val="00432DA3"/>
    <w:rsid w:val="004445CE"/>
    <w:rsid w:val="004472EB"/>
    <w:rsid w:val="00454D32"/>
    <w:rsid w:val="00487A90"/>
    <w:rsid w:val="004970F6"/>
    <w:rsid w:val="004B0930"/>
    <w:rsid w:val="004C264F"/>
    <w:rsid w:val="004D6DEB"/>
    <w:rsid w:val="004F7BFA"/>
    <w:rsid w:val="00506697"/>
    <w:rsid w:val="005131E3"/>
    <w:rsid w:val="005240A1"/>
    <w:rsid w:val="00541938"/>
    <w:rsid w:val="00545B62"/>
    <w:rsid w:val="0055691F"/>
    <w:rsid w:val="00560503"/>
    <w:rsid w:val="00592E82"/>
    <w:rsid w:val="00593CC7"/>
    <w:rsid w:val="00594C60"/>
    <w:rsid w:val="005C5DE2"/>
    <w:rsid w:val="005C6866"/>
    <w:rsid w:val="005C6964"/>
    <w:rsid w:val="005D6791"/>
    <w:rsid w:val="005D7CA6"/>
    <w:rsid w:val="005F62ED"/>
    <w:rsid w:val="00607DF1"/>
    <w:rsid w:val="00614D21"/>
    <w:rsid w:val="00640A04"/>
    <w:rsid w:val="006441AD"/>
    <w:rsid w:val="0064464C"/>
    <w:rsid w:val="0064706B"/>
    <w:rsid w:val="006856DD"/>
    <w:rsid w:val="006A1A2E"/>
    <w:rsid w:val="006A6928"/>
    <w:rsid w:val="006B0369"/>
    <w:rsid w:val="006C0F70"/>
    <w:rsid w:val="006C1E96"/>
    <w:rsid w:val="006E61A4"/>
    <w:rsid w:val="00703122"/>
    <w:rsid w:val="00714117"/>
    <w:rsid w:val="0075420C"/>
    <w:rsid w:val="007544A8"/>
    <w:rsid w:val="007625CD"/>
    <w:rsid w:val="007722E7"/>
    <w:rsid w:val="00785BAA"/>
    <w:rsid w:val="00790DB8"/>
    <w:rsid w:val="007B025D"/>
    <w:rsid w:val="007B3A75"/>
    <w:rsid w:val="007D3EF2"/>
    <w:rsid w:val="00803D8D"/>
    <w:rsid w:val="008060D2"/>
    <w:rsid w:val="00851D29"/>
    <w:rsid w:val="00860C58"/>
    <w:rsid w:val="00865702"/>
    <w:rsid w:val="00867774"/>
    <w:rsid w:val="00870A54"/>
    <w:rsid w:val="00891C89"/>
    <w:rsid w:val="00893289"/>
    <w:rsid w:val="0089369D"/>
    <w:rsid w:val="008A38B5"/>
    <w:rsid w:val="008B1A17"/>
    <w:rsid w:val="008E2C0D"/>
    <w:rsid w:val="00907A71"/>
    <w:rsid w:val="0091154B"/>
    <w:rsid w:val="00912316"/>
    <w:rsid w:val="00933292"/>
    <w:rsid w:val="00957DA2"/>
    <w:rsid w:val="00980E8E"/>
    <w:rsid w:val="009B263A"/>
    <w:rsid w:val="009D6B6D"/>
    <w:rsid w:val="009D6E84"/>
    <w:rsid w:val="00A37A1E"/>
    <w:rsid w:val="00A61BDB"/>
    <w:rsid w:val="00A75D13"/>
    <w:rsid w:val="00A94615"/>
    <w:rsid w:val="00A9510B"/>
    <w:rsid w:val="00AA3F59"/>
    <w:rsid w:val="00AC0958"/>
    <w:rsid w:val="00AE207A"/>
    <w:rsid w:val="00AE5792"/>
    <w:rsid w:val="00AF3118"/>
    <w:rsid w:val="00AF66E0"/>
    <w:rsid w:val="00B13159"/>
    <w:rsid w:val="00B21329"/>
    <w:rsid w:val="00B21778"/>
    <w:rsid w:val="00B342A4"/>
    <w:rsid w:val="00B4017A"/>
    <w:rsid w:val="00B61F02"/>
    <w:rsid w:val="00B7118E"/>
    <w:rsid w:val="00BA2EE0"/>
    <w:rsid w:val="00BB6095"/>
    <w:rsid w:val="00BC5BC5"/>
    <w:rsid w:val="00BD2A12"/>
    <w:rsid w:val="00BD4039"/>
    <w:rsid w:val="00BF493B"/>
    <w:rsid w:val="00C07FC8"/>
    <w:rsid w:val="00C12DC0"/>
    <w:rsid w:val="00C13C94"/>
    <w:rsid w:val="00C13F2D"/>
    <w:rsid w:val="00C3086A"/>
    <w:rsid w:val="00C33FDE"/>
    <w:rsid w:val="00C444C6"/>
    <w:rsid w:val="00C651D2"/>
    <w:rsid w:val="00C7666C"/>
    <w:rsid w:val="00C909A2"/>
    <w:rsid w:val="00C97FEE"/>
    <w:rsid w:val="00CA5AF7"/>
    <w:rsid w:val="00CB3EA0"/>
    <w:rsid w:val="00CC615D"/>
    <w:rsid w:val="00D00D07"/>
    <w:rsid w:val="00D05C1E"/>
    <w:rsid w:val="00D26BE1"/>
    <w:rsid w:val="00D9097D"/>
    <w:rsid w:val="00D93813"/>
    <w:rsid w:val="00D96115"/>
    <w:rsid w:val="00DA4553"/>
    <w:rsid w:val="00DE0C3A"/>
    <w:rsid w:val="00DE6B6F"/>
    <w:rsid w:val="00E138E1"/>
    <w:rsid w:val="00E16543"/>
    <w:rsid w:val="00E32773"/>
    <w:rsid w:val="00E355FA"/>
    <w:rsid w:val="00E40D6E"/>
    <w:rsid w:val="00E41694"/>
    <w:rsid w:val="00E46B67"/>
    <w:rsid w:val="00E479BC"/>
    <w:rsid w:val="00E56439"/>
    <w:rsid w:val="00E76211"/>
    <w:rsid w:val="00E82BDC"/>
    <w:rsid w:val="00EA026E"/>
    <w:rsid w:val="00EB052D"/>
    <w:rsid w:val="00EB2BE3"/>
    <w:rsid w:val="00ED3A92"/>
    <w:rsid w:val="00EF40FF"/>
    <w:rsid w:val="00F02C1D"/>
    <w:rsid w:val="00F14D3D"/>
    <w:rsid w:val="00F205D2"/>
    <w:rsid w:val="00F3663C"/>
    <w:rsid w:val="00F41B73"/>
    <w:rsid w:val="00F528CE"/>
    <w:rsid w:val="00F620F6"/>
    <w:rsid w:val="00F80188"/>
    <w:rsid w:val="00F9384F"/>
    <w:rsid w:val="00FA33AC"/>
    <w:rsid w:val="00FA5F94"/>
    <w:rsid w:val="00FC7C5C"/>
    <w:rsid w:val="00FD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F0AE0"/>
  <w15:docId w15:val="{D6EC3B21-BBB4-49FE-A6D9-D41BE7DF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uiPriority w:val="99"/>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4330811" TargetMode="External"/><Relationship Id="rId2" Type="http://schemas.openxmlformats.org/officeDocument/2006/relationships/hyperlink" Target="http://elibrary.ferc.gov/idmws/common/OpenNat.asp?fileID=14272971" TargetMode="External"/><Relationship Id="rId1" Type="http://schemas.openxmlformats.org/officeDocument/2006/relationships/hyperlink" Target="http://www.nerc.com/FilingsOrders/us/RuleOfProcedureDL/NERC_ROP_Effective_201607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725I</_x0031__x002e__x0020_Collection_x0020_Number>
    <Date xmlns="d6eefc7d-9817-4fa6-84d5-3bc009be21b8">2016-10-31T00:00:00-04:00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RD16-8</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B28AE-6DAC-4876-9557-9B350D67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C678A-27A8-4A1F-8D0C-B3A31E55376D}">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4.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5.xml><?xml version="1.0" encoding="utf-8"?>
<ds:datastoreItem xmlns:ds="http://schemas.openxmlformats.org/officeDocument/2006/customXml" ds:itemID="{FDAE2573-64E3-488B-AD77-C7B1CFA5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2124</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RD16-8 Supporting Statement</vt:lpstr>
    </vt:vector>
  </TitlesOfParts>
  <Company>Federal Energy Regulatory Commission</Company>
  <LinksUpToDate>false</LinksUpToDate>
  <CharactersWithSpaces>14206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RD16-8 Supporting Statement</dc:title>
  <dc:creator>Nishi Parekh</dc:creator>
  <cp:lastModifiedBy>Ellen Brown</cp:lastModifiedBy>
  <cp:revision>2</cp:revision>
  <cp:lastPrinted>2015-11-12T19:39:00Z</cp:lastPrinted>
  <dcterms:created xsi:type="dcterms:W3CDTF">2017-01-19T19:17:00Z</dcterms:created>
  <dcterms:modified xsi:type="dcterms:W3CDTF">2017-01-19T19:17:00Z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AdHocReviewCycleID">
    <vt:i4>-1341140444</vt:i4>
  </property>
  <property fmtid="{D5CDD505-2E9C-101B-9397-08002B2CF9AE}" pid="4" name="_NewReviewCycle">
    <vt:lpwstr/>
  </property>
  <property fmtid="{D5CDD505-2E9C-101B-9397-08002B2CF9AE}" pid="5" name="_EmailSubject">
    <vt:lpwstr>my ROCIS ticket #INC1805706</vt:lpwstr>
  </property>
  <property fmtid="{D5CDD505-2E9C-101B-9397-08002B2CF9AE}" pid="6" name="_AuthorEmail">
    <vt:lpwstr>Anthony.May@ferc.gov</vt:lpwstr>
  </property>
  <property fmtid="{D5CDD505-2E9C-101B-9397-08002B2CF9AE}" pid="7" name="_AuthorEmailDisplayName">
    <vt:lpwstr>Anthony May</vt:lpwstr>
  </property>
  <property fmtid="{D5CDD505-2E9C-101B-9397-08002B2CF9AE}" pid="8" name="_ReviewingToolsShownOnce">
    <vt:lpwstr/>
  </property>
</Properties>
</file>