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390BB7B0" w:rsidR="009D6B6D" w:rsidRPr="001D2EC1" w:rsidRDefault="009D6B4D" w:rsidP="001D2EC1">
      <w:pPr>
        <w:widowControl/>
        <w:tabs>
          <w:tab w:val="center" w:pos="5040"/>
        </w:tabs>
        <w:jc w:val="center"/>
        <w:rPr>
          <w:b/>
        </w:rPr>
      </w:pPr>
      <w:r>
        <w:rPr>
          <w:b/>
          <w:bCs/>
        </w:rPr>
        <w:t>FERC Form 580</w:t>
      </w:r>
      <w:r w:rsidR="009D6B6D" w:rsidRPr="001D2EC1">
        <w:rPr>
          <w:b/>
          <w:bCs/>
        </w:rPr>
        <w:t xml:space="preserve">, </w:t>
      </w:r>
      <w:r>
        <w:rPr>
          <w:b/>
        </w:rPr>
        <w:t>Interrogatory on Fuel and Energy Purchase Practices Pursuant to Section 205 of the Federal Power Act</w:t>
      </w:r>
    </w:p>
    <w:p w14:paraId="13D26165" w14:textId="77777777" w:rsidR="009D6B6D" w:rsidRPr="001D2EC1" w:rsidRDefault="009D6B6D" w:rsidP="001D2EC1">
      <w:pPr>
        <w:widowControl/>
        <w:tabs>
          <w:tab w:val="center" w:pos="5040"/>
        </w:tabs>
        <w:jc w:val="center"/>
      </w:pPr>
    </w:p>
    <w:p w14:paraId="08EF0C81" w14:textId="58F86761"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9D6B4D">
        <w:rPr>
          <w:b/>
          <w:bCs/>
        </w:rPr>
        <w:t>FERC Form 580</w:t>
      </w:r>
      <w:r w:rsidR="00694EA4" w:rsidRPr="001D2EC1">
        <w:rPr>
          <w:b/>
          <w:bCs/>
        </w:rPr>
        <w:t xml:space="preserve">, </w:t>
      </w:r>
      <w:r w:rsidR="009D6B4D">
        <w:rPr>
          <w:b/>
        </w:rPr>
        <w:t>Interrogatory on Fuel and Energy Purchase Practices Pursuant to Section 205 of the Federal Power Act</w:t>
      </w:r>
      <w:r w:rsidR="0035481D" w:rsidRPr="001D2EC1">
        <w:rPr>
          <w:bCs/>
        </w:rPr>
        <w:t xml:space="preserve"> (</w:t>
      </w:r>
      <w:r w:rsidR="009D6B4D">
        <w:rPr>
          <w:bCs/>
        </w:rPr>
        <w:t>OMB Control No. 1902-0137</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9D6B4D">
        <w:rPr>
          <w:bCs/>
        </w:rPr>
        <w:t>FERC Form 580</w:t>
      </w:r>
      <w:r w:rsidR="00CC615D">
        <w:t xml:space="preserve"> is an existing data collection with </w:t>
      </w:r>
      <w:r w:rsidRPr="001D2EC1">
        <w:t xml:space="preserve">reporting requirement in 18 Code of Federal Regulations (CFR) </w:t>
      </w:r>
      <w:r w:rsidR="009D6B4D">
        <w:t>Section 35.14</w:t>
      </w:r>
      <w:r w:rsidRPr="001D2EC1">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7642CFAE" w14:textId="77777777" w:rsidR="009D6B4D" w:rsidRPr="004065DF" w:rsidRDefault="009D6B4D" w:rsidP="009D6B4D">
      <w:pPr>
        <w:rPr>
          <w:bCs/>
        </w:rPr>
      </w:pPr>
      <w:r w:rsidRPr="004065DF">
        <w:t>When Congress passed the Public Utility Regulatory Policies Act of 1978 (PURPA), it amended Federal Power Act (FPA) Section 205 to mandate: “not less frequently than every 2 years … the Commission shall review, with respect to each public utility, practices under any automatic adjustment clauses of such utility to insure efficient use of resources (including economical purchase and use of fuel and electric energy) under such clauses</w:t>
      </w:r>
      <w:r>
        <w:t xml:space="preserve">”.  </w:t>
      </w:r>
      <w:r w:rsidRPr="004065DF">
        <w:t xml:space="preserve">This mandate was the impetus for the Commission’s first investigation of automatic adjustment clauses </w:t>
      </w:r>
      <w:r>
        <w:t xml:space="preserve">(AACs) </w:t>
      </w:r>
      <w:r w:rsidRPr="004065DF">
        <w:t xml:space="preserve">and ordering subsequent investigations </w:t>
      </w:r>
      <w:r w:rsidRPr="004065DF">
        <w:rPr>
          <w:bCs/>
        </w:rPr>
        <w:t xml:space="preserve">of automatic adjustment clause practices </w:t>
      </w:r>
      <w:r w:rsidRPr="004065DF">
        <w:t>in Docket No. IN79-6</w:t>
      </w:r>
      <w:r w:rsidRPr="004065DF">
        <w:rPr>
          <w:bCs/>
        </w:rPr>
        <w:t>.  In Order</w:t>
      </w:r>
      <w:r>
        <w:rPr>
          <w:bCs/>
        </w:rPr>
        <w:t xml:space="preserve"> 623</w:t>
      </w:r>
      <w:r w:rsidRPr="004065DF">
        <w:rPr>
          <w:bCs/>
        </w:rPr>
        <w:t xml:space="preserve">, the Commission stated:  </w:t>
      </w:r>
    </w:p>
    <w:p w14:paraId="7C265000" w14:textId="77777777" w:rsidR="009D6B4D" w:rsidRPr="004065DF" w:rsidRDefault="009D6B4D" w:rsidP="009D6B4D">
      <w:pPr>
        <w:rPr>
          <w:bCs/>
        </w:rPr>
      </w:pPr>
    </w:p>
    <w:p w14:paraId="64D811B3" w14:textId="77777777" w:rsidR="009D6B4D" w:rsidRPr="004065DF" w:rsidRDefault="009D6B4D" w:rsidP="009D6B4D">
      <w:pPr>
        <w:ind w:left="720" w:right="720"/>
      </w:pPr>
      <w:r w:rsidRPr="004065DF">
        <w:t xml:space="preserve">“Pursuant to this requirement, the Commission intends to institute such a review of practices under automatic adjustment clauses employed by each public utility. This initial review will be conducted in addition to the ongoing field audits of the Commission, which will continue to examine all aspects of utility operations, including fuel programs, purchasing practices, management systems and other matters. The review will utilize the results of audits and other data filed with the Commission, in addition to the materials developed specifically by the review.”  </w:t>
      </w:r>
    </w:p>
    <w:p w14:paraId="502BEA0D" w14:textId="77777777" w:rsidR="009D6B4D" w:rsidRPr="004065DF" w:rsidRDefault="009D6B4D" w:rsidP="009D6B4D">
      <w:pPr>
        <w:ind w:left="720" w:right="720"/>
      </w:pPr>
    </w:p>
    <w:p w14:paraId="3FBECF63" w14:textId="77777777" w:rsidR="009D6B4D" w:rsidRPr="004065DF" w:rsidRDefault="009D6B4D" w:rsidP="009D6B4D">
      <w:r w:rsidRPr="004065DF">
        <w:t xml:space="preserve">The requirements established in the investigation were not set out in the Code of </w:t>
      </w:r>
      <w:r w:rsidRPr="004065DF">
        <w:lastRenderedPageBreak/>
        <w:t>Federal Regulations (CFR).</w:t>
      </w:r>
    </w:p>
    <w:p w14:paraId="1626DA91" w14:textId="77777777" w:rsidR="009D6B4D" w:rsidRPr="004065DF" w:rsidRDefault="009D6B4D" w:rsidP="009D6B4D">
      <w:pPr>
        <w:ind w:firstLine="240"/>
      </w:pPr>
    </w:p>
    <w:p w14:paraId="1910BAB6" w14:textId="2D6A62F0" w:rsidR="00980E8E" w:rsidRDefault="009D6B4D" w:rsidP="009D6B4D">
      <w:r w:rsidRPr="004065DF">
        <w:t>The first Commission interrogatory issued in 1979 and subsequent interrogatories issued every</w:t>
      </w:r>
      <w:r w:rsidR="008B5679">
        <w:t xml:space="preserve"> two years thereafter.  The 2016</w:t>
      </w:r>
      <w:r w:rsidRPr="004065DF">
        <w:t xml:space="preserve"> interroga</w:t>
      </w:r>
      <w:r w:rsidR="008B5679">
        <w:t>tory will be the Commission’s 19</w:t>
      </w:r>
      <w:r w:rsidRPr="004065DF">
        <w:rPr>
          <w:vertAlign w:val="superscript"/>
        </w:rPr>
        <w:t>th</w:t>
      </w:r>
      <w:r w:rsidRPr="004065DF">
        <w:t xml:space="preserve"> investigation.   As the review is congressionally mandated, Commission investigations of automatic adjustment clauses will continue until Cong</w:t>
      </w:r>
      <w:r>
        <w:t>ress abolishes the requirement.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09C287FE" w14:textId="77777777" w:rsidR="009D6B4D" w:rsidRPr="004065DF" w:rsidRDefault="009D6B4D" w:rsidP="009D6B4D">
      <w:r w:rsidRPr="004065DF">
        <w:t xml:space="preserve">The FERC Form 580 interrogatory is conducted every two years.  Through it, the Commission collects information from public utilities subject to its jurisdiction that own or operate power plants that generate a minimum of 50MW.  Presently there are approximately </w:t>
      </w:r>
      <w:r>
        <w:t>82</w:t>
      </w:r>
      <w:r w:rsidRPr="004065DF">
        <w:t xml:space="preserve"> public utilities subject to this requirement.  </w:t>
      </w:r>
    </w:p>
    <w:p w14:paraId="06E7C52A" w14:textId="77777777" w:rsidR="009D6B4D" w:rsidRPr="004065DF" w:rsidRDefault="009D6B4D" w:rsidP="009D6B4D"/>
    <w:p w14:paraId="04837DFB" w14:textId="77777777" w:rsidR="009D6B4D" w:rsidRPr="004065DF" w:rsidRDefault="009D6B4D" w:rsidP="009D6B4D">
      <w:r w:rsidRPr="004065DF">
        <w:t>The</w:t>
      </w:r>
      <w:r>
        <w:t xml:space="preserve"> Commission uses the</w:t>
      </w:r>
      <w:r w:rsidRPr="004065DF">
        <w:t xml:space="preserve"> information collected through the FERC Form 580 interrogatory to review utility purchase and cost recovery practices through AACs</w:t>
      </w:r>
      <w:r>
        <w:t xml:space="preserve"> in order</w:t>
      </w:r>
      <w:r w:rsidRPr="004065DF">
        <w:t xml:space="preserve"> to </w:t>
      </w:r>
      <w:r>
        <w:t>e</w:t>
      </w:r>
      <w:r w:rsidRPr="004065DF">
        <w:t>nsure efficient use of resources</w:t>
      </w:r>
      <w:r w:rsidRPr="00181E9B">
        <w:rPr>
          <w:rStyle w:val="FootnoteReference"/>
          <w:vertAlign w:val="superscript"/>
        </w:rPr>
        <w:footnoteReference w:id="1"/>
      </w:r>
      <w:r>
        <w:t>.</w:t>
      </w:r>
      <w:r w:rsidRPr="004065DF">
        <w:t xml:space="preserve">  </w:t>
      </w:r>
      <w:r>
        <w:t>The Commission uses t</w:t>
      </w:r>
      <w:r w:rsidRPr="004065DF">
        <w:t>he information to evaluate costs in individual rate filings and to supplement periodic utility audits.  The public also uses the information in this manner.  Without the FERC Form</w:t>
      </w:r>
      <w:r w:rsidRPr="004065DF" w:rsidDel="00C26848">
        <w:t xml:space="preserve"> </w:t>
      </w:r>
      <w:r w:rsidRPr="004065DF">
        <w:t xml:space="preserve">580 interrogatory, the Commission would not have the requisite information available to conduct the necessary review the FPA mandates. </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144D95B8" w14:textId="77777777" w:rsidR="009D6B4D" w:rsidRPr="00BF77E8" w:rsidRDefault="009D6B4D" w:rsidP="009D6B4D">
      <w:pPr>
        <w:widowControl/>
      </w:pPr>
      <w:r w:rsidRPr="00BF77E8">
        <w:t xml:space="preserve">There is an ongoing effort to determine the potential and value of improved information technology to reduce the burden.  Specifically, in order to increase the efficiency with which it </w:t>
      </w:r>
      <w:bookmarkStart w:id="0" w:name="_GoBack"/>
      <w:r w:rsidRPr="00BF77E8">
        <w:t xml:space="preserve">carries out its program responsibilities, the Commission has been implementing measures to use </w:t>
      </w:r>
      <w:bookmarkEnd w:id="0"/>
      <w:r w:rsidRPr="00BF77E8">
        <w:t xml:space="preserve">information technology to reduce the </w:t>
      </w:r>
      <w:r w:rsidRPr="00BF77E8">
        <w:lastRenderedPageBreak/>
        <w:t>amount of paperwork required in its proceedings.  In Order No. 619</w:t>
      </w:r>
      <w:r w:rsidRPr="00BF77E8">
        <w:rPr>
          <w:rStyle w:val="FootnoteReference"/>
          <w:vertAlign w:val="superscript"/>
        </w:rPr>
        <w:footnoteReference w:id="2"/>
      </w:r>
      <w:r w:rsidRPr="00BF77E8">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14:paraId="7F757FF8" w14:textId="77777777" w:rsidR="009D6B4D" w:rsidRPr="00BF77E8" w:rsidRDefault="009D6B4D" w:rsidP="009D6B4D">
      <w:pPr>
        <w:rPr>
          <w:bCs/>
        </w:rPr>
      </w:pPr>
    </w:p>
    <w:p w14:paraId="59BB3BE9" w14:textId="7D27E10C" w:rsidR="009D6B4D" w:rsidRPr="00C1285A" w:rsidRDefault="009D6B4D" w:rsidP="009D6B4D">
      <w:r>
        <w:t>The Commission collects</w:t>
      </w:r>
      <w:r w:rsidRPr="00C1285A">
        <w:t xml:space="preserve"> Form 580 information in an electronic form fillable Adobe Acrobat </w:t>
      </w:r>
      <w:r>
        <w:t>PDF (Portable Document Format)</w:t>
      </w:r>
      <w:r w:rsidRPr="00C1285A">
        <w:t xml:space="preserve">.  The Commission developed </w:t>
      </w:r>
      <w:r>
        <w:t xml:space="preserve">and implemented </w:t>
      </w:r>
      <w:r w:rsidRPr="00C1285A">
        <w:t>this form four years ago</w:t>
      </w:r>
      <w:r w:rsidR="00BA032B" w:rsidRPr="000B6FDE">
        <w:rPr>
          <w:rStyle w:val="FootnoteReference"/>
          <w:vertAlign w:val="superscript"/>
        </w:rPr>
        <w:footnoteReference w:id="3"/>
      </w:r>
      <w:r w:rsidRPr="00C1285A">
        <w:t xml:space="preserve">.  </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10EBCCDF" w14:textId="77777777" w:rsidR="006A19F2" w:rsidRDefault="006A19F2" w:rsidP="006A19F2">
      <w:pPr>
        <w:rPr>
          <w:bCs/>
        </w:rPr>
      </w:pPr>
      <w:r>
        <w:rPr>
          <w:bCs/>
        </w:rPr>
        <w:t>The Commission published a notice within the Federal Register to help identify any duplication of the information in the Form 580.  The Commission received no comments regarding this issue.</w:t>
      </w:r>
    </w:p>
    <w:p w14:paraId="411F53AA" w14:textId="77777777" w:rsidR="006A19F2" w:rsidRDefault="006A19F2" w:rsidP="006A19F2">
      <w:pPr>
        <w:rPr>
          <w:bCs/>
        </w:rPr>
      </w:pPr>
    </w:p>
    <w:p w14:paraId="69D973A0" w14:textId="77777777" w:rsidR="006A19F2" w:rsidRPr="004065DF" w:rsidRDefault="006A19F2" w:rsidP="006A19F2">
      <w:r w:rsidRPr="004065DF">
        <w:rPr>
          <w:bCs/>
        </w:rPr>
        <w:t xml:space="preserve">The Commission uses the information collected in the </w:t>
      </w:r>
      <w:r w:rsidRPr="004065DF">
        <w:t>Form</w:t>
      </w:r>
      <w:r w:rsidRPr="004065DF" w:rsidDel="00C26848">
        <w:rPr>
          <w:bCs/>
        </w:rPr>
        <w:t xml:space="preserve"> </w:t>
      </w:r>
      <w:r w:rsidRPr="004065DF">
        <w:rPr>
          <w:bCs/>
        </w:rPr>
        <w:t xml:space="preserve">580 together with information from the Energy Information Administration (EIA) to compile a complete data set necessary for adjustment clause analysis.  The information from EIA supplements the </w:t>
      </w:r>
      <w:r w:rsidRPr="004065DF">
        <w:t>Form</w:t>
      </w:r>
      <w:r w:rsidRPr="004065DF" w:rsidDel="00C26848">
        <w:rPr>
          <w:bCs/>
        </w:rPr>
        <w:t xml:space="preserve"> </w:t>
      </w:r>
      <w:r w:rsidRPr="004065DF">
        <w:rPr>
          <w:bCs/>
        </w:rPr>
        <w:t>580 data and analyses</w:t>
      </w:r>
      <w:r>
        <w:rPr>
          <w:bCs/>
        </w:rPr>
        <w:t xml:space="preserve">, but it </w:t>
      </w:r>
      <w:r w:rsidRPr="004065DF">
        <w:rPr>
          <w:bCs/>
        </w:rPr>
        <w:t>is not duplicative.  Specifically, the fuel contract data the Commission collects in the F</w:t>
      </w:r>
      <w:r w:rsidRPr="004065DF">
        <w:t>orm</w:t>
      </w:r>
      <w:r w:rsidRPr="004065DF" w:rsidDel="00C26848">
        <w:rPr>
          <w:bCs/>
        </w:rPr>
        <w:t xml:space="preserve"> </w:t>
      </w:r>
      <w:r w:rsidRPr="004065DF">
        <w:rPr>
          <w:bCs/>
        </w:rPr>
        <w:t xml:space="preserve">580 has significantly greater granularity and </w:t>
      </w:r>
      <w:r>
        <w:rPr>
          <w:bCs/>
        </w:rPr>
        <w:t xml:space="preserve">the Commission does not collect </w:t>
      </w:r>
      <w:r w:rsidRPr="004065DF">
        <w:rPr>
          <w:bCs/>
        </w:rPr>
        <w:t>their transportation data</w:t>
      </w:r>
      <w:r>
        <w:rPr>
          <w:bCs/>
        </w:rPr>
        <w:t xml:space="preserve">.  </w:t>
      </w:r>
      <w:r w:rsidRPr="004065DF">
        <w:rPr>
          <w:bCs/>
        </w:rPr>
        <w:t xml:space="preserve">There is no </w:t>
      </w:r>
      <w:r w:rsidRPr="004065DF">
        <w:t xml:space="preserve">other known source of the </w:t>
      </w:r>
      <w:r>
        <w:t xml:space="preserve">FERC </w:t>
      </w:r>
      <w:r w:rsidRPr="004065DF">
        <w:t>Form</w:t>
      </w:r>
      <w:r w:rsidRPr="004065DF" w:rsidDel="00C26848">
        <w:t xml:space="preserve"> </w:t>
      </w:r>
      <w:r w:rsidRPr="004065DF">
        <w:t>580 information.</w:t>
      </w:r>
    </w:p>
    <w:p w14:paraId="44C363AB" w14:textId="77777777" w:rsidR="00BD4039" w:rsidRPr="00BD4039" w:rsidRDefault="00BD4039"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3B470431" w14:textId="77777777" w:rsidR="006A19F2" w:rsidRDefault="006A19F2" w:rsidP="006A19F2">
      <w:r w:rsidRPr="004065DF">
        <w:t xml:space="preserve">This investigation does not collect information from small entities. </w:t>
      </w:r>
    </w:p>
    <w:p w14:paraId="2E789FB9" w14:textId="77777777" w:rsidR="006A19F2" w:rsidRPr="004065DF" w:rsidRDefault="006A19F2" w:rsidP="006A19F2"/>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267A0147" w14:textId="77777777" w:rsidR="006A19F2" w:rsidRPr="004065DF" w:rsidRDefault="006A19F2" w:rsidP="006A19F2">
      <w:r>
        <w:t xml:space="preserve">The Commission collects </w:t>
      </w:r>
      <w:r w:rsidRPr="004065DF">
        <w:t>Form</w:t>
      </w:r>
      <w:r w:rsidRPr="004065DF" w:rsidDel="00C26848">
        <w:t xml:space="preserve"> </w:t>
      </w:r>
      <w:r w:rsidRPr="004065DF">
        <w:t>580 information every other year as required under Section 205(f)(2) of the FPA as amended by Section 208 of PURPA.  If the collection were conducted less frequently, the Commission would not be able to carry out the reviews required by this statute.</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7EFD2921" w:rsidR="00BB6095" w:rsidRPr="001D2EC1" w:rsidRDefault="006A19F2" w:rsidP="00BB6095">
      <w:r>
        <w:t>The information collection meets all 5 CFR 1320.5(d)(2) requirements.</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0FC3129E" w:rsidR="00BB6095"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4"/>
      </w:r>
      <w:bookmarkEnd w:id="1"/>
      <w:r w:rsidRPr="00E138E1">
        <w:t xml:space="preserve"> and a 30-day notice</w:t>
      </w:r>
      <w:r w:rsidRPr="00E138E1">
        <w:rPr>
          <w:rStyle w:val="FootnoteReference"/>
          <w:vertAlign w:val="superscript"/>
        </w:rPr>
        <w:footnoteReference w:id="5"/>
      </w:r>
      <w:r w:rsidRPr="00E138E1">
        <w:t xml:space="preserve"> to the public regarding this information collection on </w:t>
      </w:r>
      <w:r w:rsidR="006A19F2">
        <w:t>6</w:t>
      </w:r>
      <w:r w:rsidR="00CB3EA0">
        <w:t>/</w:t>
      </w:r>
      <w:r w:rsidR="00694EA4">
        <w:t>13</w:t>
      </w:r>
      <w:r w:rsidR="00CB3EA0">
        <w:t>/</w:t>
      </w:r>
      <w:r w:rsidR="00CB3EA0" w:rsidRPr="001718FA">
        <w:t>2016</w:t>
      </w:r>
      <w:r w:rsidRPr="001718FA">
        <w:t xml:space="preserve"> </w:t>
      </w:r>
      <w:r w:rsidRPr="00E82878">
        <w:t xml:space="preserve">and </w:t>
      </w:r>
      <w:r w:rsidR="00E82878" w:rsidRPr="00E82878">
        <w:t>9/</w:t>
      </w:r>
      <w:r w:rsidR="000B6FDE">
        <w:t>8</w:t>
      </w:r>
      <w:r w:rsidR="006C1E96" w:rsidRPr="00E82878">
        <w:t>/2016</w:t>
      </w:r>
      <w:r w:rsidRPr="00E82878">
        <w:t>,</w:t>
      </w:r>
      <w:r w:rsidRPr="00E138E1">
        <w:t xml:space="preserve"> respectively. Within the public notice, the Commission noted that it would be requesting a three-year extension of the public reporting burden with no change to the existing requirements concerning the collection of data.  </w:t>
      </w:r>
      <w:r w:rsidR="00135B06">
        <w:t xml:space="preserve">The notices detailed some administrative updates (described below) which are being made.  </w:t>
      </w:r>
      <w:r w:rsidRPr="00E138E1">
        <w:t>The Commission received no comments.</w:t>
      </w:r>
      <w:r w:rsidRPr="001D2EC1">
        <w:t xml:space="preserve">  </w:t>
      </w:r>
    </w:p>
    <w:p w14:paraId="23F92FD8" w14:textId="77777777" w:rsidR="00571A5F" w:rsidRDefault="00571A5F" w:rsidP="00BB6095"/>
    <w:p w14:paraId="5E5EA234" w14:textId="38EDFED9" w:rsidR="00571A5F" w:rsidRDefault="00571A5F" w:rsidP="00BB6095">
      <w:r>
        <w:t>The following updates must be made to keep the FERC Form 580 accurate and up-to-date:</w:t>
      </w:r>
    </w:p>
    <w:p w14:paraId="6F819F2C" w14:textId="77777777" w:rsidR="00571A5F" w:rsidRDefault="00571A5F" w:rsidP="00BB6095"/>
    <w:p w14:paraId="309D6676" w14:textId="77777777" w:rsidR="00571A5F" w:rsidRPr="00780402" w:rsidRDefault="00571A5F" w:rsidP="00571A5F">
      <w:pPr>
        <w:spacing w:line="480" w:lineRule="auto"/>
        <w:rPr>
          <w:szCs w:val="26"/>
          <w:u w:val="single"/>
        </w:rPr>
      </w:pPr>
      <w:r w:rsidRPr="00780402">
        <w:rPr>
          <w:szCs w:val="26"/>
          <w:u w:val="single"/>
        </w:rPr>
        <w:lastRenderedPageBreak/>
        <w:t>Question 2a</w:t>
      </w:r>
    </w:p>
    <w:p w14:paraId="21708793" w14:textId="77777777" w:rsidR="00571A5F" w:rsidRPr="00FB4698" w:rsidRDefault="00571A5F" w:rsidP="00571A5F">
      <w:pPr>
        <w:spacing w:line="480" w:lineRule="auto"/>
        <w:rPr>
          <w:szCs w:val="26"/>
        </w:rPr>
      </w:pPr>
      <w:r w:rsidRPr="00FB4698">
        <w:rPr>
          <w:szCs w:val="26"/>
        </w:rPr>
        <w:tab/>
        <w:t>-</w:t>
      </w:r>
      <w:r>
        <w:rPr>
          <w:szCs w:val="26"/>
        </w:rPr>
        <w:t>Revise</w:t>
      </w:r>
      <w:r w:rsidRPr="00FB4698">
        <w:rPr>
          <w:szCs w:val="26"/>
        </w:rPr>
        <w:t xml:space="preserve"> Question 2a columns as follows</w:t>
      </w:r>
      <w:r>
        <w:rPr>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571A5F" w:rsidRPr="00FB4698" w14:paraId="0C154C41" w14:textId="77777777" w:rsidTr="00D31657">
        <w:trPr>
          <w:jc w:val="center"/>
        </w:trPr>
        <w:tc>
          <w:tcPr>
            <w:tcW w:w="4788" w:type="dxa"/>
            <w:shd w:val="clear" w:color="auto" w:fill="auto"/>
            <w:vAlign w:val="bottom"/>
          </w:tcPr>
          <w:p w14:paraId="750DC98C" w14:textId="77777777" w:rsidR="00571A5F" w:rsidRPr="00FB4698" w:rsidRDefault="00571A5F" w:rsidP="00D31657">
            <w:pPr>
              <w:jc w:val="center"/>
              <w:rPr>
                <w:bCs/>
                <w:szCs w:val="26"/>
              </w:rPr>
            </w:pPr>
            <w:r w:rsidRPr="00FB4698">
              <w:rPr>
                <w:bCs/>
                <w:szCs w:val="26"/>
              </w:rPr>
              <w:t>From</w:t>
            </w:r>
          </w:p>
        </w:tc>
        <w:tc>
          <w:tcPr>
            <w:tcW w:w="4788" w:type="dxa"/>
            <w:shd w:val="clear" w:color="auto" w:fill="auto"/>
            <w:vAlign w:val="bottom"/>
          </w:tcPr>
          <w:p w14:paraId="2CF9F413" w14:textId="77777777" w:rsidR="00571A5F" w:rsidRPr="00FB4698" w:rsidRDefault="00571A5F" w:rsidP="00D31657">
            <w:pPr>
              <w:jc w:val="center"/>
              <w:rPr>
                <w:bCs/>
                <w:szCs w:val="26"/>
              </w:rPr>
            </w:pPr>
            <w:r w:rsidRPr="00FB4698">
              <w:rPr>
                <w:bCs/>
                <w:szCs w:val="26"/>
              </w:rPr>
              <w:t>To</w:t>
            </w:r>
          </w:p>
        </w:tc>
      </w:tr>
      <w:tr w:rsidR="00571A5F" w:rsidRPr="00FB4698" w14:paraId="2DE81B80" w14:textId="77777777" w:rsidTr="00D31657">
        <w:trPr>
          <w:jc w:val="center"/>
        </w:trPr>
        <w:tc>
          <w:tcPr>
            <w:tcW w:w="4788" w:type="dxa"/>
            <w:shd w:val="clear" w:color="auto" w:fill="auto"/>
            <w:vAlign w:val="bottom"/>
          </w:tcPr>
          <w:p w14:paraId="281B1ACD" w14:textId="77777777" w:rsidR="00571A5F" w:rsidRPr="00FB4698" w:rsidRDefault="00571A5F" w:rsidP="00D31657">
            <w:pPr>
              <w:rPr>
                <w:bCs/>
                <w:szCs w:val="26"/>
              </w:rPr>
            </w:pPr>
            <w:r w:rsidRPr="00FB4698">
              <w:rPr>
                <w:bCs/>
                <w:szCs w:val="26"/>
              </w:rPr>
              <w:t>Docket number under which rate schedule</w:t>
            </w:r>
          </w:p>
          <w:p w14:paraId="32E0055D" w14:textId="77777777" w:rsidR="00571A5F" w:rsidRPr="00FB4698" w:rsidRDefault="00571A5F" w:rsidP="00D31657">
            <w:pPr>
              <w:rPr>
                <w:bCs/>
                <w:szCs w:val="26"/>
              </w:rPr>
            </w:pPr>
            <w:r w:rsidRPr="00FB4698">
              <w:rPr>
                <w:bCs/>
                <w:szCs w:val="26"/>
              </w:rPr>
              <w:t>containing AAC through which costs were</w:t>
            </w:r>
          </w:p>
          <w:p w14:paraId="573A80EC" w14:textId="77777777" w:rsidR="00571A5F" w:rsidRPr="00FB4698" w:rsidRDefault="00571A5F" w:rsidP="00D31657">
            <w:pPr>
              <w:rPr>
                <w:bCs/>
                <w:szCs w:val="26"/>
              </w:rPr>
            </w:pPr>
            <w:r w:rsidRPr="00FB4698">
              <w:rPr>
                <w:bCs/>
                <w:szCs w:val="26"/>
              </w:rPr>
              <w:t>passed during 2012 and/or 2013 was accepted for filing by FERC</w:t>
            </w:r>
          </w:p>
        </w:tc>
        <w:tc>
          <w:tcPr>
            <w:tcW w:w="4788" w:type="dxa"/>
            <w:shd w:val="clear" w:color="auto" w:fill="auto"/>
            <w:vAlign w:val="bottom"/>
          </w:tcPr>
          <w:p w14:paraId="7A70CA27" w14:textId="77777777" w:rsidR="00571A5F" w:rsidRPr="00FB4698" w:rsidRDefault="00571A5F" w:rsidP="00D31657">
            <w:pPr>
              <w:rPr>
                <w:bCs/>
                <w:szCs w:val="26"/>
              </w:rPr>
            </w:pPr>
            <w:r w:rsidRPr="00FB4698">
              <w:rPr>
                <w:bCs/>
                <w:szCs w:val="26"/>
              </w:rPr>
              <w:t>Docket number under which rate schedule</w:t>
            </w:r>
          </w:p>
          <w:p w14:paraId="54083400" w14:textId="77777777" w:rsidR="00571A5F" w:rsidRPr="00FB4698" w:rsidRDefault="00571A5F" w:rsidP="00D31657">
            <w:pPr>
              <w:rPr>
                <w:bCs/>
                <w:szCs w:val="26"/>
              </w:rPr>
            </w:pPr>
            <w:r w:rsidRPr="00FB4698">
              <w:rPr>
                <w:bCs/>
                <w:szCs w:val="26"/>
              </w:rPr>
              <w:t>containing AAC through which costs were</w:t>
            </w:r>
          </w:p>
          <w:p w14:paraId="59BFCB53" w14:textId="77777777" w:rsidR="00571A5F" w:rsidRPr="00FB4698" w:rsidRDefault="00571A5F" w:rsidP="00D31657">
            <w:pPr>
              <w:rPr>
                <w:bCs/>
                <w:szCs w:val="26"/>
              </w:rPr>
            </w:pPr>
            <w:r w:rsidRPr="00FB4698">
              <w:rPr>
                <w:bCs/>
                <w:szCs w:val="26"/>
              </w:rPr>
              <w:t>passed during 2014 and/or 2015 was accepted for filing by FERC</w:t>
            </w:r>
          </w:p>
        </w:tc>
      </w:tr>
      <w:tr w:rsidR="00571A5F" w:rsidRPr="00FB4698" w14:paraId="3B248BB4" w14:textId="77777777" w:rsidTr="00D31657">
        <w:trPr>
          <w:jc w:val="center"/>
        </w:trPr>
        <w:tc>
          <w:tcPr>
            <w:tcW w:w="4788" w:type="dxa"/>
            <w:shd w:val="clear" w:color="auto" w:fill="auto"/>
            <w:vAlign w:val="bottom"/>
          </w:tcPr>
          <w:p w14:paraId="3C73CA01" w14:textId="77777777" w:rsidR="00571A5F" w:rsidRPr="00FB4698" w:rsidRDefault="00571A5F" w:rsidP="00D31657">
            <w:pPr>
              <w:rPr>
                <w:bCs/>
                <w:szCs w:val="26"/>
              </w:rPr>
            </w:pPr>
            <w:r w:rsidRPr="00FB4698">
              <w:rPr>
                <w:bCs/>
                <w:szCs w:val="26"/>
              </w:rPr>
              <w:t>Was rate schedule</w:t>
            </w:r>
          </w:p>
          <w:p w14:paraId="41194D4C" w14:textId="77777777" w:rsidR="00571A5F" w:rsidRPr="00FB4698" w:rsidRDefault="00571A5F" w:rsidP="00D31657">
            <w:pPr>
              <w:rPr>
                <w:bCs/>
                <w:szCs w:val="26"/>
              </w:rPr>
            </w:pPr>
            <w:r w:rsidRPr="00FB4698">
              <w:rPr>
                <w:bCs/>
                <w:szCs w:val="26"/>
              </w:rPr>
              <w:t>superseded or</w:t>
            </w:r>
          </w:p>
          <w:p w14:paraId="02B73AA6" w14:textId="77777777" w:rsidR="00571A5F" w:rsidRPr="00FB4698" w:rsidRDefault="00571A5F" w:rsidP="00D31657">
            <w:pPr>
              <w:rPr>
                <w:bCs/>
                <w:szCs w:val="26"/>
              </w:rPr>
            </w:pPr>
            <w:r w:rsidRPr="00FB4698">
              <w:rPr>
                <w:bCs/>
                <w:szCs w:val="26"/>
              </w:rPr>
              <w:t>abandoned during</w:t>
            </w:r>
          </w:p>
          <w:p w14:paraId="4A51A435" w14:textId="77777777" w:rsidR="00571A5F" w:rsidRPr="00FB4698" w:rsidRDefault="00571A5F" w:rsidP="00D31657">
            <w:pPr>
              <w:rPr>
                <w:bCs/>
                <w:szCs w:val="26"/>
              </w:rPr>
            </w:pPr>
            <w:r w:rsidRPr="00FB4698">
              <w:rPr>
                <w:bCs/>
                <w:szCs w:val="26"/>
              </w:rPr>
              <w:t>2012-2013? If so, provide</w:t>
            </w:r>
          </w:p>
          <w:p w14:paraId="39155E0C" w14:textId="36299778" w:rsidR="00571A5F" w:rsidRPr="00FB4698" w:rsidRDefault="00EB35DB" w:rsidP="00D31657">
            <w:pPr>
              <w:rPr>
                <w:bCs/>
                <w:szCs w:val="26"/>
              </w:rPr>
            </w:pPr>
            <w:r w:rsidRPr="00FB4698">
              <w:rPr>
                <w:bCs/>
                <w:szCs w:val="26"/>
              </w:rPr>
              <w:t>D</w:t>
            </w:r>
            <w:r w:rsidR="00571A5F" w:rsidRPr="00FB4698">
              <w:rPr>
                <w:bCs/>
                <w:szCs w:val="26"/>
              </w:rPr>
              <w:t>ates</w:t>
            </w:r>
          </w:p>
        </w:tc>
        <w:tc>
          <w:tcPr>
            <w:tcW w:w="4788" w:type="dxa"/>
            <w:shd w:val="clear" w:color="auto" w:fill="auto"/>
            <w:vAlign w:val="bottom"/>
          </w:tcPr>
          <w:p w14:paraId="03C5C635" w14:textId="77777777" w:rsidR="00571A5F" w:rsidRPr="00FB4698" w:rsidRDefault="00571A5F" w:rsidP="00D31657">
            <w:pPr>
              <w:rPr>
                <w:bCs/>
                <w:szCs w:val="26"/>
              </w:rPr>
            </w:pPr>
            <w:r w:rsidRPr="00FB4698">
              <w:rPr>
                <w:bCs/>
                <w:szCs w:val="26"/>
              </w:rPr>
              <w:t>Was rate schedule</w:t>
            </w:r>
          </w:p>
          <w:p w14:paraId="55519C8B" w14:textId="77777777" w:rsidR="00571A5F" w:rsidRPr="00FB4698" w:rsidRDefault="00571A5F" w:rsidP="00D31657">
            <w:pPr>
              <w:rPr>
                <w:bCs/>
                <w:szCs w:val="26"/>
              </w:rPr>
            </w:pPr>
            <w:r w:rsidRPr="00FB4698">
              <w:rPr>
                <w:bCs/>
                <w:szCs w:val="26"/>
              </w:rPr>
              <w:t>superseded or</w:t>
            </w:r>
          </w:p>
          <w:p w14:paraId="36EF70AA" w14:textId="77777777" w:rsidR="00571A5F" w:rsidRPr="00FB4698" w:rsidRDefault="00571A5F" w:rsidP="00D31657">
            <w:pPr>
              <w:rPr>
                <w:bCs/>
                <w:szCs w:val="26"/>
              </w:rPr>
            </w:pPr>
            <w:r w:rsidRPr="00FB4698">
              <w:rPr>
                <w:bCs/>
                <w:szCs w:val="26"/>
              </w:rPr>
              <w:t>abandoned during</w:t>
            </w:r>
          </w:p>
          <w:p w14:paraId="1AC20061" w14:textId="77777777" w:rsidR="00571A5F" w:rsidRPr="00FB4698" w:rsidRDefault="00571A5F" w:rsidP="00D31657">
            <w:pPr>
              <w:rPr>
                <w:bCs/>
                <w:szCs w:val="26"/>
              </w:rPr>
            </w:pPr>
            <w:r w:rsidRPr="00FB4698">
              <w:rPr>
                <w:bCs/>
                <w:szCs w:val="26"/>
              </w:rPr>
              <w:t>2014-2015? If so, provide</w:t>
            </w:r>
          </w:p>
          <w:p w14:paraId="1F953BD1" w14:textId="77777777" w:rsidR="00571A5F" w:rsidRPr="00FB4698" w:rsidRDefault="00571A5F" w:rsidP="00D31657">
            <w:pPr>
              <w:rPr>
                <w:bCs/>
                <w:szCs w:val="26"/>
              </w:rPr>
            </w:pPr>
            <w:r>
              <w:rPr>
                <w:bCs/>
                <w:szCs w:val="26"/>
              </w:rPr>
              <w:t>d</w:t>
            </w:r>
            <w:r w:rsidRPr="00FB4698">
              <w:rPr>
                <w:bCs/>
                <w:szCs w:val="26"/>
              </w:rPr>
              <w:t>ates</w:t>
            </w:r>
          </w:p>
        </w:tc>
      </w:tr>
    </w:tbl>
    <w:p w14:paraId="04105CE0" w14:textId="77777777" w:rsidR="00571A5F" w:rsidRPr="00FB4698" w:rsidRDefault="00571A5F" w:rsidP="00571A5F">
      <w:pPr>
        <w:spacing w:line="480" w:lineRule="auto"/>
        <w:ind w:firstLine="720"/>
        <w:rPr>
          <w:szCs w:val="26"/>
        </w:rPr>
      </w:pPr>
    </w:p>
    <w:p w14:paraId="02C7A0BF" w14:textId="77777777" w:rsidR="00571A5F" w:rsidRPr="00780402" w:rsidRDefault="00571A5F" w:rsidP="00571A5F">
      <w:pPr>
        <w:spacing w:line="480" w:lineRule="auto"/>
        <w:rPr>
          <w:szCs w:val="26"/>
          <w:u w:val="single"/>
        </w:rPr>
      </w:pPr>
      <w:r w:rsidRPr="00780402">
        <w:rPr>
          <w:szCs w:val="26"/>
          <w:u w:val="single"/>
        </w:rPr>
        <w:t>Question 2b</w:t>
      </w:r>
    </w:p>
    <w:p w14:paraId="3F6E68AC" w14:textId="77777777" w:rsidR="00571A5F" w:rsidRPr="00FB4698" w:rsidRDefault="00571A5F" w:rsidP="00571A5F">
      <w:pPr>
        <w:spacing w:line="480" w:lineRule="auto"/>
        <w:rPr>
          <w:szCs w:val="26"/>
        </w:rPr>
      </w:pPr>
      <w:r w:rsidRPr="00FB4698">
        <w:rPr>
          <w:szCs w:val="26"/>
        </w:rPr>
        <w:t>-Revise the paragraph under Question 2b to read: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74"/>
      </w:tblGrid>
      <w:tr w:rsidR="00571A5F" w:rsidRPr="00FB4698" w14:paraId="2820FEA4" w14:textId="77777777" w:rsidTr="00D31657">
        <w:tc>
          <w:tcPr>
            <w:tcW w:w="4770" w:type="dxa"/>
            <w:shd w:val="clear" w:color="auto" w:fill="auto"/>
          </w:tcPr>
          <w:p w14:paraId="09B26B8D" w14:textId="77777777" w:rsidR="00571A5F" w:rsidRPr="00FB4698" w:rsidRDefault="00571A5F" w:rsidP="00D31657">
            <w:pPr>
              <w:jc w:val="center"/>
              <w:rPr>
                <w:b/>
                <w:bCs/>
                <w:szCs w:val="26"/>
              </w:rPr>
            </w:pPr>
            <w:r w:rsidRPr="00FB4698">
              <w:rPr>
                <w:b/>
                <w:bCs/>
                <w:szCs w:val="26"/>
              </w:rPr>
              <w:t>From</w:t>
            </w:r>
          </w:p>
        </w:tc>
        <w:tc>
          <w:tcPr>
            <w:tcW w:w="4788" w:type="dxa"/>
            <w:shd w:val="clear" w:color="auto" w:fill="auto"/>
          </w:tcPr>
          <w:p w14:paraId="1CD4BB45" w14:textId="77777777" w:rsidR="00571A5F" w:rsidRPr="00FB4698" w:rsidRDefault="00571A5F" w:rsidP="00D31657">
            <w:pPr>
              <w:jc w:val="center"/>
              <w:rPr>
                <w:b/>
                <w:szCs w:val="26"/>
              </w:rPr>
            </w:pPr>
            <w:r w:rsidRPr="00FB4698">
              <w:rPr>
                <w:b/>
                <w:szCs w:val="26"/>
              </w:rPr>
              <w:t>To</w:t>
            </w:r>
          </w:p>
        </w:tc>
      </w:tr>
      <w:tr w:rsidR="00571A5F" w:rsidRPr="00FB4698" w14:paraId="739D011A" w14:textId="77777777" w:rsidTr="00D31657">
        <w:tc>
          <w:tcPr>
            <w:tcW w:w="4770" w:type="dxa"/>
            <w:shd w:val="clear" w:color="auto" w:fill="auto"/>
          </w:tcPr>
          <w:p w14:paraId="14D59260" w14:textId="77777777" w:rsidR="00571A5F" w:rsidRPr="00780402" w:rsidRDefault="00571A5F" w:rsidP="00D31657">
            <w:pPr>
              <w:rPr>
                <w:szCs w:val="26"/>
              </w:rPr>
            </w:pPr>
            <w:r>
              <w:rPr>
                <w:szCs w:val="26"/>
              </w:rPr>
              <w:t xml:space="preserve">If </w:t>
            </w:r>
            <w:r w:rsidRPr="00780402">
              <w:rPr>
                <w:szCs w:val="26"/>
              </w:rPr>
              <w:t>any of the Utility’s wholesale rate and/or service agreements containing an AAC listed in Question 2a, that was used during 2012</w:t>
            </w:r>
            <w:r>
              <w:rPr>
                <w:szCs w:val="26"/>
              </w:rPr>
              <w:t xml:space="preserve"> </w:t>
            </w:r>
            <w:r w:rsidRPr="00780402">
              <w:rPr>
                <w:szCs w:val="26"/>
              </w:rPr>
              <w:t>and/or 2013,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c>
          <w:tcPr>
            <w:tcW w:w="4788" w:type="dxa"/>
            <w:shd w:val="clear" w:color="auto" w:fill="auto"/>
          </w:tcPr>
          <w:p w14:paraId="605D3A93" w14:textId="77777777" w:rsidR="00571A5F" w:rsidRPr="00FB4698" w:rsidRDefault="00571A5F" w:rsidP="00D31657">
            <w:pPr>
              <w:rPr>
                <w:bCs/>
                <w:szCs w:val="26"/>
              </w:rPr>
            </w:pPr>
            <w:r>
              <w:rPr>
                <w:szCs w:val="26"/>
              </w:rPr>
              <w:t xml:space="preserve">If </w:t>
            </w:r>
            <w:r w:rsidRPr="00780402">
              <w:rPr>
                <w:szCs w:val="26"/>
              </w:rPr>
              <w:t>any of the Utility’s wholesale rate and/or service agreements containing an AAC listed in Questi</w:t>
            </w:r>
            <w:r>
              <w:rPr>
                <w:szCs w:val="26"/>
              </w:rPr>
              <w:t>on 2a, that was used during 2014 and/or 2015</w:t>
            </w:r>
            <w:r w:rsidRPr="00780402">
              <w:rPr>
                <w:szCs w:val="26"/>
              </w:rPr>
              <w:t>,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r>
    </w:tbl>
    <w:p w14:paraId="69402B45" w14:textId="77777777" w:rsidR="00571A5F" w:rsidRDefault="00571A5F" w:rsidP="00571A5F">
      <w:pPr>
        <w:spacing w:line="480" w:lineRule="auto"/>
        <w:rPr>
          <w:szCs w:val="26"/>
        </w:rPr>
      </w:pPr>
      <w:r w:rsidRPr="00FB4698">
        <w:rPr>
          <w:szCs w:val="26"/>
        </w:rPr>
        <w:tab/>
      </w:r>
    </w:p>
    <w:p w14:paraId="5DC8D466" w14:textId="77777777" w:rsidR="00571A5F" w:rsidRPr="002E6631" w:rsidRDefault="00571A5F" w:rsidP="00571A5F">
      <w:pPr>
        <w:spacing w:line="480" w:lineRule="auto"/>
        <w:rPr>
          <w:szCs w:val="26"/>
          <w:u w:val="single"/>
        </w:rPr>
      </w:pPr>
      <w:r w:rsidRPr="002E6631">
        <w:rPr>
          <w:szCs w:val="26"/>
          <w:u w:val="single"/>
        </w:rPr>
        <w:t>Question 3</w:t>
      </w:r>
    </w:p>
    <w:p w14:paraId="7C894131" w14:textId="77777777" w:rsidR="00571A5F" w:rsidRPr="00FB4698" w:rsidRDefault="00571A5F" w:rsidP="00571A5F">
      <w:pPr>
        <w:spacing w:line="480" w:lineRule="auto"/>
        <w:rPr>
          <w:szCs w:val="26"/>
        </w:rPr>
      </w:pPr>
      <w:r w:rsidRPr="00FB4698">
        <w:rPr>
          <w:szCs w:val="26"/>
        </w:rPr>
        <w:tab/>
        <w:t>-Revise</w:t>
      </w:r>
      <w:r>
        <w:rPr>
          <w:szCs w:val="26"/>
        </w:rPr>
        <w:t xml:space="preserve"> the paragraph under Question 3</w:t>
      </w:r>
      <w:r w:rsidRPr="00FB4698">
        <w:rPr>
          <w:szCs w:val="26"/>
        </w:rPr>
        <w:t xml:space="preserve"> to read: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571A5F" w:rsidRPr="00FB4698" w14:paraId="3BA1BD1D" w14:textId="77777777" w:rsidTr="00D31657">
        <w:tc>
          <w:tcPr>
            <w:tcW w:w="4425" w:type="dxa"/>
            <w:shd w:val="clear" w:color="auto" w:fill="auto"/>
          </w:tcPr>
          <w:p w14:paraId="3896E378"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0FA15760" w14:textId="77777777" w:rsidR="00571A5F" w:rsidRPr="00FB4698" w:rsidRDefault="00571A5F" w:rsidP="00D31657">
            <w:pPr>
              <w:jc w:val="center"/>
              <w:rPr>
                <w:b/>
                <w:szCs w:val="26"/>
              </w:rPr>
            </w:pPr>
            <w:r w:rsidRPr="00FB4698">
              <w:rPr>
                <w:b/>
                <w:szCs w:val="26"/>
              </w:rPr>
              <w:t>To</w:t>
            </w:r>
          </w:p>
        </w:tc>
      </w:tr>
      <w:tr w:rsidR="00571A5F" w:rsidRPr="00FB4698" w14:paraId="3DDF3231" w14:textId="77777777" w:rsidTr="00D31657">
        <w:tc>
          <w:tcPr>
            <w:tcW w:w="4425" w:type="dxa"/>
            <w:shd w:val="clear" w:color="auto" w:fill="auto"/>
          </w:tcPr>
          <w:p w14:paraId="46E0E710" w14:textId="77777777" w:rsidR="00571A5F" w:rsidRPr="00FB4698" w:rsidRDefault="00571A5F" w:rsidP="00D31657">
            <w:pPr>
              <w:rPr>
                <w:bCs/>
                <w:szCs w:val="26"/>
              </w:rPr>
            </w:pPr>
            <w:r w:rsidRPr="00FB4698">
              <w:rPr>
                <w:szCs w:val="26"/>
              </w:rPr>
              <w:lastRenderedPageBreak/>
              <w:t>If during the 2012-2013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w:t>
            </w:r>
            <w:smartTag w:uri="urn:schemas-microsoft-com:office:smarttags" w:element="PersonName">
              <w:r w:rsidRPr="00FB4698">
                <w:rPr>
                  <w:szCs w:val="26"/>
                </w:rPr>
                <w:t>form</w:t>
              </w:r>
            </w:smartTag>
            <w:r w:rsidRPr="00FB4698">
              <w:rPr>
                <w:szCs w:val="26"/>
              </w:rPr>
              <w:t>ation requested in the non-shaded columns of the table below.  Provide the in</w:t>
            </w:r>
            <w:smartTag w:uri="urn:schemas-microsoft-com:office:smarttags" w:element="PersonName">
              <w:r w:rsidRPr="00FB4698">
                <w:rPr>
                  <w:szCs w:val="26"/>
                </w:rPr>
                <w:t>form</w:t>
              </w:r>
            </w:smartTag>
            <w:r w:rsidRPr="00FB4698">
              <w:rPr>
                <w:szCs w:val="26"/>
              </w:rPr>
              <w:t>ation separately for each reporting year 2012 and 2013.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c>
          <w:tcPr>
            <w:tcW w:w="4431" w:type="dxa"/>
            <w:shd w:val="clear" w:color="auto" w:fill="auto"/>
          </w:tcPr>
          <w:p w14:paraId="3D0D2F5F" w14:textId="77777777" w:rsidR="00571A5F" w:rsidRPr="00FB4698" w:rsidRDefault="00571A5F" w:rsidP="00D31657">
            <w:pPr>
              <w:rPr>
                <w:bCs/>
                <w:szCs w:val="26"/>
              </w:rPr>
            </w:pPr>
            <w:r>
              <w:rPr>
                <w:szCs w:val="26"/>
              </w:rPr>
              <w:t>If during the 2014-2015</w:t>
            </w:r>
            <w:r w:rsidRPr="00FB4698">
              <w:rPr>
                <w:szCs w:val="26"/>
              </w:rPr>
              <w:t xml:space="preserve">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w:t>
            </w:r>
            <w:smartTag w:uri="urn:schemas-microsoft-com:office:smarttags" w:element="PersonName">
              <w:r w:rsidRPr="00FB4698">
                <w:rPr>
                  <w:szCs w:val="26"/>
                </w:rPr>
                <w:t>form</w:t>
              </w:r>
            </w:smartTag>
            <w:r w:rsidRPr="00FB4698">
              <w:rPr>
                <w:szCs w:val="26"/>
              </w:rPr>
              <w:t>ation requested in the non-shaded columns of the table below.  Provide the in</w:t>
            </w:r>
            <w:smartTag w:uri="urn:schemas-microsoft-com:office:smarttags" w:element="PersonName">
              <w:r w:rsidRPr="00FB4698">
                <w:rPr>
                  <w:szCs w:val="26"/>
                </w:rPr>
                <w:t>form</w:t>
              </w:r>
            </w:smartTag>
            <w:r w:rsidRPr="00FB4698">
              <w:rPr>
                <w:szCs w:val="26"/>
              </w:rPr>
              <w:t>ation separately for each reporting year 2014 and 2015.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r>
    </w:tbl>
    <w:p w14:paraId="3695641C" w14:textId="77777777" w:rsidR="00571A5F" w:rsidRPr="00FB4698" w:rsidRDefault="00571A5F" w:rsidP="00571A5F">
      <w:pPr>
        <w:spacing w:line="480" w:lineRule="auto"/>
        <w:rPr>
          <w:szCs w:val="26"/>
        </w:rPr>
      </w:pPr>
    </w:p>
    <w:p w14:paraId="1C2E45A3" w14:textId="77777777" w:rsidR="00571A5F" w:rsidRPr="002E6631" w:rsidRDefault="00571A5F" w:rsidP="00571A5F">
      <w:pPr>
        <w:spacing w:line="480" w:lineRule="auto"/>
        <w:rPr>
          <w:szCs w:val="26"/>
          <w:u w:val="single"/>
        </w:rPr>
      </w:pPr>
      <w:r w:rsidRPr="002E6631">
        <w:rPr>
          <w:szCs w:val="26"/>
          <w:u w:val="single"/>
        </w:rPr>
        <w:t>Question 4a</w:t>
      </w:r>
    </w:p>
    <w:p w14:paraId="36325249" w14:textId="77777777" w:rsidR="00571A5F" w:rsidRPr="00FB4698" w:rsidRDefault="00571A5F" w:rsidP="00571A5F">
      <w:pPr>
        <w:spacing w:line="480" w:lineRule="auto"/>
        <w:rPr>
          <w:szCs w:val="26"/>
        </w:rPr>
      </w:pPr>
      <w:r w:rsidRPr="00FB4698">
        <w:rPr>
          <w:szCs w:val="26"/>
        </w:rPr>
        <w:tab/>
        <w:t>-</w:t>
      </w:r>
      <w:r>
        <w:rPr>
          <w:szCs w:val="26"/>
        </w:rPr>
        <w:t>Revise</w:t>
      </w:r>
      <w:r w:rsidRPr="00FB4698">
        <w:rPr>
          <w:szCs w:val="26"/>
        </w:rPr>
        <w:t xml:space="preserve"> Question 4a columns as follows</w:t>
      </w:r>
      <w:r>
        <w:rPr>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571A5F" w:rsidRPr="00FB4698" w14:paraId="7789C442" w14:textId="77777777" w:rsidTr="00D31657">
        <w:trPr>
          <w:jc w:val="center"/>
        </w:trPr>
        <w:tc>
          <w:tcPr>
            <w:tcW w:w="4788" w:type="dxa"/>
            <w:shd w:val="clear" w:color="auto" w:fill="auto"/>
            <w:vAlign w:val="bottom"/>
          </w:tcPr>
          <w:p w14:paraId="438B8CB7" w14:textId="77777777" w:rsidR="00571A5F" w:rsidRPr="00FB4698" w:rsidRDefault="00571A5F" w:rsidP="00D31657">
            <w:pPr>
              <w:jc w:val="center"/>
              <w:rPr>
                <w:bCs/>
                <w:szCs w:val="26"/>
              </w:rPr>
            </w:pPr>
            <w:r w:rsidRPr="00FB4698">
              <w:rPr>
                <w:bCs/>
                <w:szCs w:val="26"/>
              </w:rPr>
              <w:t>From</w:t>
            </w:r>
          </w:p>
        </w:tc>
        <w:tc>
          <w:tcPr>
            <w:tcW w:w="4788" w:type="dxa"/>
            <w:shd w:val="clear" w:color="auto" w:fill="auto"/>
            <w:vAlign w:val="bottom"/>
          </w:tcPr>
          <w:p w14:paraId="5BA22C49" w14:textId="77777777" w:rsidR="00571A5F" w:rsidRPr="00FB4698" w:rsidRDefault="00571A5F" w:rsidP="00D31657">
            <w:pPr>
              <w:jc w:val="center"/>
              <w:rPr>
                <w:bCs/>
                <w:szCs w:val="26"/>
              </w:rPr>
            </w:pPr>
            <w:r w:rsidRPr="00FB4698">
              <w:rPr>
                <w:bCs/>
                <w:szCs w:val="26"/>
              </w:rPr>
              <w:t>To</w:t>
            </w:r>
          </w:p>
        </w:tc>
      </w:tr>
      <w:tr w:rsidR="00571A5F" w:rsidRPr="00FB4698" w14:paraId="4056F589" w14:textId="77777777" w:rsidTr="00D31657">
        <w:trPr>
          <w:jc w:val="center"/>
        </w:trPr>
        <w:tc>
          <w:tcPr>
            <w:tcW w:w="4788" w:type="dxa"/>
            <w:shd w:val="clear" w:color="auto" w:fill="auto"/>
            <w:vAlign w:val="bottom"/>
          </w:tcPr>
          <w:p w14:paraId="7B3B0CB6" w14:textId="77777777" w:rsidR="00571A5F" w:rsidRPr="00FB4698" w:rsidRDefault="00571A5F" w:rsidP="00D31657">
            <w:pPr>
              <w:rPr>
                <w:bCs/>
                <w:szCs w:val="26"/>
              </w:rPr>
            </w:pPr>
            <w:r w:rsidRPr="00FB4698">
              <w:rPr>
                <w:bCs/>
                <w:szCs w:val="26"/>
              </w:rPr>
              <w:t>If emission allowance costs were incurred by the Utility in 2012 and/or 2013 and were recovered through a FAC, provide the following information.</w:t>
            </w:r>
          </w:p>
        </w:tc>
        <w:tc>
          <w:tcPr>
            <w:tcW w:w="4788" w:type="dxa"/>
            <w:shd w:val="clear" w:color="auto" w:fill="auto"/>
            <w:vAlign w:val="bottom"/>
          </w:tcPr>
          <w:p w14:paraId="2363A252" w14:textId="77777777" w:rsidR="00571A5F" w:rsidRPr="00FB4698" w:rsidRDefault="00571A5F" w:rsidP="00D31657">
            <w:pPr>
              <w:rPr>
                <w:bCs/>
                <w:szCs w:val="26"/>
              </w:rPr>
            </w:pPr>
            <w:r w:rsidRPr="00FB4698">
              <w:rPr>
                <w:bCs/>
                <w:szCs w:val="26"/>
              </w:rPr>
              <w:t>If emission allowance costs were incurred by the Utility in 2014 and/or 2015 and were recovered through a FAC, provide the following information.</w:t>
            </w:r>
          </w:p>
        </w:tc>
      </w:tr>
      <w:tr w:rsidR="00571A5F" w:rsidRPr="00FB4698" w14:paraId="418721D9" w14:textId="77777777" w:rsidTr="00D31657">
        <w:trPr>
          <w:jc w:val="center"/>
        </w:trPr>
        <w:tc>
          <w:tcPr>
            <w:tcW w:w="4788" w:type="dxa"/>
            <w:shd w:val="clear" w:color="auto" w:fill="auto"/>
            <w:vAlign w:val="bottom"/>
          </w:tcPr>
          <w:p w14:paraId="63166920" w14:textId="77777777" w:rsidR="00571A5F" w:rsidRPr="00FB4698" w:rsidRDefault="00571A5F" w:rsidP="00D31657">
            <w:pPr>
              <w:rPr>
                <w:bCs/>
                <w:szCs w:val="26"/>
              </w:rPr>
            </w:pPr>
            <w:r w:rsidRPr="00FB4698">
              <w:rPr>
                <w:bCs/>
                <w:szCs w:val="26"/>
              </w:rPr>
              <w:t>Dollar value of emission allowance cost passed through a FAC: 2012|2013</w:t>
            </w:r>
          </w:p>
        </w:tc>
        <w:tc>
          <w:tcPr>
            <w:tcW w:w="4788" w:type="dxa"/>
            <w:shd w:val="clear" w:color="auto" w:fill="auto"/>
            <w:vAlign w:val="bottom"/>
          </w:tcPr>
          <w:p w14:paraId="6DCBE117" w14:textId="77777777" w:rsidR="00571A5F" w:rsidRPr="00FB4698" w:rsidRDefault="00571A5F" w:rsidP="00D31657">
            <w:pPr>
              <w:rPr>
                <w:bCs/>
                <w:szCs w:val="26"/>
              </w:rPr>
            </w:pPr>
            <w:r w:rsidRPr="00FB4698">
              <w:rPr>
                <w:bCs/>
                <w:szCs w:val="26"/>
              </w:rPr>
              <w:t>Dollar value of emission allowance cost passed through a FAC: 2014|2015</w:t>
            </w:r>
          </w:p>
        </w:tc>
      </w:tr>
    </w:tbl>
    <w:p w14:paraId="782A4A49" w14:textId="77777777" w:rsidR="00571A5F" w:rsidRPr="00FB4698" w:rsidRDefault="00571A5F" w:rsidP="00571A5F">
      <w:pPr>
        <w:spacing w:line="480" w:lineRule="auto"/>
        <w:ind w:firstLine="720"/>
        <w:rPr>
          <w:szCs w:val="26"/>
        </w:rPr>
      </w:pPr>
    </w:p>
    <w:p w14:paraId="0970C52A" w14:textId="77777777" w:rsidR="00571A5F" w:rsidRPr="002E6631" w:rsidRDefault="00571A5F" w:rsidP="00571A5F">
      <w:pPr>
        <w:spacing w:line="480" w:lineRule="auto"/>
        <w:rPr>
          <w:szCs w:val="26"/>
          <w:u w:val="single"/>
        </w:rPr>
      </w:pPr>
      <w:r w:rsidRPr="002E6631">
        <w:rPr>
          <w:szCs w:val="26"/>
          <w:u w:val="single"/>
        </w:rPr>
        <w:t>Question 5</w:t>
      </w:r>
    </w:p>
    <w:p w14:paraId="46488C70" w14:textId="77777777" w:rsidR="00571A5F" w:rsidRPr="00FB4698" w:rsidRDefault="00571A5F" w:rsidP="00571A5F">
      <w:pPr>
        <w:spacing w:line="480" w:lineRule="auto"/>
        <w:rPr>
          <w:szCs w:val="26"/>
        </w:rPr>
      </w:pPr>
      <w:r w:rsidRPr="00FB4698">
        <w:rPr>
          <w:szCs w:val="26"/>
        </w:rPr>
        <w:tab/>
        <w:t>-Revise the paragraph under Question 5</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571A5F" w:rsidRPr="00FB4698" w14:paraId="1CB9215A" w14:textId="77777777" w:rsidTr="00D31657">
        <w:tc>
          <w:tcPr>
            <w:tcW w:w="4425" w:type="dxa"/>
            <w:shd w:val="clear" w:color="auto" w:fill="auto"/>
          </w:tcPr>
          <w:p w14:paraId="684076A8"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0C15004C" w14:textId="77777777" w:rsidR="00571A5F" w:rsidRPr="00FB4698" w:rsidRDefault="00571A5F" w:rsidP="00D31657">
            <w:pPr>
              <w:jc w:val="center"/>
              <w:rPr>
                <w:b/>
                <w:szCs w:val="26"/>
              </w:rPr>
            </w:pPr>
            <w:r w:rsidRPr="00FB4698">
              <w:rPr>
                <w:b/>
                <w:szCs w:val="26"/>
              </w:rPr>
              <w:t>To</w:t>
            </w:r>
          </w:p>
        </w:tc>
      </w:tr>
      <w:tr w:rsidR="00571A5F" w:rsidRPr="00FB4698" w14:paraId="52CCCACF" w14:textId="77777777" w:rsidTr="00D31657">
        <w:tc>
          <w:tcPr>
            <w:tcW w:w="4425" w:type="dxa"/>
            <w:shd w:val="clear" w:color="auto" w:fill="auto"/>
          </w:tcPr>
          <w:p w14:paraId="054146F3" w14:textId="77777777" w:rsidR="00571A5F" w:rsidRPr="00FB4698" w:rsidRDefault="00571A5F" w:rsidP="00D31657">
            <w:pPr>
              <w:rPr>
                <w:szCs w:val="26"/>
              </w:rPr>
            </w:pPr>
            <w:r w:rsidRPr="00FB4698">
              <w:rPr>
                <w:szCs w:val="26"/>
              </w:rPr>
              <w:t xml:space="preserve">Provide the information requested below regarding the Utility's fuel procurement </w:t>
            </w:r>
            <w:r w:rsidRPr="00FB4698">
              <w:rPr>
                <w:szCs w:val="26"/>
              </w:rPr>
              <w:lastRenderedPageBreak/>
              <w:t>policies and practices in place during 2012 and/or 2013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c>
          <w:tcPr>
            <w:tcW w:w="4431" w:type="dxa"/>
            <w:shd w:val="clear" w:color="auto" w:fill="auto"/>
          </w:tcPr>
          <w:p w14:paraId="344B962B" w14:textId="77777777" w:rsidR="00571A5F" w:rsidRPr="00FB4698" w:rsidRDefault="00571A5F" w:rsidP="00D31657">
            <w:pPr>
              <w:rPr>
                <w:szCs w:val="26"/>
              </w:rPr>
            </w:pPr>
            <w:r w:rsidRPr="00FB4698">
              <w:rPr>
                <w:szCs w:val="26"/>
              </w:rPr>
              <w:lastRenderedPageBreak/>
              <w:t xml:space="preserve">Provide the information requested below regarding the Utility's fuel procurement </w:t>
            </w:r>
            <w:r w:rsidRPr="00FB4698">
              <w:rPr>
                <w:szCs w:val="26"/>
              </w:rPr>
              <w:lastRenderedPageBreak/>
              <w:t>policies and practices in place during 2014 and/or 2015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r>
    </w:tbl>
    <w:p w14:paraId="158D4337" w14:textId="77777777" w:rsidR="00571A5F" w:rsidRPr="00FB4698" w:rsidRDefault="00571A5F" w:rsidP="00571A5F">
      <w:pPr>
        <w:spacing w:line="480" w:lineRule="auto"/>
        <w:rPr>
          <w:szCs w:val="26"/>
        </w:rPr>
      </w:pPr>
    </w:p>
    <w:p w14:paraId="67584A8D" w14:textId="77777777" w:rsidR="00571A5F" w:rsidRPr="002E6631" w:rsidRDefault="00571A5F" w:rsidP="00571A5F">
      <w:pPr>
        <w:spacing w:line="480" w:lineRule="auto"/>
        <w:rPr>
          <w:szCs w:val="26"/>
          <w:u w:val="single"/>
        </w:rPr>
      </w:pPr>
      <w:r w:rsidRPr="002E6631">
        <w:rPr>
          <w:szCs w:val="26"/>
          <w:u w:val="single"/>
        </w:rPr>
        <w:t>Question 6</w:t>
      </w:r>
    </w:p>
    <w:p w14:paraId="4130FE8E" w14:textId="77777777" w:rsidR="00571A5F" w:rsidRPr="00FB4698" w:rsidRDefault="00571A5F" w:rsidP="00571A5F">
      <w:pPr>
        <w:spacing w:line="480" w:lineRule="auto"/>
        <w:rPr>
          <w:szCs w:val="26"/>
        </w:rPr>
      </w:pPr>
      <w:r w:rsidRPr="00FB4698">
        <w:rPr>
          <w:szCs w:val="26"/>
        </w:rPr>
        <w:tab/>
        <w:t>-Revise the paragraph under Question 6</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571A5F" w:rsidRPr="00FB4698" w14:paraId="7F46178C" w14:textId="77777777" w:rsidTr="00D31657">
        <w:tc>
          <w:tcPr>
            <w:tcW w:w="4425" w:type="dxa"/>
            <w:shd w:val="clear" w:color="auto" w:fill="auto"/>
          </w:tcPr>
          <w:p w14:paraId="0FA266AE"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6449D390" w14:textId="77777777" w:rsidR="00571A5F" w:rsidRPr="00FB4698" w:rsidRDefault="00571A5F" w:rsidP="00D31657">
            <w:pPr>
              <w:jc w:val="center"/>
              <w:rPr>
                <w:b/>
                <w:szCs w:val="26"/>
              </w:rPr>
            </w:pPr>
            <w:r w:rsidRPr="00FB4698">
              <w:rPr>
                <w:b/>
                <w:szCs w:val="26"/>
              </w:rPr>
              <w:t>To</w:t>
            </w:r>
          </w:p>
        </w:tc>
      </w:tr>
      <w:tr w:rsidR="00571A5F" w:rsidRPr="00FB4698" w14:paraId="03A92B87" w14:textId="77777777" w:rsidTr="00D31657">
        <w:tc>
          <w:tcPr>
            <w:tcW w:w="4425" w:type="dxa"/>
            <w:shd w:val="clear" w:color="auto" w:fill="auto"/>
          </w:tcPr>
          <w:p w14:paraId="3F0246B4" w14:textId="77777777" w:rsidR="00571A5F" w:rsidRPr="00FB4698" w:rsidRDefault="00571A5F" w:rsidP="00D31657">
            <w:pPr>
              <w:rPr>
                <w:szCs w:val="26"/>
              </w:rPr>
            </w:pPr>
            <w:r w:rsidRPr="00FB4698">
              <w:rPr>
                <w:szCs w:val="26"/>
              </w:rPr>
              <w:t>For each fuel supply contract, of longer than one year in duration, in force at any time during 2012 and/or 2013,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555F3025" w14:textId="77777777" w:rsidR="00571A5F" w:rsidRPr="00FB4698" w:rsidRDefault="00571A5F" w:rsidP="00D31657">
            <w:pPr>
              <w:rPr>
                <w:szCs w:val="26"/>
              </w:rPr>
            </w:pPr>
            <w:r w:rsidRPr="00FB4698">
              <w:rPr>
                <w:szCs w:val="26"/>
              </w:rPr>
              <w:t>Report all fuels consumed for electric power generation and thermal energy associated with the production of electricity. Information for only coal, natural gas, and oil should be reported.</w:t>
            </w:r>
          </w:p>
        </w:tc>
        <w:tc>
          <w:tcPr>
            <w:tcW w:w="4431" w:type="dxa"/>
            <w:shd w:val="clear" w:color="auto" w:fill="auto"/>
          </w:tcPr>
          <w:p w14:paraId="3FC6E398" w14:textId="77777777" w:rsidR="00571A5F" w:rsidRPr="00FB4698" w:rsidRDefault="00571A5F" w:rsidP="00D31657">
            <w:pPr>
              <w:rPr>
                <w:szCs w:val="26"/>
              </w:rPr>
            </w:pPr>
            <w:r w:rsidRPr="00FB4698">
              <w:rPr>
                <w:szCs w:val="26"/>
              </w:rPr>
              <w:t>For each fuel supply contract, of longer than one year in duration, in force at any time during 2014 and/or 2015,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4C160420" w14:textId="77777777" w:rsidR="00571A5F" w:rsidRPr="00FB4698" w:rsidRDefault="00571A5F" w:rsidP="00D31657">
            <w:pPr>
              <w:rPr>
                <w:szCs w:val="26"/>
              </w:rPr>
            </w:pPr>
            <w:r w:rsidRPr="00FB4698">
              <w:rPr>
                <w:szCs w:val="26"/>
              </w:rPr>
              <w:t>Report all fuels consumed for electric power generation and thermal energy associated with the production of electricity. Information for only coal, natural gas, and oil should be reported.</w:t>
            </w:r>
          </w:p>
        </w:tc>
      </w:tr>
    </w:tbl>
    <w:p w14:paraId="0BF77CBD" w14:textId="77777777" w:rsidR="00571A5F" w:rsidRPr="00FB4698" w:rsidRDefault="00571A5F" w:rsidP="00571A5F">
      <w:pPr>
        <w:spacing w:line="480" w:lineRule="auto"/>
        <w:ind w:firstLine="720"/>
      </w:pPr>
    </w:p>
    <w:p w14:paraId="307915F5" w14:textId="77777777" w:rsidR="00571A5F" w:rsidRPr="002E6631" w:rsidRDefault="00571A5F" w:rsidP="00571A5F">
      <w:pPr>
        <w:spacing w:line="480" w:lineRule="auto"/>
        <w:rPr>
          <w:szCs w:val="26"/>
          <w:u w:val="single"/>
        </w:rPr>
      </w:pPr>
      <w:r w:rsidRPr="002E6631">
        <w:rPr>
          <w:szCs w:val="26"/>
          <w:u w:val="single"/>
        </w:rPr>
        <w:t>Question 7</w:t>
      </w:r>
    </w:p>
    <w:p w14:paraId="304C33CB" w14:textId="77777777" w:rsidR="00571A5F" w:rsidRPr="00FB4698" w:rsidRDefault="00571A5F" w:rsidP="00571A5F">
      <w:pPr>
        <w:spacing w:line="480" w:lineRule="auto"/>
        <w:rPr>
          <w:szCs w:val="26"/>
        </w:rPr>
      </w:pPr>
      <w:r w:rsidRPr="00FB4698">
        <w:rPr>
          <w:szCs w:val="26"/>
        </w:rPr>
        <w:tab/>
        <w:t>-Revise the paragraph under Question 6</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571A5F" w:rsidRPr="00FB4698" w14:paraId="59631A2A" w14:textId="77777777" w:rsidTr="00D31657">
        <w:tc>
          <w:tcPr>
            <w:tcW w:w="4425" w:type="dxa"/>
            <w:shd w:val="clear" w:color="auto" w:fill="auto"/>
          </w:tcPr>
          <w:p w14:paraId="766BB9C6"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1DC2E8A1" w14:textId="77777777" w:rsidR="00571A5F" w:rsidRPr="00FB4698" w:rsidRDefault="00571A5F" w:rsidP="00D31657">
            <w:pPr>
              <w:jc w:val="center"/>
              <w:rPr>
                <w:b/>
                <w:szCs w:val="26"/>
              </w:rPr>
            </w:pPr>
            <w:r w:rsidRPr="00FB4698">
              <w:rPr>
                <w:b/>
                <w:szCs w:val="26"/>
              </w:rPr>
              <w:t>To</w:t>
            </w:r>
          </w:p>
        </w:tc>
      </w:tr>
      <w:tr w:rsidR="00571A5F" w:rsidRPr="00FB4698" w14:paraId="54633A8F" w14:textId="77777777" w:rsidTr="00D31657">
        <w:tc>
          <w:tcPr>
            <w:tcW w:w="4425" w:type="dxa"/>
            <w:shd w:val="clear" w:color="auto" w:fill="auto"/>
          </w:tcPr>
          <w:p w14:paraId="49EFA781" w14:textId="77777777" w:rsidR="00571A5F" w:rsidRPr="00FB4698" w:rsidRDefault="00571A5F" w:rsidP="00D31657">
            <w:pPr>
              <w:rPr>
                <w:szCs w:val="26"/>
              </w:rPr>
            </w:pPr>
            <w:r w:rsidRPr="00FB4698">
              <w:rPr>
                <w:szCs w:val="26"/>
              </w:rPr>
              <w:t xml:space="preserve">For each fuel supply contract, including informal agreements with associated or affiliated companies in force at any time during 2012 or 2013 WHERE </w:t>
            </w:r>
            <w:r w:rsidRPr="00FB4698">
              <w:rPr>
                <w:szCs w:val="26"/>
              </w:rPr>
              <w:lastRenderedPageBreak/>
              <w:t>CONTRACT SHORTFALL COSTS WERE PASSED THROUGH an FAC subject to 18 CFR 35.14, provide for each contract separately the information requested below. Only report the information requested for shortfalls that occurred under your contracts during reporting years 2012 or 2013 and that are not under dispute i.e. parties agree there was indeed a shortfall.</w:t>
            </w:r>
          </w:p>
        </w:tc>
        <w:tc>
          <w:tcPr>
            <w:tcW w:w="4431" w:type="dxa"/>
            <w:shd w:val="clear" w:color="auto" w:fill="auto"/>
          </w:tcPr>
          <w:p w14:paraId="09F9EF6F" w14:textId="77777777" w:rsidR="00571A5F" w:rsidRPr="00FB4698" w:rsidRDefault="00571A5F" w:rsidP="00D31657">
            <w:pPr>
              <w:rPr>
                <w:szCs w:val="26"/>
              </w:rPr>
            </w:pPr>
            <w:r w:rsidRPr="00FB4698">
              <w:rPr>
                <w:szCs w:val="26"/>
              </w:rPr>
              <w:lastRenderedPageBreak/>
              <w:t xml:space="preserve">For each fuel supply contract, including informal agreements with associated or affiliated companies in force at any time during 2014 or 2015 WHERE </w:t>
            </w:r>
            <w:r w:rsidRPr="00FB4698">
              <w:rPr>
                <w:szCs w:val="26"/>
              </w:rPr>
              <w:lastRenderedPageBreak/>
              <w:t>CONTRACT SHORTFALL COSTS WERE PASSED THROUGH an FAC subject to 18 CFR 35.14, provide for each contract separately the information requested below. Only report the information requested for shortfalls that occurred under your contracts during reporting years 2014 or 2015 and that are not under dispute i.e. parties agree there was indeed a shortfall.</w:t>
            </w:r>
          </w:p>
        </w:tc>
      </w:tr>
    </w:tbl>
    <w:p w14:paraId="7DCA537E" w14:textId="77777777" w:rsidR="00571A5F" w:rsidRPr="00FB4698" w:rsidRDefault="00571A5F" w:rsidP="00571A5F">
      <w:pPr>
        <w:spacing w:line="480" w:lineRule="auto"/>
        <w:ind w:firstLine="720"/>
      </w:pPr>
    </w:p>
    <w:p w14:paraId="55F1F6EB" w14:textId="77777777" w:rsidR="00571A5F" w:rsidRPr="002E6631" w:rsidRDefault="00571A5F" w:rsidP="00571A5F">
      <w:pPr>
        <w:spacing w:line="480" w:lineRule="auto"/>
        <w:rPr>
          <w:szCs w:val="26"/>
          <w:u w:val="single"/>
        </w:rPr>
      </w:pPr>
      <w:r w:rsidRPr="002E6631">
        <w:rPr>
          <w:szCs w:val="26"/>
          <w:u w:val="single"/>
        </w:rPr>
        <w:t>Question 8</w:t>
      </w:r>
    </w:p>
    <w:p w14:paraId="3E9A6FCF" w14:textId="77777777" w:rsidR="00571A5F" w:rsidRPr="00FB4698" w:rsidRDefault="00571A5F" w:rsidP="00571A5F">
      <w:pPr>
        <w:spacing w:line="480" w:lineRule="auto"/>
        <w:rPr>
          <w:szCs w:val="26"/>
        </w:rPr>
      </w:pPr>
      <w:r w:rsidRPr="00FB4698">
        <w:rPr>
          <w:szCs w:val="26"/>
        </w:rPr>
        <w:tab/>
        <w:t>-Revise the paragraph under Question 8</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571A5F" w:rsidRPr="00FB4698" w14:paraId="01F81948" w14:textId="77777777" w:rsidTr="00D31657">
        <w:tc>
          <w:tcPr>
            <w:tcW w:w="4425" w:type="dxa"/>
            <w:shd w:val="clear" w:color="auto" w:fill="auto"/>
          </w:tcPr>
          <w:p w14:paraId="45C03B41"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7AAE0B65" w14:textId="77777777" w:rsidR="00571A5F" w:rsidRPr="00FB4698" w:rsidRDefault="00571A5F" w:rsidP="00D31657">
            <w:pPr>
              <w:jc w:val="center"/>
              <w:rPr>
                <w:b/>
                <w:szCs w:val="26"/>
              </w:rPr>
            </w:pPr>
            <w:r w:rsidRPr="00FB4698">
              <w:rPr>
                <w:b/>
                <w:szCs w:val="26"/>
              </w:rPr>
              <w:t>To</w:t>
            </w:r>
          </w:p>
        </w:tc>
      </w:tr>
      <w:tr w:rsidR="00571A5F" w:rsidRPr="00FB4698" w14:paraId="501E7047" w14:textId="77777777" w:rsidTr="00D31657">
        <w:tc>
          <w:tcPr>
            <w:tcW w:w="4425" w:type="dxa"/>
            <w:shd w:val="clear" w:color="auto" w:fill="auto"/>
          </w:tcPr>
          <w:p w14:paraId="25EE8EBD" w14:textId="77777777" w:rsidR="00571A5F" w:rsidRPr="00FB4698" w:rsidRDefault="00571A5F" w:rsidP="00D31657">
            <w:pPr>
              <w:rPr>
                <w:szCs w:val="26"/>
              </w:rPr>
            </w:pPr>
            <w:r w:rsidRPr="00FB4698">
              <w:rPr>
                <w:szCs w:val="26"/>
              </w:rPr>
              <w:t>For each fuel supply contract that was bought-out or bought-down, including informal agreements with associated or affiliated companies in force at any time during 2012 or 2013 WHERE CONTRACT BUY-OUT AND/OR BUY-DOWN COSTS WERE PASSED</w:t>
            </w:r>
          </w:p>
          <w:p w14:paraId="4BE6A940" w14:textId="77777777" w:rsidR="00571A5F" w:rsidRPr="00FB4698" w:rsidRDefault="00571A5F" w:rsidP="00D31657">
            <w:pPr>
              <w:rPr>
                <w:szCs w:val="26"/>
              </w:rPr>
            </w:pPr>
            <w:r w:rsidRPr="00FB4698">
              <w:rPr>
                <w:szCs w:val="26"/>
              </w:rPr>
              <w:t>THROUGH an FAC subject to 18 CFR 35.14, provide for each contract separately the information requested below. Only report the information requested for contract buy-downs and buy-outs that occurred under your contracts during reporting years 2012 or 2013 and that are not under dispute i.e. parties agree there was indeed a shortfall.</w:t>
            </w:r>
          </w:p>
        </w:tc>
        <w:tc>
          <w:tcPr>
            <w:tcW w:w="4431" w:type="dxa"/>
            <w:shd w:val="clear" w:color="auto" w:fill="auto"/>
          </w:tcPr>
          <w:p w14:paraId="6AF7DCC1" w14:textId="77777777" w:rsidR="00571A5F" w:rsidRPr="00FB4698" w:rsidRDefault="00571A5F" w:rsidP="00D31657">
            <w:pPr>
              <w:rPr>
                <w:szCs w:val="26"/>
              </w:rPr>
            </w:pPr>
            <w:r w:rsidRPr="00FB4698">
              <w:rPr>
                <w:szCs w:val="26"/>
              </w:rPr>
              <w:t>For each fuel supply contract that was bought-out or bought-down, including informal agreements with associated or affiliated companies in force at any time during 2014 or 2015 WHERE CONTRACT BUY-OUT AND/OR BUY-DOWN COSTS WERE PASSED</w:t>
            </w:r>
          </w:p>
          <w:p w14:paraId="41DCD684" w14:textId="77777777" w:rsidR="00571A5F" w:rsidRPr="00FB4698" w:rsidRDefault="00571A5F" w:rsidP="00D31657">
            <w:pPr>
              <w:rPr>
                <w:szCs w:val="26"/>
              </w:rPr>
            </w:pPr>
            <w:r w:rsidRPr="00FB4698">
              <w:rPr>
                <w:szCs w:val="26"/>
              </w:rPr>
              <w:t>THROUGH an FAC subject to 18 CFR 35.14, provide for each contract separately the information requested below. Only report the information requested for contract buy-downs and buy-outs that occurred under your contracts during reporting years 2014 or 2015 and that are not under dispute i.e. parties agree there was indeed a shortfall.</w:t>
            </w:r>
          </w:p>
        </w:tc>
      </w:tr>
    </w:tbl>
    <w:p w14:paraId="4B3E505A" w14:textId="77777777" w:rsidR="00571A5F" w:rsidRPr="001D2EC1" w:rsidRDefault="00571A5F" w:rsidP="00BB6095"/>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0F3F30A8" w:rsidR="00BB6095" w:rsidRPr="001D2EC1" w:rsidRDefault="00BB6095" w:rsidP="00BB6095">
      <w:pPr>
        <w:widowControl/>
      </w:pPr>
      <w:r w:rsidRPr="001D2EC1">
        <w:t xml:space="preserve">There are no payments or gifts to respondents </w:t>
      </w:r>
      <w:r w:rsidR="00FF6950">
        <w:t xml:space="preserve">of </w:t>
      </w:r>
      <w:r w:rsidRPr="001D2EC1">
        <w:t>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lastRenderedPageBreak/>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2EE8054A" w14:textId="77777777" w:rsidR="006A19F2" w:rsidRPr="004065DF" w:rsidRDefault="006A19F2" w:rsidP="006A19F2">
      <w:r w:rsidRPr="004065DF">
        <w:t xml:space="preserve">The </w:t>
      </w:r>
      <w:r>
        <w:t xml:space="preserve">Commission does not consider the information collected in Form 580 filings to be confidential.  However, the filer may request non-public treatment of privileged information for Question 5, so the Commission provides a separate file for the Privileged filing (at the filer’s discretion) of Question 5 on </w:t>
      </w:r>
      <w:hyperlink r:id="rId12" w:history="1">
        <w:r w:rsidRPr="00E37086">
          <w:rPr>
            <w:rStyle w:val="Hyperlink"/>
          </w:rPr>
          <w:t>www.ferc.gov</w:t>
        </w:r>
      </w:hyperlink>
      <w:r>
        <w:t xml:space="preserve">, on in </w:t>
      </w:r>
      <w:hyperlink r:id="rId13" w:history="1">
        <w:r w:rsidRPr="00E37086">
          <w:rPr>
            <w:rStyle w:val="Hyperlink"/>
          </w:rPr>
          <w:t>www.reginfo.gov</w:t>
        </w:r>
      </w:hyperlink>
      <w:r>
        <w:t>, and ROCIS.</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6A19F2" w:rsidRPr="00FB4698" w14:paraId="0C0B36E0" w14:textId="77777777" w:rsidTr="00F912EF">
        <w:trPr>
          <w:cantSplit/>
        </w:trPr>
        <w:tc>
          <w:tcPr>
            <w:tcW w:w="5000" w:type="pct"/>
            <w:gridSpan w:val="7"/>
            <w:tcBorders>
              <w:bottom w:val="single" w:sz="4" w:space="0" w:color="auto"/>
            </w:tcBorders>
            <w:shd w:val="clear" w:color="auto" w:fill="D9D9D9"/>
          </w:tcPr>
          <w:p w14:paraId="64542B3A" w14:textId="77777777" w:rsidR="006A19F2" w:rsidRPr="00FB4698" w:rsidRDefault="006A19F2" w:rsidP="00F912EF">
            <w:pPr>
              <w:jc w:val="center"/>
              <w:rPr>
                <w:rFonts w:eastAsia="Calibri"/>
                <w:b/>
                <w:sz w:val="20"/>
                <w:szCs w:val="20"/>
              </w:rPr>
            </w:pPr>
            <w:r w:rsidRPr="00FB4698">
              <w:rPr>
                <w:rFonts w:eastAsia="Calibri"/>
                <w:b/>
                <w:sz w:val="20"/>
                <w:szCs w:val="20"/>
              </w:rPr>
              <w:t>FERC Form 580 (Interrogatory on Fuel and Energy Purchase Practices)</w:t>
            </w:r>
          </w:p>
        </w:tc>
      </w:tr>
      <w:tr w:rsidR="006A19F2" w:rsidRPr="00FB4698" w14:paraId="61B43866" w14:textId="77777777" w:rsidTr="00F912EF">
        <w:trPr>
          <w:cantSplit/>
        </w:trPr>
        <w:tc>
          <w:tcPr>
            <w:tcW w:w="878" w:type="pct"/>
            <w:shd w:val="clear" w:color="auto" w:fill="D9D9D9"/>
          </w:tcPr>
          <w:p w14:paraId="2544EAF2" w14:textId="77777777" w:rsidR="006A19F2" w:rsidRPr="00FB4698" w:rsidRDefault="006A19F2" w:rsidP="00F912EF">
            <w:pPr>
              <w:jc w:val="center"/>
              <w:rPr>
                <w:rFonts w:eastAsia="Calibri"/>
                <w:b/>
                <w:sz w:val="20"/>
                <w:szCs w:val="20"/>
              </w:rPr>
            </w:pPr>
          </w:p>
        </w:tc>
        <w:tc>
          <w:tcPr>
            <w:tcW w:w="746" w:type="pct"/>
            <w:shd w:val="clear" w:color="auto" w:fill="D9D9D9"/>
            <w:vAlign w:val="bottom"/>
          </w:tcPr>
          <w:p w14:paraId="5FF608E6" w14:textId="77777777" w:rsidR="006A19F2" w:rsidRPr="00FB4698" w:rsidRDefault="006A19F2" w:rsidP="00F912EF">
            <w:pPr>
              <w:jc w:val="center"/>
              <w:rPr>
                <w:rFonts w:eastAsia="Calibri"/>
                <w:b/>
                <w:sz w:val="20"/>
                <w:szCs w:val="20"/>
              </w:rPr>
            </w:pPr>
            <w:r w:rsidRPr="00FB4698">
              <w:rPr>
                <w:rFonts w:eastAsia="Calibri"/>
                <w:b/>
                <w:sz w:val="20"/>
                <w:szCs w:val="20"/>
              </w:rPr>
              <w:t>Number of Respondents</w:t>
            </w:r>
            <w:r w:rsidRPr="00FB4698">
              <w:rPr>
                <w:rFonts w:eastAsia="Calibri"/>
                <w:b/>
                <w:sz w:val="20"/>
                <w:szCs w:val="20"/>
              </w:rPr>
              <w:br/>
              <w:t>(1)</w:t>
            </w:r>
          </w:p>
        </w:tc>
        <w:tc>
          <w:tcPr>
            <w:tcW w:w="746" w:type="pct"/>
            <w:shd w:val="clear" w:color="auto" w:fill="D9D9D9"/>
            <w:vAlign w:val="bottom"/>
          </w:tcPr>
          <w:p w14:paraId="7CC0483A" w14:textId="77777777" w:rsidR="006A19F2" w:rsidRPr="00FB4698" w:rsidRDefault="006A19F2" w:rsidP="00F912EF">
            <w:pPr>
              <w:jc w:val="center"/>
              <w:rPr>
                <w:rFonts w:eastAsia="Calibri"/>
                <w:b/>
                <w:sz w:val="20"/>
                <w:szCs w:val="20"/>
              </w:rPr>
            </w:pPr>
            <w:r w:rsidRPr="00FB4698">
              <w:rPr>
                <w:rFonts w:eastAsia="Calibri"/>
                <w:b/>
                <w:sz w:val="20"/>
                <w:szCs w:val="20"/>
              </w:rPr>
              <w:t>Annual Number of Responses per Respondent</w:t>
            </w:r>
          </w:p>
          <w:p w14:paraId="779FCFC1" w14:textId="77777777" w:rsidR="006A19F2" w:rsidRPr="00FB4698" w:rsidRDefault="006A19F2" w:rsidP="00F912EF">
            <w:pPr>
              <w:jc w:val="center"/>
              <w:rPr>
                <w:rFonts w:eastAsia="Calibri"/>
                <w:b/>
                <w:sz w:val="20"/>
                <w:szCs w:val="20"/>
              </w:rPr>
            </w:pPr>
            <w:r w:rsidRPr="00FB4698">
              <w:rPr>
                <w:rFonts w:eastAsia="Calibri"/>
                <w:b/>
                <w:sz w:val="20"/>
                <w:szCs w:val="20"/>
              </w:rPr>
              <w:t>(2)</w:t>
            </w:r>
          </w:p>
        </w:tc>
        <w:tc>
          <w:tcPr>
            <w:tcW w:w="703" w:type="pct"/>
            <w:shd w:val="clear" w:color="auto" w:fill="D9D9D9"/>
            <w:vAlign w:val="bottom"/>
          </w:tcPr>
          <w:p w14:paraId="48F21487" w14:textId="77777777" w:rsidR="006A19F2" w:rsidRPr="00FB4698" w:rsidRDefault="006A19F2" w:rsidP="00F912EF">
            <w:pPr>
              <w:jc w:val="center"/>
              <w:rPr>
                <w:rFonts w:eastAsia="Calibri"/>
                <w:b/>
                <w:sz w:val="20"/>
                <w:szCs w:val="20"/>
              </w:rPr>
            </w:pPr>
            <w:r w:rsidRPr="00FB4698">
              <w:rPr>
                <w:rFonts w:eastAsia="Calibri"/>
                <w:b/>
                <w:sz w:val="20"/>
                <w:szCs w:val="20"/>
              </w:rPr>
              <w:t>Total Number of Responses (1)*(2)=(3)</w:t>
            </w:r>
          </w:p>
        </w:tc>
        <w:tc>
          <w:tcPr>
            <w:tcW w:w="654" w:type="pct"/>
            <w:shd w:val="clear" w:color="auto" w:fill="D9D9D9"/>
            <w:vAlign w:val="bottom"/>
          </w:tcPr>
          <w:p w14:paraId="0A0A4ACD" w14:textId="77777777" w:rsidR="006A19F2" w:rsidRPr="00FB4698" w:rsidRDefault="006A19F2" w:rsidP="00F912EF">
            <w:pPr>
              <w:jc w:val="center"/>
              <w:rPr>
                <w:rFonts w:eastAsia="Calibri"/>
                <w:b/>
                <w:sz w:val="20"/>
                <w:szCs w:val="20"/>
              </w:rPr>
            </w:pPr>
            <w:r w:rsidRPr="00FB4698">
              <w:rPr>
                <w:rFonts w:eastAsia="Calibri"/>
                <w:b/>
                <w:sz w:val="20"/>
                <w:szCs w:val="20"/>
              </w:rPr>
              <w:t>Average Burden &amp; Cost Per Response</w:t>
            </w:r>
            <w:r w:rsidRPr="00FB4698">
              <w:rPr>
                <w:rFonts w:eastAsia="Calibri"/>
                <w:b/>
                <w:sz w:val="20"/>
                <w:szCs w:val="20"/>
                <w:vertAlign w:val="superscript"/>
              </w:rPr>
              <w:footnoteReference w:id="6"/>
            </w:r>
          </w:p>
          <w:p w14:paraId="47E44016" w14:textId="77777777" w:rsidR="006A19F2" w:rsidRPr="00FB4698" w:rsidRDefault="006A19F2" w:rsidP="00F912EF">
            <w:pPr>
              <w:jc w:val="center"/>
              <w:rPr>
                <w:rFonts w:eastAsia="Calibri"/>
                <w:b/>
                <w:sz w:val="20"/>
                <w:szCs w:val="20"/>
              </w:rPr>
            </w:pPr>
            <w:r w:rsidRPr="00FB4698">
              <w:rPr>
                <w:rFonts w:eastAsia="Calibri"/>
                <w:b/>
                <w:sz w:val="20"/>
                <w:szCs w:val="20"/>
              </w:rPr>
              <w:t>(4)</w:t>
            </w:r>
          </w:p>
        </w:tc>
        <w:tc>
          <w:tcPr>
            <w:tcW w:w="657" w:type="pct"/>
            <w:shd w:val="clear" w:color="auto" w:fill="D9D9D9"/>
            <w:vAlign w:val="bottom"/>
          </w:tcPr>
          <w:p w14:paraId="1A7B6CE1" w14:textId="77777777" w:rsidR="006A19F2" w:rsidRPr="00FB4698" w:rsidRDefault="006A19F2" w:rsidP="00F912EF">
            <w:pPr>
              <w:jc w:val="center"/>
              <w:rPr>
                <w:rFonts w:eastAsia="Calibri"/>
                <w:b/>
                <w:sz w:val="20"/>
                <w:szCs w:val="20"/>
              </w:rPr>
            </w:pPr>
            <w:r w:rsidRPr="00FB4698">
              <w:rPr>
                <w:rFonts w:eastAsia="Calibri"/>
                <w:b/>
                <w:sz w:val="20"/>
                <w:szCs w:val="20"/>
              </w:rPr>
              <w:t>Total Annual Burden Hours &amp; Total Annual Cost</w:t>
            </w:r>
          </w:p>
          <w:p w14:paraId="0C0CA1E6" w14:textId="77777777" w:rsidR="006A19F2" w:rsidRPr="00FB4698" w:rsidRDefault="006A19F2" w:rsidP="00F912EF">
            <w:pPr>
              <w:jc w:val="center"/>
              <w:rPr>
                <w:rFonts w:eastAsia="Calibri"/>
                <w:b/>
                <w:sz w:val="20"/>
                <w:szCs w:val="20"/>
              </w:rPr>
            </w:pPr>
            <w:r w:rsidRPr="00FB4698">
              <w:rPr>
                <w:rFonts w:eastAsia="Calibri"/>
                <w:b/>
                <w:sz w:val="20"/>
                <w:szCs w:val="20"/>
              </w:rPr>
              <w:t>(3)*(4)=(5)</w:t>
            </w:r>
          </w:p>
        </w:tc>
        <w:tc>
          <w:tcPr>
            <w:tcW w:w="616" w:type="pct"/>
            <w:shd w:val="clear" w:color="auto" w:fill="D9D9D9"/>
            <w:vAlign w:val="bottom"/>
          </w:tcPr>
          <w:p w14:paraId="5BABA3D5" w14:textId="77777777" w:rsidR="006A19F2" w:rsidRPr="00FB4698" w:rsidRDefault="006A19F2" w:rsidP="00F912EF">
            <w:pPr>
              <w:jc w:val="center"/>
              <w:rPr>
                <w:rFonts w:eastAsia="Calibri"/>
                <w:b/>
                <w:sz w:val="20"/>
                <w:szCs w:val="20"/>
              </w:rPr>
            </w:pPr>
            <w:r>
              <w:rPr>
                <w:rFonts w:eastAsia="Calibri"/>
                <w:b/>
                <w:sz w:val="20"/>
                <w:szCs w:val="20"/>
              </w:rPr>
              <w:t xml:space="preserve">Annual </w:t>
            </w:r>
            <w:r w:rsidRPr="00FB4698">
              <w:rPr>
                <w:rFonts w:eastAsia="Calibri"/>
                <w:b/>
                <w:sz w:val="20"/>
                <w:szCs w:val="20"/>
              </w:rPr>
              <w:t>Cost per Respondent</w:t>
            </w:r>
          </w:p>
          <w:p w14:paraId="62B913D2" w14:textId="77777777" w:rsidR="006A19F2" w:rsidRPr="00FB4698" w:rsidRDefault="006A19F2" w:rsidP="00F912EF">
            <w:pPr>
              <w:jc w:val="center"/>
              <w:rPr>
                <w:rFonts w:eastAsia="Calibri"/>
                <w:b/>
                <w:sz w:val="20"/>
                <w:szCs w:val="20"/>
              </w:rPr>
            </w:pPr>
            <w:r w:rsidRPr="00FB4698">
              <w:rPr>
                <w:rFonts w:eastAsia="Calibri"/>
                <w:b/>
                <w:sz w:val="20"/>
                <w:szCs w:val="20"/>
              </w:rPr>
              <w:t xml:space="preserve"> ($)</w:t>
            </w:r>
          </w:p>
          <w:p w14:paraId="713A3946" w14:textId="77777777" w:rsidR="006A19F2" w:rsidRPr="00FB4698" w:rsidRDefault="006A19F2" w:rsidP="00F912EF">
            <w:pPr>
              <w:jc w:val="center"/>
              <w:rPr>
                <w:rFonts w:eastAsia="Calibri"/>
                <w:b/>
                <w:sz w:val="20"/>
                <w:szCs w:val="20"/>
              </w:rPr>
            </w:pPr>
            <w:r w:rsidRPr="00FB4698">
              <w:rPr>
                <w:rFonts w:eastAsia="Calibri"/>
                <w:b/>
                <w:sz w:val="20"/>
                <w:szCs w:val="20"/>
              </w:rPr>
              <w:t>(5)÷(1)</w:t>
            </w:r>
          </w:p>
        </w:tc>
      </w:tr>
      <w:tr w:rsidR="006A19F2" w:rsidRPr="00FB4698" w14:paraId="01FAFECB" w14:textId="77777777" w:rsidTr="00F912EF">
        <w:trPr>
          <w:cantSplit/>
        </w:trPr>
        <w:tc>
          <w:tcPr>
            <w:tcW w:w="878" w:type="pct"/>
          </w:tcPr>
          <w:p w14:paraId="59E49890" w14:textId="77777777" w:rsidR="006A19F2" w:rsidRPr="00FB4698" w:rsidRDefault="006A19F2" w:rsidP="00F912EF">
            <w:pPr>
              <w:rPr>
                <w:rFonts w:eastAsia="Calibri"/>
                <w:sz w:val="20"/>
                <w:szCs w:val="20"/>
              </w:rPr>
            </w:pPr>
            <w:r w:rsidRPr="00FB4698">
              <w:rPr>
                <w:rFonts w:eastAsia="Calibri"/>
                <w:sz w:val="20"/>
                <w:szCs w:val="20"/>
              </w:rPr>
              <w:t>Respondents with FACs</w:t>
            </w:r>
          </w:p>
        </w:tc>
        <w:tc>
          <w:tcPr>
            <w:tcW w:w="746" w:type="pct"/>
          </w:tcPr>
          <w:p w14:paraId="31BDC1A7" w14:textId="77777777" w:rsidR="006A19F2" w:rsidRPr="00FB4698" w:rsidRDefault="006A19F2" w:rsidP="00F912EF">
            <w:pPr>
              <w:jc w:val="right"/>
              <w:rPr>
                <w:rFonts w:eastAsia="Calibri"/>
                <w:sz w:val="20"/>
                <w:szCs w:val="20"/>
              </w:rPr>
            </w:pPr>
            <w:r w:rsidRPr="00FB4698">
              <w:rPr>
                <w:rFonts w:eastAsia="Calibri"/>
                <w:sz w:val="20"/>
                <w:szCs w:val="20"/>
              </w:rPr>
              <w:t>37</w:t>
            </w:r>
          </w:p>
          <w:p w14:paraId="57BAE860" w14:textId="77777777" w:rsidR="006A19F2" w:rsidRPr="00FB4698" w:rsidRDefault="006A19F2" w:rsidP="00F912EF">
            <w:pPr>
              <w:jc w:val="right"/>
              <w:rPr>
                <w:rFonts w:eastAsia="Calibri"/>
                <w:sz w:val="20"/>
                <w:szCs w:val="20"/>
              </w:rPr>
            </w:pPr>
          </w:p>
        </w:tc>
        <w:tc>
          <w:tcPr>
            <w:tcW w:w="746" w:type="pct"/>
          </w:tcPr>
          <w:p w14:paraId="38719A5E"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793BECC6" w14:textId="77777777" w:rsidR="006A19F2" w:rsidRPr="00FB4698" w:rsidRDefault="006A19F2" w:rsidP="00F912EF">
            <w:pPr>
              <w:jc w:val="right"/>
              <w:rPr>
                <w:rFonts w:eastAsia="Calibri"/>
                <w:sz w:val="20"/>
                <w:szCs w:val="20"/>
              </w:rPr>
            </w:pPr>
            <w:r w:rsidRPr="00FB4698">
              <w:rPr>
                <w:rFonts w:eastAsia="Calibri"/>
                <w:sz w:val="20"/>
                <w:szCs w:val="20"/>
              </w:rPr>
              <w:t>18.5</w:t>
            </w:r>
          </w:p>
        </w:tc>
        <w:tc>
          <w:tcPr>
            <w:tcW w:w="654" w:type="pct"/>
          </w:tcPr>
          <w:p w14:paraId="0AF765F6" w14:textId="2213BD9C" w:rsidR="006A19F2" w:rsidRPr="00FB4698" w:rsidRDefault="006A19F2" w:rsidP="00F912EF">
            <w:pPr>
              <w:jc w:val="right"/>
              <w:rPr>
                <w:rFonts w:eastAsia="Calibri"/>
                <w:sz w:val="20"/>
                <w:szCs w:val="20"/>
              </w:rPr>
            </w:pPr>
            <w:r w:rsidRPr="00FB4698">
              <w:rPr>
                <w:rFonts w:eastAsia="Calibri"/>
                <w:sz w:val="20"/>
                <w:szCs w:val="20"/>
              </w:rPr>
              <w:t>103</w:t>
            </w:r>
            <w:r w:rsidR="00FE62B7">
              <w:rPr>
                <w:rFonts w:eastAsia="Calibri"/>
                <w:sz w:val="20"/>
                <w:szCs w:val="20"/>
              </w:rPr>
              <w:t xml:space="preserve"> hrs</w:t>
            </w:r>
            <w:r>
              <w:rPr>
                <w:rFonts w:eastAsia="Calibri"/>
                <w:sz w:val="20"/>
                <w:szCs w:val="20"/>
              </w:rPr>
              <w:t>;</w:t>
            </w:r>
          </w:p>
          <w:p w14:paraId="500F55EC" w14:textId="77777777" w:rsidR="006A19F2" w:rsidRPr="00FB4698" w:rsidRDefault="006A19F2" w:rsidP="00F912EF">
            <w:pPr>
              <w:jc w:val="right"/>
              <w:rPr>
                <w:rFonts w:eastAsia="Calibri"/>
                <w:sz w:val="20"/>
                <w:szCs w:val="20"/>
              </w:rPr>
            </w:pPr>
            <w:r w:rsidRPr="00FB4698">
              <w:rPr>
                <w:rFonts w:eastAsia="Calibri"/>
                <w:sz w:val="20"/>
                <w:szCs w:val="20"/>
              </w:rPr>
              <w:t>$7,673.50</w:t>
            </w:r>
          </w:p>
        </w:tc>
        <w:tc>
          <w:tcPr>
            <w:tcW w:w="657" w:type="pct"/>
          </w:tcPr>
          <w:p w14:paraId="77602A7A" w14:textId="47D25B05" w:rsidR="006A19F2" w:rsidRPr="00FB4698" w:rsidRDefault="006A19F2" w:rsidP="00F912EF">
            <w:pPr>
              <w:jc w:val="right"/>
              <w:rPr>
                <w:rFonts w:eastAsia="Calibri"/>
                <w:sz w:val="20"/>
                <w:szCs w:val="20"/>
              </w:rPr>
            </w:pPr>
            <w:r w:rsidRPr="00FB4698">
              <w:rPr>
                <w:rFonts w:eastAsia="Calibri"/>
                <w:sz w:val="20"/>
                <w:szCs w:val="20"/>
              </w:rPr>
              <w:t xml:space="preserve"> 1,905.5</w:t>
            </w:r>
            <w:r w:rsidR="00FE62B7">
              <w:rPr>
                <w:rFonts w:eastAsia="Calibri"/>
                <w:sz w:val="20"/>
                <w:szCs w:val="20"/>
              </w:rPr>
              <w:t xml:space="preserve"> hrs</w:t>
            </w:r>
            <w:r>
              <w:rPr>
                <w:rFonts w:eastAsia="Calibri"/>
                <w:sz w:val="20"/>
                <w:szCs w:val="20"/>
              </w:rPr>
              <w:t>;</w:t>
            </w:r>
          </w:p>
          <w:p w14:paraId="3F4A922A" w14:textId="77777777" w:rsidR="006A19F2" w:rsidRPr="00FB4698" w:rsidRDefault="006A19F2" w:rsidP="00F912EF">
            <w:pPr>
              <w:jc w:val="right"/>
              <w:rPr>
                <w:rFonts w:eastAsia="Calibri"/>
                <w:sz w:val="20"/>
                <w:szCs w:val="20"/>
              </w:rPr>
            </w:pPr>
            <w:r w:rsidRPr="00FB4698">
              <w:rPr>
                <w:rFonts w:eastAsia="Calibri"/>
                <w:sz w:val="20"/>
                <w:szCs w:val="20"/>
              </w:rPr>
              <w:t xml:space="preserve">$141,959.75 </w:t>
            </w:r>
          </w:p>
        </w:tc>
        <w:tc>
          <w:tcPr>
            <w:tcW w:w="616" w:type="pct"/>
          </w:tcPr>
          <w:p w14:paraId="2AD63B3D" w14:textId="77777777" w:rsidR="006A19F2" w:rsidRPr="00FB4698" w:rsidRDefault="006A19F2" w:rsidP="00F912EF">
            <w:pPr>
              <w:jc w:val="right"/>
              <w:rPr>
                <w:rFonts w:eastAsia="Calibri"/>
                <w:sz w:val="20"/>
                <w:szCs w:val="20"/>
              </w:rPr>
            </w:pPr>
            <w:r w:rsidRPr="00FB4698">
              <w:rPr>
                <w:rFonts w:eastAsia="Calibri"/>
                <w:sz w:val="20"/>
                <w:szCs w:val="20"/>
              </w:rPr>
              <w:t xml:space="preserve">$3,836.75 </w:t>
            </w:r>
          </w:p>
          <w:p w14:paraId="77AB4ECD" w14:textId="77777777" w:rsidR="006A19F2" w:rsidRPr="00FB4698" w:rsidRDefault="006A19F2" w:rsidP="00F912EF">
            <w:pPr>
              <w:jc w:val="right"/>
              <w:rPr>
                <w:rFonts w:eastAsia="Calibri"/>
                <w:sz w:val="20"/>
                <w:szCs w:val="20"/>
              </w:rPr>
            </w:pPr>
          </w:p>
        </w:tc>
      </w:tr>
      <w:tr w:rsidR="006A19F2" w:rsidRPr="00FB4698" w14:paraId="56CB4044" w14:textId="77777777" w:rsidTr="00F912EF">
        <w:trPr>
          <w:cantSplit/>
        </w:trPr>
        <w:tc>
          <w:tcPr>
            <w:tcW w:w="878" w:type="pct"/>
          </w:tcPr>
          <w:p w14:paraId="150D7004" w14:textId="77777777" w:rsidR="006A19F2" w:rsidRPr="00FB4698" w:rsidRDefault="006A19F2" w:rsidP="00F912EF">
            <w:pPr>
              <w:rPr>
                <w:rFonts w:eastAsia="Calibri"/>
                <w:sz w:val="20"/>
                <w:szCs w:val="20"/>
              </w:rPr>
            </w:pPr>
            <w:r w:rsidRPr="00FB4698">
              <w:rPr>
                <w:rFonts w:eastAsia="Calibri"/>
                <w:sz w:val="20"/>
                <w:szCs w:val="20"/>
              </w:rPr>
              <w:t>Respondents with AACs, but no FACs</w:t>
            </w:r>
          </w:p>
        </w:tc>
        <w:tc>
          <w:tcPr>
            <w:tcW w:w="746" w:type="pct"/>
          </w:tcPr>
          <w:p w14:paraId="3F8EFAC2" w14:textId="77777777" w:rsidR="006A19F2" w:rsidRPr="00FB4698" w:rsidRDefault="006A19F2" w:rsidP="00F912EF">
            <w:pPr>
              <w:jc w:val="right"/>
              <w:rPr>
                <w:rFonts w:eastAsia="Calibri"/>
                <w:sz w:val="20"/>
                <w:szCs w:val="20"/>
              </w:rPr>
            </w:pPr>
            <w:r w:rsidRPr="00FB4698">
              <w:rPr>
                <w:rFonts w:eastAsia="Calibri"/>
                <w:sz w:val="20"/>
                <w:szCs w:val="20"/>
              </w:rPr>
              <w:t>10</w:t>
            </w:r>
          </w:p>
        </w:tc>
        <w:tc>
          <w:tcPr>
            <w:tcW w:w="746" w:type="pct"/>
          </w:tcPr>
          <w:p w14:paraId="6B36C2E2"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2EDF5336" w14:textId="77777777" w:rsidR="006A19F2" w:rsidRPr="00FB4698" w:rsidRDefault="006A19F2" w:rsidP="00F912EF">
            <w:pPr>
              <w:jc w:val="right"/>
              <w:rPr>
                <w:rFonts w:eastAsia="Calibri"/>
                <w:sz w:val="20"/>
                <w:szCs w:val="20"/>
              </w:rPr>
            </w:pPr>
            <w:r w:rsidRPr="00FB4698">
              <w:rPr>
                <w:rFonts w:eastAsia="Calibri"/>
                <w:sz w:val="20"/>
                <w:szCs w:val="20"/>
              </w:rPr>
              <w:t>5</w:t>
            </w:r>
          </w:p>
        </w:tc>
        <w:tc>
          <w:tcPr>
            <w:tcW w:w="654" w:type="pct"/>
          </w:tcPr>
          <w:p w14:paraId="488802E0" w14:textId="77777777" w:rsidR="006A19F2" w:rsidRPr="00FB4698" w:rsidRDefault="006A19F2" w:rsidP="00F912EF">
            <w:pPr>
              <w:jc w:val="right"/>
              <w:rPr>
                <w:rFonts w:eastAsia="Calibri"/>
                <w:sz w:val="20"/>
                <w:szCs w:val="20"/>
              </w:rPr>
            </w:pPr>
            <w:r w:rsidRPr="00FB4698">
              <w:rPr>
                <w:rFonts w:eastAsia="Calibri"/>
                <w:sz w:val="20"/>
                <w:szCs w:val="20"/>
              </w:rPr>
              <w:t>20</w:t>
            </w:r>
            <w:r>
              <w:rPr>
                <w:rFonts w:eastAsia="Calibri"/>
                <w:sz w:val="20"/>
                <w:szCs w:val="20"/>
              </w:rPr>
              <w:t xml:space="preserve"> hrs.;</w:t>
            </w:r>
          </w:p>
          <w:p w14:paraId="24E3376C" w14:textId="77777777" w:rsidR="006A19F2" w:rsidRPr="00FB4698" w:rsidRDefault="006A19F2" w:rsidP="00F912EF">
            <w:pPr>
              <w:jc w:val="right"/>
              <w:rPr>
                <w:rFonts w:eastAsia="Calibri"/>
                <w:sz w:val="20"/>
                <w:szCs w:val="20"/>
              </w:rPr>
            </w:pPr>
            <w:r w:rsidRPr="00FB4698">
              <w:rPr>
                <w:rFonts w:eastAsia="Calibri"/>
                <w:sz w:val="20"/>
                <w:szCs w:val="20"/>
              </w:rPr>
              <w:t>$1,490</w:t>
            </w:r>
          </w:p>
        </w:tc>
        <w:tc>
          <w:tcPr>
            <w:tcW w:w="657" w:type="pct"/>
          </w:tcPr>
          <w:p w14:paraId="3BD2013A" w14:textId="77777777" w:rsidR="006A19F2" w:rsidRPr="00FB4698" w:rsidRDefault="006A19F2" w:rsidP="00F912EF">
            <w:pPr>
              <w:jc w:val="right"/>
              <w:rPr>
                <w:rFonts w:eastAsia="Calibri"/>
                <w:sz w:val="20"/>
                <w:szCs w:val="20"/>
              </w:rPr>
            </w:pPr>
            <w:r w:rsidRPr="00FB4698">
              <w:rPr>
                <w:rFonts w:eastAsia="Calibri"/>
                <w:sz w:val="20"/>
                <w:szCs w:val="20"/>
              </w:rPr>
              <w:t>100</w:t>
            </w:r>
            <w:r>
              <w:rPr>
                <w:rFonts w:eastAsia="Calibri"/>
                <w:sz w:val="20"/>
                <w:szCs w:val="20"/>
              </w:rPr>
              <w:t xml:space="preserve"> hrs.;</w:t>
            </w:r>
          </w:p>
          <w:p w14:paraId="0285E37E" w14:textId="77777777" w:rsidR="006A19F2" w:rsidRPr="00FB4698" w:rsidRDefault="006A19F2" w:rsidP="00F912EF">
            <w:pPr>
              <w:jc w:val="right"/>
              <w:rPr>
                <w:rFonts w:eastAsia="Calibri"/>
                <w:sz w:val="20"/>
                <w:szCs w:val="20"/>
              </w:rPr>
            </w:pPr>
            <w:r w:rsidRPr="00FB4698">
              <w:rPr>
                <w:rFonts w:eastAsia="Calibri"/>
                <w:sz w:val="20"/>
                <w:szCs w:val="20"/>
              </w:rPr>
              <w:t>$7,450</w:t>
            </w:r>
          </w:p>
        </w:tc>
        <w:tc>
          <w:tcPr>
            <w:tcW w:w="616" w:type="pct"/>
          </w:tcPr>
          <w:p w14:paraId="65750EF2" w14:textId="77777777" w:rsidR="006A19F2" w:rsidRPr="00FB4698" w:rsidRDefault="006A19F2" w:rsidP="00F912EF">
            <w:pPr>
              <w:jc w:val="right"/>
              <w:rPr>
                <w:rFonts w:eastAsia="Calibri"/>
                <w:sz w:val="20"/>
                <w:szCs w:val="20"/>
              </w:rPr>
            </w:pPr>
            <w:r w:rsidRPr="00FB4698">
              <w:rPr>
                <w:rFonts w:eastAsia="Calibri"/>
                <w:sz w:val="20"/>
                <w:szCs w:val="20"/>
              </w:rPr>
              <w:t>$745</w:t>
            </w:r>
          </w:p>
        </w:tc>
      </w:tr>
      <w:tr w:rsidR="006A19F2" w:rsidRPr="00FB4698" w14:paraId="1CC8FDFA" w14:textId="77777777" w:rsidTr="00F912EF">
        <w:trPr>
          <w:cantSplit/>
        </w:trPr>
        <w:tc>
          <w:tcPr>
            <w:tcW w:w="878" w:type="pct"/>
          </w:tcPr>
          <w:p w14:paraId="4E6D6631" w14:textId="77777777" w:rsidR="006A19F2" w:rsidRPr="00FB4698" w:rsidRDefault="006A19F2" w:rsidP="00F912EF">
            <w:pPr>
              <w:rPr>
                <w:rFonts w:eastAsia="Calibri"/>
                <w:sz w:val="20"/>
                <w:szCs w:val="20"/>
              </w:rPr>
            </w:pPr>
            <w:r w:rsidRPr="00FB4698">
              <w:rPr>
                <w:rFonts w:eastAsia="Calibri"/>
                <w:sz w:val="20"/>
                <w:szCs w:val="20"/>
              </w:rPr>
              <w:t>Respondents with no AACs nor FACs</w:t>
            </w:r>
          </w:p>
        </w:tc>
        <w:tc>
          <w:tcPr>
            <w:tcW w:w="746" w:type="pct"/>
          </w:tcPr>
          <w:p w14:paraId="55F63872" w14:textId="77777777" w:rsidR="006A19F2" w:rsidRPr="00FB4698" w:rsidRDefault="006A19F2" w:rsidP="00F912EF">
            <w:pPr>
              <w:jc w:val="right"/>
              <w:rPr>
                <w:rFonts w:eastAsia="Calibri"/>
                <w:sz w:val="20"/>
                <w:szCs w:val="20"/>
              </w:rPr>
            </w:pPr>
            <w:r w:rsidRPr="00FB4698">
              <w:rPr>
                <w:rFonts w:eastAsia="Calibri"/>
                <w:sz w:val="20"/>
                <w:szCs w:val="20"/>
              </w:rPr>
              <w:t>35</w:t>
            </w:r>
          </w:p>
        </w:tc>
        <w:tc>
          <w:tcPr>
            <w:tcW w:w="746" w:type="pct"/>
          </w:tcPr>
          <w:p w14:paraId="61E054AA"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761CE322" w14:textId="77777777" w:rsidR="006A19F2" w:rsidRPr="00FB4698" w:rsidRDefault="006A19F2" w:rsidP="00F912EF">
            <w:pPr>
              <w:jc w:val="right"/>
              <w:rPr>
                <w:rFonts w:eastAsia="Calibri"/>
                <w:sz w:val="20"/>
                <w:szCs w:val="20"/>
              </w:rPr>
            </w:pPr>
            <w:r w:rsidRPr="00FB4698">
              <w:rPr>
                <w:rFonts w:eastAsia="Calibri"/>
                <w:sz w:val="20"/>
                <w:szCs w:val="20"/>
              </w:rPr>
              <w:t>17.5</w:t>
            </w:r>
          </w:p>
        </w:tc>
        <w:tc>
          <w:tcPr>
            <w:tcW w:w="654" w:type="pct"/>
          </w:tcPr>
          <w:p w14:paraId="4D428656" w14:textId="77777777" w:rsidR="006A19F2" w:rsidRPr="00FB4698" w:rsidRDefault="006A19F2" w:rsidP="00F912EF">
            <w:pPr>
              <w:jc w:val="right"/>
              <w:rPr>
                <w:rFonts w:eastAsia="Calibri"/>
                <w:sz w:val="20"/>
                <w:szCs w:val="20"/>
              </w:rPr>
            </w:pPr>
            <w:r w:rsidRPr="00FB4698">
              <w:rPr>
                <w:rFonts w:eastAsia="Calibri"/>
                <w:sz w:val="20"/>
                <w:szCs w:val="20"/>
              </w:rPr>
              <w:t>2</w:t>
            </w:r>
            <w:r>
              <w:rPr>
                <w:rFonts w:eastAsia="Calibri"/>
                <w:sz w:val="20"/>
                <w:szCs w:val="20"/>
              </w:rPr>
              <w:t xml:space="preserve"> hrs.;</w:t>
            </w:r>
          </w:p>
          <w:p w14:paraId="0C287C2B" w14:textId="77777777" w:rsidR="006A19F2" w:rsidRPr="00FB4698" w:rsidRDefault="006A19F2" w:rsidP="00F912EF">
            <w:pPr>
              <w:jc w:val="right"/>
              <w:rPr>
                <w:rFonts w:eastAsia="Calibri"/>
                <w:sz w:val="20"/>
                <w:szCs w:val="20"/>
              </w:rPr>
            </w:pPr>
            <w:r w:rsidRPr="00FB4698">
              <w:rPr>
                <w:rFonts w:eastAsia="Calibri"/>
                <w:sz w:val="20"/>
                <w:szCs w:val="20"/>
              </w:rPr>
              <w:t>$149</w:t>
            </w:r>
          </w:p>
        </w:tc>
        <w:tc>
          <w:tcPr>
            <w:tcW w:w="657" w:type="pct"/>
          </w:tcPr>
          <w:p w14:paraId="083038D1" w14:textId="77777777" w:rsidR="006A19F2" w:rsidRPr="00FB4698" w:rsidRDefault="006A19F2" w:rsidP="00F912EF">
            <w:pPr>
              <w:jc w:val="right"/>
              <w:rPr>
                <w:rFonts w:eastAsia="Calibri"/>
                <w:sz w:val="20"/>
                <w:szCs w:val="20"/>
              </w:rPr>
            </w:pPr>
            <w:r w:rsidRPr="00FB4698">
              <w:rPr>
                <w:rFonts w:eastAsia="Calibri"/>
                <w:sz w:val="20"/>
                <w:szCs w:val="20"/>
              </w:rPr>
              <w:t>35</w:t>
            </w:r>
            <w:r>
              <w:rPr>
                <w:rFonts w:eastAsia="Calibri"/>
                <w:sz w:val="20"/>
                <w:szCs w:val="20"/>
              </w:rPr>
              <w:t xml:space="preserve"> hrs.;</w:t>
            </w:r>
          </w:p>
          <w:p w14:paraId="3D00706F" w14:textId="77777777" w:rsidR="006A19F2" w:rsidRPr="00FB4698" w:rsidRDefault="006A19F2" w:rsidP="00F912EF">
            <w:pPr>
              <w:jc w:val="right"/>
              <w:rPr>
                <w:rFonts w:eastAsia="Calibri"/>
                <w:sz w:val="20"/>
                <w:szCs w:val="20"/>
              </w:rPr>
            </w:pPr>
            <w:r w:rsidRPr="00FB4698">
              <w:rPr>
                <w:rFonts w:eastAsia="Calibri"/>
                <w:sz w:val="20"/>
                <w:szCs w:val="20"/>
              </w:rPr>
              <w:t>$2,607.50</w:t>
            </w:r>
          </w:p>
        </w:tc>
        <w:tc>
          <w:tcPr>
            <w:tcW w:w="616" w:type="pct"/>
          </w:tcPr>
          <w:p w14:paraId="54E6293D" w14:textId="77777777" w:rsidR="006A19F2" w:rsidRPr="00FB4698" w:rsidRDefault="006A19F2" w:rsidP="00F912EF">
            <w:pPr>
              <w:jc w:val="right"/>
              <w:rPr>
                <w:rFonts w:eastAsia="Calibri"/>
                <w:sz w:val="20"/>
                <w:szCs w:val="20"/>
              </w:rPr>
            </w:pPr>
            <w:r>
              <w:rPr>
                <w:rFonts w:eastAsia="Calibri"/>
                <w:sz w:val="20"/>
                <w:szCs w:val="20"/>
              </w:rPr>
              <w:t>$74.50</w:t>
            </w:r>
          </w:p>
        </w:tc>
      </w:tr>
      <w:tr w:rsidR="006A19F2" w:rsidRPr="00FB4698" w14:paraId="358CAEA5" w14:textId="77777777" w:rsidTr="00F912EF">
        <w:trPr>
          <w:cantSplit/>
          <w:trHeight w:val="485"/>
        </w:trPr>
        <w:tc>
          <w:tcPr>
            <w:tcW w:w="878" w:type="pct"/>
            <w:tcBorders>
              <w:bottom w:val="single" w:sz="4" w:space="0" w:color="auto"/>
            </w:tcBorders>
          </w:tcPr>
          <w:p w14:paraId="65C41A1D" w14:textId="77777777" w:rsidR="006A19F2" w:rsidRPr="00FB4698" w:rsidRDefault="006A19F2" w:rsidP="00F912EF">
            <w:pPr>
              <w:rPr>
                <w:rFonts w:eastAsia="Calibri"/>
                <w:b/>
                <w:sz w:val="20"/>
                <w:szCs w:val="20"/>
              </w:rPr>
            </w:pPr>
            <w:r w:rsidRPr="00FB4698">
              <w:rPr>
                <w:rFonts w:eastAsia="Calibri"/>
                <w:b/>
                <w:sz w:val="20"/>
                <w:szCs w:val="20"/>
              </w:rPr>
              <w:t>TOTAL</w:t>
            </w:r>
          </w:p>
        </w:tc>
        <w:tc>
          <w:tcPr>
            <w:tcW w:w="1492" w:type="pct"/>
            <w:gridSpan w:val="2"/>
            <w:tcBorders>
              <w:bottom w:val="single" w:sz="4" w:space="0" w:color="auto"/>
            </w:tcBorders>
            <w:shd w:val="clear" w:color="auto" w:fill="D9D9D9"/>
          </w:tcPr>
          <w:p w14:paraId="2F2AB084" w14:textId="77777777" w:rsidR="006A19F2" w:rsidRPr="00FB4698" w:rsidRDefault="006A19F2" w:rsidP="00F912EF">
            <w:pPr>
              <w:jc w:val="right"/>
              <w:rPr>
                <w:rFonts w:eastAsia="Calibri"/>
                <w:sz w:val="20"/>
                <w:szCs w:val="20"/>
              </w:rPr>
            </w:pPr>
          </w:p>
        </w:tc>
        <w:tc>
          <w:tcPr>
            <w:tcW w:w="703" w:type="pct"/>
            <w:tcBorders>
              <w:bottom w:val="single" w:sz="4" w:space="0" w:color="auto"/>
            </w:tcBorders>
            <w:shd w:val="clear" w:color="auto" w:fill="auto"/>
          </w:tcPr>
          <w:p w14:paraId="13C27399" w14:textId="77777777" w:rsidR="006A19F2" w:rsidRPr="00FB4698" w:rsidRDefault="006A19F2" w:rsidP="00F912EF">
            <w:pPr>
              <w:jc w:val="right"/>
              <w:rPr>
                <w:rFonts w:eastAsia="Calibri"/>
                <w:b/>
                <w:sz w:val="20"/>
                <w:szCs w:val="20"/>
              </w:rPr>
            </w:pPr>
            <w:r w:rsidRPr="00FB4698">
              <w:rPr>
                <w:rFonts w:eastAsia="Calibri"/>
                <w:b/>
                <w:sz w:val="20"/>
                <w:szCs w:val="20"/>
              </w:rPr>
              <w:t>41</w:t>
            </w:r>
          </w:p>
        </w:tc>
        <w:tc>
          <w:tcPr>
            <w:tcW w:w="654" w:type="pct"/>
            <w:tcBorders>
              <w:bottom w:val="single" w:sz="4" w:space="0" w:color="auto"/>
            </w:tcBorders>
            <w:shd w:val="clear" w:color="auto" w:fill="D9D9D9"/>
          </w:tcPr>
          <w:p w14:paraId="25D97E8A" w14:textId="77777777" w:rsidR="006A19F2" w:rsidRPr="00FB4698" w:rsidRDefault="006A19F2" w:rsidP="00F912EF">
            <w:pPr>
              <w:jc w:val="right"/>
              <w:rPr>
                <w:rFonts w:eastAsia="Calibri"/>
                <w:sz w:val="20"/>
                <w:szCs w:val="20"/>
              </w:rPr>
            </w:pPr>
          </w:p>
        </w:tc>
        <w:tc>
          <w:tcPr>
            <w:tcW w:w="657" w:type="pct"/>
            <w:tcBorders>
              <w:bottom w:val="single" w:sz="4" w:space="0" w:color="auto"/>
            </w:tcBorders>
          </w:tcPr>
          <w:p w14:paraId="23D83253" w14:textId="77777777" w:rsidR="006A19F2" w:rsidRPr="00FB4698" w:rsidRDefault="006A19F2" w:rsidP="00F912EF">
            <w:pPr>
              <w:jc w:val="right"/>
              <w:rPr>
                <w:rFonts w:eastAsia="Calibri"/>
                <w:b/>
                <w:sz w:val="20"/>
                <w:szCs w:val="20"/>
              </w:rPr>
            </w:pPr>
            <w:r w:rsidRPr="00FB4698">
              <w:rPr>
                <w:rFonts w:eastAsia="Calibri"/>
                <w:b/>
                <w:sz w:val="20"/>
                <w:szCs w:val="20"/>
              </w:rPr>
              <w:t>2,040.5</w:t>
            </w:r>
            <w:r>
              <w:rPr>
                <w:rFonts w:eastAsia="Calibri"/>
                <w:b/>
                <w:sz w:val="20"/>
                <w:szCs w:val="20"/>
              </w:rPr>
              <w:t xml:space="preserve"> hrs.;</w:t>
            </w:r>
          </w:p>
          <w:p w14:paraId="380F6ADA" w14:textId="77777777" w:rsidR="006A19F2" w:rsidRPr="00FB4698" w:rsidRDefault="006A19F2" w:rsidP="00F912EF">
            <w:pPr>
              <w:jc w:val="right"/>
              <w:rPr>
                <w:rFonts w:eastAsia="Calibri"/>
                <w:b/>
                <w:sz w:val="20"/>
                <w:szCs w:val="20"/>
              </w:rPr>
            </w:pPr>
            <w:r w:rsidRPr="00FB4698">
              <w:rPr>
                <w:rFonts w:eastAsia="Calibri"/>
                <w:b/>
                <w:sz w:val="20"/>
                <w:szCs w:val="20"/>
              </w:rPr>
              <w:t>$152,017.25</w:t>
            </w:r>
          </w:p>
        </w:tc>
        <w:tc>
          <w:tcPr>
            <w:tcW w:w="616" w:type="pct"/>
            <w:tcBorders>
              <w:bottom w:val="single" w:sz="4" w:space="0" w:color="auto"/>
            </w:tcBorders>
            <w:shd w:val="clear" w:color="auto" w:fill="D9D9D9"/>
          </w:tcPr>
          <w:p w14:paraId="4282F8B9" w14:textId="77777777" w:rsidR="006A19F2" w:rsidRPr="00FB4698" w:rsidRDefault="006A19F2" w:rsidP="00F912EF">
            <w:pPr>
              <w:jc w:val="right"/>
              <w:rPr>
                <w:rFonts w:eastAsia="Calibri"/>
                <w:b/>
                <w:sz w:val="20"/>
                <w:szCs w:val="20"/>
              </w:rPr>
            </w:pPr>
          </w:p>
        </w:tc>
      </w:tr>
    </w:tbl>
    <w:p w14:paraId="0BCEEBDA" w14:textId="77777777" w:rsidR="00BB6095" w:rsidRPr="001D2EC1" w:rsidRDefault="00BB6095" w:rsidP="00BB6095">
      <w:pPr>
        <w:widowControl/>
      </w:pPr>
    </w:p>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7"/>
            </w:r>
          </w:p>
        </w:tc>
        <w:tc>
          <w:tcPr>
            <w:tcW w:w="1627" w:type="pct"/>
            <w:shd w:val="clear" w:color="auto" w:fill="auto"/>
            <w:vAlign w:val="center"/>
          </w:tcPr>
          <w:p w14:paraId="169BBF54" w14:textId="36A90914" w:rsidR="00EF40FF" w:rsidRPr="001D2EC1" w:rsidRDefault="006A19F2"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0.5</w:t>
            </w:r>
          </w:p>
        </w:tc>
        <w:tc>
          <w:tcPr>
            <w:tcW w:w="1617" w:type="pct"/>
            <w:shd w:val="clear" w:color="auto" w:fill="auto"/>
            <w:vAlign w:val="center"/>
          </w:tcPr>
          <w:p w14:paraId="7007B84E" w14:textId="12E1A4F9" w:rsidR="00EF40FF" w:rsidRPr="001D2EC1" w:rsidRDefault="00805BE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$77,323.50</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8"/>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9"/>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2CE7BAA0" w:rsidR="00EF40FF" w:rsidRPr="001D2EC1" w:rsidRDefault="00805BE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07AC6E7F" w:rsidR="00EF40FF" w:rsidRPr="001D2EC1" w:rsidRDefault="00805BE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$82,804.50</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10BF605C" w14:textId="435D62DC" w:rsidR="00B13159" w:rsidRDefault="001E053A" w:rsidP="00B13159">
      <w:r w:rsidRPr="00727B08">
        <w:t xml:space="preserve">The burden hours per filing are unchanged.  </w:t>
      </w:r>
      <w:r w:rsidR="00571A5F">
        <w:t>Revisions to the form described in this supporting statement will have no effect on respondent burden</w:t>
      </w:r>
      <w:r w:rsidR="007A1A3D">
        <w:t>.</w:t>
      </w:r>
    </w:p>
    <w:p w14:paraId="06192D7C" w14:textId="77777777" w:rsidR="00545B62" w:rsidRDefault="00545B62" w:rsidP="00EF40FF">
      <w:pPr>
        <w:widowControl/>
      </w:pPr>
    </w:p>
    <w:p w14:paraId="0EF2A067" w14:textId="7B433D75" w:rsidR="00545B62" w:rsidRPr="00545B62" w:rsidRDefault="00545B62" w:rsidP="00545B62">
      <w:pPr>
        <w:rPr>
          <w:szCs w:val="26"/>
        </w:rPr>
      </w:pPr>
      <w:r>
        <w:rPr>
          <w:szCs w:val="26"/>
        </w:rPr>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1FFE49A4" w:rsidR="00EF40FF" w:rsidRPr="001D2EC1" w:rsidRDefault="00D44F46" w:rsidP="00D97B44">
            <w:pPr>
              <w:jc w:val="center"/>
              <w:rPr>
                <w:b/>
              </w:rPr>
            </w:pPr>
            <w:r>
              <w:rPr>
                <w:b/>
              </w:rPr>
              <w:t>FERC Form 580</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lastRenderedPageBreak/>
              <w:t>Annual Number of Responses</w:t>
            </w:r>
          </w:p>
        </w:tc>
        <w:tc>
          <w:tcPr>
            <w:tcW w:w="829" w:type="pct"/>
            <w:shd w:val="clear" w:color="auto" w:fill="auto"/>
            <w:vAlign w:val="center"/>
          </w:tcPr>
          <w:p w14:paraId="386C9BC2" w14:textId="7F73ABC5" w:rsidR="00EF40FF" w:rsidRPr="001D2EC1" w:rsidRDefault="00D44F46" w:rsidP="00D97B44">
            <w:pPr>
              <w:jc w:val="right"/>
            </w:pPr>
            <w:r>
              <w:t>41</w:t>
            </w:r>
          </w:p>
        </w:tc>
        <w:tc>
          <w:tcPr>
            <w:tcW w:w="854" w:type="pct"/>
            <w:shd w:val="clear" w:color="auto" w:fill="auto"/>
            <w:vAlign w:val="center"/>
          </w:tcPr>
          <w:p w14:paraId="39A0261D" w14:textId="49350949" w:rsidR="00EF40FF" w:rsidRPr="001D2EC1" w:rsidRDefault="00D44F46" w:rsidP="00D97B44">
            <w:pPr>
              <w:jc w:val="right"/>
            </w:pPr>
            <w:r>
              <w:t>41</w:t>
            </w:r>
          </w:p>
        </w:tc>
        <w:tc>
          <w:tcPr>
            <w:tcW w:w="1010" w:type="pct"/>
            <w:shd w:val="clear" w:color="auto" w:fill="auto"/>
            <w:vAlign w:val="center"/>
          </w:tcPr>
          <w:p w14:paraId="4FE2F429" w14:textId="54154D51" w:rsidR="00EF40FF" w:rsidRPr="001D2EC1" w:rsidRDefault="00D44F46"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6925E905" w:rsidR="00EF40FF" w:rsidRPr="001D2EC1" w:rsidRDefault="00D44F46" w:rsidP="00D97B44">
            <w:pPr>
              <w:jc w:val="right"/>
            </w:pPr>
            <w:r>
              <w:t>2,041</w:t>
            </w:r>
          </w:p>
        </w:tc>
        <w:tc>
          <w:tcPr>
            <w:tcW w:w="854" w:type="pct"/>
            <w:shd w:val="clear" w:color="auto" w:fill="auto"/>
            <w:vAlign w:val="center"/>
          </w:tcPr>
          <w:p w14:paraId="0EED3422" w14:textId="01A6E192" w:rsidR="00EF40FF" w:rsidRPr="001D2EC1" w:rsidRDefault="00D44F46" w:rsidP="00D97B44">
            <w:pPr>
              <w:jc w:val="right"/>
            </w:pPr>
            <w:r>
              <w:t>2,041</w:t>
            </w:r>
          </w:p>
        </w:tc>
        <w:tc>
          <w:tcPr>
            <w:tcW w:w="1010" w:type="pct"/>
            <w:shd w:val="clear" w:color="auto" w:fill="auto"/>
            <w:vAlign w:val="center"/>
          </w:tcPr>
          <w:p w14:paraId="3CF5B872" w14:textId="778FA957" w:rsidR="00EF40FF" w:rsidRPr="001D2EC1" w:rsidRDefault="00D44F46"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2F56AA72" w14:textId="77777777" w:rsidR="00EB35DB" w:rsidRDefault="00AD0D8A" w:rsidP="00EF40FF">
      <w:pPr>
        <w:pStyle w:val="FERCparanumber"/>
        <w:numPr>
          <w:ilvl w:val="0"/>
          <w:numId w:val="0"/>
        </w:numPr>
      </w:pPr>
      <w:r>
        <w:t xml:space="preserve">The expiration dates are posted at </w:t>
      </w:r>
      <w:hyperlink r:id="rId14" w:history="1">
        <w:r w:rsidRPr="005002D0">
          <w:rPr>
            <w:rStyle w:val="Hyperlink"/>
          </w:rPr>
          <w:t>http://www.ferc.gov/docs-filing/info-collections.asp</w:t>
        </w:r>
      </w:hyperlink>
      <w:r w:rsidR="00EB35DB">
        <w:t xml:space="preserve">.  </w:t>
      </w:r>
    </w:p>
    <w:p w14:paraId="61A20BEF" w14:textId="77777777" w:rsidR="00EB35DB" w:rsidRDefault="00EB35DB" w:rsidP="00EF40FF">
      <w:pPr>
        <w:pStyle w:val="FERCparanumber"/>
        <w:numPr>
          <w:ilvl w:val="0"/>
          <w:numId w:val="0"/>
        </w:numPr>
      </w:pPr>
    </w:p>
    <w:p w14:paraId="00403C61" w14:textId="2AD5A830" w:rsidR="00EF40FF" w:rsidRDefault="00EB35DB" w:rsidP="00EF40FF">
      <w:pPr>
        <w:pStyle w:val="FERCparanumber"/>
        <w:numPr>
          <w:ilvl w:val="0"/>
          <w:numId w:val="0"/>
        </w:numPr>
      </w:pPr>
      <w:r>
        <w:t>Additionally, the expiration date appears in the upper right-hand portion of the first page of both the FERC Form 580 and its “Privileged Treatment” version</w:t>
      </w:r>
      <w:r w:rsidRPr="00EB35DB">
        <w:rPr>
          <w:rStyle w:val="FootnoteReference"/>
          <w:vertAlign w:val="superscript"/>
        </w:rPr>
        <w:footnoteReference w:id="10"/>
      </w:r>
      <w:r>
        <w:t>.</w:t>
      </w:r>
    </w:p>
    <w:p w14:paraId="55D8252C" w14:textId="77777777" w:rsidR="00CF1510" w:rsidRDefault="00CF1510"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A1EBF" w14:textId="77777777" w:rsidR="0045583E" w:rsidRDefault="0045583E" w:rsidP="009D6B6D">
      <w:r>
        <w:separator/>
      </w:r>
    </w:p>
  </w:endnote>
  <w:endnote w:type="continuationSeparator" w:id="0">
    <w:p w14:paraId="07D41A8D" w14:textId="77777777" w:rsidR="0045583E" w:rsidRDefault="0045583E"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F2F0F">
          <w:rPr>
            <w:noProof/>
          </w:rPr>
          <w:t>3</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F971" w14:textId="77777777" w:rsidR="0045583E" w:rsidRDefault="0045583E" w:rsidP="009D6B6D">
      <w:r>
        <w:separator/>
      </w:r>
    </w:p>
  </w:footnote>
  <w:footnote w:type="continuationSeparator" w:id="0">
    <w:p w14:paraId="08172FCB" w14:textId="77777777" w:rsidR="0045583E" w:rsidRDefault="0045583E" w:rsidP="009D6B6D">
      <w:r>
        <w:continuationSeparator/>
      </w:r>
    </w:p>
  </w:footnote>
  <w:footnote w:id="1">
    <w:p w14:paraId="4384AF9E" w14:textId="77777777" w:rsidR="009D6B4D" w:rsidRPr="00805BEB" w:rsidRDefault="009D6B4D" w:rsidP="009D6B4D">
      <w:pPr>
        <w:pStyle w:val="FootnoteText"/>
      </w:pPr>
      <w:r w:rsidRPr="00805BEB">
        <w:rPr>
          <w:rStyle w:val="FootnoteReference"/>
          <w:vertAlign w:val="superscript"/>
        </w:rPr>
        <w:footnoteRef/>
      </w:r>
      <w:r w:rsidRPr="00805BEB">
        <w:t xml:space="preserve"> In compliance with Commission regulations in 18 CFR 35.14</w:t>
      </w:r>
    </w:p>
  </w:footnote>
  <w:footnote w:id="2">
    <w:p w14:paraId="7EF64C5B" w14:textId="77777777" w:rsidR="009D6B4D" w:rsidRPr="00805BEB" w:rsidRDefault="009D6B4D" w:rsidP="009D6B4D">
      <w:pPr>
        <w:pStyle w:val="FootnoteText"/>
      </w:pPr>
      <w:r w:rsidRPr="00805BEB">
        <w:rPr>
          <w:rStyle w:val="FootnoteReference"/>
          <w:vertAlign w:val="superscript"/>
        </w:rPr>
        <w:footnoteRef/>
      </w:r>
      <w:r w:rsidRPr="00805BEB">
        <w:t xml:space="preserve"> “Electronic Filing of Documents,” Order No. 619, 65 FR 57088 (Sept. 21, 2000), FERC Stats. &amp; Regs. ¶ 31,107 (2000).</w:t>
      </w:r>
    </w:p>
  </w:footnote>
  <w:footnote w:id="3">
    <w:p w14:paraId="0B6EDC20" w14:textId="5F64E1BB" w:rsidR="00BA032B" w:rsidRDefault="00BA032B">
      <w:pPr>
        <w:pStyle w:val="FootnoteText"/>
      </w:pPr>
      <w:r w:rsidRPr="000B6FDE">
        <w:rPr>
          <w:rStyle w:val="FootnoteReference"/>
          <w:vertAlign w:val="superscript"/>
        </w:rPr>
        <w:footnoteRef/>
      </w:r>
      <w:r>
        <w:t xml:space="preserve"> </w:t>
      </w:r>
      <w:r w:rsidR="000F2F0F">
        <w:t>I</w:t>
      </w:r>
      <w:r w:rsidR="000F2F0F">
        <w:t>n 2014</w:t>
      </w:r>
      <w:r w:rsidRPr="00C1285A">
        <w:t>, the Commission</w:t>
      </w:r>
      <w:r>
        <w:t xml:space="preserve"> made</w:t>
      </w:r>
      <w:r w:rsidRPr="00C1285A">
        <w:t xml:space="preserve"> some adjustments to the form to support information entry and analysis</w:t>
      </w:r>
      <w:r w:rsidR="000F2F0F" w:rsidRPr="000F2F0F">
        <w:t xml:space="preserve"> </w:t>
      </w:r>
      <w:r w:rsidR="000F2F0F">
        <w:t>a</w:t>
      </w:r>
      <w:r w:rsidR="000F2F0F" w:rsidRPr="00C1285A">
        <w:t xml:space="preserve">s a result of comments from utilities during </w:t>
      </w:r>
      <w:r w:rsidR="000F2F0F">
        <w:t xml:space="preserve">the last information collection request (ICR No. </w:t>
      </w:r>
      <w:r w:rsidR="000F2F0F" w:rsidRPr="00BA032B">
        <w:t>201407-1902-001</w:t>
      </w:r>
      <w:r w:rsidR="000F2F0F">
        <w:t>)</w:t>
      </w:r>
      <w:r w:rsidRPr="00C1285A">
        <w:t>.</w:t>
      </w:r>
      <w:r w:rsidR="00A054B7">
        <w:t xml:space="preserve"> Only administrative changes are made to the form in this </w:t>
      </w:r>
      <w:r w:rsidR="000F2F0F">
        <w:t>request.</w:t>
      </w:r>
    </w:p>
  </w:footnote>
  <w:footnote w:id="4">
    <w:p w14:paraId="18216F1D" w14:textId="02A5ECAC" w:rsidR="00BB6095" w:rsidRPr="00805BEB" w:rsidRDefault="00BB6095" w:rsidP="00BB6095">
      <w:pPr>
        <w:pStyle w:val="FootnoteText"/>
      </w:pPr>
      <w:r w:rsidRPr="00805BEB">
        <w:rPr>
          <w:rStyle w:val="FootnoteReference"/>
          <w:vertAlign w:val="superscript"/>
        </w:rPr>
        <w:footnoteRef/>
      </w:r>
      <w:r w:rsidRPr="00805BEB">
        <w:rPr>
          <w:vertAlign w:val="superscript"/>
        </w:rPr>
        <w:t xml:space="preserve"> </w:t>
      </w:r>
      <w:r w:rsidR="00CB3EA0" w:rsidRPr="00805BEB">
        <w:t>81</w:t>
      </w:r>
      <w:r w:rsidRPr="00805BEB">
        <w:t xml:space="preserve"> FR </w:t>
      </w:r>
      <w:r w:rsidR="006A19F2" w:rsidRPr="00805BEB">
        <w:t>38169</w:t>
      </w:r>
    </w:p>
  </w:footnote>
  <w:footnote w:id="5">
    <w:p w14:paraId="55B071AB" w14:textId="6B52A672" w:rsidR="00BB6095" w:rsidRPr="00805BEB" w:rsidRDefault="00BB6095" w:rsidP="00BB6095">
      <w:pPr>
        <w:pStyle w:val="FootnoteText"/>
      </w:pPr>
      <w:r w:rsidRPr="00A054B7">
        <w:rPr>
          <w:rStyle w:val="FootnoteReference"/>
          <w:vertAlign w:val="superscript"/>
        </w:rPr>
        <w:footnoteRef/>
      </w:r>
      <w:r w:rsidRPr="00A054B7">
        <w:rPr>
          <w:vertAlign w:val="superscript"/>
        </w:rPr>
        <w:t xml:space="preserve"> </w:t>
      </w:r>
      <w:r w:rsidR="00CB3EA0" w:rsidRPr="00A054B7">
        <w:t xml:space="preserve">81 FR </w:t>
      </w:r>
      <w:r w:rsidR="00E82878" w:rsidRPr="00A054B7">
        <w:t>6</w:t>
      </w:r>
      <w:r w:rsidR="000B6FDE" w:rsidRPr="00A054B7">
        <w:t>2112</w:t>
      </w:r>
    </w:p>
  </w:footnote>
  <w:footnote w:id="6">
    <w:p w14:paraId="7114B6D2" w14:textId="77777777" w:rsidR="006A19F2" w:rsidRPr="00805BEB" w:rsidRDefault="006A19F2" w:rsidP="006A19F2">
      <w:pPr>
        <w:pStyle w:val="FootnoteText"/>
      </w:pPr>
      <w:r w:rsidRPr="00805BEB">
        <w:rPr>
          <w:rStyle w:val="FootnoteReference"/>
        </w:rPr>
        <w:footnoteRef/>
      </w:r>
      <w:r w:rsidRPr="00805BEB">
        <w:t xml:space="preserve"> The estimates for cost per response are derived using the 2016 FERC average salary plus benefits of $154,647/year (or $74.50/hour). Commission staff finds that the work done for this information collection is typically done by wage categories similar to those at FERC.</w:t>
      </w:r>
    </w:p>
  </w:footnote>
  <w:footnote w:id="7">
    <w:p w14:paraId="758C714B" w14:textId="04A1C37D" w:rsidR="00EF40FF" w:rsidRPr="00805BEB" w:rsidRDefault="00EF40FF" w:rsidP="00EF40FF">
      <w:pPr>
        <w:rPr>
          <w:sz w:val="20"/>
          <w:szCs w:val="20"/>
        </w:rPr>
      </w:pPr>
      <w:r w:rsidRPr="00805BEB">
        <w:rPr>
          <w:rStyle w:val="FootnoteReference"/>
          <w:sz w:val="20"/>
          <w:szCs w:val="20"/>
          <w:vertAlign w:val="superscript"/>
        </w:rPr>
        <w:footnoteRef/>
      </w:r>
      <w:r w:rsidRPr="00805BEB">
        <w:rPr>
          <w:sz w:val="20"/>
          <w:szCs w:val="20"/>
        </w:rPr>
        <w:t xml:space="preserve"> Based </w:t>
      </w:r>
      <w:r w:rsidRPr="000B6FDE">
        <w:rPr>
          <w:sz w:val="20"/>
          <w:szCs w:val="20"/>
        </w:rPr>
        <w:t>upon 201</w:t>
      </w:r>
      <w:r w:rsidR="000B6FDE" w:rsidRPr="000B6FDE">
        <w:rPr>
          <w:sz w:val="20"/>
          <w:szCs w:val="20"/>
        </w:rPr>
        <w:t>6</w:t>
      </w:r>
      <w:r w:rsidRPr="000B6FDE">
        <w:rPr>
          <w:sz w:val="20"/>
          <w:szCs w:val="20"/>
        </w:rPr>
        <w:t xml:space="preserve"> </w:t>
      </w:r>
      <w:r w:rsidR="00EB414E" w:rsidRPr="000B6FDE">
        <w:rPr>
          <w:sz w:val="20"/>
          <w:szCs w:val="20"/>
        </w:rPr>
        <w:t xml:space="preserve">FERC </w:t>
      </w:r>
      <w:r w:rsidRPr="000B6FDE">
        <w:rPr>
          <w:sz w:val="20"/>
          <w:szCs w:val="20"/>
        </w:rPr>
        <w:t xml:space="preserve">FTE average </w:t>
      </w:r>
      <w:r w:rsidR="00ED3A92" w:rsidRPr="000B6FDE">
        <w:rPr>
          <w:sz w:val="20"/>
          <w:szCs w:val="20"/>
        </w:rPr>
        <w:t xml:space="preserve">annual </w:t>
      </w:r>
      <w:r w:rsidRPr="000B6FDE">
        <w:rPr>
          <w:sz w:val="20"/>
          <w:szCs w:val="20"/>
        </w:rPr>
        <w:t>salary plus benefits ($1</w:t>
      </w:r>
      <w:r w:rsidR="000B6FDE" w:rsidRPr="000B6FDE">
        <w:rPr>
          <w:sz w:val="20"/>
          <w:szCs w:val="20"/>
        </w:rPr>
        <w:t>54,647</w:t>
      </w:r>
      <w:r w:rsidRPr="000B6FDE">
        <w:rPr>
          <w:sz w:val="20"/>
          <w:szCs w:val="20"/>
        </w:rPr>
        <w:t>).</w:t>
      </w:r>
    </w:p>
  </w:footnote>
  <w:footnote w:id="8">
    <w:p w14:paraId="27E34FC5" w14:textId="77777777" w:rsidR="00EF40FF" w:rsidRPr="00805BEB" w:rsidRDefault="00EF40FF" w:rsidP="00EF40FF">
      <w:pPr>
        <w:pStyle w:val="FootnoteText"/>
      </w:pPr>
      <w:r w:rsidRPr="00805BEB">
        <w:rPr>
          <w:rStyle w:val="FootnoteReference"/>
          <w:vertAlign w:val="superscript"/>
        </w:rPr>
        <w:footnoteRef/>
      </w:r>
      <w:r w:rsidRPr="00805BEB">
        <w:rPr>
          <w:vertAlign w:val="superscript"/>
        </w:rPr>
        <w:t xml:space="preserve"> </w:t>
      </w:r>
      <w:r w:rsidRPr="00805BEB">
        <w:t>Paperwork Reduction Act of 1995 (PRA).</w:t>
      </w:r>
    </w:p>
  </w:footnote>
  <w:footnote w:id="9">
    <w:p w14:paraId="5678066A" w14:textId="0C79C1DC" w:rsidR="00EF40FF" w:rsidRPr="00805BEB" w:rsidRDefault="00EF40FF" w:rsidP="00EF40FF">
      <w:pPr>
        <w:pStyle w:val="FootnoteText"/>
      </w:pPr>
      <w:r w:rsidRPr="00805BEB">
        <w:rPr>
          <w:rStyle w:val="FootnoteReference"/>
          <w:vertAlign w:val="superscript"/>
        </w:rPr>
        <w:footnoteRef/>
      </w:r>
      <w:r w:rsidRPr="00805BEB">
        <w:rPr>
          <w:vertAlign w:val="superscript"/>
        </w:rPr>
        <w:t xml:space="preserve"> </w:t>
      </w:r>
      <w:r w:rsidR="00860C58" w:rsidRPr="00805BEB">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0">
    <w:p w14:paraId="2967C3D8" w14:textId="16FE2824" w:rsidR="00EB35DB" w:rsidRDefault="00EB35DB">
      <w:pPr>
        <w:pStyle w:val="FootnoteText"/>
      </w:pPr>
      <w:r w:rsidRPr="000B6FDE">
        <w:rPr>
          <w:rStyle w:val="FootnoteReference"/>
          <w:vertAlign w:val="superscript"/>
        </w:rPr>
        <w:footnoteRef/>
      </w:r>
      <w:r>
        <w:t xml:space="preserve"> Both versions of the FERC Form 580 can be found at </w:t>
      </w:r>
      <w:hyperlink r:id="rId1" w:anchor="580" w:history="1">
        <w:r w:rsidRPr="00D047F7">
          <w:rPr>
            <w:rStyle w:val="Hyperlink"/>
          </w:rPr>
          <w:t>http://www.ferc.gov/docs-filing/forms.asp#580</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4FED36DB" w:rsidR="003A5BA7" w:rsidRDefault="009D6B4D">
    <w:pPr>
      <w:pStyle w:val="Header"/>
    </w:pPr>
    <w:r>
      <w:t>FERC Form 580</w:t>
    </w:r>
    <w:r w:rsidR="00703122">
      <w:t xml:space="preserve"> (OMB </w:t>
    </w:r>
    <w:r>
      <w:t>Control No. 1902-0137</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8B7"/>
    <w:rsid w:val="00036A31"/>
    <w:rsid w:val="000806CF"/>
    <w:rsid w:val="000969B5"/>
    <w:rsid w:val="000B6FDE"/>
    <w:rsid w:val="000C5C56"/>
    <w:rsid w:val="000F2F0F"/>
    <w:rsid w:val="000F53A6"/>
    <w:rsid w:val="001352B5"/>
    <w:rsid w:val="00135B06"/>
    <w:rsid w:val="00147917"/>
    <w:rsid w:val="00157D33"/>
    <w:rsid w:val="001718FA"/>
    <w:rsid w:val="00181B4A"/>
    <w:rsid w:val="001922FC"/>
    <w:rsid w:val="00192A85"/>
    <w:rsid w:val="001A07E0"/>
    <w:rsid w:val="001B1350"/>
    <w:rsid w:val="001B6647"/>
    <w:rsid w:val="001C042A"/>
    <w:rsid w:val="001C68DA"/>
    <w:rsid w:val="001D2EC1"/>
    <w:rsid w:val="001E053A"/>
    <w:rsid w:val="001E6D2B"/>
    <w:rsid w:val="001F3ADE"/>
    <w:rsid w:val="001F42E7"/>
    <w:rsid w:val="001F60CC"/>
    <w:rsid w:val="001F703D"/>
    <w:rsid w:val="002000AA"/>
    <w:rsid w:val="002142A2"/>
    <w:rsid w:val="0024137A"/>
    <w:rsid w:val="002565F8"/>
    <w:rsid w:val="00267F92"/>
    <w:rsid w:val="002766FC"/>
    <w:rsid w:val="00295C38"/>
    <w:rsid w:val="002A2B8E"/>
    <w:rsid w:val="002D5138"/>
    <w:rsid w:val="00307F28"/>
    <w:rsid w:val="0032225E"/>
    <w:rsid w:val="0034285E"/>
    <w:rsid w:val="003431A7"/>
    <w:rsid w:val="0035481D"/>
    <w:rsid w:val="003A4AD2"/>
    <w:rsid w:val="003B7DB9"/>
    <w:rsid w:val="003C429A"/>
    <w:rsid w:val="00426B6E"/>
    <w:rsid w:val="00432DA3"/>
    <w:rsid w:val="004445CE"/>
    <w:rsid w:val="004472EB"/>
    <w:rsid w:val="00454D32"/>
    <w:rsid w:val="0045583E"/>
    <w:rsid w:val="004B0930"/>
    <w:rsid w:val="004D1983"/>
    <w:rsid w:val="004D6DEB"/>
    <w:rsid w:val="005240A1"/>
    <w:rsid w:val="00545B62"/>
    <w:rsid w:val="00560503"/>
    <w:rsid w:val="00571A5F"/>
    <w:rsid w:val="00592E82"/>
    <w:rsid w:val="00593CC7"/>
    <w:rsid w:val="005C5DE2"/>
    <w:rsid w:val="005C6866"/>
    <w:rsid w:val="005C6964"/>
    <w:rsid w:val="005D6791"/>
    <w:rsid w:val="005F62ED"/>
    <w:rsid w:val="0069414A"/>
    <w:rsid w:val="00694EA4"/>
    <w:rsid w:val="006A19F2"/>
    <w:rsid w:val="006A1A2E"/>
    <w:rsid w:val="006A6928"/>
    <w:rsid w:val="006C0F70"/>
    <w:rsid w:val="006C1E96"/>
    <w:rsid w:val="00703122"/>
    <w:rsid w:val="0070677C"/>
    <w:rsid w:val="0075420C"/>
    <w:rsid w:val="007605FE"/>
    <w:rsid w:val="00761887"/>
    <w:rsid w:val="007625CD"/>
    <w:rsid w:val="00790DB8"/>
    <w:rsid w:val="007A1A3D"/>
    <w:rsid w:val="00803D8D"/>
    <w:rsid w:val="00805BEB"/>
    <w:rsid w:val="00851D29"/>
    <w:rsid w:val="00860C58"/>
    <w:rsid w:val="00867774"/>
    <w:rsid w:val="008704D0"/>
    <w:rsid w:val="00870A54"/>
    <w:rsid w:val="00891C89"/>
    <w:rsid w:val="00893289"/>
    <w:rsid w:val="0089369D"/>
    <w:rsid w:val="008A38B5"/>
    <w:rsid w:val="008B1A17"/>
    <w:rsid w:val="008B5679"/>
    <w:rsid w:val="008D1874"/>
    <w:rsid w:val="00907A71"/>
    <w:rsid w:val="0091154B"/>
    <w:rsid w:val="00931669"/>
    <w:rsid w:val="00933292"/>
    <w:rsid w:val="00957DA2"/>
    <w:rsid w:val="00980E8E"/>
    <w:rsid w:val="009B263A"/>
    <w:rsid w:val="009C3A34"/>
    <w:rsid w:val="009D6B4D"/>
    <w:rsid w:val="009D6B6D"/>
    <w:rsid w:val="009F026D"/>
    <w:rsid w:val="00A054B7"/>
    <w:rsid w:val="00A75D13"/>
    <w:rsid w:val="00A94615"/>
    <w:rsid w:val="00AA3F59"/>
    <w:rsid w:val="00AB6239"/>
    <w:rsid w:val="00AC0958"/>
    <w:rsid w:val="00AC1FB6"/>
    <w:rsid w:val="00AD0D8A"/>
    <w:rsid w:val="00B13159"/>
    <w:rsid w:val="00B4017A"/>
    <w:rsid w:val="00B61F02"/>
    <w:rsid w:val="00B97B43"/>
    <w:rsid w:val="00BA032B"/>
    <w:rsid w:val="00BA118E"/>
    <w:rsid w:val="00BB6095"/>
    <w:rsid w:val="00BC5BC5"/>
    <w:rsid w:val="00BD4039"/>
    <w:rsid w:val="00BF493B"/>
    <w:rsid w:val="00C12DC0"/>
    <w:rsid w:val="00C3086A"/>
    <w:rsid w:val="00C33FDE"/>
    <w:rsid w:val="00C46B04"/>
    <w:rsid w:val="00C651D2"/>
    <w:rsid w:val="00C7666C"/>
    <w:rsid w:val="00C909A2"/>
    <w:rsid w:val="00C95C95"/>
    <w:rsid w:val="00C97FEE"/>
    <w:rsid w:val="00CA5AF7"/>
    <w:rsid w:val="00CB3EA0"/>
    <w:rsid w:val="00CC615D"/>
    <w:rsid w:val="00CF1510"/>
    <w:rsid w:val="00D00D07"/>
    <w:rsid w:val="00D05C1E"/>
    <w:rsid w:val="00D26BE1"/>
    <w:rsid w:val="00D44F46"/>
    <w:rsid w:val="00D9097D"/>
    <w:rsid w:val="00D93813"/>
    <w:rsid w:val="00DA07FD"/>
    <w:rsid w:val="00DA4553"/>
    <w:rsid w:val="00DE0C3A"/>
    <w:rsid w:val="00E138E1"/>
    <w:rsid w:val="00E32773"/>
    <w:rsid w:val="00E355FA"/>
    <w:rsid w:val="00E40D6E"/>
    <w:rsid w:val="00E46B67"/>
    <w:rsid w:val="00E76211"/>
    <w:rsid w:val="00E82878"/>
    <w:rsid w:val="00E82BDC"/>
    <w:rsid w:val="00EA026E"/>
    <w:rsid w:val="00EB052D"/>
    <w:rsid w:val="00EB35DB"/>
    <w:rsid w:val="00EB414E"/>
    <w:rsid w:val="00ED3A92"/>
    <w:rsid w:val="00EE60E1"/>
    <w:rsid w:val="00EF40FF"/>
    <w:rsid w:val="00F0545E"/>
    <w:rsid w:val="00F14D3D"/>
    <w:rsid w:val="00F205D2"/>
    <w:rsid w:val="00F3663C"/>
    <w:rsid w:val="00F528CE"/>
    <w:rsid w:val="00F620F6"/>
    <w:rsid w:val="00F87D78"/>
    <w:rsid w:val="00FA33AC"/>
    <w:rsid w:val="00FB17C1"/>
    <w:rsid w:val="00FC7C5C"/>
    <w:rsid w:val="00FE62B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D5F0AE0"/>
  <w15:docId w15:val="{8E25631E-C822-4ED0-8F99-AEAA4C07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2016-10-13T00:00:00-04:00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IC16-11</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31AC678A-27A8-4A1F-8D0C-B3A31E55376D}">
  <ds:schemaRefs>
    <ds:schemaRef ds:uri="http://schemas.openxmlformats.org/package/2006/metadata/core-properties"/>
    <ds:schemaRef ds:uri="http://purl.org/dc/elements/1.1/"/>
    <ds:schemaRef ds:uri="http://www.w3.org/XML/1998/namespace"/>
    <ds:schemaRef ds:uri="http://schemas.microsoft.com/office/2006/metadata/properties"/>
    <ds:schemaRef ds:uri="d6eefc7d-9817-4fa6-84d5-3bc009be21b8"/>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9E7EB-B748-407A-8565-62E9F7DD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FERC-580 supporting statement FINAL</vt:lpstr>
    </vt:vector>
  </TitlesOfParts>
  <Company>Federal Energy Regulatory Commission</Company>
  <LinksUpToDate>false</LinksUpToDate>
  <CharactersWithSpaces>18541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FERC-580 supporting statement FINAL</dc:title>
  <dc:creator>Nishi Parekh</dc:creator>
  <cp:lastModifiedBy>Anthony May</cp:lastModifiedBy>
  <cp:revision>3</cp:revision>
  <cp:lastPrinted>2015-11-12T19:39:00Z</cp:lastPrinted>
  <dcterms:created xsi:type="dcterms:W3CDTF">2016-10-13T14:58:00Z</dcterms:created>
  <dcterms:modified xsi:type="dcterms:W3CDTF">2016-10-13T15:01:00Z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