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7FB" w:rsidRDefault="006227FB" w:rsidP="006227FB">
      <w:pPr>
        <w:ind w:firstLine="720"/>
        <w:rPr>
          <w:b/>
          <w:bCs/>
        </w:rPr>
      </w:pPr>
      <w:r>
        <w:rPr>
          <w:szCs w:val="24"/>
        </w:rPr>
        <w:t xml:space="preserve">This nonmaterial change is being made pursuant to a final rule titled “Economic Growth and Regulatory Paperwork Reduction Act of 1996 Amendments.”  </w:t>
      </w:r>
      <w:r>
        <w:t xml:space="preserve">Twelve CFR 9.18(b)(1) has been revised to replace the requirement that a national bank make a copy of any collective investment fund plan available for public inspection at its main office with the requirement that the plan could instead be available to the public on its Web site.  </w:t>
      </w:r>
    </w:p>
    <w:p w:rsidR="006227FB" w:rsidRDefault="006227FB" w:rsidP="006227FB">
      <w:pPr>
        <w:rPr>
          <w:b/>
          <w:bCs/>
        </w:rPr>
      </w:pPr>
    </w:p>
    <w:p w:rsidR="00232AAF" w:rsidRDefault="005C5A01">
      <w:r>
        <w:t>82 FR 8082 (1/23/17).</w:t>
      </w:r>
      <w:bookmarkStart w:id="0" w:name="_GoBack"/>
      <w:bookmarkEnd w:id="0"/>
    </w:p>
    <w:sectPr w:rsidR="00232AA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7FB"/>
    <w:rsid w:val="00232AAF"/>
    <w:rsid w:val="005C5A01"/>
    <w:rsid w:val="006227FB"/>
    <w:rsid w:val="00B37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00AC5B-6F37-4EDF-808A-6C0AF4263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7F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03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mary.gottlieb</dc:creator>
  <cp:keywords/>
  <dc:description/>
  <cp:lastModifiedBy>mary.gottlieb</cp:lastModifiedBy>
  <cp:revision>2</cp:revision>
  <dcterms:created xsi:type="dcterms:W3CDTF">2017-01-23T13:04:00Z</dcterms:created>
  <dcterms:modified xsi:type="dcterms:W3CDTF">2017-01-23T13:05:00Z</dcterms:modified>
</cp:coreProperties>
</file>