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B2B" w:rsidRPr="002B2B2B" w:rsidRDefault="002B2B2B" w:rsidP="002B2B2B">
      <w:pPr>
        <w:tabs>
          <w:tab w:val="center" w:pos="4680"/>
        </w:tabs>
        <w:spacing w:line="240" w:lineRule="auto"/>
        <w:jc w:val="center"/>
        <w:rPr>
          <w:b/>
        </w:rPr>
      </w:pPr>
      <w:r w:rsidRPr="002B2B2B">
        <w:rPr>
          <w:b/>
        </w:rPr>
        <w:t>Supporting Statement</w:t>
      </w:r>
    </w:p>
    <w:p w:rsidR="002B2B2B" w:rsidRPr="002B2B2B" w:rsidRDefault="002B2B2B" w:rsidP="002B2B2B">
      <w:pPr>
        <w:spacing w:line="240" w:lineRule="auto"/>
        <w:jc w:val="center"/>
        <w:rPr>
          <w:b/>
        </w:rPr>
      </w:pPr>
      <w:r w:rsidRPr="002B2B2B">
        <w:rPr>
          <w:b/>
        </w:rPr>
        <w:t>Mandatory Contractual Stay Requirements for Qualified Financial Contracts</w:t>
      </w:r>
    </w:p>
    <w:p w:rsidR="002B2B2B" w:rsidRPr="00C9543C" w:rsidRDefault="002B2B2B" w:rsidP="002B2B2B">
      <w:pPr>
        <w:spacing w:line="240" w:lineRule="auto"/>
        <w:jc w:val="center"/>
      </w:pPr>
      <w:r>
        <w:rPr>
          <w:b/>
        </w:rPr>
        <w:t>OMB Control No. 1557-NEW</w:t>
      </w:r>
    </w:p>
    <w:p w:rsidR="002B2B2B" w:rsidRPr="00C9543C" w:rsidRDefault="002B2B2B" w:rsidP="002B2B2B">
      <w:pPr>
        <w:spacing w:line="240" w:lineRule="auto"/>
      </w:pPr>
    </w:p>
    <w:p w:rsidR="002B2B2B" w:rsidRPr="00C9543C" w:rsidRDefault="002B2B2B" w:rsidP="002B2B2B">
      <w:pPr>
        <w:spacing w:line="240" w:lineRule="auto"/>
      </w:pPr>
    </w:p>
    <w:p w:rsidR="002B2B2B" w:rsidRPr="00BD79E3" w:rsidRDefault="002B2B2B" w:rsidP="002B2B2B">
      <w:pPr>
        <w:spacing w:line="240" w:lineRule="auto"/>
        <w:rPr>
          <w:b/>
        </w:rPr>
      </w:pPr>
      <w:r w:rsidRPr="00BD79E3">
        <w:rPr>
          <w:b/>
        </w:rPr>
        <w:t>A.</w:t>
      </w:r>
      <w:r w:rsidRPr="00BD79E3">
        <w:rPr>
          <w:b/>
        </w:rPr>
        <w:tab/>
      </w:r>
      <w:r w:rsidRPr="00BD79E3">
        <w:rPr>
          <w:b/>
          <w:u w:val="single"/>
        </w:rPr>
        <w:t>Justification.</w:t>
      </w:r>
    </w:p>
    <w:p w:rsidR="002B2B2B" w:rsidRPr="00C9543C" w:rsidRDefault="002B2B2B" w:rsidP="002B2B2B">
      <w:pPr>
        <w:spacing w:line="240" w:lineRule="auto"/>
      </w:pPr>
    </w:p>
    <w:p w:rsidR="002B2B2B" w:rsidRPr="002B2B2B" w:rsidRDefault="002B2B2B" w:rsidP="002B2B2B">
      <w:pPr>
        <w:pStyle w:val="ListParagraph"/>
        <w:numPr>
          <w:ilvl w:val="0"/>
          <w:numId w:val="1"/>
        </w:numPr>
        <w:spacing w:line="240" w:lineRule="auto"/>
        <w:rPr>
          <w:b/>
          <w:i/>
        </w:rPr>
      </w:pPr>
      <w:r w:rsidRPr="002B2B2B">
        <w:rPr>
          <w:b/>
          <w:i/>
        </w:rPr>
        <w:t>Circumstances that make the collection necessary:</w:t>
      </w:r>
    </w:p>
    <w:p w:rsidR="002B2B2B" w:rsidRPr="002B2B2B" w:rsidRDefault="002B2B2B" w:rsidP="002B2B2B">
      <w:pPr>
        <w:pStyle w:val="ListParagraph"/>
        <w:spacing w:line="240" w:lineRule="auto"/>
        <w:ind w:left="1080"/>
        <w:rPr>
          <w:b/>
          <w:i/>
        </w:rPr>
      </w:pPr>
    </w:p>
    <w:p w:rsidR="002B2B2B" w:rsidRDefault="002B2B2B" w:rsidP="002B2B2B">
      <w:pPr>
        <w:spacing w:line="240" w:lineRule="auto"/>
        <w:contextualSpacing/>
        <w:rPr>
          <w:rFonts w:eastAsia="Calibri"/>
        </w:rPr>
      </w:pPr>
      <w:r>
        <w:rPr>
          <w:rFonts w:eastAsia="Calibri"/>
        </w:rPr>
        <w:tab/>
        <w:t>Twelve CFR 47.</w:t>
      </w:r>
      <w:r w:rsidR="00055F8E">
        <w:rPr>
          <w:rFonts w:eastAsia="Calibri"/>
        </w:rPr>
        <w:t>6</w:t>
      </w:r>
      <w:r>
        <w:rPr>
          <w:rFonts w:eastAsia="Calibri"/>
        </w:rPr>
        <w:t xml:space="preserve"> provides that a covered bank</w:t>
      </w:r>
      <w:r w:rsidRPr="00623D3F">
        <w:rPr>
          <w:rFonts w:eastAsia="Calibri"/>
        </w:rPr>
        <w:t xml:space="preserve"> may request that the OCC approve as compliant with the requirements of section 47.</w:t>
      </w:r>
      <w:r w:rsidR="00055F8E">
        <w:rPr>
          <w:rFonts w:eastAsia="Calibri"/>
        </w:rPr>
        <w:t>5</w:t>
      </w:r>
      <w:r>
        <w:rPr>
          <w:rFonts w:eastAsia="Calibri"/>
        </w:rPr>
        <w:t>,</w:t>
      </w:r>
      <w:r w:rsidRPr="00623D3F">
        <w:rPr>
          <w:rFonts w:eastAsia="Calibri"/>
        </w:rPr>
        <w:t xml:space="preserve"> </w:t>
      </w:r>
      <w:r>
        <w:rPr>
          <w:rFonts w:eastAsia="Calibri"/>
        </w:rPr>
        <w:t>regarding insolvency proceedings,</w:t>
      </w:r>
      <w:r w:rsidRPr="00623D3F">
        <w:rPr>
          <w:rFonts w:eastAsia="Calibri"/>
        </w:rPr>
        <w:t xml:space="preserve"> provisions of one or more forms of covered </w:t>
      </w:r>
      <w:r w:rsidR="005369F6">
        <w:rPr>
          <w:rFonts w:eastAsia="Calibri"/>
        </w:rPr>
        <w:t>Qualified Financial Contracts (</w:t>
      </w:r>
      <w:r w:rsidRPr="00623D3F">
        <w:rPr>
          <w:rFonts w:eastAsia="Calibri"/>
        </w:rPr>
        <w:t>QFCs</w:t>
      </w:r>
      <w:r w:rsidR="005369F6">
        <w:rPr>
          <w:rFonts w:eastAsia="Calibri"/>
        </w:rPr>
        <w:t>)</w:t>
      </w:r>
      <w:r w:rsidRPr="00623D3F">
        <w:rPr>
          <w:rFonts w:eastAsia="Calibri"/>
        </w:rPr>
        <w:t xml:space="preserve">, or amendments to one or more forms of covered QFCs, with enhanced creditor protection conditions.  </w:t>
      </w:r>
      <w:r>
        <w:rPr>
          <w:rFonts w:eastAsia="Calibri"/>
        </w:rPr>
        <w:t>The request must include: (1) a</w:t>
      </w:r>
      <w:r w:rsidRPr="00623D3F">
        <w:rPr>
          <w:rFonts w:eastAsia="Calibri"/>
        </w:rPr>
        <w:t xml:space="preserve">n analysis of the proposal under each consideration of </w:t>
      </w:r>
      <w:r>
        <w:rPr>
          <w:rFonts w:eastAsia="Calibri"/>
        </w:rPr>
        <w:t>the relevance of creditor protection provisions</w:t>
      </w:r>
      <w:r w:rsidRPr="00623D3F">
        <w:rPr>
          <w:rFonts w:eastAsia="Calibri"/>
        </w:rPr>
        <w:t xml:space="preserve">; </w:t>
      </w:r>
      <w:r>
        <w:rPr>
          <w:rFonts w:eastAsia="Calibri"/>
        </w:rPr>
        <w:t>(2) a</w:t>
      </w:r>
      <w:r w:rsidRPr="00623D3F">
        <w:rPr>
          <w:rFonts w:eastAsia="Calibri"/>
        </w:rPr>
        <w:t xml:space="preserve"> written legal opinion verifying that proposed provisions or amendments would be valid and enforceable under applicable law of the relevant jurisdictions, including, in the case of proposed amendments, the validity and enforceability of the proposal to amend the covered QFCs; and </w:t>
      </w:r>
      <w:r>
        <w:rPr>
          <w:rFonts w:eastAsia="Calibri"/>
        </w:rPr>
        <w:t>(3) a</w:t>
      </w:r>
      <w:r w:rsidRPr="00623D3F">
        <w:rPr>
          <w:rFonts w:eastAsia="Calibri"/>
        </w:rPr>
        <w:t xml:space="preserve">ny additional information relevant to its approval that the OCC requests.  </w:t>
      </w:r>
    </w:p>
    <w:p w:rsidR="002B2B2B" w:rsidRDefault="002B2B2B" w:rsidP="002B2B2B">
      <w:pPr>
        <w:spacing w:line="240" w:lineRule="auto"/>
        <w:contextualSpacing/>
        <w:rPr>
          <w:rFonts w:eastAsia="Calibri"/>
        </w:rPr>
      </w:pPr>
    </w:p>
    <w:p w:rsidR="002B2B2B" w:rsidRPr="00623D3F" w:rsidRDefault="002B2B2B" w:rsidP="002B2B2B">
      <w:pPr>
        <w:spacing w:line="240" w:lineRule="auto"/>
        <w:contextualSpacing/>
        <w:rPr>
          <w:rFonts w:eastAsia="Calibri"/>
        </w:rPr>
      </w:pPr>
      <w:r>
        <w:rPr>
          <w:rFonts w:eastAsia="Calibri"/>
        </w:rPr>
        <w:tab/>
        <w:t xml:space="preserve">The </w:t>
      </w:r>
      <w:r w:rsidR="005369F6">
        <w:rPr>
          <w:rFonts w:eastAsia="Calibri"/>
        </w:rPr>
        <w:t>proposed rule</w:t>
      </w:r>
      <w:r>
        <w:rPr>
          <w:rFonts w:eastAsia="Calibri"/>
        </w:rPr>
        <w:t xml:space="preserve"> applies to </w:t>
      </w:r>
      <w:r w:rsidR="00D02DFD">
        <w:rPr>
          <w:rFonts w:eastAsia="Calibri"/>
        </w:rPr>
        <w:t xml:space="preserve">national </w:t>
      </w:r>
      <w:r>
        <w:t>b</w:t>
      </w:r>
      <w:r>
        <w:rPr>
          <w:rFonts w:ascii="Melior" w:hAnsi="Melior" w:cs="Melior"/>
        </w:rPr>
        <w:t>anks</w:t>
      </w:r>
      <w:r w:rsidR="00055F8E">
        <w:rPr>
          <w:rFonts w:ascii="Melior" w:hAnsi="Melior" w:cs="Melior"/>
        </w:rPr>
        <w:t xml:space="preserve"> or FSAs</w:t>
      </w:r>
      <w:r>
        <w:rPr>
          <w:rFonts w:ascii="Melior" w:hAnsi="Melior" w:cs="Melior"/>
        </w:rPr>
        <w:t xml:space="preserve"> (including any subsidiary) </w:t>
      </w:r>
      <w:r w:rsidRPr="00B9198E">
        <w:rPr>
          <w:rFonts w:ascii="Melior" w:hAnsi="Melior" w:cs="Melior"/>
        </w:rPr>
        <w:t>that</w:t>
      </w:r>
      <w:r>
        <w:rPr>
          <w:rFonts w:ascii="Melior" w:hAnsi="Melior" w:cs="Melior"/>
        </w:rPr>
        <w:t xml:space="preserve"> </w:t>
      </w:r>
      <w:r w:rsidR="00055F8E">
        <w:rPr>
          <w:rFonts w:ascii="Melior" w:hAnsi="Melior" w:cs="Melior"/>
        </w:rPr>
        <w:t xml:space="preserve">are subsidiaries of a global systemically important bank holding company that has been designated pursuant to </w:t>
      </w:r>
      <w:r w:rsidR="005369F6">
        <w:rPr>
          <w:rFonts w:ascii="Melior" w:hAnsi="Melior" w:cs="Melior"/>
        </w:rPr>
        <w:t xml:space="preserve">12 CFR </w:t>
      </w:r>
      <w:r w:rsidR="00055F8E">
        <w:rPr>
          <w:rFonts w:ascii="Melior" w:hAnsi="Melior" w:cs="Melior"/>
        </w:rPr>
        <w:t>252.82(a)(1) of the Federal Reserve Board’s Regulation YY</w:t>
      </w:r>
      <w:r w:rsidRPr="00B9198E">
        <w:rPr>
          <w:rFonts w:ascii="Melior" w:hAnsi="Melior" w:cs="Melior"/>
        </w:rPr>
        <w:t xml:space="preserve">; </w:t>
      </w:r>
      <w:r>
        <w:rPr>
          <w:rFonts w:ascii="Melior" w:hAnsi="Melior" w:cs="Melior"/>
        </w:rPr>
        <w:t>Banks</w:t>
      </w:r>
      <w:r w:rsidR="00055F8E">
        <w:rPr>
          <w:rFonts w:ascii="Melior" w:hAnsi="Melior" w:cs="Melior"/>
        </w:rPr>
        <w:t xml:space="preserve"> or FSAs (including any subsidiary)</w:t>
      </w:r>
      <w:r>
        <w:rPr>
          <w:rFonts w:ascii="Melior" w:hAnsi="Melior" w:cs="Melior"/>
        </w:rPr>
        <w:t xml:space="preserve"> that are subsidiaries</w:t>
      </w:r>
      <w:r w:rsidRPr="00B9198E">
        <w:rPr>
          <w:rFonts w:ascii="Melior" w:hAnsi="Melior" w:cs="Melior"/>
        </w:rPr>
        <w:t xml:space="preserve"> of a </w:t>
      </w:r>
      <w:r w:rsidR="00055F8E">
        <w:rPr>
          <w:rFonts w:ascii="Melior" w:hAnsi="Melior" w:cs="Melior"/>
        </w:rPr>
        <w:t xml:space="preserve">global systemically important foreign banking organization designated pursuant to </w:t>
      </w:r>
      <w:r w:rsidR="005369F6">
        <w:rPr>
          <w:rFonts w:ascii="Melior" w:hAnsi="Melior" w:cs="Melior"/>
        </w:rPr>
        <w:t>12 CFR</w:t>
      </w:r>
      <w:r w:rsidR="00055F8E">
        <w:rPr>
          <w:rFonts w:ascii="Melior" w:hAnsi="Melior" w:cs="Melior"/>
        </w:rPr>
        <w:t xml:space="preserve"> 252.87 of the Federal Reserve Board’s Regulation YY</w:t>
      </w:r>
      <w:r w:rsidRPr="00B9198E">
        <w:t xml:space="preserve">; </w:t>
      </w:r>
      <w:r>
        <w:t>and F</w:t>
      </w:r>
      <w:r w:rsidRPr="00B9198E">
        <w:t>ederal branch</w:t>
      </w:r>
      <w:r>
        <w:t xml:space="preserve">es and agencies (including any U.S. subsidiary of a </w:t>
      </w:r>
      <w:r w:rsidR="0044548F">
        <w:t>F</w:t>
      </w:r>
      <w:r>
        <w:t>ederal branch or agency)</w:t>
      </w:r>
      <w:r w:rsidRPr="00B9198E">
        <w:t xml:space="preserve"> of a </w:t>
      </w:r>
      <w:r w:rsidR="0044548F">
        <w:t xml:space="preserve">global systemically important </w:t>
      </w:r>
      <w:r w:rsidRPr="00B9198E">
        <w:t>foreign banking organization designated</w:t>
      </w:r>
      <w:r w:rsidR="007B6C87">
        <w:t xml:space="preserve"> pursuant to </w:t>
      </w:r>
      <w:bookmarkStart w:id="0" w:name="_GoBack"/>
      <w:bookmarkEnd w:id="0"/>
      <w:r w:rsidR="005369F6">
        <w:t xml:space="preserve">12 CFR </w:t>
      </w:r>
      <w:r w:rsidR="0044548F">
        <w:t>252.87 of the Federal Reserve Board’s Regulation</w:t>
      </w:r>
      <w:r w:rsidR="005369F6">
        <w:t xml:space="preserve"> YY</w:t>
      </w:r>
      <w:r w:rsidRPr="00B9198E">
        <w:t xml:space="preserve">. </w:t>
      </w:r>
      <w:r w:rsidRPr="00623D3F">
        <w:rPr>
          <w:rFonts w:eastAsia="Calibri"/>
        </w:rPr>
        <w:t xml:space="preserve"> </w:t>
      </w:r>
    </w:p>
    <w:p w:rsidR="002B2B2B" w:rsidRPr="00C9543C" w:rsidRDefault="002B2B2B" w:rsidP="002B2B2B">
      <w:pPr>
        <w:spacing w:line="240" w:lineRule="auto"/>
      </w:pPr>
    </w:p>
    <w:p w:rsidR="002B2B2B" w:rsidRPr="00BD79E3" w:rsidRDefault="002B2B2B" w:rsidP="002B2B2B">
      <w:pPr>
        <w:spacing w:line="240" w:lineRule="auto"/>
        <w:rPr>
          <w:b/>
          <w:i/>
        </w:rPr>
      </w:pPr>
      <w:r w:rsidRPr="00BD79E3">
        <w:rPr>
          <w:b/>
          <w:i/>
        </w:rPr>
        <w:t>2.</w:t>
      </w:r>
      <w:r w:rsidRPr="00BD79E3">
        <w:rPr>
          <w:b/>
          <w:i/>
        </w:rPr>
        <w:tab/>
        <w:t>Use of the information:</w:t>
      </w:r>
    </w:p>
    <w:p w:rsidR="00131173" w:rsidRDefault="00131173" w:rsidP="002B2B2B">
      <w:pPr>
        <w:spacing w:line="240" w:lineRule="auto"/>
        <w:rPr>
          <w:bCs/>
        </w:rPr>
      </w:pPr>
    </w:p>
    <w:p w:rsidR="002B2B2B" w:rsidRPr="00C9543C" w:rsidRDefault="00131173" w:rsidP="00131173">
      <w:pPr>
        <w:spacing w:line="240" w:lineRule="auto"/>
        <w:ind w:firstLine="720"/>
      </w:pPr>
      <w:r>
        <w:rPr>
          <w:bCs/>
        </w:rPr>
        <w:t xml:space="preserve">The </w:t>
      </w:r>
      <w:r w:rsidR="005369F6">
        <w:rPr>
          <w:bCs/>
        </w:rPr>
        <w:t>proposed rule</w:t>
      </w:r>
      <w:r>
        <w:rPr>
          <w:bCs/>
        </w:rPr>
        <w:t xml:space="preserve"> is intended to promote U.S. financial stability by enhancing the safety and soundness of the national banking system by mitigating potential negative impacts that could result from the disorderly resolution of certain systemically important national banks, Federal savings associations, Federal branches and agencies, and the subsidiaries of these entities.  </w:t>
      </w:r>
      <w:r w:rsidR="00D02DFD">
        <w:rPr>
          <w:bCs/>
        </w:rPr>
        <w:t xml:space="preserve">Specifically, the information collected under Section 47.6 is necessary to permit the OCC to determine which of the proposed alternative sets of credit protections would achieve the policy goals of this </w:t>
      </w:r>
      <w:r w:rsidR="005369F6">
        <w:rPr>
          <w:bCs/>
        </w:rPr>
        <w:t>proposed rule</w:t>
      </w:r>
      <w:r w:rsidR="00D02DFD">
        <w:rPr>
          <w:bCs/>
        </w:rPr>
        <w:t>.</w:t>
      </w:r>
    </w:p>
    <w:p w:rsidR="002B2B2B" w:rsidRPr="00C9543C" w:rsidRDefault="002B2B2B" w:rsidP="002B2B2B">
      <w:pPr>
        <w:spacing w:line="240" w:lineRule="auto"/>
      </w:pPr>
      <w:r>
        <w:t xml:space="preserve"> </w:t>
      </w:r>
    </w:p>
    <w:p w:rsidR="002B2B2B" w:rsidRPr="00BD79E3" w:rsidRDefault="002B2B2B" w:rsidP="002B2B2B">
      <w:pPr>
        <w:spacing w:line="240" w:lineRule="auto"/>
        <w:rPr>
          <w:b/>
          <w:i/>
        </w:rPr>
      </w:pPr>
      <w:r w:rsidRPr="00BD79E3">
        <w:rPr>
          <w:b/>
          <w:i/>
        </w:rPr>
        <w:t>3.</w:t>
      </w:r>
      <w:r w:rsidRPr="00BD79E3">
        <w:rPr>
          <w:b/>
          <w:i/>
        </w:rPr>
        <w:tab/>
        <w:t>Consideration of the use of improved information technology:</w:t>
      </w:r>
    </w:p>
    <w:p w:rsidR="002B2B2B" w:rsidRPr="00C9543C" w:rsidRDefault="002B2B2B" w:rsidP="002B2B2B">
      <w:pPr>
        <w:spacing w:line="240" w:lineRule="auto"/>
      </w:pPr>
    </w:p>
    <w:p w:rsidR="002B2B2B" w:rsidRDefault="00774CCA" w:rsidP="002B2B2B">
      <w:pPr>
        <w:spacing w:line="240" w:lineRule="auto"/>
      </w:pPr>
      <w:r>
        <w:tab/>
        <w:t>Any information technology that allows respondents to meet the requirements of the collection may be used.</w:t>
      </w:r>
    </w:p>
    <w:p w:rsidR="00774CCA" w:rsidRPr="00C9543C" w:rsidRDefault="00774CCA" w:rsidP="002B2B2B">
      <w:pPr>
        <w:spacing w:line="240" w:lineRule="auto"/>
      </w:pPr>
    </w:p>
    <w:p w:rsidR="00A366C4" w:rsidRDefault="00A366C4" w:rsidP="002B2B2B">
      <w:pPr>
        <w:spacing w:line="240" w:lineRule="auto"/>
        <w:rPr>
          <w:b/>
          <w:i/>
        </w:rPr>
      </w:pPr>
    </w:p>
    <w:p w:rsidR="002B2B2B" w:rsidRPr="00BD79E3" w:rsidRDefault="002B2B2B" w:rsidP="002B2B2B">
      <w:pPr>
        <w:spacing w:line="240" w:lineRule="auto"/>
        <w:rPr>
          <w:b/>
          <w:i/>
        </w:rPr>
      </w:pPr>
      <w:r w:rsidRPr="00BD79E3">
        <w:rPr>
          <w:b/>
          <w:i/>
        </w:rPr>
        <w:t>4.</w:t>
      </w:r>
      <w:r w:rsidRPr="00BD79E3">
        <w:rPr>
          <w:b/>
          <w:i/>
        </w:rPr>
        <w:tab/>
        <w:t>Efforts to identify duplication:</w:t>
      </w:r>
    </w:p>
    <w:p w:rsidR="002B2B2B" w:rsidRPr="00C9543C" w:rsidRDefault="002B2B2B" w:rsidP="002B2B2B">
      <w:pPr>
        <w:spacing w:line="240" w:lineRule="auto"/>
      </w:pPr>
    </w:p>
    <w:p w:rsidR="002B2B2B" w:rsidRPr="00C9543C" w:rsidRDefault="002B2B2B" w:rsidP="002B2B2B">
      <w:pPr>
        <w:spacing w:line="240" w:lineRule="auto"/>
        <w:ind w:firstLine="720"/>
      </w:pPr>
      <w:r w:rsidRPr="00C9543C">
        <w:t>This information collection is unique and does not duplicate any other information already collected.</w:t>
      </w:r>
    </w:p>
    <w:p w:rsidR="002B2B2B" w:rsidRPr="00C9543C" w:rsidRDefault="002B2B2B" w:rsidP="002B2B2B">
      <w:pPr>
        <w:tabs>
          <w:tab w:val="left" w:pos="-1440"/>
        </w:tabs>
        <w:spacing w:line="240" w:lineRule="auto"/>
      </w:pPr>
    </w:p>
    <w:p w:rsidR="002B2B2B" w:rsidRPr="00270181" w:rsidRDefault="002B2B2B" w:rsidP="002B2B2B">
      <w:pPr>
        <w:pStyle w:val="BodyText"/>
        <w:ind w:right="270"/>
        <w:rPr>
          <w:rFonts w:ascii="Times New Roman" w:hAnsi="Times New Roman"/>
          <w:b/>
          <w:i/>
          <w:color w:val="auto"/>
        </w:rPr>
      </w:pPr>
      <w:r w:rsidRPr="00270181">
        <w:rPr>
          <w:rFonts w:ascii="Times New Roman" w:hAnsi="Times New Roman"/>
          <w:b/>
          <w:bCs/>
          <w:i/>
          <w:iCs/>
          <w:color w:val="auto"/>
        </w:rPr>
        <w:t>5.</w:t>
      </w:r>
      <w:r w:rsidRPr="00270181">
        <w:rPr>
          <w:rFonts w:ascii="Times New Roman" w:hAnsi="Times New Roman"/>
          <w:b/>
          <w:bCs/>
          <w:i/>
          <w:iCs/>
          <w:color w:val="auto"/>
        </w:rPr>
        <w:tab/>
      </w:r>
      <w:r w:rsidRPr="00270181">
        <w:rPr>
          <w:rFonts w:ascii="Times New Roman" w:hAnsi="Times New Roman"/>
          <w:b/>
          <w:i/>
          <w:color w:val="auto"/>
          <w:spacing w:val="-2"/>
        </w:rPr>
        <w:t>If</w:t>
      </w:r>
      <w:r w:rsidRPr="00270181">
        <w:rPr>
          <w:rFonts w:ascii="Times New Roman" w:hAnsi="Times New Roman"/>
          <w:b/>
          <w:i/>
          <w:color w:val="auto"/>
          <w:spacing w:val="-8"/>
        </w:rPr>
        <w:t xml:space="preserve"> </w:t>
      </w:r>
      <w:r w:rsidRPr="00270181">
        <w:rPr>
          <w:rFonts w:ascii="Times New Roman" w:hAnsi="Times New Roman"/>
          <w:b/>
          <w:i/>
          <w:color w:val="auto"/>
        </w:rPr>
        <w:t>the</w:t>
      </w:r>
      <w:r w:rsidRPr="00270181">
        <w:rPr>
          <w:rFonts w:ascii="Times New Roman" w:hAnsi="Times New Roman"/>
          <w:b/>
          <w:i/>
          <w:color w:val="auto"/>
          <w:spacing w:val="-7"/>
        </w:rPr>
        <w:t xml:space="preserve"> </w:t>
      </w:r>
      <w:r w:rsidRPr="00270181">
        <w:rPr>
          <w:rFonts w:ascii="Times New Roman" w:hAnsi="Times New Roman"/>
          <w:b/>
          <w:i/>
          <w:color w:val="auto"/>
          <w:spacing w:val="-1"/>
        </w:rPr>
        <w:t>collection</w:t>
      </w:r>
      <w:r w:rsidRPr="00270181">
        <w:rPr>
          <w:rFonts w:ascii="Times New Roman" w:hAnsi="Times New Roman"/>
          <w:b/>
          <w:i/>
          <w:color w:val="auto"/>
          <w:spacing w:val="-7"/>
        </w:rPr>
        <w:t xml:space="preserve"> </w:t>
      </w:r>
      <w:r w:rsidRPr="00270181">
        <w:rPr>
          <w:rFonts w:ascii="Times New Roman" w:hAnsi="Times New Roman"/>
          <w:b/>
          <w:i/>
          <w:color w:val="auto"/>
        </w:rPr>
        <w:t>of</w:t>
      </w:r>
      <w:r w:rsidRPr="00270181">
        <w:rPr>
          <w:rFonts w:ascii="Times New Roman" w:hAnsi="Times New Roman"/>
          <w:b/>
          <w:i/>
          <w:color w:val="auto"/>
          <w:spacing w:val="-8"/>
        </w:rPr>
        <w:t xml:space="preserve"> </w:t>
      </w:r>
      <w:r w:rsidRPr="00270181">
        <w:rPr>
          <w:rFonts w:ascii="Times New Roman" w:hAnsi="Times New Roman"/>
          <w:b/>
          <w:i/>
          <w:color w:val="auto"/>
          <w:spacing w:val="-1"/>
        </w:rPr>
        <w:t>information</w:t>
      </w:r>
      <w:r w:rsidRPr="00270181">
        <w:rPr>
          <w:rFonts w:ascii="Times New Roman" w:hAnsi="Times New Roman"/>
          <w:b/>
          <w:i/>
          <w:color w:val="auto"/>
          <w:spacing w:val="-7"/>
        </w:rPr>
        <w:t xml:space="preserve"> </w:t>
      </w:r>
      <w:r w:rsidRPr="00270181">
        <w:rPr>
          <w:rFonts w:ascii="Times New Roman" w:hAnsi="Times New Roman"/>
          <w:b/>
          <w:i/>
          <w:color w:val="auto"/>
          <w:spacing w:val="-1"/>
        </w:rPr>
        <w:t>impacts</w:t>
      </w:r>
      <w:r w:rsidRPr="00270181">
        <w:rPr>
          <w:rFonts w:ascii="Times New Roman" w:hAnsi="Times New Roman"/>
          <w:b/>
          <w:i/>
          <w:color w:val="auto"/>
          <w:spacing w:val="-6"/>
        </w:rPr>
        <w:t xml:space="preserve"> </w:t>
      </w:r>
      <w:r w:rsidRPr="00270181">
        <w:rPr>
          <w:rFonts w:ascii="Times New Roman" w:hAnsi="Times New Roman"/>
          <w:b/>
          <w:i/>
          <w:color w:val="auto"/>
          <w:spacing w:val="-1"/>
        </w:rPr>
        <w:t>small</w:t>
      </w:r>
      <w:r w:rsidRPr="00270181">
        <w:rPr>
          <w:rFonts w:ascii="Times New Roman" w:hAnsi="Times New Roman"/>
          <w:b/>
          <w:i/>
          <w:color w:val="auto"/>
          <w:spacing w:val="-7"/>
        </w:rPr>
        <w:t xml:space="preserve"> </w:t>
      </w:r>
      <w:r w:rsidRPr="00270181">
        <w:rPr>
          <w:rFonts w:ascii="Times New Roman" w:hAnsi="Times New Roman"/>
          <w:b/>
          <w:i/>
          <w:color w:val="auto"/>
          <w:spacing w:val="-1"/>
        </w:rPr>
        <w:t>businesses</w:t>
      </w:r>
      <w:r w:rsidRPr="00270181">
        <w:rPr>
          <w:rFonts w:ascii="Times New Roman" w:hAnsi="Times New Roman"/>
          <w:b/>
          <w:i/>
          <w:color w:val="auto"/>
          <w:spacing w:val="-6"/>
        </w:rPr>
        <w:t xml:space="preserve"> </w:t>
      </w:r>
      <w:r w:rsidRPr="00270181">
        <w:rPr>
          <w:rFonts w:ascii="Times New Roman" w:hAnsi="Times New Roman"/>
          <w:b/>
          <w:i/>
          <w:color w:val="auto"/>
        </w:rPr>
        <w:t>or</w:t>
      </w:r>
      <w:r w:rsidRPr="00270181">
        <w:rPr>
          <w:rFonts w:ascii="Times New Roman" w:hAnsi="Times New Roman"/>
          <w:b/>
          <w:i/>
          <w:color w:val="auto"/>
          <w:spacing w:val="-8"/>
        </w:rPr>
        <w:t xml:space="preserve"> </w:t>
      </w:r>
      <w:r w:rsidRPr="00270181">
        <w:rPr>
          <w:rFonts w:ascii="Times New Roman" w:hAnsi="Times New Roman"/>
          <w:b/>
          <w:i/>
          <w:color w:val="auto"/>
          <w:spacing w:val="1"/>
        </w:rPr>
        <w:t>other</w:t>
      </w:r>
      <w:r w:rsidRPr="00270181">
        <w:rPr>
          <w:rFonts w:ascii="Times New Roman" w:hAnsi="Times New Roman"/>
          <w:b/>
          <w:i/>
          <w:color w:val="auto"/>
          <w:spacing w:val="-7"/>
        </w:rPr>
        <w:t xml:space="preserve"> </w:t>
      </w:r>
      <w:r w:rsidRPr="00270181">
        <w:rPr>
          <w:rFonts w:ascii="Times New Roman" w:hAnsi="Times New Roman"/>
          <w:b/>
          <w:i/>
          <w:color w:val="auto"/>
          <w:spacing w:val="-1"/>
        </w:rPr>
        <w:t>small</w:t>
      </w:r>
      <w:r>
        <w:rPr>
          <w:rFonts w:ascii="Times New Roman" w:hAnsi="Times New Roman"/>
          <w:b/>
          <w:i/>
          <w:color w:val="auto"/>
          <w:spacing w:val="-6"/>
        </w:rPr>
        <w:t xml:space="preserve"> </w:t>
      </w:r>
      <w:r w:rsidRPr="00270181">
        <w:rPr>
          <w:rFonts w:ascii="Times New Roman" w:hAnsi="Times New Roman"/>
          <w:b/>
          <w:i/>
          <w:color w:val="auto"/>
        </w:rPr>
        <w:t>entities, describe</w:t>
      </w:r>
      <w:r w:rsidRPr="00270181">
        <w:rPr>
          <w:rFonts w:ascii="Times New Roman" w:hAnsi="Times New Roman"/>
          <w:b/>
          <w:i/>
          <w:color w:val="auto"/>
          <w:spacing w:val="-7"/>
        </w:rPr>
        <w:t xml:space="preserve"> </w:t>
      </w:r>
      <w:r w:rsidRPr="00270181">
        <w:rPr>
          <w:rFonts w:ascii="Times New Roman" w:hAnsi="Times New Roman"/>
          <w:b/>
          <w:i/>
          <w:color w:val="auto"/>
          <w:spacing w:val="1"/>
        </w:rPr>
        <w:t>any</w:t>
      </w:r>
      <w:r w:rsidRPr="00270181">
        <w:rPr>
          <w:rFonts w:ascii="Times New Roman" w:hAnsi="Times New Roman"/>
          <w:b/>
          <w:i/>
          <w:color w:val="auto"/>
          <w:spacing w:val="-11"/>
        </w:rPr>
        <w:t xml:space="preserve"> </w:t>
      </w:r>
      <w:r w:rsidRPr="00270181">
        <w:rPr>
          <w:rFonts w:ascii="Times New Roman" w:hAnsi="Times New Roman"/>
          <w:b/>
          <w:i/>
          <w:color w:val="auto"/>
          <w:spacing w:val="-1"/>
        </w:rPr>
        <w:t>methods</w:t>
      </w:r>
      <w:r w:rsidRPr="00270181">
        <w:rPr>
          <w:rFonts w:ascii="Times New Roman" w:hAnsi="Times New Roman"/>
          <w:b/>
          <w:i/>
          <w:color w:val="auto"/>
          <w:spacing w:val="-8"/>
        </w:rPr>
        <w:t xml:space="preserve"> </w:t>
      </w:r>
      <w:r w:rsidRPr="00270181">
        <w:rPr>
          <w:rFonts w:ascii="Times New Roman" w:hAnsi="Times New Roman"/>
          <w:b/>
          <w:i/>
          <w:color w:val="auto"/>
          <w:spacing w:val="-1"/>
        </w:rPr>
        <w:t>used</w:t>
      </w:r>
      <w:r w:rsidRPr="00270181">
        <w:rPr>
          <w:rFonts w:ascii="Times New Roman" w:hAnsi="Times New Roman"/>
          <w:b/>
          <w:i/>
          <w:color w:val="auto"/>
          <w:spacing w:val="-8"/>
        </w:rPr>
        <w:t xml:space="preserve"> </w:t>
      </w:r>
      <w:r w:rsidRPr="00270181">
        <w:rPr>
          <w:rFonts w:ascii="Times New Roman" w:hAnsi="Times New Roman"/>
          <w:b/>
          <w:i/>
          <w:color w:val="auto"/>
        </w:rPr>
        <w:t>to</w:t>
      </w:r>
      <w:r w:rsidRPr="00270181">
        <w:rPr>
          <w:rFonts w:ascii="Times New Roman" w:hAnsi="Times New Roman"/>
          <w:b/>
          <w:i/>
          <w:color w:val="auto"/>
          <w:spacing w:val="-8"/>
        </w:rPr>
        <w:t xml:space="preserve"> </w:t>
      </w:r>
      <w:r w:rsidRPr="00270181">
        <w:rPr>
          <w:rFonts w:ascii="Times New Roman" w:hAnsi="Times New Roman"/>
          <w:b/>
          <w:i/>
          <w:color w:val="auto"/>
        </w:rPr>
        <w:t>minimize</w:t>
      </w:r>
      <w:r w:rsidRPr="00270181">
        <w:rPr>
          <w:rFonts w:ascii="Times New Roman" w:hAnsi="Times New Roman"/>
          <w:b/>
          <w:i/>
          <w:color w:val="auto"/>
          <w:spacing w:val="-8"/>
        </w:rPr>
        <w:t xml:space="preserve"> </w:t>
      </w:r>
      <w:r w:rsidRPr="00270181">
        <w:rPr>
          <w:rFonts w:ascii="Times New Roman" w:hAnsi="Times New Roman"/>
          <w:b/>
          <w:i/>
          <w:color w:val="auto"/>
          <w:spacing w:val="-1"/>
        </w:rPr>
        <w:t>burden.</w:t>
      </w:r>
    </w:p>
    <w:p w:rsidR="002B2B2B" w:rsidRDefault="002B2B2B" w:rsidP="002B2B2B">
      <w:pPr>
        <w:spacing w:line="240" w:lineRule="auto"/>
        <w:rPr>
          <w:b/>
          <w:i/>
        </w:rPr>
      </w:pPr>
    </w:p>
    <w:p w:rsidR="002B2B2B" w:rsidRPr="00773F40" w:rsidRDefault="002B2B2B" w:rsidP="002B2B2B">
      <w:pPr>
        <w:spacing w:line="240" w:lineRule="auto"/>
      </w:pPr>
      <w:r>
        <w:rPr>
          <w:b/>
          <w:i/>
        </w:rPr>
        <w:tab/>
      </w:r>
      <w:r>
        <w:t>The information required is the minimum necessary to meet the requirements of the regulation.</w:t>
      </w:r>
    </w:p>
    <w:p w:rsidR="002B2B2B" w:rsidRPr="00C9543C" w:rsidRDefault="002B2B2B" w:rsidP="002B2B2B">
      <w:pPr>
        <w:spacing w:line="240" w:lineRule="auto"/>
      </w:pPr>
    </w:p>
    <w:p w:rsidR="002B2B2B" w:rsidRPr="00BD79E3" w:rsidRDefault="002B2B2B" w:rsidP="002B2B2B">
      <w:pPr>
        <w:spacing w:line="240" w:lineRule="auto"/>
        <w:rPr>
          <w:b/>
          <w:i/>
        </w:rPr>
      </w:pPr>
      <w:r w:rsidRPr="00BD79E3">
        <w:rPr>
          <w:b/>
          <w:i/>
        </w:rPr>
        <w:t>6.</w:t>
      </w:r>
      <w:r w:rsidRPr="00BD79E3">
        <w:rPr>
          <w:b/>
          <w:i/>
        </w:rPr>
        <w:tab/>
        <w:t>Consequences to the Federal program if the collection were conducted less frequently:</w:t>
      </w:r>
    </w:p>
    <w:p w:rsidR="002B2B2B" w:rsidRPr="00C9543C" w:rsidRDefault="002B2B2B" w:rsidP="002B2B2B">
      <w:pPr>
        <w:spacing w:line="240" w:lineRule="auto"/>
      </w:pPr>
    </w:p>
    <w:p w:rsidR="002B2B2B" w:rsidRPr="00C9543C" w:rsidRDefault="002B2B2B" w:rsidP="002B2B2B">
      <w:pPr>
        <w:spacing w:line="240" w:lineRule="auto"/>
        <w:ind w:firstLine="720"/>
      </w:pPr>
      <w:r>
        <w:t>Less frequent collection would present safety and soundness concerns.</w:t>
      </w:r>
    </w:p>
    <w:p w:rsidR="002B2B2B" w:rsidRPr="00C9543C" w:rsidRDefault="002B2B2B" w:rsidP="002B2B2B">
      <w:pPr>
        <w:spacing w:line="240" w:lineRule="auto"/>
      </w:pPr>
    </w:p>
    <w:p w:rsidR="002B2B2B" w:rsidRPr="00BD79E3" w:rsidRDefault="002B2B2B" w:rsidP="002B2B2B">
      <w:pPr>
        <w:tabs>
          <w:tab w:val="left" w:pos="-1440"/>
        </w:tabs>
        <w:spacing w:line="240" w:lineRule="auto"/>
        <w:ind w:left="720" w:hanging="720"/>
        <w:rPr>
          <w:b/>
          <w:i/>
        </w:rPr>
      </w:pPr>
      <w:r w:rsidRPr="00BD79E3">
        <w:rPr>
          <w:b/>
          <w:i/>
        </w:rPr>
        <w:t>7.</w:t>
      </w:r>
      <w:r w:rsidRPr="00BD79E3">
        <w:rPr>
          <w:b/>
          <w:i/>
        </w:rPr>
        <w:tab/>
        <w:t>Special circumstances necessitating coll</w:t>
      </w:r>
      <w:r>
        <w:rPr>
          <w:b/>
          <w:i/>
        </w:rPr>
        <w:t>ection inconsistent with 5 CFR p</w:t>
      </w:r>
      <w:r w:rsidRPr="00BD79E3">
        <w:rPr>
          <w:b/>
          <w:i/>
        </w:rPr>
        <w:t>art 1320:</w:t>
      </w:r>
    </w:p>
    <w:p w:rsidR="002B2B2B" w:rsidRPr="00C9543C" w:rsidRDefault="002B2B2B" w:rsidP="002B2B2B">
      <w:pPr>
        <w:spacing w:line="240" w:lineRule="auto"/>
      </w:pPr>
    </w:p>
    <w:p w:rsidR="002B2B2B" w:rsidRPr="00C9543C" w:rsidRDefault="002B2B2B" w:rsidP="002B2B2B">
      <w:pPr>
        <w:spacing w:line="240" w:lineRule="auto"/>
        <w:ind w:firstLine="720"/>
      </w:pPr>
      <w:r w:rsidRPr="00C9543C">
        <w:t xml:space="preserve">This information collection is conducted in accordance with OMB's guidelines </w:t>
      </w:r>
      <w:r>
        <w:t>at</w:t>
      </w:r>
      <w:r w:rsidRPr="00C9543C">
        <w:t xml:space="preserve"> 5 CFR </w:t>
      </w:r>
      <w:r>
        <w:t xml:space="preserve">part </w:t>
      </w:r>
      <w:r w:rsidRPr="00C9543C">
        <w:t>1320.</w:t>
      </w:r>
    </w:p>
    <w:p w:rsidR="002B2B2B" w:rsidRDefault="002B2B2B" w:rsidP="002B2B2B">
      <w:pPr>
        <w:spacing w:line="240" w:lineRule="auto"/>
        <w:rPr>
          <w:b/>
          <w:i/>
        </w:rPr>
      </w:pPr>
    </w:p>
    <w:p w:rsidR="002B2B2B" w:rsidRPr="00BD79E3" w:rsidRDefault="002B2B2B" w:rsidP="002B2B2B">
      <w:pPr>
        <w:spacing w:line="240" w:lineRule="auto"/>
        <w:rPr>
          <w:b/>
          <w:i/>
        </w:rPr>
      </w:pPr>
      <w:r w:rsidRPr="00BD79E3">
        <w:rPr>
          <w:b/>
          <w:i/>
        </w:rPr>
        <w:t>8.</w:t>
      </w:r>
      <w:r w:rsidRPr="00BD79E3">
        <w:rPr>
          <w:b/>
          <w:i/>
        </w:rPr>
        <w:tab/>
        <w:t>Efforts to consult with persons outside the agency:</w:t>
      </w:r>
    </w:p>
    <w:p w:rsidR="002B2B2B" w:rsidRPr="00C9543C" w:rsidRDefault="002B2B2B" w:rsidP="002B2B2B">
      <w:pPr>
        <w:spacing w:line="240" w:lineRule="auto"/>
      </w:pPr>
    </w:p>
    <w:p w:rsidR="002B2B2B" w:rsidRPr="00C9543C" w:rsidRDefault="002B2B2B" w:rsidP="002B2B2B">
      <w:pPr>
        <w:spacing w:line="240" w:lineRule="auto"/>
        <w:ind w:firstLine="720"/>
      </w:pPr>
      <w:r>
        <w:t>The information collection requirements have been issued for comment in connection with a notice of proposed rulemaking.</w:t>
      </w:r>
    </w:p>
    <w:p w:rsidR="002B2B2B" w:rsidRPr="00C9543C" w:rsidRDefault="002B2B2B" w:rsidP="002B2B2B">
      <w:pPr>
        <w:spacing w:line="240" w:lineRule="auto"/>
      </w:pPr>
    </w:p>
    <w:p w:rsidR="002B2B2B" w:rsidRPr="00BD79E3" w:rsidRDefault="002B2B2B" w:rsidP="002B2B2B">
      <w:pPr>
        <w:spacing w:line="240" w:lineRule="auto"/>
        <w:rPr>
          <w:b/>
          <w:i/>
        </w:rPr>
      </w:pPr>
      <w:r w:rsidRPr="00BD79E3">
        <w:rPr>
          <w:b/>
          <w:i/>
        </w:rPr>
        <w:t>9.</w:t>
      </w:r>
      <w:r w:rsidRPr="00BD79E3">
        <w:rPr>
          <w:b/>
          <w:i/>
        </w:rPr>
        <w:tab/>
        <w:t>Payment to respondents:</w:t>
      </w:r>
    </w:p>
    <w:p w:rsidR="002B2B2B" w:rsidRPr="00C9543C" w:rsidRDefault="002B2B2B" w:rsidP="002B2B2B">
      <w:pPr>
        <w:spacing w:line="240" w:lineRule="auto"/>
      </w:pPr>
    </w:p>
    <w:p w:rsidR="002B2B2B" w:rsidRPr="00C9543C" w:rsidRDefault="002B2B2B" w:rsidP="002B2B2B">
      <w:pPr>
        <w:spacing w:line="240" w:lineRule="auto"/>
        <w:ind w:firstLine="720"/>
      </w:pPr>
      <w:r w:rsidRPr="00C9543C">
        <w:t>None.</w:t>
      </w:r>
    </w:p>
    <w:p w:rsidR="002B2B2B" w:rsidRPr="00C9543C" w:rsidRDefault="002B2B2B" w:rsidP="002B2B2B">
      <w:pPr>
        <w:spacing w:line="240" w:lineRule="auto"/>
      </w:pPr>
    </w:p>
    <w:p w:rsidR="002B2B2B" w:rsidRPr="00BD79E3" w:rsidRDefault="002B2B2B" w:rsidP="002B2B2B">
      <w:pPr>
        <w:spacing w:line="240" w:lineRule="auto"/>
        <w:rPr>
          <w:b/>
          <w:i/>
        </w:rPr>
      </w:pPr>
      <w:r w:rsidRPr="00BD79E3">
        <w:rPr>
          <w:b/>
          <w:i/>
        </w:rPr>
        <w:t>10.</w:t>
      </w:r>
      <w:r w:rsidRPr="00BD79E3">
        <w:rPr>
          <w:b/>
          <w:i/>
        </w:rPr>
        <w:tab/>
        <w:t>Any assurance of confidentiality:</w:t>
      </w:r>
    </w:p>
    <w:p w:rsidR="002B2B2B" w:rsidRPr="00C9543C" w:rsidRDefault="002B2B2B" w:rsidP="002B2B2B">
      <w:pPr>
        <w:spacing w:line="240" w:lineRule="auto"/>
      </w:pPr>
    </w:p>
    <w:p w:rsidR="002B2B2B" w:rsidRPr="00C9543C" w:rsidRDefault="002B2B2B" w:rsidP="002B2B2B">
      <w:pPr>
        <w:spacing w:line="240" w:lineRule="auto"/>
        <w:ind w:firstLine="720"/>
      </w:pPr>
      <w:r>
        <w:t>The information will be kept private to the extent permitted by law.</w:t>
      </w:r>
    </w:p>
    <w:p w:rsidR="002B2B2B" w:rsidRPr="00C9543C" w:rsidRDefault="002B2B2B" w:rsidP="002B2B2B">
      <w:pPr>
        <w:spacing w:line="240" w:lineRule="auto"/>
      </w:pPr>
    </w:p>
    <w:p w:rsidR="002B2B2B" w:rsidRPr="00BD79E3" w:rsidRDefault="002B2B2B" w:rsidP="002B2B2B">
      <w:pPr>
        <w:spacing w:line="240" w:lineRule="auto"/>
        <w:rPr>
          <w:b/>
          <w:i/>
        </w:rPr>
      </w:pPr>
      <w:r w:rsidRPr="00BD79E3">
        <w:rPr>
          <w:b/>
          <w:i/>
        </w:rPr>
        <w:t>11.</w:t>
      </w:r>
      <w:r w:rsidRPr="00BD79E3">
        <w:rPr>
          <w:b/>
          <w:i/>
        </w:rPr>
        <w:tab/>
        <w:t>Justification for questions of a sensitive nature:</w:t>
      </w:r>
    </w:p>
    <w:p w:rsidR="002B2B2B" w:rsidRPr="00C9543C" w:rsidRDefault="002B2B2B" w:rsidP="002B2B2B">
      <w:pPr>
        <w:spacing w:line="240" w:lineRule="auto"/>
      </w:pPr>
    </w:p>
    <w:p w:rsidR="002B2B2B" w:rsidRPr="00C9543C" w:rsidRDefault="002B2B2B" w:rsidP="002B2B2B">
      <w:pPr>
        <w:spacing w:line="240" w:lineRule="auto"/>
        <w:ind w:firstLine="720"/>
      </w:pPr>
      <w:r>
        <w:t>No personally identifiable information is collected.</w:t>
      </w:r>
    </w:p>
    <w:p w:rsidR="002B2B2B" w:rsidRPr="00C9543C" w:rsidRDefault="002B2B2B" w:rsidP="002B2B2B">
      <w:pPr>
        <w:spacing w:line="240" w:lineRule="auto"/>
      </w:pPr>
    </w:p>
    <w:p w:rsidR="002B2B2B" w:rsidRDefault="002B2B2B" w:rsidP="002B2B2B">
      <w:pPr>
        <w:spacing w:line="240" w:lineRule="auto"/>
        <w:rPr>
          <w:b/>
          <w:i/>
        </w:rPr>
      </w:pPr>
      <w:r w:rsidRPr="00BD79E3">
        <w:rPr>
          <w:b/>
          <w:i/>
        </w:rPr>
        <w:t>12.</w:t>
      </w:r>
      <w:r w:rsidRPr="00BD79E3">
        <w:rPr>
          <w:b/>
          <w:i/>
        </w:rPr>
        <w:tab/>
        <w:t>Burden estimate:</w:t>
      </w:r>
    </w:p>
    <w:p w:rsidR="002B2B2B" w:rsidRDefault="002B2B2B" w:rsidP="002B2B2B">
      <w:pPr>
        <w:spacing w:line="240" w:lineRule="auto"/>
        <w:rPr>
          <w:b/>
          <w:i/>
        </w:rPr>
      </w:pPr>
    </w:p>
    <w:p w:rsidR="002B2B2B" w:rsidRDefault="002B2B2B" w:rsidP="002B2B2B">
      <w:pPr>
        <w:spacing w:line="240" w:lineRule="auto"/>
      </w:pPr>
      <w:r w:rsidRPr="007E0605">
        <w:tab/>
      </w:r>
      <w:r>
        <w:rPr>
          <w:u w:val="single"/>
        </w:rPr>
        <w:t xml:space="preserve">Estimated </w:t>
      </w:r>
      <w:r w:rsidRPr="005056D0">
        <w:rPr>
          <w:u w:val="single"/>
        </w:rPr>
        <w:t>Number of Respondents</w:t>
      </w:r>
      <w:r w:rsidRPr="00D339AB">
        <w:t xml:space="preserve">:  </w:t>
      </w:r>
      <w:r>
        <w:t>42.</w:t>
      </w:r>
    </w:p>
    <w:p w:rsidR="002B2B2B" w:rsidRDefault="002B2B2B" w:rsidP="002B2B2B">
      <w:pPr>
        <w:spacing w:line="240" w:lineRule="auto"/>
      </w:pPr>
      <w:r w:rsidRPr="007E0605">
        <w:tab/>
      </w:r>
      <w:r w:rsidRPr="00FD1457">
        <w:rPr>
          <w:u w:val="single"/>
        </w:rPr>
        <w:t>Estimated Burden Per Respondent</w:t>
      </w:r>
      <w:r>
        <w:t>:  40 hours.</w:t>
      </w:r>
    </w:p>
    <w:p w:rsidR="002B2B2B" w:rsidRDefault="002B2B2B" w:rsidP="002B2B2B">
      <w:pPr>
        <w:spacing w:line="240" w:lineRule="auto"/>
      </w:pPr>
      <w:r w:rsidRPr="007E0605">
        <w:tab/>
      </w:r>
      <w:r w:rsidRPr="00FD1457">
        <w:rPr>
          <w:u w:val="single"/>
        </w:rPr>
        <w:t>Total Estimate</w:t>
      </w:r>
      <w:r>
        <w:rPr>
          <w:u w:val="single"/>
        </w:rPr>
        <w:t>d</w:t>
      </w:r>
      <w:r w:rsidRPr="00FD1457">
        <w:rPr>
          <w:u w:val="single"/>
        </w:rPr>
        <w:t xml:space="preserve"> Burden</w:t>
      </w:r>
      <w:r>
        <w:t>:  1,680 hours.</w:t>
      </w:r>
    </w:p>
    <w:p w:rsidR="002B2B2B" w:rsidRDefault="002B2B2B" w:rsidP="002B2B2B">
      <w:pPr>
        <w:spacing w:line="240" w:lineRule="auto"/>
        <w:rPr>
          <w:b/>
          <w:i/>
        </w:rPr>
      </w:pPr>
    </w:p>
    <w:p w:rsidR="00A366C4" w:rsidRDefault="00A366C4" w:rsidP="002B2B2B">
      <w:pPr>
        <w:spacing w:line="240" w:lineRule="auto"/>
        <w:rPr>
          <w:b/>
        </w:rPr>
      </w:pPr>
    </w:p>
    <w:p w:rsidR="00E97424" w:rsidRDefault="00E97424" w:rsidP="002B2B2B">
      <w:pPr>
        <w:spacing w:line="240" w:lineRule="auto"/>
        <w:rPr>
          <w:b/>
        </w:rPr>
      </w:pPr>
      <w:r>
        <w:rPr>
          <w:b/>
        </w:rPr>
        <w:t>Cost of burden hours:</w:t>
      </w:r>
    </w:p>
    <w:p w:rsidR="00E97424" w:rsidRDefault="00E97424" w:rsidP="002B2B2B">
      <w:pPr>
        <w:spacing w:line="240" w:lineRule="auto"/>
        <w:rPr>
          <w:b/>
        </w:rPr>
      </w:pPr>
    </w:p>
    <w:p w:rsidR="00E97424" w:rsidRDefault="00E97424" w:rsidP="002B2B2B">
      <w:pPr>
        <w:spacing w:line="240" w:lineRule="auto"/>
        <w:rPr>
          <w:b/>
        </w:rPr>
      </w:pPr>
      <w:r>
        <w:rPr>
          <w:b/>
        </w:rPr>
        <w:t>1,680 x $101 = $169,680</w:t>
      </w:r>
    </w:p>
    <w:p w:rsidR="00E97424" w:rsidRDefault="00E97424" w:rsidP="002B2B2B">
      <w:pPr>
        <w:spacing w:line="240" w:lineRule="auto"/>
        <w:rPr>
          <w:b/>
        </w:rPr>
      </w:pPr>
    </w:p>
    <w:p w:rsidR="00E97424" w:rsidRPr="00596CA3" w:rsidRDefault="00E97424" w:rsidP="00E97424">
      <w:pPr>
        <w:spacing w:line="240" w:lineRule="auto"/>
      </w:pPr>
      <w:r w:rsidRPr="00596CA3">
        <w:t>To estimate average hourly wages we reviewed data from May 201</w:t>
      </w:r>
      <w:r>
        <w:t>5</w:t>
      </w:r>
      <w:r w:rsidRPr="00596CA3">
        <w:t xml:space="preserve"> for wages (by industry and occupation) from the U.S. Bureau of Labor Statistics (BLS) for depository credit intermediation (NAICS 522100).  To estimate compensation costs associated with the </w:t>
      </w:r>
      <w:r w:rsidR="005369F6">
        <w:t>proposed rule</w:t>
      </w:r>
      <w:r w:rsidRPr="00596CA3">
        <w:t xml:space="preserv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E97424" w:rsidRDefault="00E97424" w:rsidP="002B2B2B">
      <w:pPr>
        <w:spacing w:line="240" w:lineRule="auto"/>
        <w:rPr>
          <w:b/>
          <w:i/>
        </w:rPr>
      </w:pPr>
    </w:p>
    <w:p w:rsidR="002B2B2B" w:rsidRPr="00BD79E3" w:rsidRDefault="002B2B2B" w:rsidP="002B2B2B">
      <w:pPr>
        <w:spacing w:line="240" w:lineRule="auto"/>
        <w:rPr>
          <w:b/>
          <w:i/>
        </w:rPr>
      </w:pPr>
      <w:r w:rsidRPr="00BD79E3">
        <w:rPr>
          <w:b/>
          <w:i/>
        </w:rPr>
        <w:t>13.</w:t>
      </w:r>
      <w:r w:rsidRPr="00BD79E3">
        <w:rPr>
          <w:b/>
          <w:i/>
        </w:rPr>
        <w:tab/>
        <w:t>Estimate of annualized costs to respondents:</w:t>
      </w:r>
    </w:p>
    <w:p w:rsidR="002B2B2B" w:rsidRPr="00C9543C" w:rsidRDefault="002B2B2B" w:rsidP="002B2B2B">
      <w:pPr>
        <w:spacing w:line="240" w:lineRule="auto"/>
      </w:pPr>
    </w:p>
    <w:p w:rsidR="002B2B2B" w:rsidRPr="00C9543C" w:rsidRDefault="002B2B2B" w:rsidP="002B2B2B">
      <w:pPr>
        <w:spacing w:line="240" w:lineRule="auto"/>
      </w:pPr>
      <w:r>
        <w:rPr>
          <w:color w:val="000000"/>
        </w:rPr>
        <w:tab/>
        <w:t>Not applicable.</w:t>
      </w:r>
    </w:p>
    <w:p w:rsidR="002B2B2B" w:rsidRPr="00C9543C" w:rsidRDefault="002B2B2B" w:rsidP="002B2B2B">
      <w:pPr>
        <w:spacing w:line="240" w:lineRule="auto"/>
      </w:pPr>
    </w:p>
    <w:p w:rsidR="002B2B2B" w:rsidRPr="00BD79E3" w:rsidRDefault="002B2B2B" w:rsidP="002B2B2B">
      <w:pPr>
        <w:spacing w:line="240" w:lineRule="auto"/>
        <w:rPr>
          <w:b/>
          <w:i/>
        </w:rPr>
      </w:pPr>
      <w:r w:rsidRPr="00BD79E3">
        <w:rPr>
          <w:b/>
          <w:i/>
        </w:rPr>
        <w:t>14.</w:t>
      </w:r>
      <w:r w:rsidRPr="00BD79E3">
        <w:rPr>
          <w:b/>
          <w:i/>
        </w:rPr>
        <w:tab/>
        <w:t>Estimate of annualized costs to the government:</w:t>
      </w:r>
    </w:p>
    <w:p w:rsidR="002B2B2B" w:rsidRPr="00C9543C" w:rsidRDefault="002B2B2B" w:rsidP="002B2B2B">
      <w:pPr>
        <w:spacing w:line="240" w:lineRule="auto"/>
      </w:pPr>
    </w:p>
    <w:p w:rsidR="002B2B2B" w:rsidRPr="002B2B2B" w:rsidRDefault="002B2B2B" w:rsidP="002B2B2B">
      <w:pPr>
        <w:spacing w:line="240" w:lineRule="auto"/>
        <w:ind w:firstLine="720"/>
      </w:pPr>
      <w:r>
        <w:t>None.</w:t>
      </w:r>
    </w:p>
    <w:p w:rsidR="002B2B2B" w:rsidRDefault="002B2B2B" w:rsidP="002B2B2B">
      <w:pPr>
        <w:spacing w:line="240" w:lineRule="auto"/>
        <w:rPr>
          <w:b/>
          <w:i/>
        </w:rPr>
      </w:pPr>
    </w:p>
    <w:p w:rsidR="002B2B2B" w:rsidRPr="00BD79E3" w:rsidRDefault="002B2B2B" w:rsidP="002B2B2B">
      <w:pPr>
        <w:spacing w:line="240" w:lineRule="auto"/>
        <w:rPr>
          <w:b/>
          <w:i/>
        </w:rPr>
      </w:pPr>
      <w:r w:rsidRPr="00BD79E3">
        <w:rPr>
          <w:b/>
          <w:i/>
        </w:rPr>
        <w:t>15.</w:t>
      </w:r>
      <w:r w:rsidRPr="00BD79E3">
        <w:rPr>
          <w:b/>
          <w:i/>
        </w:rPr>
        <w:tab/>
        <w:t>Change in burden:</w:t>
      </w:r>
    </w:p>
    <w:p w:rsidR="002B2B2B" w:rsidRPr="00C9543C" w:rsidRDefault="002B2B2B" w:rsidP="002B2B2B">
      <w:pPr>
        <w:spacing w:line="240" w:lineRule="auto"/>
        <w:rPr>
          <w:color w:val="000000"/>
        </w:rPr>
      </w:pPr>
    </w:p>
    <w:p w:rsidR="002B2B2B" w:rsidRPr="00C9543C" w:rsidRDefault="002B2B2B" w:rsidP="002B2B2B">
      <w:pPr>
        <w:tabs>
          <w:tab w:val="left" w:pos="-1440"/>
        </w:tabs>
        <w:spacing w:line="240" w:lineRule="auto"/>
      </w:pPr>
      <w:r>
        <w:rPr>
          <w:color w:val="000000"/>
        </w:rPr>
        <w:tab/>
        <w:t>The increase in burden is due to the fact that this is a new collection.</w:t>
      </w:r>
    </w:p>
    <w:p w:rsidR="002B2B2B" w:rsidRPr="00C9543C" w:rsidRDefault="002B2B2B" w:rsidP="002B2B2B">
      <w:pPr>
        <w:tabs>
          <w:tab w:val="left" w:pos="-1440"/>
        </w:tabs>
        <w:spacing w:line="240" w:lineRule="auto"/>
        <w:ind w:left="720" w:hanging="720"/>
      </w:pPr>
    </w:p>
    <w:p w:rsidR="002B2B2B" w:rsidRPr="00BD79E3" w:rsidRDefault="002B2B2B" w:rsidP="002B2B2B">
      <w:pPr>
        <w:tabs>
          <w:tab w:val="left" w:pos="-1440"/>
        </w:tabs>
        <w:spacing w:line="240" w:lineRule="auto"/>
        <w:ind w:left="720" w:hanging="720"/>
        <w:rPr>
          <w:b/>
          <w:i/>
        </w:rPr>
      </w:pPr>
      <w:r w:rsidRPr="00BD79E3">
        <w:rPr>
          <w:b/>
          <w:i/>
        </w:rPr>
        <w:t>16.</w:t>
      </w:r>
      <w:r w:rsidRPr="00BD79E3">
        <w:rPr>
          <w:b/>
          <w:i/>
        </w:rPr>
        <w:tab/>
        <w:t>Information regarding collections whose results are planned to be published for statistical use:</w:t>
      </w:r>
    </w:p>
    <w:p w:rsidR="002B2B2B" w:rsidRPr="00C9543C" w:rsidRDefault="002B2B2B" w:rsidP="002B2B2B">
      <w:pPr>
        <w:spacing w:line="240" w:lineRule="auto"/>
      </w:pPr>
    </w:p>
    <w:p w:rsidR="002B2B2B" w:rsidRPr="00C9543C" w:rsidRDefault="002B2B2B" w:rsidP="002B2B2B">
      <w:pPr>
        <w:spacing w:line="240" w:lineRule="auto"/>
        <w:ind w:firstLine="720"/>
      </w:pPr>
      <w:r w:rsidRPr="00C9543C">
        <w:t>The OCC has no plans to publish the data for statistical purposes.</w:t>
      </w:r>
    </w:p>
    <w:p w:rsidR="002B2B2B" w:rsidRPr="00C9543C" w:rsidRDefault="002B2B2B" w:rsidP="002B2B2B">
      <w:pPr>
        <w:spacing w:line="240" w:lineRule="auto"/>
      </w:pPr>
    </w:p>
    <w:p w:rsidR="002B2B2B" w:rsidRPr="00BD79E3" w:rsidRDefault="002B2B2B" w:rsidP="002B2B2B">
      <w:pPr>
        <w:spacing w:line="240" w:lineRule="auto"/>
        <w:rPr>
          <w:b/>
          <w:i/>
        </w:rPr>
      </w:pPr>
      <w:r w:rsidRPr="00BD79E3">
        <w:rPr>
          <w:b/>
          <w:i/>
        </w:rPr>
        <w:t>17.</w:t>
      </w:r>
      <w:r w:rsidRPr="00BD79E3">
        <w:rPr>
          <w:b/>
          <w:i/>
        </w:rPr>
        <w:tab/>
        <w:t>Approval to not display expiration date:</w:t>
      </w:r>
    </w:p>
    <w:p w:rsidR="002B2B2B" w:rsidRPr="00C9543C" w:rsidRDefault="002B2B2B" w:rsidP="002B2B2B">
      <w:pPr>
        <w:spacing w:line="240" w:lineRule="auto"/>
      </w:pPr>
    </w:p>
    <w:p w:rsidR="002B2B2B" w:rsidRPr="00C9543C" w:rsidRDefault="002B2B2B" w:rsidP="002B2B2B">
      <w:pPr>
        <w:spacing w:line="240" w:lineRule="auto"/>
        <w:ind w:firstLine="720"/>
      </w:pPr>
      <w:r w:rsidRPr="00C9543C">
        <w:t>Not applicable.</w:t>
      </w:r>
    </w:p>
    <w:p w:rsidR="002B2B2B" w:rsidRPr="00C9543C" w:rsidRDefault="002B2B2B" w:rsidP="002B2B2B">
      <w:pPr>
        <w:spacing w:line="240" w:lineRule="auto"/>
      </w:pPr>
    </w:p>
    <w:p w:rsidR="002B2B2B" w:rsidRPr="00BD79E3" w:rsidRDefault="002B2B2B" w:rsidP="002B2B2B">
      <w:pPr>
        <w:tabs>
          <w:tab w:val="left" w:pos="-1440"/>
        </w:tabs>
        <w:spacing w:line="240" w:lineRule="auto"/>
        <w:ind w:left="720" w:hanging="720"/>
        <w:rPr>
          <w:b/>
          <w:i/>
        </w:rPr>
      </w:pPr>
      <w:r w:rsidRPr="00BD79E3">
        <w:rPr>
          <w:b/>
          <w:i/>
        </w:rPr>
        <w:t>18.</w:t>
      </w:r>
      <w:r w:rsidRPr="00BD79E3">
        <w:rPr>
          <w:b/>
          <w:i/>
        </w:rPr>
        <w:tab/>
        <w:t>Exceptions to certification statement:</w:t>
      </w:r>
    </w:p>
    <w:p w:rsidR="002B2B2B" w:rsidRPr="00C9543C" w:rsidRDefault="002B2B2B" w:rsidP="002B2B2B">
      <w:pPr>
        <w:spacing w:line="240" w:lineRule="auto"/>
      </w:pPr>
    </w:p>
    <w:p w:rsidR="002B2B2B" w:rsidRPr="00C9543C" w:rsidRDefault="002B2B2B" w:rsidP="002B2B2B">
      <w:pPr>
        <w:spacing w:line="240" w:lineRule="auto"/>
        <w:ind w:firstLine="720"/>
      </w:pPr>
      <w:r w:rsidRPr="00C9543C">
        <w:t>None.</w:t>
      </w:r>
    </w:p>
    <w:p w:rsidR="002B2B2B" w:rsidRPr="00C9543C" w:rsidRDefault="002B2B2B" w:rsidP="002B2B2B">
      <w:pPr>
        <w:spacing w:line="240" w:lineRule="auto"/>
      </w:pPr>
    </w:p>
    <w:p w:rsidR="002B2B2B" w:rsidRPr="007C51A5" w:rsidRDefault="002B2B2B" w:rsidP="002B2B2B">
      <w:pPr>
        <w:spacing w:line="240" w:lineRule="auto"/>
        <w:rPr>
          <w:b/>
        </w:rPr>
      </w:pPr>
      <w:r w:rsidRPr="007C51A5">
        <w:rPr>
          <w:b/>
        </w:rPr>
        <w:t>B.</w:t>
      </w:r>
      <w:r w:rsidRPr="007C51A5">
        <w:rPr>
          <w:b/>
        </w:rPr>
        <w:tab/>
        <w:t>Collections of Information Employing Statistical Methods.</w:t>
      </w:r>
    </w:p>
    <w:p w:rsidR="002B2B2B" w:rsidRPr="00C9543C" w:rsidRDefault="002B2B2B" w:rsidP="002B2B2B">
      <w:pPr>
        <w:spacing w:line="240" w:lineRule="auto"/>
        <w:rPr>
          <w:u w:val="single"/>
        </w:rPr>
      </w:pPr>
    </w:p>
    <w:p w:rsidR="002B2B2B" w:rsidRPr="00C9543C" w:rsidRDefault="002B2B2B" w:rsidP="002B2B2B">
      <w:pPr>
        <w:spacing w:line="240" w:lineRule="auto"/>
        <w:ind w:firstLine="720"/>
      </w:pPr>
      <w:r w:rsidRPr="00C9543C">
        <w:t>Not applicable.</w:t>
      </w:r>
    </w:p>
    <w:p w:rsidR="002B2B2B" w:rsidRPr="00C9543C" w:rsidRDefault="002B2B2B" w:rsidP="002B2B2B">
      <w:pPr>
        <w:spacing w:line="240" w:lineRule="auto"/>
      </w:pPr>
    </w:p>
    <w:p w:rsidR="002B2B2B" w:rsidRPr="00C9543C" w:rsidRDefault="002B2B2B" w:rsidP="002B2B2B">
      <w:pPr>
        <w:spacing w:line="240" w:lineRule="auto"/>
      </w:pPr>
    </w:p>
    <w:p w:rsidR="002B2B2B" w:rsidRDefault="002B2B2B" w:rsidP="002B2B2B">
      <w:pPr>
        <w:spacing w:line="240" w:lineRule="auto"/>
        <w:ind w:firstLine="720"/>
      </w:pPr>
    </w:p>
    <w:p w:rsidR="002B2B2B" w:rsidRDefault="002B2B2B" w:rsidP="002B2B2B">
      <w:pPr>
        <w:spacing w:line="240" w:lineRule="auto"/>
        <w:ind w:firstLine="720"/>
      </w:pPr>
    </w:p>
    <w:sectPr w:rsidR="002B2B2B" w:rsidSect="00FC28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B9E" w:rsidRDefault="006C2B9E" w:rsidP="002B2B2B">
      <w:pPr>
        <w:spacing w:line="240" w:lineRule="auto"/>
      </w:pPr>
      <w:r>
        <w:separator/>
      </w:r>
    </w:p>
  </w:endnote>
  <w:endnote w:type="continuationSeparator" w:id="0">
    <w:p w:rsidR="006C2B9E" w:rsidRDefault="006C2B9E" w:rsidP="002B2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B9E" w:rsidRDefault="006C2B9E" w:rsidP="002B2B2B">
      <w:pPr>
        <w:spacing w:line="240" w:lineRule="auto"/>
      </w:pPr>
      <w:r>
        <w:separator/>
      </w:r>
    </w:p>
  </w:footnote>
  <w:footnote w:type="continuationSeparator" w:id="0">
    <w:p w:rsidR="006C2B9E" w:rsidRDefault="006C2B9E" w:rsidP="002B2B2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680"/>
    <w:multiLevelType w:val="hybridMultilevel"/>
    <w:tmpl w:val="9F88BBAC"/>
    <w:lvl w:ilvl="0" w:tplc="3EE2F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69"/>
    <w:rsid w:val="00014DBF"/>
    <w:rsid w:val="00034E0D"/>
    <w:rsid w:val="00055F8E"/>
    <w:rsid w:val="000B247C"/>
    <w:rsid w:val="000D7D13"/>
    <w:rsid w:val="000F2F55"/>
    <w:rsid w:val="0011613E"/>
    <w:rsid w:val="00131173"/>
    <w:rsid w:val="00144FAB"/>
    <w:rsid w:val="0018049E"/>
    <w:rsid w:val="00185DF7"/>
    <w:rsid w:val="001B10CE"/>
    <w:rsid w:val="001E7717"/>
    <w:rsid w:val="001F435D"/>
    <w:rsid w:val="001F5EC4"/>
    <w:rsid w:val="00225368"/>
    <w:rsid w:val="0023128D"/>
    <w:rsid w:val="00241A32"/>
    <w:rsid w:val="002A5BD2"/>
    <w:rsid w:val="002B2B2B"/>
    <w:rsid w:val="00377D2F"/>
    <w:rsid w:val="003B3C98"/>
    <w:rsid w:val="003D0AE7"/>
    <w:rsid w:val="003E035E"/>
    <w:rsid w:val="003E3368"/>
    <w:rsid w:val="0044548F"/>
    <w:rsid w:val="004A528F"/>
    <w:rsid w:val="004F1230"/>
    <w:rsid w:val="005369F6"/>
    <w:rsid w:val="005A0E8F"/>
    <w:rsid w:val="005E6C3E"/>
    <w:rsid w:val="006074B7"/>
    <w:rsid w:val="00612869"/>
    <w:rsid w:val="006552CA"/>
    <w:rsid w:val="006C2B9E"/>
    <w:rsid w:val="006D111D"/>
    <w:rsid w:val="006D2C4B"/>
    <w:rsid w:val="00774CCA"/>
    <w:rsid w:val="00796A89"/>
    <w:rsid w:val="007A0BDF"/>
    <w:rsid w:val="007B6C87"/>
    <w:rsid w:val="007E0605"/>
    <w:rsid w:val="007F019A"/>
    <w:rsid w:val="00811725"/>
    <w:rsid w:val="00812FB5"/>
    <w:rsid w:val="00834AC1"/>
    <w:rsid w:val="00886201"/>
    <w:rsid w:val="00890008"/>
    <w:rsid w:val="008A1DF0"/>
    <w:rsid w:val="008B4C31"/>
    <w:rsid w:val="009260BB"/>
    <w:rsid w:val="00936E28"/>
    <w:rsid w:val="009A3B70"/>
    <w:rsid w:val="009E087D"/>
    <w:rsid w:val="009F3721"/>
    <w:rsid w:val="00A055F2"/>
    <w:rsid w:val="00A153FB"/>
    <w:rsid w:val="00A366C4"/>
    <w:rsid w:val="00A92FF3"/>
    <w:rsid w:val="00AA2DE7"/>
    <w:rsid w:val="00AB32BD"/>
    <w:rsid w:val="00C216DD"/>
    <w:rsid w:val="00C37F74"/>
    <w:rsid w:val="00C626DA"/>
    <w:rsid w:val="00C655B2"/>
    <w:rsid w:val="00C7508D"/>
    <w:rsid w:val="00CA0B1E"/>
    <w:rsid w:val="00CB375C"/>
    <w:rsid w:val="00CE4E6B"/>
    <w:rsid w:val="00D02DFD"/>
    <w:rsid w:val="00D268B6"/>
    <w:rsid w:val="00D37027"/>
    <w:rsid w:val="00D825AB"/>
    <w:rsid w:val="00D83CEB"/>
    <w:rsid w:val="00DC61BF"/>
    <w:rsid w:val="00E9389B"/>
    <w:rsid w:val="00E97424"/>
    <w:rsid w:val="00EA73D3"/>
    <w:rsid w:val="00ED3A7B"/>
    <w:rsid w:val="00F02BBF"/>
    <w:rsid w:val="00F11545"/>
    <w:rsid w:val="00F42B5F"/>
    <w:rsid w:val="00F60B81"/>
    <w:rsid w:val="00F624EF"/>
    <w:rsid w:val="00FA71FB"/>
    <w:rsid w:val="00FB53D0"/>
    <w:rsid w:val="00FB6E48"/>
    <w:rsid w:val="00FC2802"/>
    <w:rsid w:val="00FC4AC4"/>
    <w:rsid w:val="00FD1457"/>
    <w:rsid w:val="00FE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BCA74-1C2B-4FA9-BA00-7EB58FE8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802"/>
    <w:pPr>
      <w:spacing w:after="0"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2802"/>
    <w:pPr>
      <w:keepNext/>
      <w:ind w:left="360"/>
      <w:outlineLvl w:val="0"/>
    </w:pPr>
    <w:rPr>
      <w:rFonts w:ascii="Times New Roman Bold" w:hAnsi="Times New Roman Bol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802"/>
    <w:rPr>
      <w:rFonts w:ascii="Times New Roman Bold" w:eastAsia="Times New Roman" w:hAnsi="Times New Roman Bold" w:cs="Times New Roman"/>
      <w:b/>
      <w:bCs/>
      <w:i/>
      <w:iCs/>
      <w:sz w:val="24"/>
      <w:szCs w:val="24"/>
    </w:rPr>
  </w:style>
  <w:style w:type="character" w:styleId="CommentReference">
    <w:name w:val="annotation reference"/>
    <w:uiPriority w:val="99"/>
    <w:rsid w:val="00FC2802"/>
    <w:rPr>
      <w:sz w:val="16"/>
    </w:rPr>
  </w:style>
  <w:style w:type="paragraph" w:styleId="CommentText">
    <w:name w:val="annotation text"/>
    <w:basedOn w:val="Normal"/>
    <w:link w:val="CommentTextChar"/>
    <w:uiPriority w:val="99"/>
    <w:rsid w:val="00FC2802"/>
    <w:rPr>
      <w:sz w:val="20"/>
      <w:szCs w:val="20"/>
    </w:rPr>
  </w:style>
  <w:style w:type="character" w:customStyle="1" w:styleId="CommentTextChar">
    <w:name w:val="Comment Text Char"/>
    <w:basedOn w:val="DefaultParagraphFont"/>
    <w:link w:val="CommentText"/>
    <w:uiPriority w:val="99"/>
    <w:rsid w:val="00FC2802"/>
    <w:rPr>
      <w:rFonts w:ascii="Times New Roman" w:eastAsia="Times New Roman" w:hAnsi="Times New Roman" w:cs="Times New Roman"/>
      <w:sz w:val="20"/>
      <w:szCs w:val="20"/>
    </w:rPr>
  </w:style>
  <w:style w:type="paragraph" w:styleId="BalloonText">
    <w:name w:val="Balloon Text"/>
    <w:basedOn w:val="Normal"/>
    <w:link w:val="BalloonTextChar"/>
    <w:rsid w:val="00FC28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C2802"/>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FC2802"/>
    <w:pPr>
      <w:spacing w:line="240" w:lineRule="auto"/>
    </w:pPr>
    <w:rPr>
      <w:b/>
      <w:bCs/>
    </w:rPr>
  </w:style>
  <w:style w:type="character" w:customStyle="1" w:styleId="CommentSubjectChar">
    <w:name w:val="Comment Subject Char"/>
    <w:basedOn w:val="CommentTextChar"/>
    <w:link w:val="CommentSubject"/>
    <w:semiHidden/>
    <w:rsid w:val="00FC2802"/>
    <w:rPr>
      <w:rFonts w:ascii="Times New Roman" w:eastAsia="Times New Roman" w:hAnsi="Times New Roman" w:cs="Times New Roman"/>
      <w:b/>
      <w:bCs/>
      <w:sz w:val="20"/>
      <w:szCs w:val="20"/>
    </w:rPr>
  </w:style>
  <w:style w:type="character" w:styleId="FootnoteReference">
    <w:name w:val="footnote reference"/>
    <w:rsid w:val="002B2B2B"/>
  </w:style>
  <w:style w:type="paragraph" w:styleId="BodyText">
    <w:name w:val="Body Text"/>
    <w:basedOn w:val="Normal"/>
    <w:link w:val="BodyTextChar"/>
    <w:rsid w:val="002B2B2B"/>
    <w:pPr>
      <w:widowControl w:val="0"/>
      <w:spacing w:line="240" w:lineRule="auto"/>
    </w:pPr>
    <w:rPr>
      <w:rFonts w:ascii="CG Times" w:hAnsi="CG Times"/>
      <w:snapToGrid w:val="0"/>
      <w:color w:val="FF0000"/>
      <w:szCs w:val="20"/>
    </w:rPr>
  </w:style>
  <w:style w:type="character" w:customStyle="1" w:styleId="BodyTextChar">
    <w:name w:val="Body Text Char"/>
    <w:basedOn w:val="DefaultParagraphFont"/>
    <w:link w:val="BodyText"/>
    <w:rsid w:val="002B2B2B"/>
    <w:rPr>
      <w:rFonts w:ascii="CG Times" w:eastAsia="Times New Roman" w:hAnsi="CG Times" w:cs="Times New Roman"/>
      <w:snapToGrid w:val="0"/>
      <w:color w:val="FF0000"/>
      <w:sz w:val="24"/>
      <w:szCs w:val="20"/>
    </w:rPr>
  </w:style>
  <w:style w:type="paragraph" w:styleId="FootnoteText">
    <w:name w:val="footnote text"/>
    <w:basedOn w:val="Normal"/>
    <w:link w:val="FootnoteTextChar"/>
    <w:rsid w:val="002B2B2B"/>
    <w:pPr>
      <w:spacing w:line="240" w:lineRule="auto"/>
    </w:pPr>
    <w:rPr>
      <w:sz w:val="20"/>
      <w:szCs w:val="20"/>
    </w:rPr>
  </w:style>
  <w:style w:type="character" w:customStyle="1" w:styleId="FootnoteTextChar">
    <w:name w:val="Footnote Text Char"/>
    <w:basedOn w:val="DefaultParagraphFont"/>
    <w:link w:val="FootnoteText"/>
    <w:rsid w:val="002B2B2B"/>
    <w:rPr>
      <w:rFonts w:ascii="Times New Roman" w:eastAsia="Times New Roman" w:hAnsi="Times New Roman" w:cs="Times New Roman"/>
      <w:sz w:val="20"/>
      <w:szCs w:val="20"/>
    </w:rPr>
  </w:style>
  <w:style w:type="paragraph" w:styleId="ListParagraph">
    <w:name w:val="List Paragraph"/>
    <w:basedOn w:val="Normal"/>
    <w:uiPriority w:val="34"/>
    <w:qFormat/>
    <w:rsid w:val="002B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a3ec68a-5783-4395-980e-286bc07d3a36">3E2E3TZUDFCJ-688115382-39374</_dlc_DocId>
    <_dlc_DocIdUrl xmlns="fa3ec68a-5783-4395-980e-286bc07d3a36">
      <Url>https://team.frb.gov/sites/ocdo/icc/_layouts/15/DocIdRedir.aspx?ID=3E2E3TZUDFCJ-688115382-39374</Url>
      <Description>3E2E3TZUDFCJ-688115382-39374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F7554169C0F6479949D9374D8EF309" ma:contentTypeVersion="0" ma:contentTypeDescription="Create a new document." ma:contentTypeScope="" ma:versionID="90bf90976e809a0764109120d6ff1482">
  <xsd:schema xmlns:xsd="http://www.w3.org/2001/XMLSchema" xmlns:xs="http://www.w3.org/2001/XMLSchema" xmlns:p="http://schemas.microsoft.com/office/2006/metadata/properties" xmlns:ns2="fa3ec68a-5783-4395-980e-286bc07d3a36" targetNamespace="http://schemas.microsoft.com/office/2006/metadata/properties" ma:root="true" ma:fieldsID="f67133086cd9d11a5ba06fb6a3606cc1" ns2:_="">
    <xsd:import namespace="fa3ec68a-5783-4395-980e-286bc07d3a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c68a-5783-4395-980e-286bc07d3a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FC97B-5163-4D05-9739-F5BDC922E0D3}">
  <ds:schemaRefs>
    <ds:schemaRef ds:uri="http://schemas.microsoft.com/sharepoint/events"/>
  </ds:schemaRefs>
</ds:datastoreItem>
</file>

<file path=customXml/itemProps2.xml><?xml version="1.0" encoding="utf-8"?>
<ds:datastoreItem xmlns:ds="http://schemas.openxmlformats.org/officeDocument/2006/customXml" ds:itemID="{19438597-7360-4D5E-8CF9-F5E5B50306A6}">
  <ds:schemaRefs>
    <ds:schemaRef ds:uri="http://schemas.microsoft.com/sharepoint/v3/contenttype/forms"/>
  </ds:schemaRefs>
</ds:datastoreItem>
</file>

<file path=customXml/itemProps3.xml><?xml version="1.0" encoding="utf-8"?>
<ds:datastoreItem xmlns:ds="http://schemas.openxmlformats.org/officeDocument/2006/customXml" ds:itemID="{E38D92D4-6633-4766-A3CA-50ECE70A26B9}">
  <ds:schemaRefs>
    <ds:schemaRef ds:uri="http://schemas.openxmlformats.org/package/2006/metadata/core-properties"/>
    <ds:schemaRef ds:uri="fa3ec68a-5783-4395-980e-286bc07d3a36"/>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purl.org/dc/dcmitype/"/>
  </ds:schemaRefs>
</ds:datastoreItem>
</file>

<file path=customXml/itemProps4.xml><?xml version="1.0" encoding="utf-8"?>
<ds:datastoreItem xmlns:ds="http://schemas.openxmlformats.org/officeDocument/2006/customXml" ds:itemID="{767C55B3-B9CA-4A0A-AD0A-6B780074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c68a-5783-4395-980e-286bc07d3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EA5F78-01B6-4825-878D-BD4A6579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Dafina Stewart</dc:creator>
  <cp:lastModifiedBy>mary.gottlieb</cp:lastModifiedBy>
  <cp:revision>2</cp:revision>
  <cp:lastPrinted>2016-08-17T13:45:00Z</cp:lastPrinted>
  <dcterms:created xsi:type="dcterms:W3CDTF">2016-08-18T19:41:00Z</dcterms:created>
  <dcterms:modified xsi:type="dcterms:W3CDTF">2016-08-18T19:41:00Z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7417277f-bfbf-49bb-be5e-8e2d559f9f08</vt:lpwstr>
  </property>
  <property fmtid="{D5CDD505-2E9C-101B-9397-08002B2CF9AE}" pid="3" name="ContentTypeId">
    <vt:lpwstr>0x01010012F7554169C0F6479949D9374D8EF309</vt:lpwstr>
  </property>
</Properties>
</file>