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66F3C" w14:textId="0B123E59" w:rsidR="00EE7134" w:rsidRPr="009B7525" w:rsidRDefault="007E2811" w:rsidP="00EE7134">
      <w:pPr>
        <w:pStyle w:val="Footer"/>
        <w:tabs>
          <w:tab w:val="clear" w:pos="4320"/>
          <w:tab w:val="clear" w:pos="8640"/>
        </w:tabs>
        <w:jc w:val="both"/>
        <w:rPr>
          <w:sz w:val="24"/>
          <w:szCs w:val="24"/>
        </w:rPr>
      </w:pPr>
      <w:r>
        <w:rPr>
          <w:sz w:val="24"/>
          <w:szCs w:val="24"/>
        </w:rPr>
        <w:t>June 8</w:t>
      </w:r>
      <w:r w:rsidR="00225FBA">
        <w:rPr>
          <w:sz w:val="24"/>
          <w:szCs w:val="24"/>
        </w:rPr>
        <w:t>, 2017</w:t>
      </w:r>
    </w:p>
    <w:p w14:paraId="0ED632F5" w14:textId="77777777" w:rsidR="00EE7134" w:rsidRPr="009B7525" w:rsidRDefault="00EE7134" w:rsidP="00EE7134">
      <w:pPr>
        <w:pStyle w:val="Footer"/>
        <w:tabs>
          <w:tab w:val="clear" w:pos="4320"/>
          <w:tab w:val="clear" w:pos="8640"/>
        </w:tabs>
        <w:jc w:val="both"/>
        <w:rPr>
          <w:sz w:val="24"/>
          <w:szCs w:val="24"/>
        </w:rPr>
      </w:pPr>
    </w:p>
    <w:tbl>
      <w:tblPr>
        <w:tblW w:w="0" w:type="auto"/>
        <w:tblLook w:val="0000" w:firstRow="0" w:lastRow="0" w:firstColumn="0" w:lastColumn="0" w:noHBand="0" w:noVBand="0"/>
      </w:tblPr>
      <w:tblGrid>
        <w:gridCol w:w="3888"/>
        <w:gridCol w:w="4428"/>
      </w:tblGrid>
      <w:tr w:rsidR="00EE7134" w:rsidRPr="009B7525" w14:paraId="16A7C07F" w14:textId="77777777" w:rsidTr="00DE0765">
        <w:trPr>
          <w:trHeight w:val="747"/>
        </w:trPr>
        <w:tc>
          <w:tcPr>
            <w:tcW w:w="3888" w:type="dxa"/>
          </w:tcPr>
          <w:p w14:paraId="4A6D9288" w14:textId="77777777" w:rsidR="00EE7134" w:rsidRPr="009B7525" w:rsidRDefault="00EE7134" w:rsidP="00EE7134">
            <w:pPr>
              <w:ind w:hanging="108"/>
            </w:pPr>
            <w:r w:rsidRPr="009B7525">
              <w:t>NOTE TO THE REVIEWER OF:</w:t>
            </w:r>
          </w:p>
          <w:p w14:paraId="689B47B7" w14:textId="77777777" w:rsidR="00EE7134" w:rsidRPr="009B7525" w:rsidRDefault="00EE7134" w:rsidP="00EE7134">
            <w:pPr>
              <w:ind w:hanging="108"/>
            </w:pPr>
          </w:p>
          <w:p w14:paraId="35F214BB" w14:textId="77777777" w:rsidR="00EE7134" w:rsidRPr="009B7525" w:rsidRDefault="00EE7134" w:rsidP="00EE7134"/>
        </w:tc>
        <w:tc>
          <w:tcPr>
            <w:tcW w:w="4428" w:type="dxa"/>
          </w:tcPr>
          <w:p w14:paraId="23122486" w14:textId="77777777" w:rsidR="00EE7134" w:rsidRPr="009B7525" w:rsidRDefault="00EE7134" w:rsidP="00EE7134">
            <w:r w:rsidRPr="009B7525">
              <w:t>OMB CLEARANCE #1220-0141</w:t>
            </w:r>
          </w:p>
          <w:p w14:paraId="20F5F43E" w14:textId="17BD5F2C" w:rsidR="00EE7134" w:rsidRPr="009B7525" w:rsidRDefault="00EE7134" w:rsidP="00C26ED6">
            <w:r w:rsidRPr="009B7525">
              <w:t>“Cognitive and Psychological Research”</w:t>
            </w:r>
          </w:p>
        </w:tc>
      </w:tr>
      <w:tr w:rsidR="00EE7134" w:rsidRPr="009B7525" w14:paraId="6DCF701C" w14:textId="77777777" w:rsidTr="00DE0765">
        <w:trPr>
          <w:trHeight w:val="1080"/>
        </w:trPr>
        <w:tc>
          <w:tcPr>
            <w:tcW w:w="3888" w:type="dxa"/>
          </w:tcPr>
          <w:p w14:paraId="3C909709" w14:textId="77777777" w:rsidR="00EE7134" w:rsidRPr="009B7525" w:rsidRDefault="00EE7134" w:rsidP="00EE7134">
            <w:pPr>
              <w:ind w:hanging="108"/>
            </w:pPr>
            <w:r w:rsidRPr="009B7525">
              <w:t>FROM:</w:t>
            </w:r>
          </w:p>
        </w:tc>
        <w:tc>
          <w:tcPr>
            <w:tcW w:w="4428" w:type="dxa"/>
          </w:tcPr>
          <w:p w14:paraId="11FF1860" w14:textId="77777777" w:rsidR="00EE7134" w:rsidRPr="009B7525" w:rsidRDefault="00EE7134" w:rsidP="00EE7134">
            <w:r w:rsidRPr="009B7525">
              <w:t>Bill Mockovak</w:t>
            </w:r>
          </w:p>
          <w:p w14:paraId="0256E821" w14:textId="77777777" w:rsidR="00EE7134" w:rsidRPr="009B7525" w:rsidRDefault="00EE7134" w:rsidP="00EE7134">
            <w:r w:rsidRPr="009B7525">
              <w:t>Survey Methodologist</w:t>
            </w:r>
          </w:p>
          <w:p w14:paraId="5B13F7E1" w14:textId="77777777" w:rsidR="00EE7134" w:rsidRPr="009B7525" w:rsidRDefault="00EE7134" w:rsidP="00EE7134">
            <w:r w:rsidRPr="009B7525">
              <w:t>Office of Survey Methods Research</w:t>
            </w:r>
          </w:p>
          <w:p w14:paraId="28194DEE" w14:textId="77777777" w:rsidR="00EE7134" w:rsidRPr="009B7525" w:rsidRDefault="00EE7134" w:rsidP="00EE7134"/>
        </w:tc>
      </w:tr>
      <w:tr w:rsidR="00EE7134" w:rsidRPr="009B7525" w14:paraId="183C5867" w14:textId="77777777" w:rsidTr="00DE0765">
        <w:trPr>
          <w:trHeight w:val="720"/>
        </w:trPr>
        <w:tc>
          <w:tcPr>
            <w:tcW w:w="3888" w:type="dxa"/>
          </w:tcPr>
          <w:p w14:paraId="4A0CDB68" w14:textId="77777777" w:rsidR="00EE7134" w:rsidRPr="009B7525" w:rsidRDefault="00EE7134" w:rsidP="00EE7134">
            <w:pPr>
              <w:ind w:hanging="108"/>
            </w:pPr>
            <w:r w:rsidRPr="009B7525">
              <w:t>SUBJECT:</w:t>
            </w:r>
          </w:p>
        </w:tc>
        <w:tc>
          <w:tcPr>
            <w:tcW w:w="4428" w:type="dxa"/>
          </w:tcPr>
          <w:p w14:paraId="6A49FAB9" w14:textId="4E9A586A" w:rsidR="00EE7134" w:rsidRPr="009B7525" w:rsidRDefault="00EE7134" w:rsidP="00EE7134">
            <w:pPr>
              <w:rPr>
                <w:i/>
                <w:iCs/>
              </w:rPr>
            </w:pPr>
            <w:r w:rsidRPr="009B7525">
              <w:t xml:space="preserve">Submission of Materials for the </w:t>
            </w:r>
            <w:r w:rsidR="00BF6974">
              <w:rPr>
                <w:i/>
                <w:iCs/>
              </w:rPr>
              <w:t>Evaluation of CPI Respondent Letter Study</w:t>
            </w:r>
          </w:p>
          <w:p w14:paraId="33247229" w14:textId="77777777" w:rsidR="00EE7134" w:rsidRPr="009B7525" w:rsidRDefault="00EE7134" w:rsidP="00EE7134"/>
        </w:tc>
      </w:tr>
    </w:tbl>
    <w:p w14:paraId="5E182229" w14:textId="77777777" w:rsidR="00EE7134" w:rsidRPr="009B7525" w:rsidRDefault="00EE7134" w:rsidP="00EE7134">
      <w:pPr>
        <w:jc w:val="both"/>
      </w:pPr>
    </w:p>
    <w:p w14:paraId="5EE36851" w14:textId="77777777" w:rsidR="00EE7134" w:rsidRPr="009B7525" w:rsidRDefault="00EE7134" w:rsidP="00EE7134">
      <w:pPr>
        <w:pStyle w:val="BodyText"/>
        <w:rPr>
          <w:sz w:val="24"/>
          <w:szCs w:val="24"/>
        </w:rPr>
      </w:pPr>
      <w:r w:rsidRPr="009B7525">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14:paraId="5525DB11" w14:textId="77777777" w:rsidR="00EE7134" w:rsidRPr="009B7525" w:rsidRDefault="00EE7134" w:rsidP="00EE7134">
      <w:pPr>
        <w:pStyle w:val="BodyText"/>
        <w:rPr>
          <w:sz w:val="24"/>
          <w:szCs w:val="24"/>
        </w:rPr>
      </w:pPr>
    </w:p>
    <w:p w14:paraId="28520DBE" w14:textId="19D0AA09" w:rsidR="00EE7134" w:rsidRPr="008F265D" w:rsidRDefault="00EE7134" w:rsidP="00EE7134">
      <w:pPr>
        <w:pStyle w:val="BodyText"/>
        <w:rPr>
          <w:sz w:val="24"/>
          <w:szCs w:val="24"/>
        </w:rPr>
      </w:pPr>
      <w:r w:rsidRPr="009B7525">
        <w:rPr>
          <w:sz w:val="24"/>
          <w:szCs w:val="24"/>
        </w:rPr>
        <w:t xml:space="preserve">The maximum number of burden hours is estimated to </w:t>
      </w:r>
      <w:r w:rsidRPr="009B7525">
        <w:rPr>
          <w:color w:val="000000"/>
          <w:sz w:val="24"/>
          <w:szCs w:val="24"/>
        </w:rPr>
        <w:t xml:space="preserve">be </w:t>
      </w:r>
      <w:r w:rsidR="007E2811">
        <w:rPr>
          <w:color w:val="000000"/>
          <w:sz w:val="24"/>
          <w:szCs w:val="24"/>
        </w:rPr>
        <w:t>50</w:t>
      </w:r>
      <w:r w:rsidRPr="008F265D">
        <w:rPr>
          <w:color w:val="000000"/>
          <w:sz w:val="24"/>
          <w:szCs w:val="24"/>
        </w:rPr>
        <w:t>.</w:t>
      </w:r>
    </w:p>
    <w:p w14:paraId="6EE60172" w14:textId="77777777" w:rsidR="00EE7134" w:rsidRPr="009B7525" w:rsidRDefault="00EE7134" w:rsidP="00EE7134">
      <w:pPr>
        <w:pStyle w:val="BodyText"/>
        <w:rPr>
          <w:sz w:val="24"/>
          <w:szCs w:val="24"/>
        </w:rPr>
      </w:pPr>
    </w:p>
    <w:p w14:paraId="08D260F0" w14:textId="77777777" w:rsidR="00EE7134" w:rsidRPr="009B7525" w:rsidRDefault="00EE7134" w:rsidP="00EE7134">
      <w:pPr>
        <w:pStyle w:val="BodyText"/>
        <w:rPr>
          <w:sz w:val="24"/>
          <w:szCs w:val="24"/>
        </w:rPr>
      </w:pPr>
      <w:r w:rsidRPr="009B7525">
        <w:rPr>
          <w:sz w:val="24"/>
          <w:szCs w:val="24"/>
        </w:rPr>
        <w:t>If there are any questions regarding this project, please contact Bill Mockovak at (202) 691-7414.</w:t>
      </w:r>
    </w:p>
    <w:p w14:paraId="09DD87AB" w14:textId="77777777" w:rsidR="00EE7134" w:rsidRPr="009B7525" w:rsidRDefault="00EE7134" w:rsidP="00EE7134">
      <w:pPr>
        <w:pStyle w:val="BodyText"/>
        <w:rPr>
          <w:sz w:val="24"/>
          <w:szCs w:val="24"/>
        </w:rPr>
      </w:pPr>
    </w:p>
    <w:p w14:paraId="12AA729B" w14:textId="77777777" w:rsidR="00EE7134" w:rsidRPr="009B7525" w:rsidRDefault="00EE7134" w:rsidP="00EE7134">
      <w:pPr>
        <w:pStyle w:val="BodyText"/>
        <w:rPr>
          <w:sz w:val="24"/>
          <w:szCs w:val="24"/>
        </w:rPr>
      </w:pPr>
      <w:r w:rsidRPr="009B7525">
        <w:rPr>
          <w:sz w:val="24"/>
          <w:szCs w:val="24"/>
        </w:rPr>
        <w:t>Attachments</w:t>
      </w:r>
    </w:p>
    <w:p w14:paraId="2FFB62BA" w14:textId="77777777" w:rsidR="00EE7134" w:rsidRPr="009B7525" w:rsidRDefault="00EE7134">
      <w:pPr>
        <w:rPr>
          <w:b/>
          <w:caps/>
        </w:rPr>
      </w:pPr>
      <w:r w:rsidRPr="009B7525">
        <w:rPr>
          <w:b/>
          <w:caps/>
        </w:rPr>
        <w:br w:type="page"/>
      </w:r>
    </w:p>
    <w:p w14:paraId="5A0738CF" w14:textId="77777777" w:rsidR="00EF017D" w:rsidRPr="009B7525" w:rsidRDefault="00EF017D" w:rsidP="00EF017D">
      <w:pPr>
        <w:spacing w:after="120"/>
        <w:rPr>
          <w:b/>
          <w:caps/>
        </w:rPr>
      </w:pPr>
      <w:r w:rsidRPr="009B7525">
        <w:rPr>
          <w:b/>
          <w:caps/>
        </w:rPr>
        <w:lastRenderedPageBreak/>
        <w:t xml:space="preserve">I. </w:t>
      </w:r>
      <w:r w:rsidRPr="009B7525">
        <w:rPr>
          <w:b/>
        </w:rPr>
        <w:t>Introduction</w:t>
      </w:r>
      <w:r w:rsidR="005F353D" w:rsidRPr="009B7525">
        <w:rPr>
          <w:b/>
        </w:rPr>
        <w:t xml:space="preserve"> and Purpose</w:t>
      </w:r>
    </w:p>
    <w:p w14:paraId="2CA0AAD3" w14:textId="174D817A" w:rsidR="003D4277" w:rsidRDefault="003D4277" w:rsidP="003D4277">
      <w:pPr>
        <w:widowControl w:val="0"/>
      </w:pPr>
      <w:r>
        <w:t xml:space="preserve">The Office of Survey Methods Research has been working with the BLS Boston Regional Office to improve two letters sent to respondents in the CPI Housing Survey.  Respondents in this survey are interviewed every 6 months for up to six years, so maintaining ongoing cooperation is important.  One of these letters is sent to “hard to contact” respondents, and the other letter is sent to current respondents to maintain rapport and to encourage ongoing cooperation (“maintain cooperation” letter).  The purpose of this study is to conduct an evaluation of the letter sent to maintain cooperation.  Research objectives are to determine how the general population responds to the letter, and if key features of the letter can be improved (for example, by citing different uses of the CPI).  </w:t>
      </w:r>
    </w:p>
    <w:p w14:paraId="2AC638D8" w14:textId="77777777" w:rsidR="003D4277" w:rsidRDefault="003D4277" w:rsidP="003D4277"/>
    <w:p w14:paraId="6ECA1CBB" w14:textId="07E1B275" w:rsidR="003D4277" w:rsidRDefault="003D4277" w:rsidP="003D4277">
      <w:pPr>
        <w:rPr>
          <w:rFonts w:cstheme="minorHAnsi"/>
        </w:rPr>
      </w:pPr>
      <w:r>
        <w:t>Although the main purpose of the study will be to evaluate the letter, since attitude questions are being used extensively in the survey evaluation</w:t>
      </w:r>
      <w:r w:rsidR="00EC6B77">
        <w:t xml:space="preserve"> instrument</w:t>
      </w:r>
      <w:r>
        <w:t xml:space="preserve">, other research questions will also be pursued that can be applied to BLS customer satisfaction surveys or </w:t>
      </w:r>
      <w:r w:rsidR="00EA51D2">
        <w:t>similar</w:t>
      </w:r>
      <w:r>
        <w:t xml:space="preserve"> evaluation studies.  Specifically, the attempt will be made to answer the question “Do responses to attitude questions vary </w:t>
      </w:r>
      <w:r>
        <w:rPr>
          <w:rFonts w:cstheme="minorHAnsi"/>
        </w:rPr>
        <w:t xml:space="preserve">when they appear in a matrix (table) versus appearing on separate Web pages?  And, in addition, does it matter if the response scales are presented horizontally or vertically?  </w:t>
      </w:r>
    </w:p>
    <w:p w14:paraId="24D7D5E1" w14:textId="77777777" w:rsidR="003D4277" w:rsidRDefault="003D4277" w:rsidP="003D4277">
      <w:pPr>
        <w:rPr>
          <w:rFonts w:cstheme="minorHAnsi"/>
        </w:rPr>
      </w:pPr>
    </w:p>
    <w:p w14:paraId="2C8A839B" w14:textId="21D3008C" w:rsidR="003D4277" w:rsidRDefault="003D4277" w:rsidP="003D4277">
      <w:pPr>
        <w:rPr>
          <w:rFonts w:cstheme="minorHAnsi"/>
        </w:rPr>
      </w:pPr>
      <w:r>
        <w:rPr>
          <w:rFonts w:cstheme="minorHAnsi"/>
        </w:rPr>
        <w:t>Based on previous research, we can tentatively conclude the following:</w:t>
      </w:r>
    </w:p>
    <w:p w14:paraId="58E79E1C" w14:textId="3ACCDB86" w:rsidR="003D4277" w:rsidRDefault="003D4277" w:rsidP="003D4277">
      <w:pPr>
        <w:pStyle w:val="ListParagraph"/>
        <w:numPr>
          <w:ilvl w:val="0"/>
          <w:numId w:val="42"/>
        </w:numPr>
        <w:rPr>
          <w:rFonts w:cstheme="minorHAnsi"/>
        </w:rPr>
      </w:pPr>
      <w:r>
        <w:rPr>
          <w:rFonts w:cstheme="minorHAnsi"/>
        </w:rPr>
        <w:t xml:space="preserve">The results are inconsistent regarding which </w:t>
      </w:r>
      <w:r w:rsidR="00EC6B77">
        <w:rPr>
          <w:rFonts w:cstheme="minorHAnsi"/>
        </w:rPr>
        <w:t xml:space="preserve">format </w:t>
      </w:r>
      <w:r>
        <w:rPr>
          <w:rFonts w:cstheme="minorHAnsi"/>
        </w:rPr>
        <w:t>is better: displaying questions in a matrix vs individually</w:t>
      </w:r>
      <w:r w:rsidR="00EC6B77">
        <w:rPr>
          <w:rFonts w:cstheme="minorHAnsi"/>
        </w:rPr>
        <w:t>.</w:t>
      </w:r>
      <w:r>
        <w:rPr>
          <w:rFonts w:cstheme="minorHAnsi"/>
        </w:rPr>
        <w:t xml:space="preserve">  </w:t>
      </w:r>
      <w:r w:rsidR="002B0057">
        <w:rPr>
          <w:rFonts w:cstheme="minorHAnsi"/>
        </w:rPr>
        <w:t xml:space="preserve">How </w:t>
      </w:r>
      <w:r w:rsidR="00EC6B77">
        <w:rPr>
          <w:rFonts w:cstheme="minorHAnsi"/>
        </w:rPr>
        <w:t xml:space="preserve">individual </w:t>
      </w:r>
      <w:r>
        <w:rPr>
          <w:rFonts w:cstheme="minorHAnsi"/>
        </w:rPr>
        <w:t xml:space="preserve">questions </w:t>
      </w:r>
      <w:r w:rsidR="002B0057">
        <w:rPr>
          <w:rFonts w:cstheme="minorHAnsi"/>
        </w:rPr>
        <w:t xml:space="preserve">are displayed </w:t>
      </w:r>
      <w:r>
        <w:rPr>
          <w:rFonts w:cstheme="minorHAnsi"/>
        </w:rPr>
        <w:t>can also vary, for example, questions can be displayed separately on a single page vs</w:t>
      </w:r>
      <w:r w:rsidRPr="003B22C4">
        <w:rPr>
          <w:rFonts w:cstheme="minorHAnsi"/>
        </w:rPr>
        <w:t xml:space="preserve"> </w:t>
      </w:r>
      <w:r w:rsidR="002B0057">
        <w:rPr>
          <w:rFonts w:cstheme="minorHAnsi"/>
        </w:rPr>
        <w:t xml:space="preserve">each displayed </w:t>
      </w:r>
      <w:r>
        <w:rPr>
          <w:rFonts w:cstheme="minorHAnsi"/>
        </w:rPr>
        <w:t>separately on a different page, but it’s not clear if this makes much of a difference, except possibly on how long it takes to complete the questions. (</w:t>
      </w:r>
      <w:proofErr w:type="spellStart"/>
      <w:r>
        <w:rPr>
          <w:rFonts w:cstheme="minorHAnsi"/>
        </w:rPr>
        <w:t>Couper</w:t>
      </w:r>
      <w:proofErr w:type="spellEnd"/>
      <w:r>
        <w:rPr>
          <w:rFonts w:cstheme="minorHAnsi"/>
        </w:rPr>
        <w:t xml:space="preserve"> and Lamias, 2001; </w:t>
      </w:r>
      <w:proofErr w:type="spellStart"/>
      <w:r>
        <w:rPr>
          <w:rFonts w:cstheme="minorHAnsi"/>
        </w:rPr>
        <w:t>Tourangeau</w:t>
      </w:r>
      <w:proofErr w:type="spellEnd"/>
      <w:r>
        <w:rPr>
          <w:rFonts w:cstheme="minorHAnsi"/>
        </w:rPr>
        <w:t xml:space="preserve"> et al</w:t>
      </w:r>
      <w:r w:rsidR="00EC6B77">
        <w:rPr>
          <w:rFonts w:cstheme="minorHAnsi"/>
        </w:rPr>
        <w:t>.</w:t>
      </w:r>
      <w:r>
        <w:rPr>
          <w:rFonts w:cstheme="minorHAnsi"/>
        </w:rPr>
        <w:t xml:space="preserve">, 2004, </w:t>
      </w:r>
      <w:proofErr w:type="spellStart"/>
      <w:r>
        <w:rPr>
          <w:rFonts w:cstheme="minorHAnsi"/>
        </w:rPr>
        <w:t>Couper</w:t>
      </w:r>
      <w:proofErr w:type="spellEnd"/>
      <w:r>
        <w:rPr>
          <w:rFonts w:cstheme="minorHAnsi"/>
        </w:rPr>
        <w:t xml:space="preserve"> et al., 2013).</w:t>
      </w:r>
    </w:p>
    <w:p w14:paraId="48A978FB" w14:textId="1A40A526" w:rsidR="003D4277" w:rsidRDefault="003D4277" w:rsidP="003D4277">
      <w:pPr>
        <w:pStyle w:val="ListParagraph"/>
        <w:numPr>
          <w:ilvl w:val="0"/>
          <w:numId w:val="42"/>
        </w:numPr>
        <w:rPr>
          <w:rFonts w:cstheme="minorHAnsi"/>
        </w:rPr>
      </w:pPr>
      <w:r>
        <w:rPr>
          <w:rFonts w:cstheme="minorHAnsi"/>
        </w:rPr>
        <w:t>In some studies</w:t>
      </w:r>
      <w:r w:rsidR="00EC6B77">
        <w:rPr>
          <w:rFonts w:cstheme="minorHAnsi"/>
        </w:rPr>
        <w:t>,</w:t>
      </w:r>
      <w:r>
        <w:rPr>
          <w:rFonts w:cstheme="minorHAnsi"/>
        </w:rPr>
        <w:t xml:space="preserve"> matrix questions have been completed more quickly and with higher inter-item corrections, but at least one researcher (</w:t>
      </w:r>
      <w:proofErr w:type="spellStart"/>
      <w:r>
        <w:rPr>
          <w:rFonts w:cstheme="minorHAnsi"/>
        </w:rPr>
        <w:t>Petchev</w:t>
      </w:r>
      <w:proofErr w:type="spellEnd"/>
      <w:r>
        <w:rPr>
          <w:rFonts w:cstheme="minorHAnsi"/>
        </w:rPr>
        <w:t>, 2009) has argued that the higher inter-item correlations could be a sign of lower quality responding.</w:t>
      </w:r>
    </w:p>
    <w:p w14:paraId="11D7D577" w14:textId="7D370EC4" w:rsidR="003D4277" w:rsidRPr="00540755" w:rsidRDefault="003D4277" w:rsidP="00540755">
      <w:pPr>
        <w:pStyle w:val="ListParagraph"/>
        <w:numPr>
          <w:ilvl w:val="0"/>
          <w:numId w:val="42"/>
        </w:numPr>
        <w:rPr>
          <w:rFonts w:cstheme="minorHAnsi"/>
        </w:rPr>
      </w:pPr>
      <w:r w:rsidRPr="003B22C4">
        <w:t xml:space="preserve">The orientation; that is, the vertical vs horizontal presentation of the rating scale </w:t>
      </w:r>
      <w:r>
        <w:t>has also shown</w:t>
      </w:r>
      <w:r w:rsidR="00540755">
        <w:t xml:space="preserve"> inconsistent effects</w:t>
      </w:r>
      <w:r w:rsidR="00152425">
        <w:t xml:space="preserve"> (</w:t>
      </w:r>
      <w:proofErr w:type="spellStart"/>
      <w:r w:rsidR="00152425">
        <w:t>Toepoel</w:t>
      </w:r>
      <w:proofErr w:type="spellEnd"/>
      <w:r w:rsidR="00152425">
        <w:t xml:space="preserve"> and van </w:t>
      </w:r>
      <w:proofErr w:type="spellStart"/>
      <w:r w:rsidR="00152425">
        <w:t>Soest</w:t>
      </w:r>
      <w:proofErr w:type="spellEnd"/>
      <w:r w:rsidR="00152425">
        <w:t>, 2009)</w:t>
      </w:r>
      <w:r w:rsidR="00540755">
        <w:t>.  However, i</w:t>
      </w:r>
      <w:r w:rsidRPr="00540755">
        <w:rPr>
          <w:rFonts w:cstheme="minorHAnsi"/>
        </w:rPr>
        <w:t xml:space="preserve">t </w:t>
      </w:r>
      <w:r w:rsidR="00540755" w:rsidRPr="00540755">
        <w:rPr>
          <w:rFonts w:cstheme="minorHAnsi"/>
        </w:rPr>
        <w:t>does matter</w:t>
      </w:r>
      <w:r w:rsidRPr="00540755">
        <w:rPr>
          <w:rFonts w:cstheme="minorHAnsi"/>
        </w:rPr>
        <w:t xml:space="preserve"> whether you list response options from positive to negative or from negative to positive, regardless of the orientation (vertical or horizontal)</w:t>
      </w:r>
      <w:r w:rsidR="00540755" w:rsidRPr="00540755">
        <w:rPr>
          <w:rFonts w:cstheme="minorHAnsi"/>
        </w:rPr>
        <w:t xml:space="preserve">, and when </w:t>
      </w:r>
      <w:r w:rsidRPr="00540755">
        <w:rPr>
          <w:rFonts w:cstheme="minorHAnsi"/>
        </w:rPr>
        <w:t>positive items are list</w:t>
      </w:r>
      <w:r w:rsidR="00540755">
        <w:rPr>
          <w:rFonts w:cstheme="minorHAnsi"/>
        </w:rPr>
        <w:t>ed on the left, bias is greater (Chan, 199</w:t>
      </w:r>
      <w:r w:rsidR="00CA79AB">
        <w:rPr>
          <w:rFonts w:cstheme="minorHAnsi"/>
        </w:rPr>
        <w:t xml:space="preserve">1; </w:t>
      </w:r>
      <w:proofErr w:type="spellStart"/>
      <w:r w:rsidR="00CA79AB">
        <w:t>Toepoel</w:t>
      </w:r>
      <w:proofErr w:type="spellEnd"/>
      <w:r w:rsidR="00CA79AB">
        <w:t xml:space="preserve"> and van </w:t>
      </w:r>
      <w:proofErr w:type="spellStart"/>
      <w:r w:rsidR="00CA79AB">
        <w:t>Soest</w:t>
      </w:r>
      <w:proofErr w:type="spellEnd"/>
      <w:r w:rsidR="00CA79AB">
        <w:t>, 2009).</w:t>
      </w:r>
      <w:r w:rsidR="00540755" w:rsidRPr="00540755">
        <w:rPr>
          <w:rFonts w:cstheme="minorHAnsi"/>
        </w:rPr>
        <w:t xml:space="preserve"> In addition, t</w:t>
      </w:r>
      <w:r w:rsidRPr="00540755">
        <w:rPr>
          <w:rFonts w:cstheme="minorHAnsi"/>
        </w:rPr>
        <w:t>he horizontal format with fully labeled response options seems less susceptible to bias.</w:t>
      </w:r>
    </w:p>
    <w:p w14:paraId="20250415" w14:textId="77777777" w:rsidR="003D4277" w:rsidRDefault="003D4277" w:rsidP="003D4277">
      <w:pPr>
        <w:rPr>
          <w:rFonts w:cstheme="minorHAnsi"/>
        </w:rPr>
      </w:pPr>
    </w:p>
    <w:p w14:paraId="0BF4816E" w14:textId="3AE3D929" w:rsidR="00EF017D" w:rsidRPr="009B7525" w:rsidRDefault="002B0057" w:rsidP="002B0057">
      <w:r>
        <w:rPr>
          <w:rFonts w:cstheme="minorHAnsi"/>
        </w:rPr>
        <w:t>A</w:t>
      </w:r>
      <w:r w:rsidR="003D4277">
        <w:rPr>
          <w:rFonts w:cstheme="minorHAnsi"/>
        </w:rPr>
        <w:t xml:space="preserve"> goal of </w:t>
      </w:r>
      <w:r>
        <w:rPr>
          <w:rFonts w:cstheme="minorHAnsi"/>
        </w:rPr>
        <w:t>the proposed</w:t>
      </w:r>
      <w:r w:rsidR="003D4277">
        <w:rPr>
          <w:rFonts w:cstheme="minorHAnsi"/>
        </w:rPr>
        <w:t xml:space="preserve"> research is to </w:t>
      </w:r>
      <w:r>
        <w:rPr>
          <w:rFonts w:cstheme="minorHAnsi"/>
        </w:rPr>
        <w:t xml:space="preserve">continue this line of research on the impact of question formatting </w:t>
      </w:r>
      <w:r w:rsidR="00EA51D2">
        <w:rPr>
          <w:rFonts w:cstheme="minorHAnsi"/>
        </w:rPr>
        <w:t>on</w:t>
      </w:r>
      <w:r>
        <w:rPr>
          <w:rFonts w:cstheme="minorHAnsi"/>
        </w:rPr>
        <w:t xml:space="preserve"> response quality.</w:t>
      </w:r>
    </w:p>
    <w:p w14:paraId="3E1606AB" w14:textId="77777777" w:rsidR="00EE7C9F" w:rsidRPr="009B7525" w:rsidRDefault="00EE7C9F" w:rsidP="00EF017D"/>
    <w:p w14:paraId="6E0AA051" w14:textId="77777777" w:rsidR="00EE7C9F" w:rsidRPr="009B7525" w:rsidRDefault="00EE7C9F" w:rsidP="004969C3">
      <w:pPr>
        <w:spacing w:after="120"/>
        <w:rPr>
          <w:b/>
        </w:rPr>
      </w:pPr>
      <w:r w:rsidRPr="009B7525">
        <w:rPr>
          <w:b/>
        </w:rPr>
        <w:t>II. Re</w:t>
      </w:r>
      <w:r w:rsidR="00EE7134" w:rsidRPr="009B7525">
        <w:rPr>
          <w:b/>
        </w:rPr>
        <w:t>spondents</w:t>
      </w:r>
    </w:p>
    <w:p w14:paraId="04679E34" w14:textId="384A92DA" w:rsidR="00CE404C" w:rsidRDefault="002B0057" w:rsidP="00CE404C">
      <w:r>
        <w:t>Respondents will be recruited from Amazon’s Mechanical Turk.  Only U.S. citizens, age 21 or older, will be allowed to participate.</w:t>
      </w:r>
      <w:r w:rsidR="00592D9F">
        <w:t xml:space="preserve"> </w:t>
      </w:r>
    </w:p>
    <w:p w14:paraId="5A717D04" w14:textId="77777777" w:rsidR="009E06F4" w:rsidRPr="009B7525" w:rsidRDefault="009E06F4"/>
    <w:p w14:paraId="4ED5D5B3" w14:textId="77777777" w:rsidR="009B7525" w:rsidRPr="00B11B1E" w:rsidRDefault="009B7525" w:rsidP="004969C3">
      <w:pPr>
        <w:spacing w:after="120"/>
        <w:rPr>
          <w:b/>
        </w:rPr>
      </w:pPr>
      <w:r w:rsidRPr="00B11B1E">
        <w:rPr>
          <w:b/>
        </w:rPr>
        <w:t>III. Research Design</w:t>
      </w:r>
    </w:p>
    <w:p w14:paraId="35BB92E0" w14:textId="77777777" w:rsidR="008A1768" w:rsidRDefault="008A1768" w:rsidP="008A1768">
      <w:pPr>
        <w:rPr>
          <w:rFonts w:cstheme="minorHAnsi"/>
        </w:rPr>
      </w:pPr>
      <w:r>
        <w:rPr>
          <w:rFonts w:cstheme="minorHAnsi"/>
        </w:rPr>
        <w:t>The analysis will focus on responses to four attitude questions that mention the following uses of the CPI:</w:t>
      </w:r>
    </w:p>
    <w:p w14:paraId="77FE5AE9" w14:textId="77777777" w:rsidR="008A1768" w:rsidRPr="00436209" w:rsidRDefault="008A1768" w:rsidP="008A1768">
      <w:pPr>
        <w:pStyle w:val="ListParagraph"/>
        <w:numPr>
          <w:ilvl w:val="0"/>
          <w:numId w:val="43"/>
        </w:numPr>
        <w:rPr>
          <w:rFonts w:cstheme="minorHAnsi"/>
        </w:rPr>
      </w:pPr>
      <w:r w:rsidRPr="00436209">
        <w:rPr>
          <w:rFonts w:cstheme="minorHAnsi"/>
        </w:rPr>
        <w:lastRenderedPageBreak/>
        <w:t>Adjusting Social Security payments</w:t>
      </w:r>
    </w:p>
    <w:p w14:paraId="73F29E0B" w14:textId="77777777" w:rsidR="008A1768" w:rsidRPr="00436209" w:rsidRDefault="008A1768" w:rsidP="008A1768">
      <w:pPr>
        <w:pStyle w:val="ListParagraph"/>
        <w:numPr>
          <w:ilvl w:val="0"/>
          <w:numId w:val="43"/>
        </w:numPr>
        <w:rPr>
          <w:rFonts w:cstheme="minorHAnsi"/>
        </w:rPr>
      </w:pPr>
      <w:r w:rsidRPr="00436209">
        <w:rPr>
          <w:rFonts w:cstheme="minorHAnsi"/>
        </w:rPr>
        <w:t>Adjusting retirement payments</w:t>
      </w:r>
    </w:p>
    <w:p w14:paraId="3DA60083" w14:textId="77777777" w:rsidR="008A1768" w:rsidRPr="00436209" w:rsidRDefault="008A1768" w:rsidP="008A1768">
      <w:pPr>
        <w:pStyle w:val="ListParagraph"/>
        <w:numPr>
          <w:ilvl w:val="0"/>
          <w:numId w:val="43"/>
        </w:numPr>
        <w:rPr>
          <w:rFonts w:cstheme="minorHAnsi"/>
        </w:rPr>
      </w:pPr>
      <w:r w:rsidRPr="00436209">
        <w:rPr>
          <w:rFonts w:cstheme="minorHAnsi"/>
        </w:rPr>
        <w:t>Adjusting the cost of school lunch programs</w:t>
      </w:r>
    </w:p>
    <w:p w14:paraId="246E6673" w14:textId="77777777" w:rsidR="008A1768" w:rsidRPr="00436209" w:rsidRDefault="008A1768" w:rsidP="008A1768">
      <w:pPr>
        <w:pStyle w:val="ListParagraph"/>
        <w:numPr>
          <w:ilvl w:val="0"/>
          <w:numId w:val="43"/>
        </w:numPr>
        <w:rPr>
          <w:rFonts w:cstheme="minorHAnsi"/>
        </w:rPr>
      </w:pPr>
      <w:r w:rsidRPr="00436209">
        <w:rPr>
          <w:rFonts w:cstheme="minorHAnsi"/>
        </w:rPr>
        <w:t>Adjusting food stamp benefits</w:t>
      </w:r>
    </w:p>
    <w:p w14:paraId="2D3718B5" w14:textId="77777777" w:rsidR="008A1768" w:rsidRDefault="008A1768" w:rsidP="002B0057">
      <w:pPr>
        <w:rPr>
          <w:rFonts w:cstheme="minorHAnsi"/>
        </w:rPr>
      </w:pPr>
    </w:p>
    <w:p w14:paraId="615BD550" w14:textId="09CBDA92" w:rsidR="002B0057" w:rsidRDefault="008A1768" w:rsidP="002B0057">
      <w:pPr>
        <w:rPr>
          <w:rFonts w:cstheme="minorHAnsi"/>
        </w:rPr>
      </w:pPr>
      <w:r>
        <w:rPr>
          <w:rFonts w:cstheme="minorHAnsi"/>
        </w:rPr>
        <w:t>Table 1</w:t>
      </w:r>
      <w:r w:rsidR="002B0057">
        <w:rPr>
          <w:rFonts w:cstheme="minorHAnsi"/>
        </w:rPr>
        <w:t xml:space="preserve"> shows how the three instruments vary.</w:t>
      </w:r>
      <w:r>
        <w:rPr>
          <w:rFonts w:cstheme="minorHAnsi"/>
        </w:rPr>
        <w:t xml:space="preserve">  </w:t>
      </w:r>
      <w:r w:rsidR="000A671F">
        <w:rPr>
          <w:rFonts w:cstheme="minorHAnsi"/>
        </w:rPr>
        <w:t xml:space="preserve">In </w:t>
      </w:r>
      <w:r>
        <w:rPr>
          <w:rFonts w:cstheme="minorHAnsi"/>
        </w:rPr>
        <w:t>Instrument 1</w:t>
      </w:r>
      <w:r w:rsidR="000A671F">
        <w:rPr>
          <w:rFonts w:cstheme="minorHAnsi"/>
        </w:rPr>
        <w:t>,</w:t>
      </w:r>
      <w:r>
        <w:rPr>
          <w:rFonts w:cstheme="minorHAnsi"/>
        </w:rPr>
        <w:t xml:space="preserve"> </w:t>
      </w:r>
      <w:r w:rsidR="000A671F">
        <w:rPr>
          <w:rFonts w:cstheme="minorHAnsi"/>
        </w:rPr>
        <w:t>the four</w:t>
      </w:r>
      <w:r>
        <w:rPr>
          <w:rFonts w:cstheme="minorHAnsi"/>
        </w:rPr>
        <w:t xml:space="preserve"> questions of interest</w:t>
      </w:r>
      <w:r w:rsidR="000A671F">
        <w:rPr>
          <w:rFonts w:cstheme="minorHAnsi"/>
        </w:rPr>
        <w:t xml:space="preserve"> are each displayed on a separate page with a horizontal response scale (and responses labeled from most positive to most negative).</w:t>
      </w:r>
    </w:p>
    <w:p w14:paraId="6C8CD02E" w14:textId="77777777" w:rsidR="000A671F" w:rsidRDefault="000A671F" w:rsidP="002B0057">
      <w:pPr>
        <w:rPr>
          <w:rFonts w:cstheme="minorHAnsi"/>
        </w:rPr>
      </w:pPr>
    </w:p>
    <w:p w14:paraId="711B6DEF" w14:textId="18F18166" w:rsidR="000A671F" w:rsidRDefault="000A671F" w:rsidP="002B0057">
      <w:pPr>
        <w:rPr>
          <w:rFonts w:cstheme="minorHAnsi"/>
        </w:rPr>
      </w:pPr>
      <w:r>
        <w:rPr>
          <w:rFonts w:cstheme="minorHAnsi"/>
        </w:rPr>
        <w:t>In Instrument 2, the four questions are displayed in a matrix, with the column headings containing the response options (therefore, shown as a horizontal scale, but part of a matrix).</w:t>
      </w:r>
    </w:p>
    <w:p w14:paraId="445556D8" w14:textId="77777777" w:rsidR="000A671F" w:rsidRDefault="000A671F" w:rsidP="002B0057">
      <w:pPr>
        <w:rPr>
          <w:rFonts w:cstheme="minorHAnsi"/>
        </w:rPr>
      </w:pPr>
    </w:p>
    <w:p w14:paraId="526C30CE" w14:textId="21E4AE30" w:rsidR="000A671F" w:rsidRDefault="000A671F" w:rsidP="000A671F">
      <w:pPr>
        <w:rPr>
          <w:rFonts w:cstheme="minorHAnsi"/>
        </w:rPr>
      </w:pPr>
      <w:r>
        <w:rPr>
          <w:rFonts w:cstheme="minorHAnsi"/>
        </w:rPr>
        <w:t>In Instrument 3, the four questions are each displayed on a separate page with a vertical response scale (and responses from top to bottom labeled from most positive to most negative).</w:t>
      </w:r>
    </w:p>
    <w:p w14:paraId="03FDF33C" w14:textId="4068FBB8" w:rsidR="000A671F" w:rsidRDefault="000A671F" w:rsidP="002B0057">
      <w:pPr>
        <w:rPr>
          <w:rFonts w:cstheme="minorHAnsi"/>
        </w:rPr>
      </w:pPr>
    </w:p>
    <w:p w14:paraId="1B134F35" w14:textId="58EFE13A" w:rsidR="002B0057" w:rsidRDefault="002B0057" w:rsidP="002B0057">
      <w:pPr>
        <w:spacing w:after="120"/>
        <w:rPr>
          <w:rFonts w:cstheme="minorHAnsi"/>
        </w:rPr>
      </w:pPr>
      <w:r>
        <w:rPr>
          <w:rFonts w:cstheme="minorHAnsi"/>
        </w:rPr>
        <w:t>Table 1.  Differences in the Online Data Collection Instruments</w:t>
      </w:r>
    </w:p>
    <w:tbl>
      <w:tblPr>
        <w:tblStyle w:val="TableGrid"/>
        <w:tblW w:w="0" w:type="auto"/>
        <w:tblLook w:val="04A0" w:firstRow="1" w:lastRow="0" w:firstColumn="1" w:lastColumn="0" w:noHBand="0" w:noVBand="1"/>
      </w:tblPr>
      <w:tblGrid>
        <w:gridCol w:w="1256"/>
        <w:gridCol w:w="1754"/>
        <w:gridCol w:w="1755"/>
        <w:gridCol w:w="2114"/>
        <w:gridCol w:w="2115"/>
      </w:tblGrid>
      <w:tr w:rsidR="00B323A1" w14:paraId="5BC76BF4" w14:textId="77777777" w:rsidTr="003A1781">
        <w:tc>
          <w:tcPr>
            <w:tcW w:w="1256" w:type="dxa"/>
            <w:vAlign w:val="center"/>
          </w:tcPr>
          <w:p w14:paraId="2C860393" w14:textId="77777777" w:rsidR="00B323A1" w:rsidRDefault="00B323A1" w:rsidP="00E931CE">
            <w:pPr>
              <w:jc w:val="center"/>
              <w:rPr>
                <w:rFonts w:cstheme="minorHAnsi"/>
              </w:rPr>
            </w:pPr>
          </w:p>
        </w:tc>
        <w:tc>
          <w:tcPr>
            <w:tcW w:w="3509" w:type="dxa"/>
            <w:gridSpan w:val="2"/>
            <w:vAlign w:val="center"/>
          </w:tcPr>
          <w:p w14:paraId="4F7D61DF" w14:textId="77777777" w:rsidR="003A1781" w:rsidRDefault="00B323A1" w:rsidP="00EF1277">
            <w:pPr>
              <w:jc w:val="center"/>
              <w:rPr>
                <w:rFonts w:cstheme="minorHAnsi"/>
              </w:rPr>
            </w:pPr>
            <w:r>
              <w:rPr>
                <w:rFonts w:cstheme="minorHAnsi"/>
              </w:rPr>
              <w:t xml:space="preserve">Format for Displaying </w:t>
            </w:r>
          </w:p>
          <w:p w14:paraId="4297E23C" w14:textId="18208D64" w:rsidR="00B323A1" w:rsidRDefault="00EF1277" w:rsidP="00EF1277">
            <w:pPr>
              <w:jc w:val="center"/>
              <w:rPr>
                <w:rFonts w:cstheme="minorHAnsi"/>
              </w:rPr>
            </w:pPr>
            <w:r>
              <w:rPr>
                <w:rFonts w:cstheme="minorHAnsi"/>
              </w:rPr>
              <w:t xml:space="preserve">Four </w:t>
            </w:r>
            <w:r w:rsidR="003A1781">
              <w:rPr>
                <w:rFonts w:cstheme="minorHAnsi"/>
              </w:rPr>
              <w:t xml:space="preserve">CPI-Use </w:t>
            </w:r>
            <w:r w:rsidR="00B323A1">
              <w:rPr>
                <w:rFonts w:cstheme="minorHAnsi"/>
              </w:rPr>
              <w:t>Questions</w:t>
            </w:r>
          </w:p>
        </w:tc>
        <w:tc>
          <w:tcPr>
            <w:tcW w:w="4229" w:type="dxa"/>
            <w:gridSpan w:val="2"/>
            <w:vAlign w:val="center"/>
          </w:tcPr>
          <w:p w14:paraId="3A6BFCA0" w14:textId="771A367A" w:rsidR="00B323A1" w:rsidRDefault="00B323A1" w:rsidP="00B323A1">
            <w:pPr>
              <w:jc w:val="center"/>
              <w:rPr>
                <w:rFonts w:cstheme="minorHAnsi"/>
              </w:rPr>
            </w:pPr>
            <w:r>
              <w:rPr>
                <w:rFonts w:cstheme="minorHAnsi"/>
              </w:rPr>
              <w:t>Format for Displaying Response Scales</w:t>
            </w:r>
          </w:p>
        </w:tc>
      </w:tr>
      <w:tr w:rsidR="002B0057" w14:paraId="019E07BC" w14:textId="77777777" w:rsidTr="003A1781">
        <w:tc>
          <w:tcPr>
            <w:tcW w:w="1256" w:type="dxa"/>
            <w:vAlign w:val="center"/>
          </w:tcPr>
          <w:p w14:paraId="4ED2625E" w14:textId="50AF389F" w:rsidR="002B0057" w:rsidRDefault="008A1768" w:rsidP="00E931CE">
            <w:pPr>
              <w:jc w:val="center"/>
              <w:rPr>
                <w:rFonts w:cstheme="minorHAnsi"/>
              </w:rPr>
            </w:pPr>
            <w:r>
              <w:rPr>
                <w:rFonts w:cstheme="minorHAnsi"/>
              </w:rPr>
              <w:t>Instrument</w:t>
            </w:r>
          </w:p>
        </w:tc>
        <w:tc>
          <w:tcPr>
            <w:tcW w:w="1754" w:type="dxa"/>
            <w:vAlign w:val="center"/>
          </w:tcPr>
          <w:p w14:paraId="7814A03D" w14:textId="77777777" w:rsidR="002B0057" w:rsidRDefault="002B0057" w:rsidP="00E931CE">
            <w:pPr>
              <w:jc w:val="center"/>
              <w:rPr>
                <w:rFonts w:cstheme="minorHAnsi"/>
              </w:rPr>
            </w:pPr>
            <w:r>
              <w:rPr>
                <w:rFonts w:cstheme="minorHAnsi"/>
              </w:rPr>
              <w:t>Matrix Q</w:t>
            </w:r>
          </w:p>
        </w:tc>
        <w:tc>
          <w:tcPr>
            <w:tcW w:w="1755" w:type="dxa"/>
            <w:vAlign w:val="center"/>
          </w:tcPr>
          <w:p w14:paraId="4A543A2C" w14:textId="77777777" w:rsidR="002B0057" w:rsidRDefault="002B0057" w:rsidP="00E931CE">
            <w:pPr>
              <w:jc w:val="center"/>
              <w:rPr>
                <w:rFonts w:cstheme="minorHAnsi"/>
              </w:rPr>
            </w:pPr>
            <w:r>
              <w:rPr>
                <w:rFonts w:cstheme="minorHAnsi"/>
              </w:rPr>
              <w:t>Separate Q on separate page</w:t>
            </w:r>
          </w:p>
        </w:tc>
        <w:tc>
          <w:tcPr>
            <w:tcW w:w="2114" w:type="dxa"/>
            <w:vAlign w:val="center"/>
          </w:tcPr>
          <w:p w14:paraId="1C48871F" w14:textId="77777777" w:rsidR="002B0057" w:rsidRDefault="002B0057" w:rsidP="00E931CE">
            <w:pPr>
              <w:jc w:val="center"/>
              <w:rPr>
                <w:rFonts w:cstheme="minorHAnsi"/>
              </w:rPr>
            </w:pPr>
            <w:r>
              <w:rPr>
                <w:rFonts w:cstheme="minorHAnsi"/>
              </w:rPr>
              <w:t>Vertical scale</w:t>
            </w:r>
          </w:p>
        </w:tc>
        <w:tc>
          <w:tcPr>
            <w:tcW w:w="2115" w:type="dxa"/>
            <w:vAlign w:val="center"/>
          </w:tcPr>
          <w:p w14:paraId="257481A3" w14:textId="77777777" w:rsidR="002B0057" w:rsidRDefault="002B0057" w:rsidP="00E931CE">
            <w:pPr>
              <w:jc w:val="center"/>
              <w:rPr>
                <w:rFonts w:cstheme="minorHAnsi"/>
              </w:rPr>
            </w:pPr>
            <w:r>
              <w:rPr>
                <w:rFonts w:cstheme="minorHAnsi"/>
              </w:rPr>
              <w:t>Horizontal Scale</w:t>
            </w:r>
          </w:p>
        </w:tc>
      </w:tr>
      <w:tr w:rsidR="002B0057" w14:paraId="32789A29" w14:textId="77777777" w:rsidTr="003A1781">
        <w:tc>
          <w:tcPr>
            <w:tcW w:w="1256" w:type="dxa"/>
            <w:vAlign w:val="center"/>
          </w:tcPr>
          <w:p w14:paraId="269B6FA5" w14:textId="77777777" w:rsidR="002B0057" w:rsidRDefault="002B0057" w:rsidP="00E931CE">
            <w:pPr>
              <w:jc w:val="center"/>
              <w:rPr>
                <w:rFonts w:cstheme="minorHAnsi"/>
              </w:rPr>
            </w:pPr>
            <w:r>
              <w:rPr>
                <w:rFonts w:cstheme="minorHAnsi"/>
              </w:rPr>
              <w:t>1</w:t>
            </w:r>
          </w:p>
        </w:tc>
        <w:tc>
          <w:tcPr>
            <w:tcW w:w="1754" w:type="dxa"/>
            <w:vAlign w:val="center"/>
          </w:tcPr>
          <w:p w14:paraId="3416D733" w14:textId="77777777" w:rsidR="002B0057" w:rsidRDefault="002B0057" w:rsidP="00E931CE">
            <w:pPr>
              <w:jc w:val="center"/>
              <w:rPr>
                <w:rFonts w:cstheme="minorHAnsi"/>
              </w:rPr>
            </w:pPr>
          </w:p>
        </w:tc>
        <w:tc>
          <w:tcPr>
            <w:tcW w:w="1755" w:type="dxa"/>
            <w:vAlign w:val="center"/>
          </w:tcPr>
          <w:p w14:paraId="6B4A7EBA" w14:textId="77777777" w:rsidR="002B0057" w:rsidRDefault="002B0057" w:rsidP="00E931CE">
            <w:pPr>
              <w:jc w:val="center"/>
              <w:rPr>
                <w:rFonts w:cstheme="minorHAnsi"/>
              </w:rPr>
            </w:pPr>
            <w:r>
              <w:rPr>
                <w:rFonts w:cstheme="minorHAnsi"/>
              </w:rPr>
              <w:t>X</w:t>
            </w:r>
          </w:p>
        </w:tc>
        <w:tc>
          <w:tcPr>
            <w:tcW w:w="2114" w:type="dxa"/>
            <w:vAlign w:val="center"/>
          </w:tcPr>
          <w:p w14:paraId="23EC9ACC" w14:textId="77777777" w:rsidR="002B0057" w:rsidRDefault="002B0057" w:rsidP="00E931CE">
            <w:pPr>
              <w:jc w:val="center"/>
              <w:rPr>
                <w:rFonts w:cstheme="minorHAnsi"/>
              </w:rPr>
            </w:pPr>
          </w:p>
        </w:tc>
        <w:tc>
          <w:tcPr>
            <w:tcW w:w="2115" w:type="dxa"/>
            <w:vAlign w:val="center"/>
          </w:tcPr>
          <w:p w14:paraId="46FB51A9" w14:textId="77777777" w:rsidR="002B0057" w:rsidRDefault="002B0057" w:rsidP="00E931CE">
            <w:pPr>
              <w:jc w:val="center"/>
              <w:rPr>
                <w:rFonts w:cstheme="minorHAnsi"/>
              </w:rPr>
            </w:pPr>
            <w:r>
              <w:rPr>
                <w:rFonts w:cstheme="minorHAnsi"/>
              </w:rPr>
              <w:t>X</w:t>
            </w:r>
          </w:p>
        </w:tc>
      </w:tr>
      <w:tr w:rsidR="002B0057" w14:paraId="0D07D7B2" w14:textId="77777777" w:rsidTr="003A1781">
        <w:tc>
          <w:tcPr>
            <w:tcW w:w="1256" w:type="dxa"/>
            <w:vAlign w:val="center"/>
          </w:tcPr>
          <w:p w14:paraId="57BEE199" w14:textId="77777777" w:rsidR="002B0057" w:rsidRDefault="002B0057" w:rsidP="00E931CE">
            <w:pPr>
              <w:jc w:val="center"/>
              <w:rPr>
                <w:rFonts w:cstheme="minorHAnsi"/>
              </w:rPr>
            </w:pPr>
            <w:r>
              <w:rPr>
                <w:rFonts w:cstheme="minorHAnsi"/>
              </w:rPr>
              <w:t>2</w:t>
            </w:r>
          </w:p>
        </w:tc>
        <w:tc>
          <w:tcPr>
            <w:tcW w:w="1754" w:type="dxa"/>
            <w:vAlign w:val="center"/>
          </w:tcPr>
          <w:p w14:paraId="50E18818" w14:textId="77777777" w:rsidR="002B0057" w:rsidRDefault="002B0057" w:rsidP="00E931CE">
            <w:pPr>
              <w:jc w:val="center"/>
              <w:rPr>
                <w:rFonts w:cstheme="minorHAnsi"/>
              </w:rPr>
            </w:pPr>
            <w:r>
              <w:rPr>
                <w:rFonts w:cstheme="minorHAnsi"/>
              </w:rPr>
              <w:t>X</w:t>
            </w:r>
          </w:p>
        </w:tc>
        <w:tc>
          <w:tcPr>
            <w:tcW w:w="1755" w:type="dxa"/>
            <w:vAlign w:val="center"/>
          </w:tcPr>
          <w:p w14:paraId="772ECE91" w14:textId="77777777" w:rsidR="002B0057" w:rsidRDefault="002B0057" w:rsidP="00E931CE">
            <w:pPr>
              <w:jc w:val="center"/>
              <w:rPr>
                <w:rFonts w:cstheme="minorHAnsi"/>
              </w:rPr>
            </w:pPr>
          </w:p>
        </w:tc>
        <w:tc>
          <w:tcPr>
            <w:tcW w:w="2114" w:type="dxa"/>
            <w:vAlign w:val="center"/>
          </w:tcPr>
          <w:p w14:paraId="59B78650" w14:textId="77777777" w:rsidR="002B0057" w:rsidRDefault="002B0057" w:rsidP="00E931CE">
            <w:pPr>
              <w:jc w:val="center"/>
              <w:rPr>
                <w:rFonts w:cstheme="minorHAnsi"/>
              </w:rPr>
            </w:pPr>
          </w:p>
        </w:tc>
        <w:tc>
          <w:tcPr>
            <w:tcW w:w="2115" w:type="dxa"/>
            <w:vAlign w:val="center"/>
          </w:tcPr>
          <w:p w14:paraId="70A88BCB" w14:textId="77777777" w:rsidR="002B0057" w:rsidRDefault="002B0057" w:rsidP="00E931CE">
            <w:pPr>
              <w:jc w:val="center"/>
              <w:rPr>
                <w:rFonts w:cstheme="minorHAnsi"/>
              </w:rPr>
            </w:pPr>
            <w:r>
              <w:rPr>
                <w:rFonts w:cstheme="minorHAnsi"/>
              </w:rPr>
              <w:t>X</w:t>
            </w:r>
          </w:p>
        </w:tc>
      </w:tr>
      <w:tr w:rsidR="002B0057" w14:paraId="7DCA515D" w14:textId="77777777" w:rsidTr="003A1781">
        <w:tc>
          <w:tcPr>
            <w:tcW w:w="1256" w:type="dxa"/>
            <w:vAlign w:val="center"/>
          </w:tcPr>
          <w:p w14:paraId="00EA7F57" w14:textId="77777777" w:rsidR="002B0057" w:rsidRDefault="002B0057" w:rsidP="00E931CE">
            <w:pPr>
              <w:jc w:val="center"/>
              <w:rPr>
                <w:rFonts w:cstheme="minorHAnsi"/>
              </w:rPr>
            </w:pPr>
            <w:r>
              <w:rPr>
                <w:rFonts w:cstheme="minorHAnsi"/>
              </w:rPr>
              <w:t>3</w:t>
            </w:r>
          </w:p>
        </w:tc>
        <w:tc>
          <w:tcPr>
            <w:tcW w:w="1754" w:type="dxa"/>
            <w:vAlign w:val="center"/>
          </w:tcPr>
          <w:p w14:paraId="3F23DE82" w14:textId="77777777" w:rsidR="002B0057" w:rsidRDefault="002B0057" w:rsidP="00E931CE">
            <w:pPr>
              <w:jc w:val="center"/>
              <w:rPr>
                <w:rFonts w:cstheme="minorHAnsi"/>
              </w:rPr>
            </w:pPr>
          </w:p>
        </w:tc>
        <w:tc>
          <w:tcPr>
            <w:tcW w:w="1755" w:type="dxa"/>
            <w:vAlign w:val="center"/>
          </w:tcPr>
          <w:p w14:paraId="5E1BFA04" w14:textId="77777777" w:rsidR="002B0057" w:rsidRDefault="002B0057" w:rsidP="00E931CE">
            <w:pPr>
              <w:jc w:val="center"/>
              <w:rPr>
                <w:rFonts w:cstheme="minorHAnsi"/>
              </w:rPr>
            </w:pPr>
            <w:r>
              <w:rPr>
                <w:rFonts w:cstheme="minorHAnsi"/>
              </w:rPr>
              <w:t>X</w:t>
            </w:r>
          </w:p>
        </w:tc>
        <w:tc>
          <w:tcPr>
            <w:tcW w:w="2114" w:type="dxa"/>
            <w:vAlign w:val="center"/>
          </w:tcPr>
          <w:p w14:paraId="72535A1F" w14:textId="77777777" w:rsidR="002B0057" w:rsidRDefault="002B0057" w:rsidP="00E931CE">
            <w:pPr>
              <w:jc w:val="center"/>
              <w:rPr>
                <w:rFonts w:cstheme="minorHAnsi"/>
              </w:rPr>
            </w:pPr>
            <w:r>
              <w:rPr>
                <w:rFonts w:cstheme="minorHAnsi"/>
              </w:rPr>
              <w:t>X</w:t>
            </w:r>
          </w:p>
        </w:tc>
        <w:tc>
          <w:tcPr>
            <w:tcW w:w="2115" w:type="dxa"/>
            <w:vAlign w:val="center"/>
          </w:tcPr>
          <w:p w14:paraId="02B53BF8" w14:textId="77777777" w:rsidR="002B0057" w:rsidRDefault="002B0057" w:rsidP="00E931CE">
            <w:pPr>
              <w:jc w:val="center"/>
              <w:rPr>
                <w:rFonts w:cstheme="minorHAnsi"/>
              </w:rPr>
            </w:pPr>
          </w:p>
        </w:tc>
      </w:tr>
    </w:tbl>
    <w:p w14:paraId="55A0466F" w14:textId="77777777" w:rsidR="002B0057" w:rsidRDefault="002B0057" w:rsidP="002B0057">
      <w:pPr>
        <w:rPr>
          <w:rFonts w:cstheme="minorHAnsi"/>
        </w:rPr>
      </w:pPr>
    </w:p>
    <w:p w14:paraId="3062B5E3" w14:textId="6717DA23" w:rsidR="002B0057" w:rsidRDefault="000A671F" w:rsidP="002B0057">
      <w:pPr>
        <w:rPr>
          <w:rFonts w:cstheme="minorHAnsi"/>
        </w:rPr>
      </w:pPr>
      <w:r>
        <w:rPr>
          <w:rFonts w:cstheme="minorHAnsi"/>
        </w:rPr>
        <w:t>In addition, i</w:t>
      </w:r>
      <w:r w:rsidR="002B0057">
        <w:rPr>
          <w:rFonts w:cstheme="minorHAnsi"/>
        </w:rPr>
        <w:t xml:space="preserve">n all three versions of the </w:t>
      </w:r>
      <w:r>
        <w:rPr>
          <w:rFonts w:cstheme="minorHAnsi"/>
        </w:rPr>
        <w:t>instruments</w:t>
      </w:r>
      <w:r w:rsidR="002B0057">
        <w:rPr>
          <w:rFonts w:cstheme="minorHAnsi"/>
        </w:rPr>
        <w:t xml:space="preserve">, </w:t>
      </w:r>
      <w:r>
        <w:rPr>
          <w:rFonts w:cstheme="minorHAnsi"/>
        </w:rPr>
        <w:t xml:space="preserve">the order of the four </w:t>
      </w:r>
      <w:r w:rsidR="002B0057">
        <w:rPr>
          <w:rFonts w:cstheme="minorHAnsi"/>
        </w:rPr>
        <w:t xml:space="preserve">questions mentioning the key uses of the CPI </w:t>
      </w:r>
      <w:r w:rsidR="003056BC">
        <w:rPr>
          <w:rFonts w:cstheme="minorHAnsi"/>
        </w:rPr>
        <w:t>is</w:t>
      </w:r>
      <w:r w:rsidR="002B0057">
        <w:rPr>
          <w:rFonts w:cstheme="minorHAnsi"/>
        </w:rPr>
        <w:t xml:space="preserve"> randomized. </w:t>
      </w:r>
      <w:r w:rsidR="003056BC">
        <w:rPr>
          <w:rFonts w:cstheme="minorHAnsi"/>
        </w:rPr>
        <w:t>And</w:t>
      </w:r>
      <w:r w:rsidR="003A1781">
        <w:rPr>
          <w:rFonts w:cstheme="minorHAnsi"/>
        </w:rPr>
        <w:t xml:space="preserve">, in Instrument 2, the format of the response scale for Questions 1 and 3 </w:t>
      </w:r>
      <w:r w:rsidR="002B0573">
        <w:rPr>
          <w:rFonts w:cstheme="minorHAnsi"/>
        </w:rPr>
        <w:t>was changed to horizontal</w:t>
      </w:r>
      <w:r w:rsidR="003A1781">
        <w:rPr>
          <w:rFonts w:cstheme="minorHAnsi"/>
        </w:rPr>
        <w:t xml:space="preserve"> to generate more data for the horizontal vs. vertical scale comparison.</w:t>
      </w:r>
    </w:p>
    <w:p w14:paraId="0377466A" w14:textId="77777777" w:rsidR="00B516B5" w:rsidRDefault="00B516B5" w:rsidP="00204318"/>
    <w:p w14:paraId="11D4FA79" w14:textId="77777777" w:rsidR="00EB67F6" w:rsidRPr="00EB67F6" w:rsidRDefault="00FD49C4" w:rsidP="00FD49C4">
      <w:pPr>
        <w:rPr>
          <w:b/>
        </w:rPr>
      </w:pPr>
      <w:r>
        <w:t xml:space="preserve"> </w:t>
      </w:r>
      <w:r w:rsidR="00EB67F6" w:rsidRPr="00EB67F6">
        <w:rPr>
          <w:b/>
        </w:rPr>
        <w:t>IV. Burden Hours</w:t>
      </w:r>
    </w:p>
    <w:p w14:paraId="33FAA886" w14:textId="567E9B56" w:rsidR="00C446A7" w:rsidRDefault="00862203" w:rsidP="00FD49C4">
      <w:r w:rsidRPr="00862203">
        <w:rPr>
          <w:u w:val="single"/>
        </w:rPr>
        <w:t>Recruitment.</w:t>
      </w:r>
      <w:r>
        <w:t xml:space="preserve">  </w:t>
      </w:r>
      <w:r w:rsidR="00C446A7">
        <w:t>Since</w:t>
      </w:r>
      <w:r w:rsidR="00C225D2">
        <w:t xml:space="preserve"> participants will be recruited through Amazon’s Mechanical Turk, there are no burden hours for recruitment.</w:t>
      </w:r>
      <w:r w:rsidR="00C446A7">
        <w:t xml:space="preserve"> </w:t>
      </w:r>
    </w:p>
    <w:p w14:paraId="6DDA5663" w14:textId="77777777" w:rsidR="00C446A7" w:rsidRDefault="00C446A7" w:rsidP="00FD49C4"/>
    <w:p w14:paraId="25377FB1" w14:textId="77777777" w:rsidR="00C225D2" w:rsidRDefault="00C225D2" w:rsidP="00FD49C4">
      <w:r>
        <w:t>Each instrument is estimated to take an average of 5 minutes to complete.  The number of participants that will complete each instrument is shown in Table 2.</w:t>
      </w:r>
    </w:p>
    <w:p w14:paraId="40ED8529" w14:textId="77777777" w:rsidR="00C225D2" w:rsidRDefault="00C225D2" w:rsidP="00FD49C4"/>
    <w:p w14:paraId="7C30CF66" w14:textId="731A39ED" w:rsidR="00DE0765" w:rsidRDefault="00C225D2" w:rsidP="00FD49C4">
      <w:r>
        <w:t xml:space="preserve">Table 2.  Number of Participants  </w:t>
      </w:r>
      <w:r w:rsidR="00DE0765">
        <w:t xml:space="preserve"> </w:t>
      </w:r>
    </w:p>
    <w:p w14:paraId="2350220A" w14:textId="77777777" w:rsidR="00DE0765" w:rsidRDefault="00DE0765" w:rsidP="00FD49C4"/>
    <w:tbl>
      <w:tblPr>
        <w:tblStyle w:val="TableGrid"/>
        <w:tblW w:w="0" w:type="auto"/>
        <w:tblLook w:val="04A0" w:firstRow="1" w:lastRow="0" w:firstColumn="1" w:lastColumn="0" w:noHBand="0" w:noVBand="1"/>
      </w:tblPr>
      <w:tblGrid>
        <w:gridCol w:w="1525"/>
        <w:gridCol w:w="2970"/>
      </w:tblGrid>
      <w:tr w:rsidR="00C225D2" w14:paraId="77BA513C" w14:textId="77777777" w:rsidTr="00C225D2">
        <w:tc>
          <w:tcPr>
            <w:tcW w:w="1525" w:type="dxa"/>
            <w:vAlign w:val="center"/>
          </w:tcPr>
          <w:p w14:paraId="034BC733" w14:textId="0F8EDEAB" w:rsidR="00C225D2" w:rsidRDefault="00C225D2" w:rsidP="00C225D2">
            <w:r>
              <w:rPr>
                <w:rFonts w:cstheme="minorHAnsi"/>
              </w:rPr>
              <w:t>Instrument</w:t>
            </w:r>
          </w:p>
        </w:tc>
        <w:tc>
          <w:tcPr>
            <w:tcW w:w="2970" w:type="dxa"/>
          </w:tcPr>
          <w:p w14:paraId="0D25A1BC" w14:textId="163F30AE" w:rsidR="00C225D2" w:rsidRDefault="00C225D2" w:rsidP="00C225D2">
            <w:r>
              <w:t>Number of Participants</w:t>
            </w:r>
          </w:p>
        </w:tc>
      </w:tr>
      <w:tr w:rsidR="00C225D2" w14:paraId="393F775C" w14:textId="77777777" w:rsidTr="00C225D2">
        <w:tc>
          <w:tcPr>
            <w:tcW w:w="1525" w:type="dxa"/>
            <w:vAlign w:val="center"/>
          </w:tcPr>
          <w:p w14:paraId="41CB5483" w14:textId="77010775" w:rsidR="00C225D2" w:rsidRDefault="00C225D2" w:rsidP="00C225D2">
            <w:pPr>
              <w:jc w:val="center"/>
            </w:pPr>
            <w:r>
              <w:rPr>
                <w:rFonts w:cstheme="minorHAnsi"/>
              </w:rPr>
              <w:t>1</w:t>
            </w:r>
          </w:p>
        </w:tc>
        <w:tc>
          <w:tcPr>
            <w:tcW w:w="2970" w:type="dxa"/>
            <w:vAlign w:val="center"/>
          </w:tcPr>
          <w:p w14:paraId="3075FB89" w14:textId="3145DA50" w:rsidR="00C225D2" w:rsidRDefault="007E2811" w:rsidP="00C225D2">
            <w:pPr>
              <w:jc w:val="center"/>
            </w:pPr>
            <w:r>
              <w:t>2</w:t>
            </w:r>
            <w:r w:rsidR="00C225D2">
              <w:t>00</w:t>
            </w:r>
          </w:p>
        </w:tc>
      </w:tr>
      <w:tr w:rsidR="00C225D2" w14:paraId="46835A51" w14:textId="77777777" w:rsidTr="00C225D2">
        <w:tc>
          <w:tcPr>
            <w:tcW w:w="1525" w:type="dxa"/>
            <w:vAlign w:val="center"/>
          </w:tcPr>
          <w:p w14:paraId="52D2CDED" w14:textId="7D87FC53" w:rsidR="00C225D2" w:rsidRDefault="00C225D2" w:rsidP="00C225D2">
            <w:pPr>
              <w:jc w:val="center"/>
            </w:pPr>
            <w:r>
              <w:rPr>
                <w:rFonts w:cstheme="minorHAnsi"/>
              </w:rPr>
              <w:t>2</w:t>
            </w:r>
          </w:p>
        </w:tc>
        <w:tc>
          <w:tcPr>
            <w:tcW w:w="2970" w:type="dxa"/>
            <w:vAlign w:val="center"/>
          </w:tcPr>
          <w:p w14:paraId="7C32DE34" w14:textId="09BAE37E" w:rsidR="00C225D2" w:rsidRDefault="007E2811" w:rsidP="00C225D2">
            <w:pPr>
              <w:jc w:val="center"/>
            </w:pPr>
            <w:r>
              <w:t>2</w:t>
            </w:r>
            <w:r w:rsidR="00C225D2">
              <w:t>00</w:t>
            </w:r>
          </w:p>
        </w:tc>
      </w:tr>
      <w:tr w:rsidR="00C225D2" w14:paraId="41885D52" w14:textId="77777777" w:rsidTr="00C225D2">
        <w:tc>
          <w:tcPr>
            <w:tcW w:w="1525" w:type="dxa"/>
            <w:vAlign w:val="center"/>
          </w:tcPr>
          <w:p w14:paraId="382C9EC8" w14:textId="64E800D9" w:rsidR="00C225D2" w:rsidRDefault="00C225D2" w:rsidP="00C225D2">
            <w:pPr>
              <w:jc w:val="center"/>
            </w:pPr>
            <w:r>
              <w:rPr>
                <w:rFonts w:cstheme="minorHAnsi"/>
              </w:rPr>
              <w:t>3</w:t>
            </w:r>
          </w:p>
        </w:tc>
        <w:tc>
          <w:tcPr>
            <w:tcW w:w="2970" w:type="dxa"/>
            <w:vAlign w:val="center"/>
          </w:tcPr>
          <w:p w14:paraId="22D431D4" w14:textId="1F430D76" w:rsidR="00C225D2" w:rsidRDefault="007E2811" w:rsidP="00C225D2">
            <w:pPr>
              <w:jc w:val="center"/>
            </w:pPr>
            <w:r>
              <w:t>2</w:t>
            </w:r>
            <w:r w:rsidR="00C225D2">
              <w:t>00</w:t>
            </w:r>
          </w:p>
        </w:tc>
      </w:tr>
    </w:tbl>
    <w:p w14:paraId="3CB18405" w14:textId="77777777" w:rsidR="00C73C86" w:rsidRDefault="00C73C86" w:rsidP="00FD49C4"/>
    <w:p w14:paraId="230375D7" w14:textId="77777777" w:rsidR="00C73C86" w:rsidRDefault="00C73C86" w:rsidP="00FD49C4"/>
    <w:p w14:paraId="77DC3AB9" w14:textId="5FF73515" w:rsidR="008D3AB4" w:rsidRDefault="002B0573" w:rsidP="002B0573">
      <w:pPr>
        <w:spacing w:after="120"/>
      </w:pPr>
      <w:r>
        <w:lastRenderedPageBreak/>
        <w:t xml:space="preserve">The </w:t>
      </w:r>
      <w:r w:rsidR="007E2811">
        <w:t>number</w:t>
      </w:r>
      <w:bookmarkStart w:id="0" w:name="_GoBack"/>
      <w:bookmarkEnd w:id="0"/>
      <w:r w:rsidR="008D3AB4">
        <w:t xml:space="preserve"> </w:t>
      </w:r>
      <w:r>
        <w:t xml:space="preserve">of </w:t>
      </w:r>
      <w:r w:rsidR="008D3AB4">
        <w:t>burden hours is est</w:t>
      </w:r>
      <w:r w:rsidR="00A736EB">
        <w:t>imated to be</w:t>
      </w:r>
      <w:r w:rsidR="007E2811">
        <w:t xml:space="preserve"> 50 (6</w:t>
      </w:r>
      <w:r w:rsidR="00C225D2">
        <w:t xml:space="preserve">00 people x 5 minutes divided by 60 min = </w:t>
      </w:r>
      <w:r w:rsidR="007E2811">
        <w:t>50</w:t>
      </w:r>
      <w:r w:rsidR="00C225D2">
        <w:t xml:space="preserve"> hours).</w:t>
      </w:r>
      <w:r w:rsidR="008D3AB4">
        <w:tab/>
      </w:r>
      <w:r w:rsidR="00C446A7">
        <w:t xml:space="preserve">     </w:t>
      </w:r>
    </w:p>
    <w:p w14:paraId="374DC113" w14:textId="77777777" w:rsidR="009B12A6" w:rsidRDefault="009B12A6" w:rsidP="008D3AB4"/>
    <w:p w14:paraId="3CF4CEB1" w14:textId="1C532496" w:rsidR="009B12A6" w:rsidRPr="00C73C86" w:rsidRDefault="009B12A6" w:rsidP="008D3AB4">
      <w:pPr>
        <w:rPr>
          <w:b/>
        </w:rPr>
      </w:pPr>
      <w:r w:rsidRPr="00C73C86">
        <w:rPr>
          <w:b/>
        </w:rPr>
        <w:t>V. Payment to Respondents</w:t>
      </w:r>
    </w:p>
    <w:p w14:paraId="16AA3F82" w14:textId="5821CD54" w:rsidR="009B12A6" w:rsidRPr="008D3AB4" w:rsidRDefault="002B0573" w:rsidP="008D3AB4">
      <w:r>
        <w:t xml:space="preserve">Participants will be paid $2.10 for completing the survey.  </w:t>
      </w:r>
    </w:p>
    <w:p w14:paraId="4F7DD83D" w14:textId="7BBA1C34" w:rsidR="00062790" w:rsidRDefault="00062790" w:rsidP="00FD49C4"/>
    <w:p w14:paraId="29DD7BD8" w14:textId="77777777" w:rsidR="005B2022" w:rsidRPr="005B2022" w:rsidRDefault="005B2022" w:rsidP="00FD49C4">
      <w:pPr>
        <w:rPr>
          <w:b/>
        </w:rPr>
      </w:pPr>
      <w:r w:rsidRPr="005B2022">
        <w:rPr>
          <w:b/>
        </w:rPr>
        <w:t>V. Data Confidentiality</w:t>
      </w:r>
    </w:p>
    <w:p w14:paraId="58487658" w14:textId="24023D44" w:rsidR="005B2022" w:rsidRDefault="002B0573" w:rsidP="00FD49C4">
      <w:r>
        <w:t>BLS will not provide a guarantee of confidentiality.</w:t>
      </w:r>
    </w:p>
    <w:p w14:paraId="2D9D437B" w14:textId="77777777" w:rsidR="005B2022" w:rsidRDefault="005B2022" w:rsidP="005B2022">
      <w:pPr>
        <w:pStyle w:val="Default"/>
        <w:ind w:left="720" w:right="720"/>
        <w:rPr>
          <w:rFonts w:ascii="Times New Roman" w:hAnsi="Times New Roman" w:cs="Times New Roman"/>
        </w:rPr>
      </w:pPr>
    </w:p>
    <w:p w14:paraId="053295C9" w14:textId="77777777" w:rsidR="005B2022" w:rsidRDefault="00A14C70" w:rsidP="00D57CA2">
      <w:pPr>
        <w:pStyle w:val="Default"/>
        <w:spacing w:after="120"/>
        <w:rPr>
          <w:rFonts w:ascii="Times New Roman" w:hAnsi="Times New Roman" w:cs="Times New Roman"/>
          <w:b/>
        </w:rPr>
      </w:pPr>
      <w:r w:rsidRPr="00A14C70">
        <w:rPr>
          <w:rFonts w:ascii="Times New Roman" w:hAnsi="Times New Roman" w:cs="Times New Roman"/>
          <w:b/>
        </w:rPr>
        <w:t>VI. Attachments</w:t>
      </w:r>
    </w:p>
    <w:p w14:paraId="04F5266F" w14:textId="5BC9040F" w:rsidR="002B0573" w:rsidRDefault="002B0573" w:rsidP="00D57CA2">
      <w:pPr>
        <w:pStyle w:val="Default"/>
        <w:spacing w:after="120"/>
        <w:rPr>
          <w:rFonts w:ascii="Times New Roman" w:hAnsi="Times New Roman" w:cs="Times New Roman"/>
        </w:rPr>
      </w:pPr>
      <w:r>
        <w:rPr>
          <w:rFonts w:ascii="Times New Roman" w:hAnsi="Times New Roman" w:cs="Times New Roman"/>
          <w:b/>
        </w:rPr>
        <w:tab/>
      </w:r>
      <w:r>
        <w:rPr>
          <w:rFonts w:ascii="Times New Roman" w:hAnsi="Times New Roman" w:cs="Times New Roman"/>
        </w:rPr>
        <w:t>PDFs of the data collection instruments</w:t>
      </w:r>
    </w:p>
    <w:p w14:paraId="49ADA5CA" w14:textId="77777777" w:rsidR="002B0573" w:rsidRDefault="002B0573">
      <w:pPr>
        <w:rPr>
          <w:rFonts w:eastAsiaTheme="minorHAnsi"/>
          <w:color w:val="000000"/>
        </w:rPr>
      </w:pPr>
      <w:r>
        <w:br w:type="page"/>
      </w:r>
    </w:p>
    <w:p w14:paraId="1F8E0FB7" w14:textId="4A06641E" w:rsidR="003D4277" w:rsidRDefault="003D4277" w:rsidP="00D57CA2">
      <w:pPr>
        <w:pStyle w:val="Default"/>
        <w:spacing w:after="120"/>
        <w:rPr>
          <w:rFonts w:ascii="Times New Roman" w:hAnsi="Times New Roman" w:cs="Times New Roman"/>
          <w:b/>
        </w:rPr>
      </w:pPr>
      <w:r>
        <w:rPr>
          <w:rFonts w:ascii="Times New Roman" w:hAnsi="Times New Roman" w:cs="Times New Roman"/>
          <w:b/>
        </w:rPr>
        <w:lastRenderedPageBreak/>
        <w:t>References</w:t>
      </w:r>
    </w:p>
    <w:p w14:paraId="1E7CD4AD" w14:textId="0E0BB04B" w:rsidR="00540755" w:rsidRDefault="00540755" w:rsidP="00121F74">
      <w:pPr>
        <w:pStyle w:val="Default"/>
        <w:ind w:left="720" w:hanging="720"/>
        <w:rPr>
          <w:rFonts w:ascii="Times New Roman" w:hAnsi="Times New Roman" w:cs="Times New Roman"/>
          <w:shd w:val="clear" w:color="auto" w:fill="FFFFFF"/>
        </w:rPr>
      </w:pPr>
      <w:r w:rsidRPr="00121F74">
        <w:rPr>
          <w:rFonts w:ascii="Times New Roman" w:hAnsi="Times New Roman" w:cs="Times New Roman"/>
          <w:shd w:val="clear" w:color="auto" w:fill="FFFFFF"/>
        </w:rPr>
        <w:t>Chan, J. 1991.  Response Order Effects in Likert-type Scales. Educational and Psychological Measurement, 51, 531-540.</w:t>
      </w:r>
    </w:p>
    <w:p w14:paraId="6636FEC1" w14:textId="77777777" w:rsidR="00121F74" w:rsidRPr="00121F74" w:rsidRDefault="00121F74" w:rsidP="00121F74">
      <w:pPr>
        <w:pStyle w:val="Default"/>
        <w:rPr>
          <w:rFonts w:ascii="Times New Roman" w:hAnsi="Times New Roman" w:cs="Times New Roman"/>
          <w:shd w:val="clear" w:color="auto" w:fill="FFFFFF"/>
        </w:rPr>
      </w:pPr>
    </w:p>
    <w:p w14:paraId="7258182B" w14:textId="403C7F02" w:rsidR="00EA51D2" w:rsidRPr="00121F74" w:rsidRDefault="00EA51D2" w:rsidP="00121F74">
      <w:pPr>
        <w:shd w:val="clear" w:color="auto" w:fill="FFFFFF"/>
        <w:ind w:left="720" w:hanging="720"/>
        <w:rPr>
          <w:rFonts w:eastAsiaTheme="minorHAnsi"/>
        </w:rPr>
      </w:pPr>
      <w:proofErr w:type="spellStart"/>
      <w:r w:rsidRPr="00121F74">
        <w:rPr>
          <w:color w:val="000000"/>
        </w:rPr>
        <w:t>Couper</w:t>
      </w:r>
      <w:proofErr w:type="spellEnd"/>
      <w:r w:rsidRPr="00121F74">
        <w:rPr>
          <w:color w:val="000000"/>
        </w:rPr>
        <w:t xml:space="preserve"> MP, </w:t>
      </w:r>
      <w:proofErr w:type="spellStart"/>
      <w:r w:rsidRPr="00121F74">
        <w:rPr>
          <w:color w:val="000000"/>
        </w:rPr>
        <w:t>Traugott</w:t>
      </w:r>
      <w:proofErr w:type="spellEnd"/>
      <w:r w:rsidRPr="00121F74">
        <w:rPr>
          <w:color w:val="000000"/>
        </w:rPr>
        <w:t xml:space="preserve"> M, Lamias M. Web Survey Design and Administration. Public Opinion Quarterly. 2001;</w:t>
      </w:r>
      <w:r w:rsidR="00121F74">
        <w:rPr>
          <w:color w:val="000000"/>
        </w:rPr>
        <w:t xml:space="preserve"> </w:t>
      </w:r>
      <w:r w:rsidRPr="00121F74">
        <w:rPr>
          <w:color w:val="000000"/>
        </w:rPr>
        <w:t>65(2):230–253. </w:t>
      </w:r>
    </w:p>
    <w:p w14:paraId="109B1B00" w14:textId="77777777" w:rsidR="00121F74" w:rsidRPr="00121F74" w:rsidRDefault="00121F74" w:rsidP="00121F74">
      <w:pPr>
        <w:shd w:val="clear" w:color="auto" w:fill="FFFFFF"/>
        <w:rPr>
          <w:color w:val="000000"/>
        </w:rPr>
      </w:pPr>
    </w:p>
    <w:p w14:paraId="6BB24EF0" w14:textId="11FBD700" w:rsidR="00121F74" w:rsidRPr="00121F74" w:rsidRDefault="00121F74" w:rsidP="00121F74">
      <w:pPr>
        <w:shd w:val="clear" w:color="auto" w:fill="FFFFFF"/>
        <w:ind w:left="720" w:hanging="720"/>
        <w:textAlignment w:val="top"/>
        <w:rPr>
          <w:color w:val="000000"/>
        </w:rPr>
      </w:pPr>
      <w:proofErr w:type="spellStart"/>
      <w:r w:rsidRPr="00121F74">
        <w:rPr>
          <w:color w:val="000000"/>
        </w:rPr>
        <w:t>Couper</w:t>
      </w:r>
      <w:proofErr w:type="spellEnd"/>
      <w:r w:rsidRPr="00121F74">
        <w:rPr>
          <w:color w:val="000000"/>
        </w:rPr>
        <w:t xml:space="preserve">, M.; </w:t>
      </w:r>
      <w:proofErr w:type="spellStart"/>
      <w:r w:rsidRPr="00121F74">
        <w:rPr>
          <w:color w:val="000000"/>
        </w:rPr>
        <w:t>Tourangeau</w:t>
      </w:r>
      <w:proofErr w:type="spellEnd"/>
      <w:r w:rsidRPr="00121F74">
        <w:rPr>
          <w:color w:val="000000"/>
        </w:rPr>
        <w:t xml:space="preserve">, R.; Conrad, F.; and Zhang, C. 2013. The Design of Grids in Web Surveys.  </w:t>
      </w:r>
      <w:r w:rsidRPr="00121F74">
        <w:rPr>
          <w:rStyle w:val="cit"/>
          <w:color w:val="000000"/>
        </w:rPr>
        <w:t xml:space="preserve">Social Science Computer Review. Jun; 31(3): 322–345. </w:t>
      </w:r>
      <w:proofErr w:type="spellStart"/>
      <w:proofErr w:type="gramStart"/>
      <w:r w:rsidRPr="00121F74">
        <w:rPr>
          <w:rStyle w:val="doi"/>
          <w:color w:val="000000"/>
        </w:rPr>
        <w:t>doi</w:t>
      </w:r>
      <w:proofErr w:type="spellEnd"/>
      <w:proofErr w:type="gramEnd"/>
      <w:r w:rsidRPr="00121F74">
        <w:rPr>
          <w:rStyle w:val="doi"/>
          <w:color w:val="000000"/>
        </w:rPr>
        <w:t>: </w:t>
      </w:r>
      <w:r w:rsidRPr="00121F74">
        <w:rPr>
          <w:rStyle w:val="apple-converted-space"/>
          <w:color w:val="000000"/>
        </w:rPr>
        <w:t> </w:t>
      </w:r>
      <w:hyperlink r:id="rId8" w:tgtFrame="pmc_ext" w:history="1">
        <w:r w:rsidRPr="00121F74">
          <w:rPr>
            <w:rStyle w:val="Hyperlink"/>
            <w:color w:val="642A8F"/>
          </w:rPr>
          <w:t>10.1177/0894439312469865</w:t>
        </w:r>
      </w:hyperlink>
    </w:p>
    <w:p w14:paraId="67138166" w14:textId="77777777" w:rsidR="00EA51D2" w:rsidRPr="00121F74" w:rsidRDefault="00EA51D2" w:rsidP="00121F74">
      <w:pPr>
        <w:pStyle w:val="Default"/>
        <w:rPr>
          <w:rFonts w:ascii="Times New Roman" w:hAnsi="Times New Roman" w:cs="Times New Roman"/>
          <w:shd w:val="clear" w:color="auto" w:fill="FFFFFF"/>
        </w:rPr>
      </w:pPr>
    </w:p>
    <w:p w14:paraId="27FDADEF" w14:textId="7F331878" w:rsidR="003D4277" w:rsidRDefault="003D4277" w:rsidP="00121F74">
      <w:pPr>
        <w:pStyle w:val="Default"/>
        <w:rPr>
          <w:rFonts w:ascii="Times New Roman" w:hAnsi="Times New Roman" w:cs="Times New Roman"/>
          <w:shd w:val="clear" w:color="auto" w:fill="FFFFFF"/>
        </w:rPr>
      </w:pPr>
      <w:proofErr w:type="spellStart"/>
      <w:r w:rsidRPr="00121F74">
        <w:rPr>
          <w:rFonts w:ascii="Times New Roman" w:hAnsi="Times New Roman" w:cs="Times New Roman"/>
          <w:shd w:val="clear" w:color="auto" w:fill="FFFFFF"/>
        </w:rPr>
        <w:t>Peytchev</w:t>
      </w:r>
      <w:proofErr w:type="spellEnd"/>
      <w:r w:rsidRPr="00121F74">
        <w:rPr>
          <w:rFonts w:ascii="Times New Roman" w:hAnsi="Times New Roman" w:cs="Times New Roman"/>
          <w:shd w:val="clear" w:color="auto" w:fill="FFFFFF"/>
        </w:rPr>
        <w:t xml:space="preserve"> A. </w:t>
      </w:r>
      <w:r w:rsidR="00540755" w:rsidRPr="00121F74">
        <w:rPr>
          <w:rFonts w:ascii="Times New Roman" w:hAnsi="Times New Roman" w:cs="Times New Roman"/>
          <w:shd w:val="clear" w:color="auto" w:fill="FFFFFF"/>
        </w:rPr>
        <w:t xml:space="preserve">2009. </w:t>
      </w:r>
      <w:r w:rsidRPr="00121F74">
        <w:rPr>
          <w:rFonts w:ascii="Times New Roman" w:hAnsi="Times New Roman" w:cs="Times New Roman"/>
          <w:shd w:val="clear" w:color="auto" w:fill="FFFFFF"/>
        </w:rPr>
        <w:t>Survey Breakoff.</w:t>
      </w:r>
      <w:r w:rsidRPr="00121F74">
        <w:rPr>
          <w:rStyle w:val="apple-converted-space"/>
          <w:rFonts w:ascii="Times New Roman" w:hAnsi="Times New Roman" w:cs="Times New Roman"/>
          <w:shd w:val="clear" w:color="auto" w:fill="FFFFFF"/>
        </w:rPr>
        <w:t> </w:t>
      </w:r>
      <w:r w:rsidRPr="00121F74">
        <w:rPr>
          <w:rStyle w:val="ref-journal"/>
          <w:rFonts w:ascii="Times New Roman" w:hAnsi="Times New Roman" w:cs="Times New Roman"/>
          <w:shd w:val="clear" w:color="auto" w:fill="FFFFFF"/>
        </w:rPr>
        <w:t>Public Opinion Quarterly.</w:t>
      </w:r>
      <w:r w:rsidRPr="00121F74">
        <w:rPr>
          <w:rStyle w:val="apple-converted-space"/>
          <w:rFonts w:ascii="Times New Roman" w:hAnsi="Times New Roman" w:cs="Times New Roman"/>
          <w:shd w:val="clear" w:color="auto" w:fill="FFFFFF"/>
        </w:rPr>
        <w:t> </w:t>
      </w:r>
      <w:r w:rsidRPr="00121F74">
        <w:rPr>
          <w:rStyle w:val="ref-vol"/>
          <w:rFonts w:ascii="Times New Roman" w:hAnsi="Times New Roman" w:cs="Times New Roman"/>
          <w:shd w:val="clear" w:color="auto" w:fill="FFFFFF"/>
        </w:rPr>
        <w:t>73</w:t>
      </w:r>
      <w:r w:rsidRPr="00121F74">
        <w:rPr>
          <w:rFonts w:ascii="Times New Roman" w:hAnsi="Times New Roman" w:cs="Times New Roman"/>
          <w:shd w:val="clear" w:color="auto" w:fill="FFFFFF"/>
        </w:rPr>
        <w:t>(1):74–97</w:t>
      </w:r>
    </w:p>
    <w:p w14:paraId="66D81877" w14:textId="77777777" w:rsidR="00121F74" w:rsidRPr="00121F74" w:rsidRDefault="00121F74" w:rsidP="00121F74">
      <w:pPr>
        <w:pStyle w:val="Default"/>
        <w:rPr>
          <w:rFonts w:ascii="Times New Roman" w:hAnsi="Times New Roman" w:cs="Times New Roman"/>
          <w:shd w:val="clear" w:color="auto" w:fill="FFFFFF"/>
        </w:rPr>
      </w:pPr>
    </w:p>
    <w:p w14:paraId="3C83A2C1" w14:textId="242A6483" w:rsidR="006A508F" w:rsidRDefault="006A508F" w:rsidP="00121F74">
      <w:pPr>
        <w:shd w:val="clear" w:color="auto" w:fill="FFFFFF"/>
        <w:ind w:left="720" w:hanging="720"/>
        <w:rPr>
          <w:rStyle w:val="element-citation"/>
          <w:color w:val="000000"/>
        </w:rPr>
      </w:pPr>
      <w:proofErr w:type="spellStart"/>
      <w:r w:rsidRPr="00121F74">
        <w:rPr>
          <w:rStyle w:val="element-citation"/>
          <w:color w:val="000000"/>
        </w:rPr>
        <w:t>Toepoel</w:t>
      </w:r>
      <w:proofErr w:type="spellEnd"/>
      <w:r w:rsidRPr="00121F74">
        <w:rPr>
          <w:rStyle w:val="element-citation"/>
          <w:color w:val="000000"/>
        </w:rPr>
        <w:t xml:space="preserve"> V, Das M, van </w:t>
      </w:r>
      <w:proofErr w:type="spellStart"/>
      <w:r w:rsidRPr="00121F74">
        <w:rPr>
          <w:rStyle w:val="element-citation"/>
          <w:color w:val="000000"/>
        </w:rPr>
        <w:t>Soest</w:t>
      </w:r>
      <w:proofErr w:type="spellEnd"/>
      <w:r w:rsidRPr="00121F74">
        <w:rPr>
          <w:rStyle w:val="element-citation"/>
          <w:color w:val="000000"/>
        </w:rPr>
        <w:t xml:space="preserve"> A. </w:t>
      </w:r>
      <w:r w:rsidR="00BF492D" w:rsidRPr="00121F74">
        <w:rPr>
          <w:rStyle w:val="element-citation"/>
          <w:color w:val="000000"/>
        </w:rPr>
        <w:t xml:space="preserve">2009.  </w:t>
      </w:r>
      <w:r w:rsidRPr="00121F74">
        <w:rPr>
          <w:rStyle w:val="element-citation"/>
          <w:color w:val="000000"/>
        </w:rPr>
        <w:t>Design of Web Questionnaires: The Effect of Layout in Rating Scales.</w:t>
      </w:r>
      <w:r w:rsidRPr="00121F74">
        <w:rPr>
          <w:rStyle w:val="apple-converted-space"/>
          <w:color w:val="000000"/>
        </w:rPr>
        <w:t> </w:t>
      </w:r>
      <w:r w:rsidRPr="00121F74">
        <w:rPr>
          <w:rStyle w:val="ref-journal"/>
          <w:color w:val="000000"/>
        </w:rPr>
        <w:t>Journal of Official Statistics.</w:t>
      </w:r>
      <w:r w:rsidRPr="00121F74">
        <w:rPr>
          <w:rStyle w:val="apple-converted-space"/>
          <w:color w:val="000000"/>
        </w:rPr>
        <w:t> </w:t>
      </w:r>
      <w:r w:rsidRPr="00121F74">
        <w:rPr>
          <w:rStyle w:val="ref-vol"/>
          <w:color w:val="000000"/>
        </w:rPr>
        <w:t>25</w:t>
      </w:r>
      <w:r w:rsidRPr="00121F74">
        <w:rPr>
          <w:rStyle w:val="element-citation"/>
          <w:color w:val="000000"/>
        </w:rPr>
        <w:t>(4):509–528.</w:t>
      </w:r>
    </w:p>
    <w:p w14:paraId="0B2F6BB8" w14:textId="77777777" w:rsidR="00121F74" w:rsidRPr="00121F74" w:rsidRDefault="00121F74" w:rsidP="00121F74">
      <w:pPr>
        <w:shd w:val="clear" w:color="auto" w:fill="FFFFFF"/>
        <w:rPr>
          <w:color w:val="000000"/>
        </w:rPr>
      </w:pPr>
    </w:p>
    <w:p w14:paraId="3059501D" w14:textId="35442732" w:rsidR="006A508F" w:rsidRPr="00121F74" w:rsidRDefault="00EA51D2" w:rsidP="00121F74">
      <w:pPr>
        <w:pStyle w:val="Default"/>
        <w:ind w:left="720" w:hanging="720"/>
        <w:rPr>
          <w:rFonts w:ascii="Times New Roman" w:hAnsi="Times New Roman" w:cs="Times New Roman"/>
          <w:b/>
        </w:rPr>
      </w:pPr>
      <w:proofErr w:type="spellStart"/>
      <w:r w:rsidRPr="00121F74">
        <w:rPr>
          <w:rFonts w:ascii="Times New Roman" w:eastAsia="Times New Roman" w:hAnsi="Times New Roman" w:cs="Times New Roman"/>
        </w:rPr>
        <w:t>Tourangeau</w:t>
      </w:r>
      <w:proofErr w:type="spellEnd"/>
      <w:r w:rsidRPr="00121F74">
        <w:rPr>
          <w:rFonts w:ascii="Times New Roman" w:eastAsia="Times New Roman" w:hAnsi="Times New Roman" w:cs="Times New Roman"/>
        </w:rPr>
        <w:t xml:space="preserve"> R, </w:t>
      </w:r>
      <w:proofErr w:type="spellStart"/>
      <w:r w:rsidRPr="00121F74">
        <w:rPr>
          <w:rFonts w:ascii="Times New Roman" w:eastAsia="Times New Roman" w:hAnsi="Times New Roman" w:cs="Times New Roman"/>
        </w:rPr>
        <w:t>Couper</w:t>
      </w:r>
      <w:proofErr w:type="spellEnd"/>
      <w:r w:rsidRPr="00121F74">
        <w:rPr>
          <w:rFonts w:ascii="Times New Roman" w:eastAsia="Times New Roman" w:hAnsi="Times New Roman" w:cs="Times New Roman"/>
        </w:rPr>
        <w:t xml:space="preserve"> MP, Conrad FG. Spacing, Position, and Order: Interpretive Heuristics for Visual Features of Survey Questions. Public Opinion Quarterly. 2004;</w:t>
      </w:r>
      <w:r w:rsidR="00121F74">
        <w:rPr>
          <w:rFonts w:ascii="Times New Roman" w:eastAsia="Times New Roman" w:hAnsi="Times New Roman" w:cs="Times New Roman"/>
        </w:rPr>
        <w:t xml:space="preserve"> </w:t>
      </w:r>
      <w:r w:rsidRPr="00121F74">
        <w:rPr>
          <w:rFonts w:ascii="Times New Roman" w:eastAsia="Times New Roman" w:hAnsi="Times New Roman" w:cs="Times New Roman"/>
        </w:rPr>
        <w:t>68(3):368–393.</w:t>
      </w:r>
    </w:p>
    <w:sectPr w:rsidR="006A508F" w:rsidRPr="00121F74" w:rsidSect="00C666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FAA68" w14:textId="77777777" w:rsidR="00C446A7" w:rsidRDefault="00C446A7" w:rsidP="00BD6373">
      <w:r>
        <w:separator/>
      </w:r>
    </w:p>
  </w:endnote>
  <w:endnote w:type="continuationSeparator" w:id="0">
    <w:p w14:paraId="0506C034" w14:textId="77777777" w:rsidR="00C446A7" w:rsidRDefault="00C446A7" w:rsidP="00BD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DHAB H+ 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27860"/>
      <w:docPartObj>
        <w:docPartGallery w:val="Page Numbers (Bottom of Page)"/>
        <w:docPartUnique/>
      </w:docPartObj>
    </w:sdtPr>
    <w:sdtEndPr>
      <w:rPr>
        <w:noProof/>
      </w:rPr>
    </w:sdtEndPr>
    <w:sdtContent>
      <w:p w14:paraId="6D2CF113" w14:textId="77777777" w:rsidR="00C446A7" w:rsidRDefault="00C446A7">
        <w:pPr>
          <w:pStyle w:val="Footer"/>
          <w:jc w:val="center"/>
        </w:pPr>
        <w:r>
          <w:fldChar w:fldCharType="begin"/>
        </w:r>
        <w:r>
          <w:instrText xml:space="preserve"> PAGE   \* MERGEFORMAT </w:instrText>
        </w:r>
        <w:r>
          <w:fldChar w:fldCharType="separate"/>
        </w:r>
        <w:r w:rsidR="007E2811">
          <w:rPr>
            <w:noProof/>
          </w:rPr>
          <w:t>5</w:t>
        </w:r>
        <w:r>
          <w:rPr>
            <w:noProof/>
          </w:rPr>
          <w:fldChar w:fldCharType="end"/>
        </w:r>
      </w:p>
    </w:sdtContent>
  </w:sdt>
  <w:p w14:paraId="702969D9" w14:textId="77777777" w:rsidR="00C446A7" w:rsidRDefault="00C44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F083" w14:textId="77777777" w:rsidR="00C446A7" w:rsidRDefault="00C446A7" w:rsidP="00BD6373">
      <w:r>
        <w:separator/>
      </w:r>
    </w:p>
  </w:footnote>
  <w:footnote w:type="continuationSeparator" w:id="0">
    <w:p w14:paraId="24C5E5FE" w14:textId="77777777" w:rsidR="00C446A7" w:rsidRDefault="00C446A7" w:rsidP="00BD6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061"/>
    <w:multiLevelType w:val="hybridMultilevel"/>
    <w:tmpl w:val="4A889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2C2A"/>
    <w:multiLevelType w:val="hybridMultilevel"/>
    <w:tmpl w:val="0EDE9672"/>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60F32"/>
    <w:multiLevelType w:val="hybridMultilevel"/>
    <w:tmpl w:val="3FB45E98"/>
    <w:lvl w:ilvl="0" w:tplc="C4068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9046C"/>
    <w:multiLevelType w:val="hybridMultilevel"/>
    <w:tmpl w:val="A54CE9AC"/>
    <w:lvl w:ilvl="0" w:tplc="D7961DC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A46E1"/>
    <w:multiLevelType w:val="hybridMultilevel"/>
    <w:tmpl w:val="C366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6EA8"/>
    <w:multiLevelType w:val="hybridMultilevel"/>
    <w:tmpl w:val="F8D4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56DF6"/>
    <w:multiLevelType w:val="hybridMultilevel"/>
    <w:tmpl w:val="32C65938"/>
    <w:lvl w:ilvl="0" w:tplc="9904A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521BB2"/>
    <w:multiLevelType w:val="hybridMultilevel"/>
    <w:tmpl w:val="81D2C45E"/>
    <w:lvl w:ilvl="0" w:tplc="ED58C842">
      <w:start w:val="1"/>
      <w:numFmt w:val="bullet"/>
      <w:lvlText w:val=""/>
      <w:lvlJc w:val="left"/>
      <w:pPr>
        <w:ind w:left="720" w:hanging="360"/>
      </w:pPr>
      <w:rPr>
        <w:rFonts w:ascii="Symbol" w:hAnsi="Symbol" w:hint="default"/>
      </w:rPr>
    </w:lvl>
    <w:lvl w:ilvl="1" w:tplc="ED58C8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E0370"/>
    <w:multiLevelType w:val="hybridMultilevel"/>
    <w:tmpl w:val="2B6C29BE"/>
    <w:lvl w:ilvl="0" w:tplc="64A48298">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392FA8"/>
    <w:multiLevelType w:val="hybridMultilevel"/>
    <w:tmpl w:val="F668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01DB5"/>
    <w:multiLevelType w:val="hybridMultilevel"/>
    <w:tmpl w:val="A9AA4D1A"/>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330858"/>
    <w:multiLevelType w:val="hybridMultilevel"/>
    <w:tmpl w:val="A5E0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C10C6"/>
    <w:multiLevelType w:val="hybridMultilevel"/>
    <w:tmpl w:val="634E2570"/>
    <w:lvl w:ilvl="0" w:tplc="D7961DC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D456B"/>
    <w:multiLevelType w:val="hybridMultilevel"/>
    <w:tmpl w:val="D29AE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BF27CE"/>
    <w:multiLevelType w:val="hybridMultilevel"/>
    <w:tmpl w:val="94BA484A"/>
    <w:lvl w:ilvl="0" w:tplc="9904A02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B21CB"/>
    <w:multiLevelType w:val="hybridMultilevel"/>
    <w:tmpl w:val="8B8CF1E0"/>
    <w:lvl w:ilvl="0" w:tplc="D7961DC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35B6F"/>
    <w:multiLevelType w:val="hybridMultilevel"/>
    <w:tmpl w:val="EB687B68"/>
    <w:lvl w:ilvl="0" w:tplc="ED58C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C40AE"/>
    <w:multiLevelType w:val="hybridMultilevel"/>
    <w:tmpl w:val="978E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C5B03"/>
    <w:multiLevelType w:val="hybridMultilevel"/>
    <w:tmpl w:val="757EF878"/>
    <w:lvl w:ilvl="0" w:tplc="46129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7A5AF8"/>
    <w:multiLevelType w:val="hybridMultilevel"/>
    <w:tmpl w:val="6246A65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2D880026"/>
    <w:multiLevelType w:val="multilevel"/>
    <w:tmpl w:val="EEAA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D156F9"/>
    <w:multiLevelType w:val="hybridMultilevel"/>
    <w:tmpl w:val="757EF878"/>
    <w:lvl w:ilvl="0" w:tplc="46129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F5921"/>
    <w:multiLevelType w:val="hybridMultilevel"/>
    <w:tmpl w:val="1CA0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148A4"/>
    <w:multiLevelType w:val="hybridMultilevel"/>
    <w:tmpl w:val="E998325C"/>
    <w:lvl w:ilvl="0" w:tplc="ED58C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A29CA"/>
    <w:multiLevelType w:val="hybridMultilevel"/>
    <w:tmpl w:val="757EF878"/>
    <w:lvl w:ilvl="0" w:tplc="46129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B67475"/>
    <w:multiLevelType w:val="hybridMultilevel"/>
    <w:tmpl w:val="14D23DD6"/>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8A31BE"/>
    <w:multiLevelType w:val="hybridMultilevel"/>
    <w:tmpl w:val="F3C69186"/>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BF6B30"/>
    <w:multiLevelType w:val="hybridMultilevel"/>
    <w:tmpl w:val="FA14965E"/>
    <w:lvl w:ilvl="0" w:tplc="277874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94A9F"/>
    <w:multiLevelType w:val="hybridMultilevel"/>
    <w:tmpl w:val="08F4B96E"/>
    <w:lvl w:ilvl="0" w:tplc="0409000F">
      <w:start w:val="1"/>
      <w:numFmt w:val="decimal"/>
      <w:lvlText w:val="%1."/>
      <w:lvlJc w:val="left"/>
      <w:pPr>
        <w:ind w:left="720" w:hanging="360"/>
      </w:pPr>
    </w:lvl>
    <w:lvl w:ilvl="1" w:tplc="ED58C84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07930"/>
    <w:multiLevelType w:val="hybridMultilevel"/>
    <w:tmpl w:val="55D2D296"/>
    <w:lvl w:ilvl="0" w:tplc="82F6B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D92F63"/>
    <w:multiLevelType w:val="hybridMultilevel"/>
    <w:tmpl w:val="4D147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192778"/>
    <w:multiLevelType w:val="hybridMultilevel"/>
    <w:tmpl w:val="757EF878"/>
    <w:lvl w:ilvl="0" w:tplc="46129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38611D"/>
    <w:multiLevelType w:val="hybridMultilevel"/>
    <w:tmpl w:val="0A189E3E"/>
    <w:lvl w:ilvl="0" w:tplc="277874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150E7"/>
    <w:multiLevelType w:val="hybridMultilevel"/>
    <w:tmpl w:val="F67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67923"/>
    <w:multiLevelType w:val="multilevel"/>
    <w:tmpl w:val="EEAA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8440E3"/>
    <w:multiLevelType w:val="hybridMultilevel"/>
    <w:tmpl w:val="280480C2"/>
    <w:lvl w:ilvl="0" w:tplc="ED58C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32496"/>
    <w:multiLevelType w:val="hybridMultilevel"/>
    <w:tmpl w:val="9B6CE8EE"/>
    <w:lvl w:ilvl="0" w:tplc="CD282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81999"/>
    <w:multiLevelType w:val="hybridMultilevel"/>
    <w:tmpl w:val="61768330"/>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6108A6"/>
    <w:multiLevelType w:val="hybridMultilevel"/>
    <w:tmpl w:val="13642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F51BAF"/>
    <w:multiLevelType w:val="hybridMultilevel"/>
    <w:tmpl w:val="9B6CE8EE"/>
    <w:lvl w:ilvl="0" w:tplc="CD282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9103C3"/>
    <w:multiLevelType w:val="hybridMultilevel"/>
    <w:tmpl w:val="3112EDC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6747EF2"/>
    <w:multiLevelType w:val="hybridMultilevel"/>
    <w:tmpl w:val="D27E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B67FB"/>
    <w:multiLevelType w:val="hybridMultilevel"/>
    <w:tmpl w:val="C4D4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A1BD6"/>
    <w:multiLevelType w:val="hybridMultilevel"/>
    <w:tmpl w:val="F258C7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0"/>
  </w:num>
  <w:num w:numId="3">
    <w:abstractNumId w:val="6"/>
  </w:num>
  <w:num w:numId="4">
    <w:abstractNumId w:val="14"/>
  </w:num>
  <w:num w:numId="5">
    <w:abstractNumId w:val="23"/>
  </w:num>
  <w:num w:numId="6">
    <w:abstractNumId w:val="13"/>
  </w:num>
  <w:num w:numId="7">
    <w:abstractNumId w:val="22"/>
  </w:num>
  <w:num w:numId="8">
    <w:abstractNumId w:val="29"/>
  </w:num>
  <w:num w:numId="9">
    <w:abstractNumId w:val="7"/>
  </w:num>
  <w:num w:numId="10">
    <w:abstractNumId w:val="27"/>
  </w:num>
  <w:num w:numId="11">
    <w:abstractNumId w:val="1"/>
  </w:num>
  <w:num w:numId="12">
    <w:abstractNumId w:val="16"/>
  </w:num>
  <w:num w:numId="13">
    <w:abstractNumId w:val="24"/>
  </w:num>
  <w:num w:numId="14">
    <w:abstractNumId w:val="41"/>
  </w:num>
  <w:num w:numId="15">
    <w:abstractNumId w:val="42"/>
  </w:num>
  <w:num w:numId="16">
    <w:abstractNumId w:val="39"/>
  </w:num>
  <w:num w:numId="17">
    <w:abstractNumId w:val="37"/>
  </w:num>
  <w:num w:numId="18">
    <w:abstractNumId w:val="2"/>
  </w:num>
  <w:num w:numId="19">
    <w:abstractNumId w:val="28"/>
  </w:num>
  <w:num w:numId="20">
    <w:abstractNumId w:val="33"/>
  </w:num>
  <w:num w:numId="21">
    <w:abstractNumId w:val="40"/>
  </w:num>
  <w:num w:numId="22">
    <w:abstractNumId w:val="31"/>
  </w:num>
  <w:num w:numId="23">
    <w:abstractNumId w:val="8"/>
  </w:num>
  <w:num w:numId="24">
    <w:abstractNumId w:val="5"/>
  </w:num>
  <w:num w:numId="25">
    <w:abstractNumId w:val="9"/>
  </w:num>
  <w:num w:numId="26">
    <w:abstractNumId w:val="18"/>
  </w:num>
  <w:num w:numId="27">
    <w:abstractNumId w:val="32"/>
  </w:num>
  <w:num w:numId="28">
    <w:abstractNumId w:val="25"/>
  </w:num>
  <w:num w:numId="29">
    <w:abstractNumId w:val="4"/>
  </w:num>
  <w:num w:numId="30">
    <w:abstractNumId w:val="43"/>
  </w:num>
  <w:num w:numId="31">
    <w:abstractNumId w:val="36"/>
  </w:num>
  <w:num w:numId="32">
    <w:abstractNumId w:val="17"/>
  </w:num>
  <w:num w:numId="33">
    <w:abstractNumId w:val="38"/>
  </w:num>
  <w:num w:numId="34">
    <w:abstractNumId w:val="10"/>
  </w:num>
  <w:num w:numId="35">
    <w:abstractNumId w:val="26"/>
  </w:num>
  <w:num w:numId="36">
    <w:abstractNumId w:val="21"/>
  </w:num>
  <w:num w:numId="37">
    <w:abstractNumId w:val="12"/>
  </w:num>
  <w:num w:numId="38">
    <w:abstractNumId w:val="3"/>
  </w:num>
  <w:num w:numId="39">
    <w:abstractNumId w:val="15"/>
  </w:num>
  <w:num w:numId="40">
    <w:abstractNumId w:val="44"/>
  </w:num>
  <w:num w:numId="41">
    <w:abstractNumId w:val="0"/>
  </w:num>
  <w:num w:numId="42">
    <w:abstractNumId w:val="19"/>
  </w:num>
  <w:num w:numId="43">
    <w:abstractNumId w:val="11"/>
  </w:num>
  <w:num w:numId="44">
    <w:abstractNumId w:val="2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7D"/>
    <w:rsid w:val="00062790"/>
    <w:rsid w:val="000644B8"/>
    <w:rsid w:val="00067177"/>
    <w:rsid w:val="00070606"/>
    <w:rsid w:val="00075FAB"/>
    <w:rsid w:val="000A671F"/>
    <w:rsid w:val="000B1DA8"/>
    <w:rsid w:val="000C465B"/>
    <w:rsid w:val="000C6D11"/>
    <w:rsid w:val="0011000D"/>
    <w:rsid w:val="00121F74"/>
    <w:rsid w:val="00143047"/>
    <w:rsid w:val="00145234"/>
    <w:rsid w:val="00152425"/>
    <w:rsid w:val="001A7DCB"/>
    <w:rsid w:val="001C6DCB"/>
    <w:rsid w:val="00204318"/>
    <w:rsid w:val="00210338"/>
    <w:rsid w:val="00225FBA"/>
    <w:rsid w:val="002B0057"/>
    <w:rsid w:val="002B0573"/>
    <w:rsid w:val="002E44BC"/>
    <w:rsid w:val="003056BC"/>
    <w:rsid w:val="00361CE3"/>
    <w:rsid w:val="003679F5"/>
    <w:rsid w:val="00370C9E"/>
    <w:rsid w:val="003939CD"/>
    <w:rsid w:val="003A1781"/>
    <w:rsid w:val="003B22B6"/>
    <w:rsid w:val="003D4277"/>
    <w:rsid w:val="004403F7"/>
    <w:rsid w:val="00451C82"/>
    <w:rsid w:val="004969C3"/>
    <w:rsid w:val="004B0EF2"/>
    <w:rsid w:val="004C4B35"/>
    <w:rsid w:val="004E6171"/>
    <w:rsid w:val="00540755"/>
    <w:rsid w:val="00565D71"/>
    <w:rsid w:val="00592D9F"/>
    <w:rsid w:val="005B2022"/>
    <w:rsid w:val="005C0A69"/>
    <w:rsid w:val="005C5A81"/>
    <w:rsid w:val="005F353D"/>
    <w:rsid w:val="006331A0"/>
    <w:rsid w:val="00657762"/>
    <w:rsid w:val="006730EB"/>
    <w:rsid w:val="00694077"/>
    <w:rsid w:val="006A508F"/>
    <w:rsid w:val="007309B7"/>
    <w:rsid w:val="007774A7"/>
    <w:rsid w:val="007E2811"/>
    <w:rsid w:val="007F2127"/>
    <w:rsid w:val="007F4F0A"/>
    <w:rsid w:val="008354D1"/>
    <w:rsid w:val="008366CA"/>
    <w:rsid w:val="00862203"/>
    <w:rsid w:val="008629F9"/>
    <w:rsid w:val="00890D87"/>
    <w:rsid w:val="008A1768"/>
    <w:rsid w:val="008A580C"/>
    <w:rsid w:val="008C1F8F"/>
    <w:rsid w:val="008C6B4D"/>
    <w:rsid w:val="008D3AB4"/>
    <w:rsid w:val="008F265D"/>
    <w:rsid w:val="00953AEC"/>
    <w:rsid w:val="00955042"/>
    <w:rsid w:val="0097084A"/>
    <w:rsid w:val="009B12A6"/>
    <w:rsid w:val="009B7525"/>
    <w:rsid w:val="009E06F4"/>
    <w:rsid w:val="00A106B3"/>
    <w:rsid w:val="00A14C70"/>
    <w:rsid w:val="00A31930"/>
    <w:rsid w:val="00A736EB"/>
    <w:rsid w:val="00A77454"/>
    <w:rsid w:val="00A83527"/>
    <w:rsid w:val="00AA78F1"/>
    <w:rsid w:val="00B11B1E"/>
    <w:rsid w:val="00B323A1"/>
    <w:rsid w:val="00B516B5"/>
    <w:rsid w:val="00B7102F"/>
    <w:rsid w:val="00B97499"/>
    <w:rsid w:val="00BA063F"/>
    <w:rsid w:val="00BD0016"/>
    <w:rsid w:val="00BD6373"/>
    <w:rsid w:val="00BE7998"/>
    <w:rsid w:val="00BF492D"/>
    <w:rsid w:val="00BF6974"/>
    <w:rsid w:val="00C225D2"/>
    <w:rsid w:val="00C26ED6"/>
    <w:rsid w:val="00C446A7"/>
    <w:rsid w:val="00C46F11"/>
    <w:rsid w:val="00C666B7"/>
    <w:rsid w:val="00C71EC9"/>
    <w:rsid w:val="00C73C86"/>
    <w:rsid w:val="00C9558B"/>
    <w:rsid w:val="00CA3EED"/>
    <w:rsid w:val="00CA6BD1"/>
    <w:rsid w:val="00CA79AB"/>
    <w:rsid w:val="00CE404C"/>
    <w:rsid w:val="00CF0B74"/>
    <w:rsid w:val="00D30597"/>
    <w:rsid w:val="00D351BF"/>
    <w:rsid w:val="00D57CA2"/>
    <w:rsid w:val="00D669F9"/>
    <w:rsid w:val="00DD1323"/>
    <w:rsid w:val="00DE0765"/>
    <w:rsid w:val="00E16CA4"/>
    <w:rsid w:val="00E24916"/>
    <w:rsid w:val="00E558CC"/>
    <w:rsid w:val="00EA003A"/>
    <w:rsid w:val="00EA51D2"/>
    <w:rsid w:val="00EB67F6"/>
    <w:rsid w:val="00EC6B77"/>
    <w:rsid w:val="00EE7134"/>
    <w:rsid w:val="00EE7C9F"/>
    <w:rsid w:val="00EF017D"/>
    <w:rsid w:val="00EF1277"/>
    <w:rsid w:val="00F217BB"/>
    <w:rsid w:val="00F4601B"/>
    <w:rsid w:val="00FA677D"/>
    <w:rsid w:val="00FD1291"/>
    <w:rsid w:val="00FD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375813"/>
  <w15:chartTrackingRefBased/>
  <w15:docId w15:val="{15398159-9680-4EDD-87AD-18FE2F77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17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6D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666B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134"/>
    <w:pPr>
      <w:tabs>
        <w:tab w:val="center" w:pos="4320"/>
        <w:tab w:val="right" w:pos="8640"/>
      </w:tabs>
    </w:pPr>
    <w:rPr>
      <w:sz w:val="22"/>
      <w:szCs w:val="20"/>
    </w:rPr>
  </w:style>
  <w:style w:type="character" w:customStyle="1" w:styleId="FooterChar">
    <w:name w:val="Footer Char"/>
    <w:basedOn w:val="DefaultParagraphFont"/>
    <w:link w:val="Footer"/>
    <w:uiPriority w:val="99"/>
    <w:rsid w:val="00EE7134"/>
    <w:rPr>
      <w:rFonts w:ascii="Times New Roman" w:eastAsia="Times New Roman" w:hAnsi="Times New Roman" w:cs="Times New Roman"/>
      <w:szCs w:val="20"/>
    </w:rPr>
  </w:style>
  <w:style w:type="paragraph" w:styleId="BodyText">
    <w:name w:val="Body Text"/>
    <w:basedOn w:val="Normal"/>
    <w:link w:val="BodyTextChar"/>
    <w:rsid w:val="00EE7134"/>
    <w:rPr>
      <w:sz w:val="22"/>
      <w:szCs w:val="20"/>
    </w:rPr>
  </w:style>
  <w:style w:type="character" w:customStyle="1" w:styleId="BodyTextChar">
    <w:name w:val="Body Text Char"/>
    <w:basedOn w:val="DefaultParagraphFont"/>
    <w:link w:val="BodyText"/>
    <w:rsid w:val="00EE7134"/>
    <w:rPr>
      <w:rFonts w:ascii="Times New Roman" w:eastAsia="Times New Roman" w:hAnsi="Times New Roman" w:cs="Times New Roman"/>
      <w:szCs w:val="20"/>
    </w:rPr>
  </w:style>
  <w:style w:type="paragraph" w:styleId="ListParagraph">
    <w:name w:val="List Paragraph"/>
    <w:basedOn w:val="Normal"/>
    <w:uiPriority w:val="34"/>
    <w:qFormat/>
    <w:rsid w:val="009B7525"/>
    <w:pPr>
      <w:ind w:left="720"/>
      <w:contextualSpacing/>
    </w:pPr>
  </w:style>
  <w:style w:type="paragraph" w:styleId="FootnoteText">
    <w:name w:val="footnote text"/>
    <w:basedOn w:val="Normal"/>
    <w:link w:val="FootnoteTextChar"/>
    <w:uiPriority w:val="99"/>
    <w:semiHidden/>
    <w:unhideWhenUsed/>
    <w:rsid w:val="00BD6373"/>
    <w:rPr>
      <w:sz w:val="20"/>
      <w:szCs w:val="20"/>
    </w:rPr>
  </w:style>
  <w:style w:type="character" w:customStyle="1" w:styleId="FootnoteTextChar">
    <w:name w:val="Footnote Text Char"/>
    <w:basedOn w:val="DefaultParagraphFont"/>
    <w:link w:val="FootnoteText"/>
    <w:uiPriority w:val="99"/>
    <w:semiHidden/>
    <w:rsid w:val="00BD63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6373"/>
    <w:rPr>
      <w:vertAlign w:val="superscript"/>
    </w:rPr>
  </w:style>
  <w:style w:type="character" w:customStyle="1" w:styleId="apple-converted-space">
    <w:name w:val="apple-converted-space"/>
    <w:basedOn w:val="DefaultParagraphFont"/>
    <w:rsid w:val="00BD6373"/>
  </w:style>
  <w:style w:type="paragraph" w:customStyle="1" w:styleId="Default">
    <w:name w:val="Default"/>
    <w:rsid w:val="005B2022"/>
    <w:pPr>
      <w:autoSpaceDE w:val="0"/>
      <w:autoSpaceDN w:val="0"/>
      <w:adjustRightInd w:val="0"/>
    </w:pPr>
    <w:rPr>
      <w:rFonts w:ascii="HDHAB H+ Melior" w:hAnsi="HDHAB H+ Melior" w:cs="HDHAB H+ Melior"/>
      <w:color w:val="000000"/>
      <w:sz w:val="24"/>
      <w:szCs w:val="24"/>
    </w:rPr>
  </w:style>
  <w:style w:type="paragraph" w:styleId="BalloonText">
    <w:name w:val="Balloon Text"/>
    <w:basedOn w:val="Normal"/>
    <w:link w:val="BalloonTextChar"/>
    <w:uiPriority w:val="99"/>
    <w:semiHidden/>
    <w:unhideWhenUsed/>
    <w:rsid w:val="00062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90"/>
    <w:rPr>
      <w:rFonts w:ascii="Segoe UI" w:eastAsia="Times New Roman" w:hAnsi="Segoe UI" w:cs="Segoe UI"/>
      <w:sz w:val="18"/>
      <w:szCs w:val="18"/>
    </w:rPr>
  </w:style>
  <w:style w:type="character" w:customStyle="1" w:styleId="L1-FlLSp12Char">
    <w:name w:val="L1-FlL Sp&amp;1/2 Char"/>
    <w:basedOn w:val="DefaultParagraphFont"/>
    <w:link w:val="L1-FlLSp12"/>
    <w:locked/>
    <w:rsid w:val="0011000D"/>
    <w:rPr>
      <w:rFonts w:ascii="Garamond" w:hAnsi="Garamond" w:cs="Times New Roman"/>
      <w:sz w:val="20"/>
      <w:szCs w:val="20"/>
    </w:rPr>
  </w:style>
  <w:style w:type="paragraph" w:customStyle="1" w:styleId="L1-FlLSp12">
    <w:name w:val="L1-FlL Sp&amp;1/2"/>
    <w:basedOn w:val="Normal"/>
    <w:link w:val="L1-FlLSp12Char"/>
    <w:rsid w:val="0011000D"/>
    <w:pPr>
      <w:tabs>
        <w:tab w:val="left" w:pos="1152"/>
      </w:tabs>
      <w:spacing w:line="360" w:lineRule="atLeast"/>
    </w:pPr>
    <w:rPr>
      <w:rFonts w:ascii="Garamond" w:eastAsiaTheme="minorHAnsi" w:hAnsi="Garamond"/>
      <w:sz w:val="20"/>
      <w:szCs w:val="20"/>
    </w:rPr>
  </w:style>
  <w:style w:type="character" w:styleId="CommentReference">
    <w:name w:val="annotation reference"/>
    <w:basedOn w:val="DefaultParagraphFont"/>
    <w:uiPriority w:val="99"/>
    <w:semiHidden/>
    <w:unhideWhenUsed/>
    <w:rsid w:val="00204318"/>
    <w:rPr>
      <w:sz w:val="16"/>
      <w:szCs w:val="16"/>
    </w:rPr>
  </w:style>
  <w:style w:type="paragraph" w:styleId="CommentText">
    <w:name w:val="annotation text"/>
    <w:basedOn w:val="Normal"/>
    <w:link w:val="CommentTextChar"/>
    <w:uiPriority w:val="99"/>
    <w:semiHidden/>
    <w:unhideWhenUsed/>
    <w:rsid w:val="00204318"/>
    <w:rPr>
      <w:sz w:val="20"/>
      <w:szCs w:val="20"/>
    </w:rPr>
  </w:style>
  <w:style w:type="character" w:customStyle="1" w:styleId="CommentTextChar">
    <w:name w:val="Comment Text Char"/>
    <w:basedOn w:val="DefaultParagraphFont"/>
    <w:link w:val="CommentText"/>
    <w:uiPriority w:val="99"/>
    <w:semiHidden/>
    <w:rsid w:val="002043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9F9"/>
    <w:rPr>
      <w:b/>
      <w:bCs/>
    </w:rPr>
  </w:style>
  <w:style w:type="character" w:customStyle="1" w:styleId="CommentSubjectChar">
    <w:name w:val="Comment Subject Char"/>
    <w:basedOn w:val="CommentTextChar"/>
    <w:link w:val="CommentSubject"/>
    <w:uiPriority w:val="99"/>
    <w:semiHidden/>
    <w:rsid w:val="00D669F9"/>
    <w:rPr>
      <w:rFonts w:ascii="Times New Roman" w:eastAsia="Times New Roman" w:hAnsi="Times New Roman" w:cs="Times New Roman"/>
      <w:b/>
      <w:bCs/>
      <w:sz w:val="20"/>
      <w:szCs w:val="20"/>
    </w:rPr>
  </w:style>
  <w:style w:type="character" w:styleId="PageNumber">
    <w:name w:val="page number"/>
    <w:basedOn w:val="DefaultParagraphFont"/>
    <w:rsid w:val="00225FBA"/>
  </w:style>
  <w:style w:type="table" w:styleId="TableGrid">
    <w:name w:val="Table Grid"/>
    <w:basedOn w:val="TableNormal"/>
    <w:uiPriority w:val="39"/>
    <w:rsid w:val="00225F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8A580C"/>
    <w:pPr>
      <w:spacing w:line="240" w:lineRule="atLeast"/>
    </w:pPr>
    <w:rPr>
      <w:rFonts w:ascii="Garamond" w:hAnsi="Garamond"/>
      <w:szCs w:val="20"/>
    </w:rPr>
  </w:style>
  <w:style w:type="paragraph" w:styleId="Header">
    <w:name w:val="header"/>
    <w:basedOn w:val="Normal"/>
    <w:link w:val="HeaderChar"/>
    <w:uiPriority w:val="99"/>
    <w:unhideWhenUsed/>
    <w:rsid w:val="008A580C"/>
    <w:pPr>
      <w:tabs>
        <w:tab w:val="center" w:pos="4680"/>
        <w:tab w:val="right" w:pos="9360"/>
      </w:tabs>
    </w:pPr>
  </w:style>
  <w:style w:type="character" w:customStyle="1" w:styleId="HeaderChar">
    <w:name w:val="Header Char"/>
    <w:basedOn w:val="DefaultParagraphFont"/>
    <w:link w:val="Header"/>
    <w:uiPriority w:val="99"/>
    <w:rsid w:val="008A580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666B7"/>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C666B7"/>
    <w:rPr>
      <w:color w:val="0563C1" w:themeColor="hyperlink"/>
      <w:u w:val="single"/>
    </w:rPr>
  </w:style>
  <w:style w:type="paragraph" w:styleId="NormalWeb">
    <w:name w:val="Normal (Web)"/>
    <w:basedOn w:val="Normal"/>
    <w:uiPriority w:val="99"/>
    <w:unhideWhenUsed/>
    <w:rsid w:val="00C666B7"/>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0C6D11"/>
    <w:rPr>
      <w:rFonts w:asciiTheme="majorHAnsi" w:eastAsiaTheme="majorEastAsia" w:hAnsiTheme="majorHAnsi" w:cstheme="majorBidi"/>
      <w:b/>
      <w:bCs/>
      <w:color w:val="2E74B5" w:themeColor="accent1" w:themeShade="BF"/>
      <w:sz w:val="28"/>
      <w:szCs w:val="28"/>
    </w:rPr>
  </w:style>
  <w:style w:type="character" w:customStyle="1" w:styleId="ref-journal">
    <w:name w:val="ref-journal"/>
    <w:basedOn w:val="DefaultParagraphFont"/>
    <w:rsid w:val="003D4277"/>
  </w:style>
  <w:style w:type="character" w:customStyle="1" w:styleId="ref-vol">
    <w:name w:val="ref-vol"/>
    <w:basedOn w:val="DefaultParagraphFont"/>
    <w:rsid w:val="003D4277"/>
  </w:style>
  <w:style w:type="character" w:customStyle="1" w:styleId="element-citation">
    <w:name w:val="element-citation"/>
    <w:basedOn w:val="DefaultParagraphFont"/>
    <w:rsid w:val="006A508F"/>
  </w:style>
  <w:style w:type="character" w:customStyle="1" w:styleId="cit">
    <w:name w:val="cit"/>
    <w:basedOn w:val="DefaultParagraphFont"/>
    <w:rsid w:val="00121F74"/>
  </w:style>
  <w:style w:type="character" w:customStyle="1" w:styleId="doi">
    <w:name w:val="doi"/>
    <w:basedOn w:val="DefaultParagraphFont"/>
    <w:rsid w:val="00121F74"/>
  </w:style>
  <w:style w:type="character" w:customStyle="1" w:styleId="fm-citation-ids-label">
    <w:name w:val="fm-citation-ids-label"/>
    <w:basedOn w:val="DefaultParagraphFont"/>
    <w:rsid w:val="0012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4283">
      <w:bodyDiv w:val="1"/>
      <w:marLeft w:val="0"/>
      <w:marRight w:val="0"/>
      <w:marTop w:val="0"/>
      <w:marBottom w:val="0"/>
      <w:divBdr>
        <w:top w:val="none" w:sz="0" w:space="0" w:color="auto"/>
        <w:left w:val="none" w:sz="0" w:space="0" w:color="auto"/>
        <w:bottom w:val="none" w:sz="0" w:space="0" w:color="auto"/>
        <w:right w:val="none" w:sz="0" w:space="0" w:color="auto"/>
      </w:divBdr>
    </w:div>
    <w:div w:id="806315439">
      <w:bodyDiv w:val="1"/>
      <w:marLeft w:val="0"/>
      <w:marRight w:val="0"/>
      <w:marTop w:val="0"/>
      <w:marBottom w:val="0"/>
      <w:divBdr>
        <w:top w:val="none" w:sz="0" w:space="0" w:color="auto"/>
        <w:left w:val="none" w:sz="0" w:space="0" w:color="auto"/>
        <w:bottom w:val="none" w:sz="0" w:space="0" w:color="auto"/>
        <w:right w:val="none" w:sz="0" w:space="0" w:color="auto"/>
      </w:divBdr>
      <w:divsChild>
        <w:div w:id="1653413548">
          <w:marLeft w:val="0"/>
          <w:marRight w:val="0"/>
          <w:marTop w:val="0"/>
          <w:marBottom w:val="166"/>
          <w:divBdr>
            <w:top w:val="none" w:sz="0" w:space="0" w:color="auto"/>
            <w:left w:val="none" w:sz="0" w:space="0" w:color="auto"/>
            <w:bottom w:val="none" w:sz="0" w:space="0" w:color="auto"/>
            <w:right w:val="none" w:sz="0" w:space="0" w:color="auto"/>
          </w:divBdr>
          <w:divsChild>
            <w:div w:id="1543714178">
              <w:marLeft w:val="0"/>
              <w:marRight w:val="0"/>
              <w:marTop w:val="0"/>
              <w:marBottom w:val="0"/>
              <w:divBdr>
                <w:top w:val="none" w:sz="0" w:space="0" w:color="auto"/>
                <w:left w:val="none" w:sz="0" w:space="0" w:color="auto"/>
                <w:bottom w:val="none" w:sz="0" w:space="0" w:color="auto"/>
                <w:right w:val="none" w:sz="0" w:space="0" w:color="auto"/>
              </w:divBdr>
              <w:divsChild>
                <w:div w:id="1483695244">
                  <w:marLeft w:val="0"/>
                  <w:marRight w:val="0"/>
                  <w:marTop w:val="0"/>
                  <w:marBottom w:val="0"/>
                  <w:divBdr>
                    <w:top w:val="none" w:sz="0" w:space="0" w:color="auto"/>
                    <w:left w:val="none" w:sz="0" w:space="0" w:color="auto"/>
                    <w:bottom w:val="none" w:sz="0" w:space="0" w:color="auto"/>
                    <w:right w:val="none" w:sz="0" w:space="0" w:color="auto"/>
                  </w:divBdr>
                  <w:divsChild>
                    <w:div w:id="183638727">
                      <w:marLeft w:val="0"/>
                      <w:marRight w:val="0"/>
                      <w:marTop w:val="0"/>
                      <w:marBottom w:val="0"/>
                      <w:divBdr>
                        <w:top w:val="none" w:sz="0" w:space="0" w:color="auto"/>
                        <w:left w:val="none" w:sz="0" w:space="0" w:color="auto"/>
                        <w:bottom w:val="none" w:sz="0" w:space="0" w:color="auto"/>
                        <w:right w:val="none" w:sz="0" w:space="0" w:color="auto"/>
                      </w:divBdr>
                    </w:div>
                    <w:div w:id="1388452784">
                      <w:marLeft w:val="0"/>
                      <w:marRight w:val="0"/>
                      <w:marTop w:val="0"/>
                      <w:marBottom w:val="0"/>
                      <w:divBdr>
                        <w:top w:val="none" w:sz="0" w:space="0" w:color="auto"/>
                        <w:left w:val="none" w:sz="0" w:space="0" w:color="auto"/>
                        <w:bottom w:val="none" w:sz="0" w:space="0" w:color="auto"/>
                        <w:right w:val="none" w:sz="0" w:space="0" w:color="auto"/>
                      </w:divBdr>
                    </w:div>
                    <w:div w:id="1726294508">
                      <w:marLeft w:val="240"/>
                      <w:marRight w:val="0"/>
                      <w:marTop w:val="0"/>
                      <w:marBottom w:val="0"/>
                      <w:divBdr>
                        <w:top w:val="none" w:sz="0" w:space="0" w:color="auto"/>
                        <w:left w:val="none" w:sz="0" w:space="0" w:color="auto"/>
                        <w:bottom w:val="none" w:sz="0" w:space="0" w:color="auto"/>
                        <w:right w:val="none" w:sz="0" w:space="0" w:color="auto"/>
                      </w:divBdr>
                      <w:divsChild>
                        <w:div w:id="11422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096">
                  <w:marLeft w:val="0"/>
                  <w:marRight w:val="0"/>
                  <w:marTop w:val="0"/>
                  <w:marBottom w:val="0"/>
                  <w:divBdr>
                    <w:top w:val="none" w:sz="0" w:space="0" w:color="auto"/>
                    <w:left w:val="none" w:sz="0" w:space="0" w:color="auto"/>
                    <w:bottom w:val="none" w:sz="0" w:space="0" w:color="auto"/>
                    <w:right w:val="none" w:sz="0" w:space="0" w:color="auto"/>
                  </w:divBdr>
                  <w:divsChild>
                    <w:div w:id="1843885562">
                      <w:marLeft w:val="0"/>
                      <w:marRight w:val="0"/>
                      <w:marTop w:val="0"/>
                      <w:marBottom w:val="0"/>
                      <w:divBdr>
                        <w:top w:val="none" w:sz="0" w:space="0" w:color="auto"/>
                        <w:left w:val="none" w:sz="0" w:space="0" w:color="auto"/>
                        <w:bottom w:val="none" w:sz="0" w:space="0" w:color="auto"/>
                        <w:right w:val="none" w:sz="0" w:space="0" w:color="auto"/>
                      </w:divBdr>
                    </w:div>
                    <w:div w:id="8157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509">
          <w:marLeft w:val="0"/>
          <w:marRight w:val="0"/>
          <w:marTop w:val="166"/>
          <w:marBottom w:val="166"/>
          <w:divBdr>
            <w:top w:val="none" w:sz="0" w:space="0" w:color="auto"/>
            <w:left w:val="none" w:sz="0" w:space="0" w:color="auto"/>
            <w:bottom w:val="none" w:sz="0" w:space="0" w:color="auto"/>
            <w:right w:val="none" w:sz="0" w:space="0" w:color="auto"/>
          </w:divBdr>
          <w:divsChild>
            <w:div w:id="11961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4286">
      <w:bodyDiv w:val="1"/>
      <w:marLeft w:val="0"/>
      <w:marRight w:val="0"/>
      <w:marTop w:val="0"/>
      <w:marBottom w:val="0"/>
      <w:divBdr>
        <w:top w:val="none" w:sz="0" w:space="0" w:color="auto"/>
        <w:left w:val="none" w:sz="0" w:space="0" w:color="auto"/>
        <w:bottom w:val="none" w:sz="0" w:space="0" w:color="auto"/>
        <w:right w:val="none" w:sz="0" w:space="0" w:color="auto"/>
      </w:divBdr>
    </w:div>
    <w:div w:id="1198347311">
      <w:bodyDiv w:val="1"/>
      <w:marLeft w:val="0"/>
      <w:marRight w:val="0"/>
      <w:marTop w:val="0"/>
      <w:marBottom w:val="0"/>
      <w:divBdr>
        <w:top w:val="none" w:sz="0" w:space="0" w:color="auto"/>
        <w:left w:val="none" w:sz="0" w:space="0" w:color="auto"/>
        <w:bottom w:val="none" w:sz="0" w:space="0" w:color="auto"/>
        <w:right w:val="none" w:sz="0" w:space="0" w:color="auto"/>
      </w:divBdr>
    </w:div>
    <w:div w:id="16420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77%2F08944393124698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06F7-23EF-4B28-BBDB-8E217C4D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Mockovak, William - BLS</cp:lastModifiedBy>
  <cp:revision>16</cp:revision>
  <cp:lastPrinted>2017-06-01T19:14:00Z</cp:lastPrinted>
  <dcterms:created xsi:type="dcterms:W3CDTF">2017-02-02T13:38:00Z</dcterms:created>
  <dcterms:modified xsi:type="dcterms:W3CDTF">2017-06-08T17:08:00Z</dcterms:modified>
</cp:coreProperties>
</file>