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C1" w:rsidRPr="00C1694A" w:rsidRDefault="00343EB8" w:rsidP="00343EB8">
      <w:pPr>
        <w:rPr>
          <w:rFonts w:ascii="Times New Roman" w:hAnsi="Times New Roman" w:cs="Times New Roman"/>
        </w:rPr>
      </w:pPr>
      <w:r w:rsidRPr="00C1694A">
        <w:rPr>
          <w:rFonts w:ascii="Times New Roman" w:hAnsi="Times New Roman" w:cs="Times New Roman"/>
          <w:b/>
          <w:sz w:val="24"/>
        </w:rPr>
        <w:t xml:space="preserve">DEPARTMENT </w:t>
      </w:r>
      <w:r w:rsidR="004456C1" w:rsidRPr="00C1694A">
        <w:rPr>
          <w:rFonts w:ascii="Times New Roman" w:hAnsi="Times New Roman" w:cs="Times New Roman"/>
          <w:b/>
          <w:sz w:val="24"/>
        </w:rPr>
        <w:t>OF HEALTH AND HUMAN SERVICES</w:t>
      </w:r>
    </w:p>
    <w:p w:rsidR="004456C1" w:rsidRPr="00C1694A" w:rsidRDefault="004456C1" w:rsidP="001F3D36">
      <w:pPr>
        <w:widowControl w:val="0"/>
        <w:autoSpaceDE w:val="0"/>
        <w:autoSpaceDN w:val="0"/>
        <w:adjustRightInd w:val="0"/>
        <w:spacing w:after="0" w:line="480" w:lineRule="auto"/>
        <w:rPr>
          <w:rFonts w:ascii="Times New Roman" w:eastAsiaTheme="minorHAnsi" w:hAnsi="Times New Roman" w:cs="Times New Roman"/>
          <w:b/>
          <w:sz w:val="24"/>
          <w:szCs w:val="24"/>
        </w:rPr>
      </w:pPr>
      <w:r w:rsidRPr="00C1694A">
        <w:rPr>
          <w:rFonts w:ascii="Times New Roman" w:eastAsiaTheme="minorHAnsi" w:hAnsi="Times New Roman" w:cs="Times New Roman"/>
          <w:b/>
          <w:sz w:val="24"/>
          <w:szCs w:val="24"/>
        </w:rPr>
        <w:t>Administration for Children and Families</w:t>
      </w:r>
    </w:p>
    <w:p w:rsidR="004456C1" w:rsidRPr="00C1694A" w:rsidRDefault="004456C1" w:rsidP="006374AC">
      <w:pPr>
        <w:shd w:val="clear" w:color="auto" w:fill="FFFFFF"/>
        <w:tabs>
          <w:tab w:val="left" w:pos="6210"/>
        </w:tabs>
        <w:spacing w:after="0" w:line="480" w:lineRule="auto"/>
        <w:rPr>
          <w:rFonts w:ascii="Times New Roman" w:eastAsia="Times New Roman" w:hAnsi="Times New Roman" w:cs="Times New Roman"/>
          <w:sz w:val="24"/>
          <w:szCs w:val="24"/>
        </w:rPr>
      </w:pPr>
      <w:r w:rsidRPr="00C1694A">
        <w:rPr>
          <w:rFonts w:ascii="Times New Roman" w:eastAsiaTheme="minorHAnsi" w:hAnsi="Times New Roman" w:cs="Times New Roman"/>
          <w:b/>
          <w:sz w:val="24"/>
          <w:szCs w:val="24"/>
        </w:rPr>
        <w:t xml:space="preserve">45 CFR </w:t>
      </w:r>
      <w:r w:rsidR="00D5256D" w:rsidRPr="00C1694A">
        <w:rPr>
          <w:rFonts w:ascii="Times New Roman" w:eastAsiaTheme="minorHAnsi" w:hAnsi="Times New Roman" w:cs="Times New Roman"/>
          <w:b/>
          <w:sz w:val="24"/>
          <w:szCs w:val="24"/>
        </w:rPr>
        <w:t>Chapter XIII</w:t>
      </w:r>
      <w:r w:rsidR="004876BE" w:rsidRPr="00C1694A">
        <w:rPr>
          <w:rFonts w:ascii="Times New Roman" w:eastAsiaTheme="minorHAnsi" w:hAnsi="Times New Roman" w:cs="Times New Roman"/>
          <w:b/>
          <w:sz w:val="24"/>
          <w:szCs w:val="24"/>
        </w:rPr>
        <w:tab/>
      </w:r>
    </w:p>
    <w:p w:rsidR="004456C1" w:rsidRPr="00C1694A" w:rsidRDefault="004456C1" w:rsidP="001F3D36">
      <w:pPr>
        <w:widowControl w:val="0"/>
        <w:autoSpaceDE w:val="0"/>
        <w:autoSpaceDN w:val="0"/>
        <w:adjustRightInd w:val="0"/>
        <w:spacing w:after="0" w:line="480" w:lineRule="auto"/>
        <w:rPr>
          <w:rFonts w:ascii="Times New Roman" w:eastAsiaTheme="minorHAnsi" w:hAnsi="Times New Roman" w:cs="Times New Roman"/>
          <w:b/>
          <w:sz w:val="24"/>
          <w:szCs w:val="24"/>
        </w:rPr>
      </w:pPr>
      <w:r w:rsidRPr="00C1694A">
        <w:rPr>
          <w:rFonts w:ascii="Times New Roman" w:eastAsiaTheme="minorHAnsi" w:hAnsi="Times New Roman" w:cs="Times New Roman"/>
          <w:b/>
          <w:sz w:val="24"/>
          <w:szCs w:val="24"/>
        </w:rPr>
        <w:t>RIN</w:t>
      </w:r>
      <w:r w:rsidR="00BB7F34" w:rsidRPr="00C1694A">
        <w:rPr>
          <w:rFonts w:ascii="Times New Roman" w:eastAsiaTheme="minorHAnsi" w:hAnsi="Times New Roman" w:cs="Times New Roman"/>
          <w:b/>
          <w:sz w:val="24"/>
          <w:szCs w:val="24"/>
        </w:rPr>
        <w:t xml:space="preserve"> </w:t>
      </w:r>
      <w:r w:rsidR="007700CA" w:rsidRPr="00C1694A">
        <w:rPr>
          <w:rFonts w:ascii="Times New Roman" w:eastAsiaTheme="minorHAnsi" w:hAnsi="Times New Roman" w:cs="Times New Roman"/>
          <w:b/>
          <w:sz w:val="24"/>
          <w:szCs w:val="24"/>
        </w:rPr>
        <w:t>0970-AC63</w:t>
      </w:r>
    </w:p>
    <w:p w:rsidR="004456C1" w:rsidRPr="00C1694A" w:rsidRDefault="004456C1" w:rsidP="001F3D36">
      <w:pPr>
        <w:widowControl w:val="0"/>
        <w:autoSpaceDE w:val="0"/>
        <w:autoSpaceDN w:val="0"/>
        <w:adjustRightInd w:val="0"/>
        <w:spacing w:after="0" w:line="480" w:lineRule="auto"/>
        <w:rPr>
          <w:rFonts w:ascii="Times New Roman" w:hAnsi="Times New Roman" w:cs="Times New Roman"/>
          <w:b/>
          <w:sz w:val="24"/>
          <w:szCs w:val="24"/>
        </w:rPr>
      </w:pPr>
      <w:r w:rsidRPr="00C1694A">
        <w:rPr>
          <w:rFonts w:ascii="Times New Roman" w:eastAsiaTheme="minorHAnsi" w:hAnsi="Times New Roman" w:cs="Times New Roman"/>
          <w:b/>
          <w:sz w:val="24"/>
          <w:szCs w:val="24"/>
        </w:rPr>
        <w:t>Head Start Performance Standards</w:t>
      </w:r>
    </w:p>
    <w:p w:rsidR="004456C1" w:rsidRPr="00C1694A" w:rsidRDefault="004456C1" w:rsidP="009A526A">
      <w:pPr>
        <w:spacing w:after="0" w:line="480" w:lineRule="auto"/>
        <w:rPr>
          <w:rFonts w:ascii="Times New Roman" w:hAnsi="Times New Roman" w:cs="Times New Roman"/>
          <w:b/>
          <w:sz w:val="24"/>
          <w:szCs w:val="24"/>
        </w:rPr>
      </w:pPr>
    </w:p>
    <w:p w:rsidR="004456C1" w:rsidRPr="00C1694A" w:rsidRDefault="004456C1" w:rsidP="009A526A">
      <w:pPr>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 xml:space="preserve">AGENCY:  </w:t>
      </w:r>
      <w:r w:rsidRPr="00C1694A">
        <w:rPr>
          <w:rFonts w:ascii="Times New Roman" w:hAnsi="Times New Roman" w:cs="Times New Roman"/>
          <w:sz w:val="24"/>
          <w:szCs w:val="24"/>
        </w:rPr>
        <w:t xml:space="preserve">Office of Head Start (OHS), Administration for Children and Families (ACF), Department of Health and Human Services (HHS). </w:t>
      </w:r>
    </w:p>
    <w:p w:rsidR="004456C1" w:rsidRPr="00C1694A" w:rsidRDefault="004456C1" w:rsidP="009A526A">
      <w:pPr>
        <w:spacing w:after="0" w:line="480" w:lineRule="auto"/>
        <w:rPr>
          <w:rFonts w:ascii="Times New Roman" w:hAnsi="Times New Roman" w:cs="Times New Roman"/>
          <w:b/>
          <w:sz w:val="24"/>
          <w:szCs w:val="24"/>
        </w:rPr>
      </w:pPr>
    </w:p>
    <w:p w:rsidR="004456C1" w:rsidRPr="00C1694A" w:rsidRDefault="004456C1" w:rsidP="009A526A">
      <w:pPr>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 xml:space="preserve">ACTION:  </w:t>
      </w:r>
      <w:r w:rsidRPr="00C1694A">
        <w:rPr>
          <w:rFonts w:ascii="Times New Roman" w:hAnsi="Times New Roman" w:cs="Times New Roman"/>
          <w:sz w:val="24"/>
          <w:szCs w:val="24"/>
        </w:rPr>
        <w:t>Final rule.</w:t>
      </w:r>
    </w:p>
    <w:p w:rsidR="004456C1" w:rsidRPr="00C1694A" w:rsidRDefault="004456C1" w:rsidP="009A526A">
      <w:pPr>
        <w:spacing w:after="0" w:line="480" w:lineRule="auto"/>
        <w:rPr>
          <w:rFonts w:ascii="Times New Roman" w:hAnsi="Times New Roman" w:cs="Times New Roman"/>
          <w:b/>
          <w:sz w:val="24"/>
          <w:szCs w:val="24"/>
        </w:rPr>
      </w:pPr>
    </w:p>
    <w:p w:rsidR="004456C1" w:rsidRPr="00C1694A" w:rsidRDefault="004456C1" w:rsidP="009A526A">
      <w:pPr>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 xml:space="preserve">SUMMARY: </w:t>
      </w:r>
      <w:r w:rsidR="00CF6120" w:rsidRPr="00C1694A">
        <w:rPr>
          <w:rFonts w:ascii="Times New Roman" w:hAnsi="Times New Roman" w:cs="Times New Roman"/>
          <w:sz w:val="24"/>
          <w:szCs w:val="24"/>
        </w:rPr>
        <w:t xml:space="preserve">This final rule modernizes </w:t>
      </w:r>
      <w:r w:rsidR="00682760" w:rsidRPr="00C1694A">
        <w:rPr>
          <w:rFonts w:ascii="Times New Roman" w:hAnsi="Times New Roman" w:cs="Times New Roman"/>
          <w:sz w:val="24"/>
          <w:szCs w:val="24"/>
        </w:rPr>
        <w:t xml:space="preserve">the </w:t>
      </w:r>
      <w:r w:rsidR="00CF6120" w:rsidRPr="00C1694A">
        <w:rPr>
          <w:rFonts w:ascii="Times New Roman" w:hAnsi="Times New Roman" w:cs="Times New Roman"/>
          <w:sz w:val="24"/>
          <w:szCs w:val="24"/>
        </w:rPr>
        <w:t xml:space="preserve">Head Start </w:t>
      </w:r>
      <w:r w:rsidR="00682760" w:rsidRPr="00C1694A">
        <w:rPr>
          <w:rFonts w:ascii="Times New Roman" w:hAnsi="Times New Roman" w:cs="Times New Roman"/>
          <w:sz w:val="24"/>
          <w:szCs w:val="24"/>
        </w:rPr>
        <w:t>Program P</w:t>
      </w:r>
      <w:r w:rsidR="00CF6120" w:rsidRPr="00C1694A">
        <w:rPr>
          <w:rFonts w:ascii="Times New Roman" w:hAnsi="Times New Roman" w:cs="Times New Roman"/>
          <w:sz w:val="24"/>
          <w:szCs w:val="24"/>
        </w:rPr>
        <w:t xml:space="preserve">erformance </w:t>
      </w:r>
      <w:r w:rsidR="00682760" w:rsidRPr="00C1694A">
        <w:rPr>
          <w:rFonts w:ascii="Times New Roman" w:hAnsi="Times New Roman" w:cs="Times New Roman"/>
          <w:sz w:val="24"/>
          <w:szCs w:val="24"/>
        </w:rPr>
        <w:t>S</w:t>
      </w:r>
      <w:r w:rsidR="00CF6120" w:rsidRPr="00C1694A">
        <w:rPr>
          <w:rFonts w:ascii="Times New Roman" w:hAnsi="Times New Roman" w:cs="Times New Roman"/>
          <w:sz w:val="24"/>
          <w:szCs w:val="24"/>
        </w:rPr>
        <w:t>tandards, last revised in 1998</w:t>
      </w:r>
      <w:r w:rsidR="008F0045" w:rsidRPr="00C1694A">
        <w:rPr>
          <w:rFonts w:ascii="Times New Roman" w:hAnsi="Times New Roman" w:cs="Times New Roman"/>
          <w:sz w:val="24"/>
          <w:szCs w:val="24"/>
        </w:rPr>
        <w:t xml:space="preserve">.  </w:t>
      </w:r>
      <w:r w:rsidR="00567DFB">
        <w:rPr>
          <w:rFonts w:ascii="Times New Roman" w:hAnsi="Times New Roman" w:cs="Times New Roman"/>
          <w:sz w:val="24"/>
          <w:szCs w:val="24"/>
        </w:rPr>
        <w:t xml:space="preserve">In the Improving Head Start for School Readiness Act of 2007, </w:t>
      </w:r>
      <w:r w:rsidR="002C7866" w:rsidRPr="00C1694A">
        <w:rPr>
          <w:rFonts w:ascii="Times New Roman" w:hAnsi="Times New Roman" w:cs="Times New Roman"/>
          <w:sz w:val="24"/>
          <w:szCs w:val="24"/>
        </w:rPr>
        <w:t xml:space="preserve">Congress instructed the Office of Head Start to update its performance standards </w:t>
      </w:r>
      <w:r w:rsidR="0001696B" w:rsidRPr="00C1694A">
        <w:rPr>
          <w:rFonts w:ascii="Times New Roman" w:hAnsi="Times New Roman" w:cs="Times New Roman"/>
          <w:sz w:val="24"/>
          <w:szCs w:val="24"/>
        </w:rPr>
        <w:t xml:space="preserve">and to </w:t>
      </w:r>
      <w:r w:rsidR="002C7866" w:rsidRPr="00C1694A">
        <w:rPr>
          <w:rFonts w:ascii="Times New Roman" w:hAnsi="Times New Roman" w:cs="Times New Roman"/>
          <w:sz w:val="24"/>
          <w:szCs w:val="24"/>
        </w:rPr>
        <w:t>ensure any such revisions</w:t>
      </w:r>
      <w:r w:rsidR="0001696B" w:rsidRPr="00C1694A">
        <w:rPr>
          <w:rFonts w:ascii="Times New Roman" w:hAnsi="Times New Roman" w:cs="Times New Roman"/>
          <w:sz w:val="24"/>
          <w:szCs w:val="24"/>
        </w:rPr>
        <w:t xml:space="preserve"> to</w:t>
      </w:r>
      <w:r w:rsidR="002C7866" w:rsidRPr="00C1694A">
        <w:rPr>
          <w:rFonts w:ascii="Times New Roman" w:hAnsi="Times New Roman" w:cs="Times New Roman"/>
          <w:sz w:val="24"/>
          <w:szCs w:val="24"/>
        </w:rPr>
        <w:t xml:space="preserve"> the standards</w:t>
      </w:r>
      <w:r w:rsidR="0038769C" w:rsidRPr="00C1694A">
        <w:rPr>
          <w:rFonts w:ascii="Times New Roman" w:hAnsi="Times New Roman" w:cs="Times New Roman"/>
          <w:sz w:val="24"/>
          <w:szCs w:val="24"/>
        </w:rPr>
        <w:t xml:space="preserve"> do not </w:t>
      </w:r>
      <w:r w:rsidR="0001696B" w:rsidRPr="00C1694A">
        <w:rPr>
          <w:rFonts w:ascii="Times New Roman" w:hAnsi="Times New Roman" w:cs="Times New Roman"/>
          <w:sz w:val="24"/>
          <w:szCs w:val="24"/>
        </w:rPr>
        <w:t xml:space="preserve">eliminate or reduce </w:t>
      </w:r>
      <w:r w:rsidR="0038769C" w:rsidRPr="00C1694A">
        <w:rPr>
          <w:rFonts w:ascii="Times New Roman" w:hAnsi="Times New Roman" w:cs="Times New Roman"/>
          <w:sz w:val="24"/>
          <w:szCs w:val="24"/>
        </w:rPr>
        <w:t>quality, scope, or types of health, educational, parental involvement, nutritional</w:t>
      </w:r>
      <w:r w:rsidR="0001696B" w:rsidRPr="00C1694A">
        <w:rPr>
          <w:rFonts w:ascii="Times New Roman" w:hAnsi="Times New Roman" w:cs="Times New Roman"/>
          <w:sz w:val="24"/>
          <w:szCs w:val="24"/>
        </w:rPr>
        <w:t>, social, or other services</w:t>
      </w:r>
      <w:r w:rsidR="00F07995" w:rsidRPr="00C1694A">
        <w:rPr>
          <w:rFonts w:ascii="Times New Roman" w:hAnsi="Times New Roman" w:cs="Times New Roman"/>
          <w:sz w:val="24"/>
          <w:szCs w:val="24"/>
        </w:rPr>
        <w:t xml:space="preserve"> programs provide</w:t>
      </w:r>
      <w:r w:rsidR="0001696B" w:rsidRPr="00C1694A">
        <w:rPr>
          <w:rFonts w:ascii="Times New Roman" w:hAnsi="Times New Roman" w:cs="Times New Roman"/>
          <w:sz w:val="24"/>
          <w:szCs w:val="24"/>
        </w:rPr>
        <w:t>.</w:t>
      </w:r>
      <w:r w:rsidR="00F07995" w:rsidRPr="00C1694A">
        <w:rPr>
          <w:rFonts w:ascii="Times New Roman" w:hAnsi="Times New Roman" w:cs="Times New Roman"/>
          <w:sz w:val="24"/>
          <w:szCs w:val="24"/>
        </w:rPr>
        <w:t xml:space="preserve">  </w:t>
      </w:r>
      <w:r w:rsidR="00BC585E" w:rsidRPr="00C1694A">
        <w:rPr>
          <w:rFonts w:ascii="Times New Roman" w:hAnsi="Times New Roman" w:cs="Times New Roman"/>
          <w:sz w:val="24"/>
          <w:szCs w:val="24"/>
        </w:rPr>
        <w:t xml:space="preserve">This rule </w:t>
      </w:r>
      <w:r w:rsidR="00F07995" w:rsidRPr="00C1694A">
        <w:rPr>
          <w:rFonts w:ascii="Times New Roman" w:hAnsi="Times New Roman" w:cs="Times New Roman"/>
          <w:sz w:val="24"/>
          <w:szCs w:val="24"/>
        </w:rPr>
        <w:t>respond</w:t>
      </w:r>
      <w:r w:rsidR="00BC585E" w:rsidRPr="00C1694A">
        <w:rPr>
          <w:rFonts w:ascii="Times New Roman" w:hAnsi="Times New Roman" w:cs="Times New Roman"/>
          <w:sz w:val="24"/>
          <w:szCs w:val="24"/>
        </w:rPr>
        <w:t>s</w:t>
      </w:r>
      <w:r w:rsidR="004D4474" w:rsidRPr="00C1694A">
        <w:rPr>
          <w:rFonts w:ascii="Times New Roman" w:hAnsi="Times New Roman" w:cs="Times New Roman"/>
          <w:sz w:val="24"/>
          <w:szCs w:val="24"/>
        </w:rPr>
        <w:t xml:space="preserve"> to</w:t>
      </w:r>
      <w:r w:rsidR="00F07995" w:rsidRPr="00C1694A">
        <w:rPr>
          <w:rFonts w:ascii="Times New Roman" w:hAnsi="Times New Roman" w:cs="Times New Roman"/>
          <w:sz w:val="24"/>
          <w:szCs w:val="24"/>
        </w:rPr>
        <w:t xml:space="preserve"> public comment, incorporate</w:t>
      </w:r>
      <w:r w:rsidR="00BC585E" w:rsidRPr="00C1694A">
        <w:rPr>
          <w:rFonts w:ascii="Times New Roman" w:hAnsi="Times New Roman" w:cs="Times New Roman"/>
          <w:sz w:val="24"/>
          <w:szCs w:val="24"/>
        </w:rPr>
        <w:t>s</w:t>
      </w:r>
      <w:r w:rsidR="00F07995" w:rsidRPr="00C1694A">
        <w:rPr>
          <w:rFonts w:ascii="Times New Roman" w:hAnsi="Times New Roman" w:cs="Times New Roman"/>
          <w:sz w:val="24"/>
          <w:szCs w:val="24"/>
        </w:rPr>
        <w:t xml:space="preserve"> </w:t>
      </w:r>
      <w:r w:rsidR="004D4474" w:rsidRPr="00C1694A">
        <w:rPr>
          <w:rFonts w:ascii="Times New Roman" w:hAnsi="Times New Roman" w:cs="Times New Roman"/>
          <w:sz w:val="24"/>
          <w:szCs w:val="24"/>
        </w:rPr>
        <w:t>extensive</w:t>
      </w:r>
      <w:r w:rsidR="00F07995" w:rsidRPr="00C1694A">
        <w:rPr>
          <w:rFonts w:ascii="Times New Roman" w:hAnsi="Times New Roman" w:cs="Times New Roman"/>
          <w:sz w:val="24"/>
          <w:szCs w:val="24"/>
        </w:rPr>
        <w:t xml:space="preserve"> findings from research and from</w:t>
      </w:r>
      <w:r w:rsidR="004D4474" w:rsidRPr="00C1694A">
        <w:rPr>
          <w:rFonts w:ascii="Times New Roman" w:hAnsi="Times New Roman" w:cs="Times New Roman"/>
          <w:sz w:val="24"/>
          <w:szCs w:val="24"/>
        </w:rPr>
        <w:t xml:space="preserve"> consultation with experts</w:t>
      </w:r>
      <w:r w:rsidR="0001696B" w:rsidRPr="00C1694A">
        <w:rPr>
          <w:rFonts w:ascii="Times New Roman" w:hAnsi="Times New Roman" w:cs="Times New Roman"/>
          <w:sz w:val="24"/>
          <w:szCs w:val="24"/>
        </w:rPr>
        <w:t>, reflect</w:t>
      </w:r>
      <w:r w:rsidR="00BC585E" w:rsidRPr="00C1694A">
        <w:rPr>
          <w:rFonts w:ascii="Times New Roman" w:hAnsi="Times New Roman" w:cs="Times New Roman"/>
          <w:sz w:val="24"/>
          <w:szCs w:val="24"/>
        </w:rPr>
        <w:t>s</w:t>
      </w:r>
      <w:r w:rsidR="0001696B" w:rsidRPr="00C1694A">
        <w:rPr>
          <w:rFonts w:ascii="Times New Roman" w:hAnsi="Times New Roman" w:cs="Times New Roman"/>
          <w:sz w:val="24"/>
          <w:szCs w:val="24"/>
        </w:rPr>
        <w:t xml:space="preserve"> best practices, lessons from program input and innovation, integrate</w:t>
      </w:r>
      <w:r w:rsidR="00037D02" w:rsidRPr="00C1694A">
        <w:rPr>
          <w:rFonts w:ascii="Times New Roman" w:hAnsi="Times New Roman" w:cs="Times New Roman"/>
          <w:sz w:val="24"/>
          <w:szCs w:val="24"/>
        </w:rPr>
        <w:t>s</w:t>
      </w:r>
      <w:r w:rsidR="0001696B" w:rsidRPr="00C1694A">
        <w:rPr>
          <w:rFonts w:ascii="Times New Roman" w:hAnsi="Times New Roman" w:cs="Times New Roman"/>
          <w:sz w:val="24"/>
          <w:szCs w:val="24"/>
        </w:rPr>
        <w:t xml:space="preserve"> recommendations from the Secretary’s Advisory Committee Final Report on Head Start Research and Evaluation, and reflect</w:t>
      </w:r>
      <w:r w:rsidR="00915289" w:rsidRPr="00C1694A">
        <w:rPr>
          <w:rFonts w:ascii="Times New Roman" w:hAnsi="Times New Roman" w:cs="Times New Roman"/>
          <w:sz w:val="24"/>
          <w:szCs w:val="24"/>
        </w:rPr>
        <w:t>s</w:t>
      </w:r>
      <w:r w:rsidR="0001696B" w:rsidRPr="00C1694A">
        <w:rPr>
          <w:rFonts w:ascii="Times New Roman" w:hAnsi="Times New Roman" w:cs="Times New Roman"/>
          <w:sz w:val="24"/>
          <w:szCs w:val="24"/>
        </w:rPr>
        <w:t xml:space="preserve"> the Obama Administration’s deep commitment to improve the school readiness of young children.  These perfor</w:t>
      </w:r>
      <w:r w:rsidR="00F07995" w:rsidRPr="00C1694A">
        <w:rPr>
          <w:rFonts w:ascii="Times New Roman" w:hAnsi="Times New Roman" w:cs="Times New Roman"/>
          <w:sz w:val="24"/>
          <w:szCs w:val="24"/>
        </w:rPr>
        <w:t>mance standards will improve program</w:t>
      </w:r>
      <w:r w:rsidR="0001696B" w:rsidRPr="00C1694A">
        <w:rPr>
          <w:rFonts w:ascii="Times New Roman" w:hAnsi="Times New Roman" w:cs="Times New Roman"/>
          <w:sz w:val="24"/>
          <w:szCs w:val="24"/>
        </w:rPr>
        <w:t xml:space="preserve"> quality, reduce burden on programs, and improve regulatory clarity and transparency.  They provide a clear road map for current and prospective grantees </w:t>
      </w:r>
      <w:r w:rsidR="00DB109F" w:rsidRPr="00C1694A">
        <w:rPr>
          <w:rFonts w:ascii="Times New Roman" w:hAnsi="Times New Roman" w:cs="Times New Roman"/>
          <w:sz w:val="24"/>
          <w:szCs w:val="24"/>
        </w:rPr>
        <w:t>to support</w:t>
      </w:r>
      <w:r w:rsidR="0001696B" w:rsidRPr="00C1694A">
        <w:rPr>
          <w:rFonts w:ascii="Times New Roman" w:hAnsi="Times New Roman" w:cs="Times New Roman"/>
          <w:sz w:val="24"/>
          <w:szCs w:val="24"/>
        </w:rPr>
        <w:t xml:space="preserve"> high</w:t>
      </w:r>
      <w:r w:rsidR="00915289" w:rsidRPr="00C1694A">
        <w:rPr>
          <w:rFonts w:ascii="Times New Roman" w:hAnsi="Times New Roman" w:cs="Times New Roman"/>
          <w:sz w:val="24"/>
          <w:szCs w:val="24"/>
        </w:rPr>
        <w:t>-</w:t>
      </w:r>
      <w:r w:rsidR="0001696B" w:rsidRPr="00C1694A">
        <w:rPr>
          <w:rFonts w:ascii="Times New Roman" w:hAnsi="Times New Roman" w:cs="Times New Roman"/>
          <w:sz w:val="24"/>
          <w:szCs w:val="24"/>
        </w:rPr>
        <w:t xml:space="preserve">quality Head Start services and to strengthen the outcomes of the children and families </w:t>
      </w:r>
      <w:r w:rsidR="000B389D" w:rsidRPr="00C1694A">
        <w:rPr>
          <w:rFonts w:ascii="Times New Roman" w:hAnsi="Times New Roman" w:cs="Times New Roman"/>
          <w:sz w:val="24"/>
          <w:szCs w:val="24"/>
        </w:rPr>
        <w:t xml:space="preserve">Head Start </w:t>
      </w:r>
      <w:r w:rsidR="0001696B" w:rsidRPr="00C1694A">
        <w:rPr>
          <w:rFonts w:ascii="Times New Roman" w:hAnsi="Times New Roman" w:cs="Times New Roman"/>
          <w:sz w:val="24"/>
          <w:szCs w:val="24"/>
        </w:rPr>
        <w:t>serve</w:t>
      </w:r>
      <w:r w:rsidR="000B389D" w:rsidRPr="00C1694A">
        <w:rPr>
          <w:rFonts w:ascii="Times New Roman" w:hAnsi="Times New Roman" w:cs="Times New Roman"/>
          <w:sz w:val="24"/>
          <w:szCs w:val="24"/>
        </w:rPr>
        <w:t>s</w:t>
      </w:r>
      <w:r w:rsidR="0001696B" w:rsidRPr="00C1694A">
        <w:rPr>
          <w:rFonts w:ascii="Times New Roman" w:hAnsi="Times New Roman" w:cs="Times New Roman"/>
          <w:sz w:val="24"/>
          <w:szCs w:val="24"/>
        </w:rPr>
        <w:t>.</w:t>
      </w:r>
      <w:r w:rsidR="004D4474" w:rsidRPr="00C1694A">
        <w:rPr>
          <w:rFonts w:ascii="Times New Roman" w:hAnsi="Times New Roman" w:cs="Times New Roman"/>
          <w:sz w:val="24"/>
          <w:szCs w:val="24"/>
        </w:rPr>
        <w:t xml:space="preserve">  </w:t>
      </w:r>
    </w:p>
    <w:p w:rsidR="004456C1" w:rsidRPr="00C1694A" w:rsidRDefault="004456C1" w:rsidP="009A526A">
      <w:pPr>
        <w:spacing w:after="0" w:line="480" w:lineRule="auto"/>
        <w:rPr>
          <w:rFonts w:ascii="Times New Roman" w:hAnsi="Times New Roman" w:cs="Times New Roman"/>
          <w:b/>
          <w:sz w:val="24"/>
          <w:szCs w:val="24"/>
        </w:rPr>
      </w:pPr>
    </w:p>
    <w:p w:rsidR="003A73D8" w:rsidRPr="00C1694A" w:rsidRDefault="004456C1" w:rsidP="00AC521C">
      <w:pPr>
        <w:spacing w:after="0" w:line="480" w:lineRule="auto"/>
        <w:rPr>
          <w:rFonts w:ascii="Times New Roman" w:hAnsi="Times New Roman" w:cs="Times New Roman"/>
          <w:sz w:val="24"/>
          <w:szCs w:val="24"/>
          <w:lang w:val="en"/>
        </w:rPr>
      </w:pPr>
      <w:r w:rsidRPr="00C1694A">
        <w:rPr>
          <w:rFonts w:ascii="Times New Roman" w:hAnsi="Times New Roman" w:cs="Times New Roman"/>
          <w:b/>
          <w:sz w:val="24"/>
          <w:szCs w:val="24"/>
        </w:rPr>
        <w:t xml:space="preserve">DATES: </w:t>
      </w:r>
      <w:r w:rsidR="003A73D8" w:rsidRPr="00C1694A">
        <w:rPr>
          <w:rFonts w:ascii="Times New Roman" w:hAnsi="Times New Roman" w:cs="Times New Roman"/>
          <w:bCs/>
          <w:sz w:val="24"/>
          <w:szCs w:val="24"/>
          <w:u w:val="single"/>
        </w:rPr>
        <w:t>Effective Date:</w:t>
      </w:r>
      <w:r w:rsidR="003A73D8" w:rsidRPr="00C1694A">
        <w:rPr>
          <w:rFonts w:ascii="Times New Roman" w:hAnsi="Times New Roman" w:cs="Times New Roman"/>
          <w:bCs/>
          <w:sz w:val="24"/>
          <w:szCs w:val="24"/>
        </w:rPr>
        <w:t xml:space="preserve">  </w:t>
      </w:r>
      <w:r w:rsidR="000B389D" w:rsidRPr="00C1694A">
        <w:rPr>
          <w:rFonts w:ascii="Times New Roman" w:hAnsi="Times New Roman" w:cs="Times New Roman"/>
          <w:sz w:val="24"/>
          <w:szCs w:val="24"/>
          <w:lang w:val="en"/>
        </w:rPr>
        <w:t xml:space="preserve">Provisions of this final rule become effective [INSERT DATE 60 DAYS AFTER DATE OF PUBLICATION IN THE FEDERAL REGISTER].  </w:t>
      </w:r>
    </w:p>
    <w:p w:rsidR="003A73D8" w:rsidRPr="00C1694A" w:rsidRDefault="003A73D8" w:rsidP="003A73D8">
      <w:pPr>
        <w:autoSpaceDE w:val="0"/>
        <w:autoSpaceDN w:val="0"/>
        <w:adjustRightInd w:val="0"/>
        <w:spacing w:after="0" w:line="480" w:lineRule="auto"/>
        <w:ind w:firstLine="547"/>
        <w:contextualSpacing/>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Compliance Date(s):</w:t>
      </w:r>
      <w:r w:rsidRPr="00C1694A">
        <w:rPr>
          <w:rFonts w:ascii="Times New Roman" w:hAnsi="Times New Roman" w:cs="Times New Roman"/>
          <w:sz w:val="24"/>
          <w:szCs w:val="24"/>
        </w:rPr>
        <w:t xml:space="preserve">  To allow programs reasonable time to implement certain performance standards, we </w:t>
      </w:r>
      <w:r w:rsidR="000B389D" w:rsidRPr="00C1694A">
        <w:rPr>
          <w:rFonts w:ascii="Times New Roman" w:hAnsi="Times New Roman" w:cs="Times New Roman"/>
          <w:sz w:val="24"/>
          <w:szCs w:val="24"/>
        </w:rPr>
        <w:t xml:space="preserve">phase in </w:t>
      </w:r>
      <w:r w:rsidRPr="00C1694A">
        <w:rPr>
          <w:rFonts w:ascii="Times New Roman" w:hAnsi="Times New Roman" w:cs="Times New Roman"/>
          <w:sz w:val="24"/>
          <w:szCs w:val="24"/>
        </w:rPr>
        <w:t xml:space="preserve">compliance dates over several years after this final rule becomes effective.  In the </w:t>
      </w:r>
      <w:r w:rsidRPr="00C1694A">
        <w:rPr>
          <w:rFonts w:ascii="Times New Roman" w:hAnsi="Times New Roman" w:cs="Times New Roman"/>
          <w:b/>
          <w:caps/>
          <w:sz w:val="24"/>
          <w:szCs w:val="24"/>
        </w:rPr>
        <w:t>Supplementary Information</w:t>
      </w:r>
      <w:r w:rsidRPr="00C1694A">
        <w:rPr>
          <w:rFonts w:ascii="Times New Roman" w:hAnsi="Times New Roman" w:cs="Times New Roman"/>
          <w:sz w:val="24"/>
          <w:szCs w:val="24"/>
        </w:rPr>
        <w:t xml:space="preserve"> section bel</w:t>
      </w:r>
      <w:r w:rsidR="00CF0E1F" w:rsidRPr="00C1694A">
        <w:rPr>
          <w:rFonts w:ascii="Times New Roman" w:hAnsi="Times New Roman" w:cs="Times New Roman"/>
          <w:sz w:val="24"/>
          <w:szCs w:val="24"/>
        </w:rPr>
        <w:t>ow, we provide a table, Table 1:</w:t>
      </w:r>
      <w:r w:rsidRPr="00C1694A">
        <w:rPr>
          <w:rFonts w:ascii="Times New Roman" w:hAnsi="Times New Roman" w:cs="Times New Roman"/>
          <w:sz w:val="24"/>
          <w:szCs w:val="24"/>
        </w:rPr>
        <w:t xml:space="preserve"> Compliance Table, which lists dates by which programs must implement specific standards.   </w:t>
      </w:r>
    </w:p>
    <w:p w:rsidR="00B92D46" w:rsidRPr="00C1694A" w:rsidRDefault="00B92D46" w:rsidP="009A526A">
      <w:pPr>
        <w:spacing w:after="0" w:line="480" w:lineRule="auto"/>
        <w:rPr>
          <w:rFonts w:ascii="Times New Roman" w:hAnsi="Times New Roman" w:cs="Times New Roman"/>
          <w:b/>
          <w:sz w:val="24"/>
          <w:szCs w:val="24"/>
        </w:rPr>
      </w:pPr>
    </w:p>
    <w:p w:rsidR="00084CC3" w:rsidRPr="00C1694A" w:rsidRDefault="004456C1" w:rsidP="00AC521C">
      <w:pPr>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 xml:space="preserve">FOR FURTHER INFORMATION CONTACT: </w:t>
      </w:r>
      <w:r w:rsidRPr="00C1694A">
        <w:rPr>
          <w:rFonts w:ascii="Times New Roman" w:hAnsi="Times New Roman" w:cs="Times New Roman"/>
          <w:sz w:val="24"/>
          <w:szCs w:val="24"/>
        </w:rPr>
        <w:t>Colleen Rathgeb, Division Director</w:t>
      </w:r>
      <w:r w:rsidR="00567DFB" w:rsidRPr="00567DFB">
        <w:rPr>
          <w:rFonts w:ascii="Times New Roman" w:hAnsi="Times New Roman" w:cs="Times New Roman"/>
          <w:sz w:val="24"/>
          <w:szCs w:val="24"/>
        </w:rPr>
        <w:t xml:space="preserve"> </w:t>
      </w:r>
      <w:r w:rsidR="00567DFB">
        <w:rPr>
          <w:rFonts w:ascii="Times New Roman" w:hAnsi="Times New Roman" w:cs="Times New Roman"/>
          <w:sz w:val="24"/>
          <w:szCs w:val="24"/>
        </w:rPr>
        <w:t>of Early Childhood Policy and Budget, Office of Early Childhood Development</w:t>
      </w:r>
      <w:r w:rsidRPr="00C1694A">
        <w:rPr>
          <w:rFonts w:ascii="Times New Roman" w:hAnsi="Times New Roman" w:cs="Times New Roman"/>
          <w:sz w:val="24"/>
          <w:szCs w:val="24"/>
        </w:rPr>
        <w:t xml:space="preserve">, at </w:t>
      </w:r>
      <w:r w:rsidR="006C7303" w:rsidRPr="00001E53">
        <w:rPr>
          <w:rFonts w:ascii="Times New Roman" w:hAnsi="Times New Roman" w:cs="Times New Roman"/>
          <w:sz w:val="24"/>
          <w:szCs w:val="24"/>
        </w:rPr>
        <w:t>OHS_Final_Rule@acf.hhs.gov</w:t>
      </w:r>
      <w:r w:rsidR="006C7303" w:rsidRPr="00C1694A">
        <w:rPr>
          <w:rFonts w:ascii="Times New Roman" w:hAnsi="Times New Roman" w:cs="Times New Roman"/>
          <w:sz w:val="24"/>
          <w:szCs w:val="24"/>
        </w:rPr>
        <w:t xml:space="preserve"> or </w:t>
      </w:r>
      <w:r w:rsidRPr="00C1694A">
        <w:rPr>
          <w:rFonts w:ascii="Times New Roman" w:hAnsi="Times New Roman" w:cs="Times New Roman"/>
          <w:sz w:val="24"/>
          <w:szCs w:val="24"/>
        </w:rPr>
        <w:t>(</w:t>
      </w:r>
      <w:r w:rsidR="0071651A" w:rsidRPr="00C1694A">
        <w:rPr>
          <w:rFonts w:ascii="Times New Roman" w:hAnsi="Times New Roman" w:cs="Times New Roman"/>
          <w:sz w:val="24"/>
          <w:szCs w:val="24"/>
        </w:rPr>
        <w:t>202</w:t>
      </w:r>
      <w:r w:rsidR="006C7303" w:rsidRPr="00C1694A">
        <w:rPr>
          <w:rFonts w:ascii="Times New Roman" w:hAnsi="Times New Roman" w:cs="Times New Roman"/>
          <w:sz w:val="24"/>
          <w:szCs w:val="24"/>
        </w:rPr>
        <w:t xml:space="preserve">) </w:t>
      </w:r>
      <w:r w:rsidR="0071651A" w:rsidRPr="00C1694A">
        <w:rPr>
          <w:rFonts w:ascii="Times New Roman" w:hAnsi="Times New Roman" w:cs="Times New Roman"/>
          <w:sz w:val="24"/>
          <w:szCs w:val="24"/>
        </w:rPr>
        <w:t>401-1195</w:t>
      </w:r>
      <w:r w:rsidR="00A73E4A" w:rsidRPr="00C1694A">
        <w:rPr>
          <w:rFonts w:ascii="Times New Roman" w:hAnsi="Times New Roman" w:cs="Times New Roman"/>
          <w:sz w:val="24"/>
          <w:szCs w:val="24"/>
        </w:rPr>
        <w:t xml:space="preserve"> (not a toll free call)</w:t>
      </w:r>
      <w:r w:rsidRPr="00C1694A">
        <w:rPr>
          <w:rFonts w:ascii="Times New Roman" w:hAnsi="Times New Roman" w:cs="Times New Roman"/>
          <w:sz w:val="24"/>
          <w:szCs w:val="24"/>
        </w:rPr>
        <w:t>.</w:t>
      </w:r>
      <w:r w:rsidR="00084CC3" w:rsidRPr="00C1694A">
        <w:rPr>
          <w:rFonts w:ascii="Times New Roman" w:hAnsi="Times New Roman" w:cs="Times New Roman"/>
          <w:sz w:val="24"/>
          <w:szCs w:val="24"/>
        </w:rPr>
        <w:t xml:space="preserve">  Deaf and hearing impaired individuals may call the Federal Dual Party Relay Service at 1–800–877–8339 between 8 a.m. and 7 p.m. Eastern Time.</w:t>
      </w:r>
    </w:p>
    <w:p w:rsidR="00084CC3" w:rsidRPr="00C1694A" w:rsidRDefault="00084CC3" w:rsidP="009A526A">
      <w:pPr>
        <w:spacing w:after="0" w:line="480" w:lineRule="auto"/>
        <w:rPr>
          <w:rFonts w:ascii="Times New Roman" w:hAnsi="Times New Roman" w:cs="Times New Roman"/>
          <w:b/>
          <w:sz w:val="24"/>
          <w:szCs w:val="24"/>
        </w:rPr>
      </w:pPr>
    </w:p>
    <w:p w:rsidR="004456C1" w:rsidRPr="00C1694A" w:rsidRDefault="004456C1" w:rsidP="009A526A">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SUPPLEMENTARY INFORMATION:</w:t>
      </w:r>
    </w:p>
    <w:p w:rsidR="00094015" w:rsidRPr="00C1694A" w:rsidRDefault="00094015" w:rsidP="009A526A">
      <w:pPr>
        <w:autoSpaceDE w:val="0"/>
        <w:autoSpaceDN w:val="0"/>
        <w:adjustRightInd w:val="0"/>
        <w:spacing w:after="0" w:line="480" w:lineRule="auto"/>
        <w:rPr>
          <w:rFonts w:ascii="Times New Roman" w:hAnsi="Times New Roman" w:cs="Times New Roman"/>
          <w:b/>
          <w:bCs/>
          <w:sz w:val="24"/>
          <w:szCs w:val="24"/>
        </w:rPr>
      </w:pPr>
      <w:r w:rsidRPr="00C1694A">
        <w:rPr>
          <w:rFonts w:ascii="Times New Roman" w:hAnsi="Times New Roman" w:cs="Times New Roman"/>
          <w:b/>
          <w:bCs/>
          <w:sz w:val="24"/>
          <w:szCs w:val="24"/>
        </w:rPr>
        <w:t>Table of Contents</w:t>
      </w:r>
    </w:p>
    <w:p w:rsidR="009276A4" w:rsidRPr="00C1694A" w:rsidRDefault="00094015" w:rsidP="009A526A">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I. Executive Summary</w:t>
      </w:r>
    </w:p>
    <w:p w:rsidR="00D00E31" w:rsidRPr="00C1694A" w:rsidRDefault="00094015" w:rsidP="009A526A">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II. </w:t>
      </w:r>
      <w:r w:rsidR="00CF0E1F" w:rsidRPr="00C1694A">
        <w:rPr>
          <w:rFonts w:ascii="Times New Roman" w:hAnsi="Times New Roman" w:cs="Times New Roman"/>
          <w:b/>
          <w:sz w:val="24"/>
          <w:szCs w:val="24"/>
        </w:rPr>
        <w:t>Tables</w:t>
      </w:r>
    </w:p>
    <w:p w:rsidR="00CF0E1F" w:rsidRPr="00C1694A" w:rsidRDefault="00CF0E1F" w:rsidP="009A526A">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Table 1: Compliance Table</w:t>
      </w:r>
    </w:p>
    <w:p w:rsidR="00D00E31" w:rsidRPr="00C1694A" w:rsidRDefault="0014770D" w:rsidP="009A526A">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Table</w:t>
      </w:r>
      <w:r w:rsidR="00CF0E1F" w:rsidRPr="00C1694A">
        <w:rPr>
          <w:rFonts w:ascii="Times New Roman" w:hAnsi="Times New Roman" w:cs="Times New Roman"/>
          <w:sz w:val="24"/>
          <w:szCs w:val="24"/>
        </w:rPr>
        <w:t xml:space="preserve"> 2</w:t>
      </w:r>
      <w:r w:rsidR="00D00E31" w:rsidRPr="00C1694A">
        <w:rPr>
          <w:rFonts w:ascii="Times New Roman" w:hAnsi="Times New Roman" w:cs="Times New Roman"/>
          <w:sz w:val="24"/>
          <w:szCs w:val="24"/>
        </w:rPr>
        <w:t>: Redesignation</w:t>
      </w:r>
      <w:r w:rsidR="00CF0E1F" w:rsidRPr="00C1694A">
        <w:rPr>
          <w:rFonts w:ascii="Times New Roman" w:hAnsi="Times New Roman" w:cs="Times New Roman"/>
          <w:sz w:val="24"/>
          <w:szCs w:val="24"/>
        </w:rPr>
        <w:t xml:space="preserve"> Table</w:t>
      </w:r>
    </w:p>
    <w:p w:rsidR="009276A4" w:rsidRPr="00C1694A" w:rsidRDefault="00586432" w:rsidP="009A526A">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III. </w:t>
      </w:r>
      <w:r w:rsidR="00D00E31" w:rsidRPr="00C1694A">
        <w:rPr>
          <w:rFonts w:ascii="Times New Roman" w:hAnsi="Times New Roman" w:cs="Times New Roman"/>
          <w:b/>
          <w:sz w:val="24"/>
          <w:szCs w:val="24"/>
        </w:rPr>
        <w:t xml:space="preserve">Background </w:t>
      </w:r>
    </w:p>
    <w:p w:rsidR="00094015" w:rsidRPr="00001E53" w:rsidRDefault="00001E53" w:rsidP="00001E53">
      <w:pPr>
        <w:autoSpaceDE w:val="0"/>
        <w:autoSpaceDN w:val="0"/>
        <w:adjustRightInd w:val="0"/>
        <w:spacing w:after="0" w:line="480" w:lineRule="auto"/>
        <w:ind w:left="720" w:hanging="360"/>
        <w:rPr>
          <w:rFonts w:ascii="Times New Roman" w:hAnsi="Times New Roman" w:cs="Times New Roman"/>
          <w:sz w:val="24"/>
          <w:szCs w:val="24"/>
        </w:rPr>
      </w:pPr>
      <w:r w:rsidRPr="00C1694A">
        <w:rPr>
          <w:rFonts w:ascii="Times New Roman" w:hAnsi="Times New Roman" w:cs="Times New Roman"/>
          <w:sz w:val="24"/>
          <w:szCs w:val="24"/>
        </w:rPr>
        <w:t>a.</w:t>
      </w:r>
      <w:r w:rsidRPr="00C1694A">
        <w:rPr>
          <w:rFonts w:ascii="Times New Roman" w:hAnsi="Times New Roman" w:cs="Times New Roman"/>
          <w:sz w:val="24"/>
          <w:szCs w:val="24"/>
        </w:rPr>
        <w:tab/>
      </w:r>
      <w:r w:rsidR="00D00E31" w:rsidRPr="00001E53">
        <w:rPr>
          <w:rFonts w:ascii="Times New Roman" w:hAnsi="Times New Roman" w:cs="Times New Roman"/>
          <w:sz w:val="24"/>
          <w:szCs w:val="24"/>
        </w:rPr>
        <w:t xml:space="preserve">Statutory </w:t>
      </w:r>
      <w:r w:rsidR="00377843" w:rsidRPr="00001E53">
        <w:rPr>
          <w:rFonts w:ascii="Times New Roman" w:hAnsi="Times New Roman" w:cs="Times New Roman"/>
          <w:sz w:val="24"/>
          <w:szCs w:val="24"/>
        </w:rPr>
        <w:t>a</w:t>
      </w:r>
      <w:r w:rsidR="00D00E31" w:rsidRPr="00001E53">
        <w:rPr>
          <w:rFonts w:ascii="Times New Roman" w:hAnsi="Times New Roman" w:cs="Times New Roman"/>
          <w:sz w:val="24"/>
          <w:szCs w:val="24"/>
        </w:rPr>
        <w:t>uthority</w:t>
      </w:r>
    </w:p>
    <w:p w:rsidR="00D911B7" w:rsidRPr="00001E53" w:rsidRDefault="00001E53" w:rsidP="00001E53">
      <w:pPr>
        <w:autoSpaceDE w:val="0"/>
        <w:autoSpaceDN w:val="0"/>
        <w:adjustRightInd w:val="0"/>
        <w:spacing w:after="0" w:line="480" w:lineRule="auto"/>
        <w:ind w:left="720" w:hanging="360"/>
        <w:rPr>
          <w:rFonts w:ascii="Times New Roman" w:hAnsi="Times New Roman" w:cs="Times New Roman"/>
          <w:sz w:val="24"/>
          <w:szCs w:val="24"/>
        </w:rPr>
      </w:pPr>
      <w:r w:rsidRPr="00C1694A">
        <w:rPr>
          <w:rFonts w:ascii="Times New Roman" w:hAnsi="Times New Roman" w:cs="Times New Roman"/>
          <w:sz w:val="24"/>
          <w:szCs w:val="24"/>
        </w:rPr>
        <w:t>b.</w:t>
      </w:r>
      <w:r w:rsidRPr="00C1694A">
        <w:rPr>
          <w:rFonts w:ascii="Times New Roman" w:hAnsi="Times New Roman" w:cs="Times New Roman"/>
          <w:sz w:val="24"/>
          <w:szCs w:val="24"/>
        </w:rPr>
        <w:tab/>
      </w:r>
      <w:r w:rsidR="00D911B7" w:rsidRPr="00001E53">
        <w:rPr>
          <w:rFonts w:ascii="Times New Roman" w:hAnsi="Times New Roman" w:cs="Times New Roman"/>
          <w:sz w:val="24"/>
          <w:szCs w:val="24"/>
        </w:rPr>
        <w:t xml:space="preserve">Purpose of this </w:t>
      </w:r>
      <w:r w:rsidR="00377843" w:rsidRPr="00001E53">
        <w:rPr>
          <w:rFonts w:ascii="Times New Roman" w:hAnsi="Times New Roman" w:cs="Times New Roman"/>
          <w:sz w:val="24"/>
          <w:szCs w:val="24"/>
        </w:rPr>
        <w:t>r</w:t>
      </w:r>
      <w:r w:rsidR="00D911B7" w:rsidRPr="00001E53">
        <w:rPr>
          <w:rFonts w:ascii="Times New Roman" w:hAnsi="Times New Roman" w:cs="Times New Roman"/>
          <w:sz w:val="24"/>
          <w:szCs w:val="24"/>
        </w:rPr>
        <w:t>ule</w:t>
      </w:r>
    </w:p>
    <w:p w:rsidR="00D911B7" w:rsidRPr="00001E53" w:rsidRDefault="00001E53" w:rsidP="00001E53">
      <w:pPr>
        <w:autoSpaceDE w:val="0"/>
        <w:autoSpaceDN w:val="0"/>
        <w:adjustRightInd w:val="0"/>
        <w:spacing w:after="0" w:line="480" w:lineRule="auto"/>
        <w:ind w:left="720" w:hanging="360"/>
        <w:rPr>
          <w:rFonts w:ascii="Times New Roman" w:hAnsi="Times New Roman" w:cs="Times New Roman"/>
          <w:sz w:val="24"/>
          <w:szCs w:val="24"/>
        </w:rPr>
      </w:pPr>
      <w:r w:rsidRPr="00C1694A">
        <w:rPr>
          <w:rFonts w:ascii="Times New Roman" w:hAnsi="Times New Roman" w:cs="Times New Roman"/>
          <w:sz w:val="24"/>
          <w:szCs w:val="24"/>
        </w:rPr>
        <w:t>c.</w:t>
      </w:r>
      <w:r w:rsidRPr="00C1694A">
        <w:rPr>
          <w:rFonts w:ascii="Times New Roman" w:hAnsi="Times New Roman" w:cs="Times New Roman"/>
          <w:sz w:val="24"/>
          <w:szCs w:val="24"/>
        </w:rPr>
        <w:tab/>
      </w:r>
      <w:r w:rsidR="00D911B7" w:rsidRPr="00001E53">
        <w:rPr>
          <w:rFonts w:ascii="Times New Roman" w:hAnsi="Times New Roman" w:cs="Times New Roman"/>
          <w:sz w:val="24"/>
          <w:szCs w:val="24"/>
        </w:rPr>
        <w:t>Rulemaking and comment processes</w:t>
      </w:r>
    </w:p>
    <w:p w:rsidR="00D92E7F" w:rsidRPr="00001E53" w:rsidRDefault="00001E53" w:rsidP="00001E53">
      <w:pPr>
        <w:spacing w:after="0" w:line="480" w:lineRule="auto"/>
        <w:ind w:left="720" w:hanging="360"/>
        <w:rPr>
          <w:rFonts w:ascii="Times New Roman" w:hAnsi="Times New Roman" w:cs="Times New Roman"/>
          <w:sz w:val="24"/>
          <w:szCs w:val="24"/>
        </w:rPr>
      </w:pPr>
      <w:r w:rsidRPr="00C1694A">
        <w:rPr>
          <w:rFonts w:ascii="Times New Roman" w:hAnsi="Times New Roman" w:cs="Times New Roman"/>
          <w:sz w:val="24"/>
          <w:szCs w:val="24"/>
        </w:rPr>
        <w:t>d.</w:t>
      </w:r>
      <w:r w:rsidRPr="00C1694A">
        <w:rPr>
          <w:rFonts w:ascii="Times New Roman" w:hAnsi="Times New Roman" w:cs="Times New Roman"/>
          <w:sz w:val="24"/>
          <w:szCs w:val="24"/>
        </w:rPr>
        <w:tab/>
      </w:r>
      <w:r w:rsidR="00D92E7F" w:rsidRPr="00001E53">
        <w:rPr>
          <w:rFonts w:ascii="Times New Roman" w:hAnsi="Times New Roman" w:cs="Times New Roman"/>
          <w:sz w:val="24"/>
          <w:szCs w:val="24"/>
          <w:lang w:val="en"/>
        </w:rPr>
        <w:t xml:space="preserve">Overview of major changes from the NPRM </w:t>
      </w:r>
    </w:p>
    <w:p w:rsidR="00094015" w:rsidRPr="00C1694A" w:rsidRDefault="001D5206" w:rsidP="009A526A">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IV</w:t>
      </w:r>
      <w:r w:rsidR="00094015" w:rsidRPr="00C1694A">
        <w:rPr>
          <w:rFonts w:ascii="Times New Roman" w:hAnsi="Times New Roman" w:cs="Times New Roman"/>
          <w:b/>
          <w:sz w:val="24"/>
          <w:szCs w:val="24"/>
        </w:rPr>
        <w:t xml:space="preserve">. </w:t>
      </w:r>
      <w:r w:rsidR="00D911B7" w:rsidRPr="00C1694A">
        <w:rPr>
          <w:rFonts w:ascii="Times New Roman" w:hAnsi="Times New Roman" w:cs="Times New Roman"/>
          <w:b/>
          <w:sz w:val="24"/>
          <w:szCs w:val="24"/>
        </w:rPr>
        <w:t>Discussion of General Comments on the Final Rule</w:t>
      </w:r>
    </w:p>
    <w:p w:rsidR="00D00E31" w:rsidRPr="00C1694A" w:rsidRDefault="00976478" w:rsidP="009A526A">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V</w:t>
      </w:r>
      <w:r w:rsidR="00094015" w:rsidRPr="00C1694A">
        <w:rPr>
          <w:rFonts w:ascii="Times New Roman" w:hAnsi="Times New Roman" w:cs="Times New Roman"/>
          <w:b/>
          <w:sz w:val="24"/>
          <w:szCs w:val="24"/>
        </w:rPr>
        <w:t xml:space="preserve">. </w:t>
      </w:r>
      <w:r w:rsidR="00586432" w:rsidRPr="00C1694A">
        <w:rPr>
          <w:rFonts w:ascii="Times New Roman" w:hAnsi="Times New Roman" w:cs="Times New Roman"/>
          <w:b/>
          <w:sz w:val="24"/>
          <w:szCs w:val="24"/>
        </w:rPr>
        <w:t xml:space="preserve"> </w:t>
      </w:r>
      <w:r w:rsidR="00D911B7" w:rsidRPr="00C1694A">
        <w:rPr>
          <w:rFonts w:ascii="Times New Roman" w:hAnsi="Times New Roman" w:cs="Times New Roman"/>
          <w:b/>
          <w:sz w:val="24"/>
          <w:szCs w:val="24"/>
        </w:rPr>
        <w:t xml:space="preserve">Discussion of </w:t>
      </w:r>
      <w:r w:rsidR="00D00E31" w:rsidRPr="00C1694A">
        <w:rPr>
          <w:rFonts w:ascii="Times New Roman" w:hAnsi="Times New Roman" w:cs="Times New Roman"/>
          <w:b/>
          <w:sz w:val="24"/>
          <w:szCs w:val="24"/>
        </w:rPr>
        <w:t>Section by Section Comments on the Final Rule</w:t>
      </w:r>
    </w:p>
    <w:p w:rsidR="00094015" w:rsidRPr="00C1694A" w:rsidRDefault="00094015"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a. Program Governance</w:t>
      </w:r>
    </w:p>
    <w:p w:rsidR="00094015" w:rsidRPr="00C1694A" w:rsidRDefault="00094015"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b. Program Operations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1. Subpart A Eligibility, Recruitment, Selection, Enrollment and Attendance</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2. Subpart B Program Structure</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3. Subpart C Education and Child Development Program Services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4. Subpart D Health Program Services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 xml:space="preserve">5. Subpart E Family and Community </w:t>
      </w:r>
      <w:r w:rsidR="00B27153" w:rsidRPr="00C1694A">
        <w:rPr>
          <w:rFonts w:ascii="Times New Roman" w:hAnsi="Times New Roman" w:cs="Times New Roman"/>
          <w:sz w:val="24"/>
          <w:szCs w:val="24"/>
        </w:rPr>
        <w:t>Engagement</w:t>
      </w:r>
      <w:r w:rsidRPr="00C1694A">
        <w:rPr>
          <w:rFonts w:ascii="Times New Roman" w:hAnsi="Times New Roman" w:cs="Times New Roman"/>
          <w:sz w:val="24"/>
          <w:szCs w:val="24"/>
        </w:rPr>
        <w:t xml:space="preserve"> Program Services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6. Subpart F Additional Services for Children With Disabilities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7. Subpart G Transition Services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8. Subpart H Services to Enrolled Pregnant Women</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9. Subpart I Human Resource</w:t>
      </w:r>
      <w:r w:rsidR="00B27153" w:rsidRPr="00C1694A">
        <w:rPr>
          <w:rFonts w:ascii="Times New Roman" w:hAnsi="Times New Roman" w:cs="Times New Roman"/>
          <w:sz w:val="24"/>
          <w:szCs w:val="24"/>
        </w:rPr>
        <w:t>s</w:t>
      </w:r>
      <w:r w:rsidRPr="00C1694A">
        <w:rPr>
          <w:rFonts w:ascii="Times New Roman" w:hAnsi="Times New Roman" w:cs="Times New Roman"/>
          <w:sz w:val="24"/>
          <w:szCs w:val="24"/>
        </w:rPr>
        <w:t xml:space="preserve"> Management</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 xml:space="preserve">10. Subpart J Program Management and </w:t>
      </w:r>
      <w:r w:rsidR="00B27153" w:rsidRPr="00C1694A">
        <w:rPr>
          <w:rFonts w:ascii="Times New Roman" w:hAnsi="Times New Roman" w:cs="Times New Roman"/>
          <w:sz w:val="24"/>
          <w:szCs w:val="24"/>
        </w:rPr>
        <w:t>Quality</w:t>
      </w:r>
      <w:r w:rsidRPr="00C1694A">
        <w:rPr>
          <w:rFonts w:ascii="Times New Roman" w:hAnsi="Times New Roman" w:cs="Times New Roman"/>
          <w:sz w:val="24"/>
          <w:szCs w:val="24"/>
        </w:rPr>
        <w:t xml:space="preserve"> Improvement</w:t>
      </w:r>
    </w:p>
    <w:p w:rsidR="00094015" w:rsidRPr="00C1694A" w:rsidRDefault="00094015"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c. Financial and Administrative Requirements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1. Subpart A Financial Requirements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2. Subpart B Administrative Requirements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3. Subpart C Protections for the Privacy of Child Records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4. Subpart D Delegation of Program Operations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5. Subpart E Facilities</w:t>
      </w:r>
    </w:p>
    <w:p w:rsidR="006537D7" w:rsidRPr="00C1694A" w:rsidRDefault="006537D7"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6.  Subpart F Transportation</w:t>
      </w:r>
    </w:p>
    <w:p w:rsidR="00094015" w:rsidRPr="00C1694A" w:rsidRDefault="00094015"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d. Federal Administrative Procedures</w:t>
      </w:r>
    </w:p>
    <w:p w:rsidR="00094015" w:rsidRPr="00C1694A" w:rsidRDefault="00094015" w:rsidP="00B27153">
      <w:pPr>
        <w:autoSpaceDE w:val="0"/>
        <w:autoSpaceDN w:val="0"/>
        <w:adjustRightInd w:val="0"/>
        <w:spacing w:after="0" w:line="480" w:lineRule="auto"/>
        <w:ind w:left="720"/>
        <w:rPr>
          <w:rFonts w:ascii="Times New Roman" w:hAnsi="Times New Roman" w:cs="Times New Roman"/>
          <w:sz w:val="24"/>
          <w:szCs w:val="24"/>
        </w:rPr>
      </w:pPr>
      <w:r w:rsidRPr="00C1694A">
        <w:rPr>
          <w:rFonts w:ascii="Times New Roman" w:hAnsi="Times New Roman" w:cs="Times New Roman"/>
          <w:sz w:val="24"/>
          <w:szCs w:val="24"/>
        </w:rPr>
        <w:t xml:space="preserve">1. Subpart A </w:t>
      </w:r>
      <w:r w:rsidR="00B27153" w:rsidRPr="00C1694A">
        <w:rPr>
          <w:rFonts w:ascii="Times New Roman" w:hAnsi="Times New Roman" w:cs="Times New Roman"/>
          <w:sz w:val="24"/>
          <w:szCs w:val="24"/>
        </w:rPr>
        <w:t xml:space="preserve">Monitoring, </w:t>
      </w:r>
      <w:r w:rsidRPr="00C1694A">
        <w:rPr>
          <w:rFonts w:ascii="Times New Roman" w:hAnsi="Times New Roman" w:cs="Times New Roman"/>
          <w:sz w:val="24"/>
          <w:szCs w:val="24"/>
        </w:rPr>
        <w:t>Suspension, Termination, Denial of Refun</w:t>
      </w:r>
      <w:r w:rsidR="00B27153" w:rsidRPr="00C1694A">
        <w:rPr>
          <w:rFonts w:ascii="Times New Roman" w:hAnsi="Times New Roman" w:cs="Times New Roman"/>
          <w:sz w:val="24"/>
          <w:szCs w:val="24"/>
        </w:rPr>
        <w:t>ding, Reduction in Funding and t</w:t>
      </w:r>
      <w:r w:rsidRPr="00C1694A">
        <w:rPr>
          <w:rFonts w:ascii="Times New Roman" w:hAnsi="Times New Roman" w:cs="Times New Roman"/>
          <w:sz w:val="24"/>
          <w:szCs w:val="24"/>
        </w:rPr>
        <w:t>heir Appeals</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2. Subpart B Designation Renewal</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3. Subpart C Selection of Grantees through Competition</w:t>
      </w:r>
    </w:p>
    <w:p w:rsidR="00D53E66"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4. Subpart D</w:t>
      </w:r>
      <w:r w:rsidR="00BB7A28" w:rsidRPr="00C1694A">
        <w:rPr>
          <w:rFonts w:ascii="Times New Roman" w:hAnsi="Times New Roman" w:cs="Times New Roman"/>
          <w:sz w:val="24"/>
          <w:szCs w:val="24"/>
        </w:rPr>
        <w:t xml:space="preserve"> Replacement of American Indian and </w:t>
      </w:r>
      <w:r w:rsidRPr="00C1694A">
        <w:rPr>
          <w:rFonts w:ascii="Times New Roman" w:hAnsi="Times New Roman" w:cs="Times New Roman"/>
          <w:sz w:val="24"/>
          <w:szCs w:val="24"/>
        </w:rPr>
        <w:t>Alaska Native Grantee</w:t>
      </w:r>
    </w:p>
    <w:p w:rsidR="00094015" w:rsidRPr="00C1694A" w:rsidRDefault="00094015" w:rsidP="00B27153">
      <w:pPr>
        <w:autoSpaceDE w:val="0"/>
        <w:autoSpaceDN w:val="0"/>
        <w:adjustRightInd w:val="0"/>
        <w:spacing w:after="0" w:line="480" w:lineRule="auto"/>
        <w:ind w:left="360" w:firstLine="360"/>
        <w:rPr>
          <w:rFonts w:ascii="Times New Roman" w:hAnsi="Times New Roman" w:cs="Times New Roman"/>
          <w:sz w:val="24"/>
          <w:szCs w:val="24"/>
        </w:rPr>
      </w:pPr>
      <w:r w:rsidRPr="00C1694A">
        <w:rPr>
          <w:rFonts w:ascii="Times New Roman" w:hAnsi="Times New Roman" w:cs="Times New Roman"/>
          <w:sz w:val="24"/>
          <w:szCs w:val="24"/>
        </w:rPr>
        <w:t>5. Subpart E Head Start Fellows Program</w:t>
      </w:r>
    </w:p>
    <w:p w:rsidR="00094015" w:rsidRPr="00C1694A" w:rsidRDefault="00094015"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e. Definitions</w:t>
      </w:r>
    </w:p>
    <w:p w:rsidR="00A47742" w:rsidRPr="00C1694A" w:rsidRDefault="00A47742" w:rsidP="009A526A">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VIII. Regulatory Process Matters</w:t>
      </w:r>
    </w:p>
    <w:p w:rsidR="00A47742" w:rsidRPr="00C1694A" w:rsidRDefault="00A47742"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a. Regulatory Flexibility Act</w:t>
      </w:r>
    </w:p>
    <w:p w:rsidR="00A47742" w:rsidRPr="00C1694A" w:rsidRDefault="00A47742"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b. Regulatory Planning and Review Executive Order 12866</w:t>
      </w:r>
    </w:p>
    <w:p w:rsidR="00A47742" w:rsidRPr="00C1694A" w:rsidRDefault="00A47742" w:rsidP="00B27153">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Need for Regulatory Action: Increasing the Benefits to Society of Head Start.</w:t>
      </w:r>
    </w:p>
    <w:p w:rsidR="00A47742" w:rsidRPr="00C1694A" w:rsidRDefault="00A47742" w:rsidP="00B27153">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Cost and Savings Analysis</w:t>
      </w:r>
    </w:p>
    <w:p w:rsidR="00A47742" w:rsidRPr="00C1694A" w:rsidRDefault="00A47742" w:rsidP="00B27153">
      <w:pPr>
        <w:autoSpaceDE w:val="0"/>
        <w:autoSpaceDN w:val="0"/>
        <w:adjustRightInd w:val="0"/>
        <w:spacing w:after="0" w:line="480" w:lineRule="auto"/>
        <w:ind w:left="720" w:firstLine="360"/>
        <w:rPr>
          <w:rFonts w:ascii="Times New Roman" w:hAnsi="Times New Roman" w:cs="Times New Roman"/>
          <w:sz w:val="24"/>
          <w:szCs w:val="24"/>
        </w:rPr>
      </w:pPr>
      <w:r w:rsidRPr="00C1694A">
        <w:rPr>
          <w:rFonts w:ascii="Times New Roman" w:hAnsi="Times New Roman" w:cs="Times New Roman"/>
          <w:sz w:val="24"/>
          <w:szCs w:val="24"/>
        </w:rPr>
        <w:t>i. Structural Program Option Provisions</w:t>
      </w:r>
    </w:p>
    <w:p w:rsidR="00A47742" w:rsidRPr="00C1694A" w:rsidRDefault="00A47742" w:rsidP="00B27153">
      <w:pPr>
        <w:autoSpaceDE w:val="0"/>
        <w:autoSpaceDN w:val="0"/>
        <w:adjustRightInd w:val="0"/>
        <w:spacing w:after="0" w:line="480" w:lineRule="auto"/>
        <w:ind w:left="720" w:firstLine="360"/>
        <w:rPr>
          <w:rFonts w:ascii="Times New Roman" w:hAnsi="Times New Roman" w:cs="Times New Roman"/>
          <w:sz w:val="24"/>
          <w:szCs w:val="24"/>
        </w:rPr>
      </w:pPr>
      <w:r w:rsidRPr="00C1694A">
        <w:rPr>
          <w:rFonts w:ascii="Times New Roman" w:hAnsi="Times New Roman" w:cs="Times New Roman"/>
          <w:sz w:val="24"/>
          <w:szCs w:val="24"/>
        </w:rPr>
        <w:t>ii. Educator Quality Provisions</w:t>
      </w:r>
    </w:p>
    <w:p w:rsidR="00A47742" w:rsidRPr="00C1694A" w:rsidRDefault="00A47742" w:rsidP="00B27153">
      <w:pPr>
        <w:autoSpaceDE w:val="0"/>
        <w:autoSpaceDN w:val="0"/>
        <w:adjustRightInd w:val="0"/>
        <w:spacing w:after="0" w:line="480" w:lineRule="auto"/>
        <w:ind w:left="720" w:firstLine="360"/>
        <w:rPr>
          <w:rFonts w:ascii="Times New Roman" w:hAnsi="Times New Roman" w:cs="Times New Roman"/>
          <w:sz w:val="24"/>
          <w:szCs w:val="24"/>
        </w:rPr>
      </w:pPr>
      <w:r w:rsidRPr="00C1694A">
        <w:rPr>
          <w:rFonts w:ascii="Times New Roman" w:hAnsi="Times New Roman" w:cs="Times New Roman"/>
          <w:sz w:val="24"/>
          <w:szCs w:val="24"/>
        </w:rPr>
        <w:t>iii. Curriculum and Assessment Provisions</w:t>
      </w:r>
    </w:p>
    <w:p w:rsidR="00A47742" w:rsidRPr="00C1694A" w:rsidRDefault="00A47742" w:rsidP="00B27153">
      <w:pPr>
        <w:autoSpaceDE w:val="0"/>
        <w:autoSpaceDN w:val="0"/>
        <w:adjustRightInd w:val="0"/>
        <w:spacing w:after="0" w:line="480" w:lineRule="auto"/>
        <w:ind w:left="720" w:firstLine="360"/>
        <w:rPr>
          <w:rFonts w:ascii="Times New Roman" w:hAnsi="Times New Roman" w:cs="Times New Roman"/>
          <w:sz w:val="24"/>
          <w:szCs w:val="24"/>
        </w:rPr>
      </w:pPr>
      <w:r w:rsidRPr="00C1694A">
        <w:rPr>
          <w:rFonts w:ascii="Times New Roman" w:hAnsi="Times New Roman" w:cs="Times New Roman"/>
          <w:sz w:val="24"/>
          <w:szCs w:val="24"/>
        </w:rPr>
        <w:t>iv. Administrative/Managerial Provisions</w:t>
      </w:r>
    </w:p>
    <w:p w:rsidR="00A47742" w:rsidRPr="00C1694A" w:rsidRDefault="00A47742" w:rsidP="00B27153">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Benefit Analysis</w:t>
      </w:r>
    </w:p>
    <w:p w:rsidR="00A47742" w:rsidRPr="00C1694A" w:rsidRDefault="00A47742" w:rsidP="00B27153">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Accounting Statement</w:t>
      </w:r>
    </w:p>
    <w:p w:rsidR="00A47742" w:rsidRPr="00C1694A" w:rsidRDefault="00A47742" w:rsidP="00B27153">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5. Distributional Effects</w:t>
      </w:r>
    </w:p>
    <w:p w:rsidR="00A47742" w:rsidRPr="00C1694A" w:rsidRDefault="00A47742" w:rsidP="00B27153">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6. Regulatory Alternatives</w:t>
      </w:r>
    </w:p>
    <w:p w:rsidR="00A47742" w:rsidRPr="00C1694A" w:rsidRDefault="00A47742"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c. Unfunded Mandates Reform Act</w:t>
      </w:r>
    </w:p>
    <w:p w:rsidR="00A47742" w:rsidRPr="00C1694A" w:rsidRDefault="00A47742"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d. Treasury and General Government Appropriations Act of 1999</w:t>
      </w:r>
    </w:p>
    <w:p w:rsidR="00A47742" w:rsidRPr="00C1694A" w:rsidRDefault="00A47742"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e. Federalism Assessment Executive Order 13132</w:t>
      </w:r>
    </w:p>
    <w:p w:rsidR="00A47742" w:rsidRPr="00C1694A" w:rsidRDefault="00A47742" w:rsidP="00B27153">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f. Congressional Review</w:t>
      </w:r>
    </w:p>
    <w:p w:rsidR="00A47742" w:rsidRPr="00C1694A" w:rsidRDefault="00A47742" w:rsidP="00A47742">
      <w:pPr>
        <w:autoSpaceDE w:val="0"/>
        <w:autoSpaceDN w:val="0"/>
        <w:adjustRightInd w:val="0"/>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g. Paperwork Reduction Act of 1995</w:t>
      </w:r>
    </w:p>
    <w:p w:rsidR="00BB7F34" w:rsidRPr="00C1694A" w:rsidRDefault="00BB7F34" w:rsidP="00A61B65">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Tribal Consultation Statement</w:t>
      </w:r>
    </w:p>
    <w:p w:rsidR="00094015" w:rsidRPr="00C1694A" w:rsidRDefault="000F24AB"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____________</w:t>
      </w:r>
    </w:p>
    <w:p w:rsidR="009276A4" w:rsidRPr="00001E53" w:rsidRDefault="00001E53" w:rsidP="00001E53">
      <w:pPr>
        <w:autoSpaceDE w:val="0"/>
        <w:autoSpaceDN w:val="0"/>
        <w:adjustRightInd w:val="0"/>
        <w:spacing w:after="0" w:line="480" w:lineRule="auto"/>
        <w:ind w:left="450" w:hanging="450"/>
        <w:rPr>
          <w:rFonts w:ascii="Times New Roman" w:hAnsi="Times New Roman" w:cs="Times New Roman"/>
          <w:b/>
          <w:sz w:val="24"/>
          <w:szCs w:val="24"/>
        </w:rPr>
      </w:pPr>
      <w:r w:rsidRPr="00C1694A">
        <w:rPr>
          <w:rFonts w:ascii="Times New Roman" w:hAnsi="Times New Roman" w:cs="Times New Roman"/>
          <w:b/>
          <w:sz w:val="24"/>
          <w:szCs w:val="24"/>
        </w:rPr>
        <w:t>I.</w:t>
      </w:r>
      <w:r w:rsidRPr="00C1694A">
        <w:rPr>
          <w:rFonts w:ascii="Times New Roman" w:hAnsi="Times New Roman" w:cs="Times New Roman"/>
          <w:b/>
          <w:sz w:val="24"/>
          <w:szCs w:val="24"/>
        </w:rPr>
        <w:tab/>
      </w:r>
      <w:r w:rsidR="009276A4" w:rsidRPr="00001E53">
        <w:rPr>
          <w:rFonts w:ascii="Times New Roman" w:hAnsi="Times New Roman" w:cs="Times New Roman"/>
          <w:b/>
          <w:sz w:val="24"/>
          <w:szCs w:val="24"/>
        </w:rPr>
        <w:t>Executive Summary</w:t>
      </w:r>
    </w:p>
    <w:p w:rsidR="00C86A46" w:rsidRPr="00C1694A" w:rsidRDefault="00C86A46" w:rsidP="009A526A">
      <w:pPr>
        <w:pStyle w:val="NormalWeb"/>
        <w:spacing w:before="0" w:beforeAutospacing="0" w:after="0" w:afterAutospacing="0" w:line="480" w:lineRule="auto"/>
        <w:ind w:firstLine="720"/>
      </w:pPr>
      <w:r w:rsidRPr="00C1694A">
        <w:t xml:space="preserve">Head Start currently provides comprehensive early learning services to </w:t>
      </w:r>
      <w:r w:rsidR="008D230C" w:rsidRPr="00C1694A">
        <w:t xml:space="preserve">more than </w:t>
      </w:r>
      <w:r w:rsidRPr="00C1694A">
        <w:t xml:space="preserve">1 million children from birth to age five each year through </w:t>
      </w:r>
      <w:r w:rsidR="00682760" w:rsidRPr="00C1694A">
        <w:t>more than 60</w:t>
      </w:r>
      <w:r w:rsidRPr="00C1694A">
        <w:t>,000 class</w:t>
      </w:r>
      <w:r w:rsidR="00682760" w:rsidRPr="00C1694A">
        <w:t>e</w:t>
      </w:r>
      <w:r w:rsidRPr="00C1694A">
        <w:t>s, home</w:t>
      </w:r>
      <w:r w:rsidR="00682760" w:rsidRPr="00C1694A">
        <w:t xml:space="preserve"> visitors</w:t>
      </w:r>
      <w:r w:rsidRPr="00C1694A">
        <w:t>, and family child care partners nationwide.</w:t>
      </w:r>
      <w:r w:rsidR="000B389D" w:rsidRPr="00C1694A">
        <w:rPr>
          <w:rStyle w:val="FootnoteReference"/>
        </w:rPr>
        <w:footnoteReference w:id="2"/>
      </w:r>
      <w:r w:rsidRPr="00C1694A">
        <w:t xml:space="preserve"> </w:t>
      </w:r>
      <w:r w:rsidR="000B389D" w:rsidRPr="00C1694A">
        <w:t xml:space="preserve"> </w:t>
      </w:r>
      <w:r w:rsidRPr="00C1694A">
        <w:t xml:space="preserve">Since its inception in 1965, Head Start has been a leader in helping children from low-income families </w:t>
      </w:r>
      <w:r w:rsidR="000B389D" w:rsidRPr="00C1694A">
        <w:t xml:space="preserve">enter </w:t>
      </w:r>
      <w:r w:rsidRPr="00C1694A">
        <w:t>kindergarten more prepared to succeed in school and in life. Head Start is a central part of this Administration's effort to ensure all children have access to high</w:t>
      </w:r>
      <w:r w:rsidR="00915289" w:rsidRPr="00C1694A">
        <w:t>-</w:t>
      </w:r>
      <w:r w:rsidRPr="00C1694A">
        <w:t xml:space="preserve">quality early learning opportunities and to eliminate the education achievement gap. This regulation </w:t>
      </w:r>
      <w:r w:rsidR="00DB109F" w:rsidRPr="00C1694A">
        <w:t xml:space="preserve">is intended to </w:t>
      </w:r>
      <w:r w:rsidRPr="00C1694A">
        <w:t>improve the quality of Head Start services so that programs have a stronger impact on children's learning and development. It also is necessary to streamline and reorganize the regulatory structure to improve regulatory clarity and transparency so that existing grantees can more easily run a high</w:t>
      </w:r>
      <w:r w:rsidR="00915289" w:rsidRPr="00C1694A">
        <w:t>-</w:t>
      </w:r>
      <w:r w:rsidRPr="00C1694A">
        <w:t>quality Head Start program and so that Head Start</w:t>
      </w:r>
      <w:r w:rsidR="00DB109F" w:rsidRPr="00C1694A">
        <w:t>’s operational requirements</w:t>
      </w:r>
      <w:r w:rsidRPr="00C1694A">
        <w:t xml:space="preserve"> will be more </w:t>
      </w:r>
      <w:r w:rsidR="000B389D" w:rsidRPr="00C1694A">
        <w:t xml:space="preserve">transparent and seem less onerous </w:t>
      </w:r>
      <w:r w:rsidRPr="00C1694A">
        <w:t>to prospective grantees. In addition, this regulation is necessary to reduce the burden on local programs that can interfere with high</w:t>
      </w:r>
      <w:r w:rsidR="00915289" w:rsidRPr="00C1694A">
        <w:t>-</w:t>
      </w:r>
      <w:r w:rsidRPr="00C1694A">
        <w:t xml:space="preserve">quality service delivery. </w:t>
      </w:r>
      <w:r w:rsidR="00D56C60" w:rsidRPr="00C1694A">
        <w:t>W</w:t>
      </w:r>
      <w:r w:rsidRPr="00C1694A">
        <w:t xml:space="preserve">e believe these regulatory changes will help ensure every child and family in Head Start </w:t>
      </w:r>
      <w:r w:rsidR="00682760" w:rsidRPr="00C1694A">
        <w:t>receives</w:t>
      </w:r>
      <w:r w:rsidRPr="00C1694A">
        <w:t xml:space="preserve"> high</w:t>
      </w:r>
      <w:r w:rsidR="00915289" w:rsidRPr="00C1694A">
        <w:t>-</w:t>
      </w:r>
      <w:r w:rsidRPr="00C1694A">
        <w:t>quality services that will lead to greater success in school and in life.</w:t>
      </w:r>
    </w:p>
    <w:p w:rsidR="00C86A46" w:rsidRPr="00C1694A" w:rsidRDefault="00C86A46" w:rsidP="009A526A">
      <w:pPr>
        <w:pStyle w:val="NormalWeb"/>
        <w:spacing w:before="0" w:beforeAutospacing="0" w:after="0" w:afterAutospacing="0" w:line="480" w:lineRule="auto"/>
        <w:ind w:firstLine="720"/>
      </w:pPr>
      <w:r w:rsidRPr="00C1694A">
        <w:t xml:space="preserve">In 2007, Congress mandated </w:t>
      </w:r>
      <w:r w:rsidR="00E32790" w:rsidRPr="00C1694A">
        <w:t>the Secretary to</w:t>
      </w:r>
      <w:r w:rsidRPr="00C1694A">
        <w:t xml:space="preserve"> revise the program performance standards and update and raise the education standards.</w:t>
      </w:r>
      <w:r w:rsidR="00937907" w:rsidRPr="00C1694A">
        <w:rPr>
          <w:rStyle w:val="FootnoteReference"/>
        </w:rPr>
        <w:footnoteReference w:id="3"/>
      </w:r>
      <w:r w:rsidR="00937907" w:rsidRPr="00C1694A">
        <w:t xml:space="preserve">  </w:t>
      </w:r>
      <w:r w:rsidRPr="00C1694A">
        <w:t>Congress also</w:t>
      </w:r>
      <w:r w:rsidR="00937907" w:rsidRPr="00C1694A">
        <w:t xml:space="preserve"> </w:t>
      </w:r>
      <w:r w:rsidRPr="00C1694A">
        <w:t>prohibited elimination of, or any reduction in, the quality, scope, or types of services in the revisions.</w:t>
      </w:r>
      <w:r w:rsidR="00AA41A5" w:rsidRPr="00C1694A">
        <w:rPr>
          <w:rStyle w:val="FootnoteReference"/>
        </w:rPr>
        <w:footnoteReference w:id="4"/>
      </w:r>
      <w:r w:rsidRPr="00C1694A">
        <w:t xml:space="preserve"> Thus, these regulatory revisions are additionally intended to meet the statutory requirements Congress put forth in the bipartisan reauthorization of Head Start in 2007.</w:t>
      </w:r>
    </w:p>
    <w:p w:rsidR="00C86A46" w:rsidRPr="00C1694A" w:rsidRDefault="00D56C60" w:rsidP="009A526A">
      <w:pPr>
        <w:pStyle w:val="NormalWeb"/>
        <w:spacing w:before="0" w:beforeAutospacing="0" w:after="0" w:afterAutospacing="0" w:line="480" w:lineRule="auto"/>
        <w:ind w:firstLine="720"/>
      </w:pPr>
      <w:r w:rsidRPr="00C1694A">
        <w:t xml:space="preserve">The </w:t>
      </w:r>
      <w:r w:rsidR="00C86A46" w:rsidRPr="00C1694A">
        <w:t xml:space="preserve">Head Start </w:t>
      </w:r>
      <w:r w:rsidRPr="00C1694A">
        <w:t>P</w:t>
      </w:r>
      <w:r w:rsidR="00C86A46" w:rsidRPr="00C1694A">
        <w:t xml:space="preserve">rogram </w:t>
      </w:r>
      <w:r w:rsidRPr="00C1694A">
        <w:t>P</w:t>
      </w:r>
      <w:r w:rsidR="00C86A46" w:rsidRPr="00C1694A">
        <w:t xml:space="preserve">erformance </w:t>
      </w:r>
      <w:r w:rsidRPr="00C1694A">
        <w:t>S</w:t>
      </w:r>
      <w:r w:rsidR="00C86A46" w:rsidRPr="00C1694A">
        <w:t>tandards are the foundation on which programs design and deliver comprehensive, high</w:t>
      </w:r>
      <w:r w:rsidR="00915289" w:rsidRPr="00C1694A">
        <w:t>-</w:t>
      </w:r>
      <w:r w:rsidR="00C86A46" w:rsidRPr="00C1694A">
        <w:t xml:space="preserve">quality individualized services to support the school readiness of children from low-income families. The first set of Head Start </w:t>
      </w:r>
      <w:r w:rsidRPr="00C1694A">
        <w:t>P</w:t>
      </w:r>
      <w:r w:rsidR="00C86A46" w:rsidRPr="00C1694A">
        <w:t xml:space="preserve">rogram </w:t>
      </w:r>
      <w:r w:rsidRPr="00C1694A">
        <w:t>P</w:t>
      </w:r>
      <w:r w:rsidR="00C86A46" w:rsidRPr="00C1694A">
        <w:t xml:space="preserve">erformance </w:t>
      </w:r>
      <w:r w:rsidRPr="00C1694A">
        <w:t>S</w:t>
      </w:r>
      <w:r w:rsidR="00C86A46" w:rsidRPr="00C1694A">
        <w:t xml:space="preserve">tandards </w:t>
      </w:r>
      <w:r w:rsidRPr="00C1694A">
        <w:t xml:space="preserve">was </w:t>
      </w:r>
      <w:r w:rsidR="00C86A46" w:rsidRPr="00C1694A">
        <w:t>published in the 1970s. Since then, they have been revised following subsequent Congressional reauthorizations and were last revised in 1998. The program performance standards set forth the requirements local grantees must meet to support the cognitive, social, emotional, and healthy development of children from birth to age five. They encompass requirements to provide education, health, mental health, nutrition, and family and community engagement services, as well as rules for local program governance and aspects of federal administration of the program.</w:t>
      </w:r>
    </w:p>
    <w:p w:rsidR="00C86A46" w:rsidRPr="00C1694A" w:rsidRDefault="00C86A46" w:rsidP="009A526A">
      <w:pPr>
        <w:pStyle w:val="NormalWeb"/>
        <w:spacing w:before="0" w:beforeAutospacing="0" w:after="0" w:afterAutospacing="0" w:line="480" w:lineRule="auto"/>
        <w:ind w:firstLine="720"/>
      </w:pPr>
      <w:r w:rsidRPr="00C1694A">
        <w:t xml:space="preserve">This </w:t>
      </w:r>
      <w:r w:rsidR="009B420A" w:rsidRPr="00C1694A">
        <w:t xml:space="preserve">final rule </w:t>
      </w:r>
      <w:r w:rsidRPr="00C1694A">
        <w:t>builds upon extensive consultation with researchers, practitioners, recommendations from the Secretary's Advisory Committee Final Report on Head Start Research and Evaluation</w:t>
      </w:r>
      <w:r w:rsidR="000B389D" w:rsidRPr="00C1694A">
        <w:t>,</w:t>
      </w:r>
      <w:r w:rsidR="00937907" w:rsidRPr="00C1694A">
        <w:rPr>
          <w:rStyle w:val="FootnoteReference"/>
        </w:rPr>
        <w:footnoteReference w:id="5"/>
      </w:r>
      <w:r w:rsidR="00024AD8" w:rsidRPr="00C1694A">
        <w:rPr>
          <w:rStyle w:val="Hyperlink"/>
          <w:color w:val="auto"/>
          <w:u w:val="none"/>
        </w:rPr>
        <w:t xml:space="preserve"> </w:t>
      </w:r>
      <w:r w:rsidRPr="00C1694A">
        <w:t xml:space="preserve">and other experts, </w:t>
      </w:r>
      <w:r w:rsidR="00E32790" w:rsidRPr="00C1694A">
        <w:t xml:space="preserve">public comment, </w:t>
      </w:r>
      <w:r w:rsidRPr="00C1694A">
        <w:t xml:space="preserve">as well as internal analysis of program data and years of program input. In addition, program monitoring has also provided invaluable experience regarding the strengths and weaknesses of the </w:t>
      </w:r>
      <w:r w:rsidR="00E32790" w:rsidRPr="00C1694A">
        <w:t>previous program performance standards</w:t>
      </w:r>
      <w:r w:rsidRPr="00C1694A">
        <w:t xml:space="preserve">. Moreover, research and practice in the field of early childhood education has expanded exponentially in the 15 years since the </w:t>
      </w:r>
      <w:r w:rsidR="00E32790" w:rsidRPr="00C1694A">
        <w:t>program performance standards</w:t>
      </w:r>
      <w:r w:rsidRPr="00C1694A">
        <w:t xml:space="preserve"> governing service delivery were last revised, providing a multitude of new insights on how to support improved child outcomes.</w:t>
      </w:r>
    </w:p>
    <w:p w:rsidR="00C86A46" w:rsidRPr="00C1694A" w:rsidRDefault="00937907" w:rsidP="009A526A">
      <w:pPr>
        <w:pStyle w:val="NormalWeb"/>
        <w:spacing w:before="0" w:beforeAutospacing="0" w:after="0" w:afterAutospacing="0" w:line="480" w:lineRule="auto"/>
        <w:ind w:firstLine="720"/>
      </w:pPr>
      <w:r w:rsidRPr="00C1694A">
        <w:t>The Secretary’</w:t>
      </w:r>
      <w:r w:rsidR="00C86A46" w:rsidRPr="00C1694A">
        <w:t xml:space="preserve">s Advisory Committee, which consisted of expert researchers and practitioners chartered to provide </w:t>
      </w:r>
      <w:r w:rsidR="00C50710" w:rsidRPr="00C1694A">
        <w:t>“</w:t>
      </w:r>
      <w:r w:rsidR="00C86A46" w:rsidRPr="00C1694A">
        <w:t xml:space="preserve">recommendations for improving Head Start program effectiveness” concluded early education programs, including Head Start, are capable of </w:t>
      </w:r>
      <w:r w:rsidR="005E31C4" w:rsidRPr="00C1694A">
        <w:t xml:space="preserve">reducing </w:t>
      </w:r>
      <w:r w:rsidR="00C86A46" w:rsidRPr="00C1694A">
        <w:t>the achievement gap, but that Head Start is not reaching its potential.</w:t>
      </w:r>
      <w:r w:rsidR="00C50710" w:rsidRPr="00C1694A">
        <w:rPr>
          <w:rStyle w:val="FootnoteReference"/>
        </w:rPr>
        <w:footnoteReference w:id="6"/>
      </w:r>
      <w:r w:rsidR="00C86A46" w:rsidRPr="00C1694A">
        <w:t xml:space="preserve"> As part of their work, the Committee provided recommendations for interpreting the results of both the Head Start Impact Study (HSIS)</w:t>
      </w:r>
      <w:r w:rsidR="002376CF" w:rsidRPr="00C1694A">
        <w:t>,</w:t>
      </w:r>
      <w:r w:rsidR="000D78FE" w:rsidRPr="00C1694A">
        <w:rPr>
          <w:rStyle w:val="FootnoteReference"/>
        </w:rPr>
        <w:footnoteReference w:id="7"/>
      </w:r>
      <w:r w:rsidR="00C86A46" w:rsidRPr="00C1694A">
        <w:t xml:space="preserve"> a randomized control trial study of children in Head Start in 2002</w:t>
      </w:r>
      <w:r w:rsidR="000B389D" w:rsidRPr="00C1694A">
        <w:t xml:space="preserve"> and </w:t>
      </w:r>
      <w:r w:rsidR="00C86A46" w:rsidRPr="00C1694A">
        <w:t>2003 through third grade, and the Early Head Start Research and Evaluation Project (EHSREP)</w:t>
      </w:r>
      <w:r w:rsidR="002376CF" w:rsidRPr="00C1694A">
        <w:t>,</w:t>
      </w:r>
      <w:r w:rsidR="000D78FE" w:rsidRPr="00C1694A">
        <w:rPr>
          <w:rStyle w:val="FootnoteReference"/>
        </w:rPr>
        <w:footnoteReference w:id="8"/>
      </w:r>
      <w:r w:rsidR="00C86A46" w:rsidRPr="00C1694A">
        <w:t xml:space="preserve"> which was initiated in 1996 and followed children who were eligible to participate in Early Head Start. The Committee concluded that these findings should be interpreted in the context of the larger body of research that demonstrates Head Start and Early Head Start “are improving family well-being and improving school readiness of children at or below the poverty line in the U.S. today.”</w:t>
      </w:r>
      <w:r w:rsidR="00C50710" w:rsidRPr="00C1694A">
        <w:t xml:space="preserve"> </w:t>
      </w:r>
      <w:r w:rsidR="00C50710" w:rsidRPr="00C1694A">
        <w:rPr>
          <w:rStyle w:val="FootnoteReference"/>
        </w:rPr>
        <w:footnoteReference w:id="9"/>
      </w:r>
      <w:r w:rsidR="00C86A46" w:rsidRPr="00C1694A">
        <w:t xml:space="preserve"> The Committee agreed the initial impact </w:t>
      </w:r>
      <w:r w:rsidR="00027CDC" w:rsidRPr="00C1694A">
        <w:t>b</w:t>
      </w:r>
      <w:r w:rsidR="00C86A46" w:rsidRPr="00C1694A">
        <w:t>oth Head Start and Early Head Start have demonstrated “are in line with the magnitude of findings from other scaled-up programs for infants and toddlers . . .and center-based programs for preschoolers . . .”</w:t>
      </w:r>
      <w:r w:rsidR="002353F7" w:rsidRPr="00C1694A" w:rsidDel="002353F7">
        <w:rPr>
          <w:rStyle w:val="FootnoteReference"/>
        </w:rPr>
        <w:t xml:space="preserve"> </w:t>
      </w:r>
      <w:r w:rsidR="00942BAF" w:rsidRPr="00C1694A" w:rsidDel="00942BAF">
        <w:t xml:space="preserve"> </w:t>
      </w:r>
      <w:r w:rsidR="00942BAF" w:rsidRPr="00C1694A">
        <w:t>b</w:t>
      </w:r>
      <w:r w:rsidR="00027CDC" w:rsidRPr="00C1694A">
        <w:t>ut also acknowledged</w:t>
      </w:r>
      <w:r w:rsidR="00C86A46" w:rsidRPr="00C1694A">
        <w:t xml:space="preserve"> “larger impacts may be possible, </w:t>
      </w:r>
      <w:r w:rsidR="00C86A46" w:rsidRPr="00C1694A">
        <w:rPr>
          <w:i/>
          <w:iCs/>
        </w:rPr>
        <w:t>e.g.,</w:t>
      </w:r>
      <w:r w:rsidR="00C86A46" w:rsidRPr="00C1694A">
        <w:t xml:space="preserve"> by increasing dosage in </w:t>
      </w:r>
      <w:r w:rsidR="002376CF" w:rsidRPr="00C1694A">
        <w:t>[</w:t>
      </w:r>
      <w:r w:rsidR="00C86A46" w:rsidRPr="00C1694A">
        <w:t>E</w:t>
      </w:r>
      <w:r w:rsidR="002376CF" w:rsidRPr="00C1694A">
        <w:t xml:space="preserve">arly </w:t>
      </w:r>
      <w:r w:rsidR="00C86A46" w:rsidRPr="00C1694A">
        <w:t>H</w:t>
      </w:r>
      <w:r w:rsidR="002376CF" w:rsidRPr="00C1694A">
        <w:t xml:space="preserve">ead </w:t>
      </w:r>
      <w:r w:rsidR="00C86A46" w:rsidRPr="00C1694A">
        <w:t>S</w:t>
      </w:r>
      <w:r w:rsidR="002376CF" w:rsidRPr="00C1694A">
        <w:t>tart]</w:t>
      </w:r>
      <w:r w:rsidR="00C86A46" w:rsidRPr="00C1694A">
        <w:t xml:space="preserve"> and Head Start or improving instructional factors in Head Start.”</w:t>
      </w:r>
      <w:r w:rsidR="009F4313" w:rsidRPr="00C1694A">
        <w:rPr>
          <w:rStyle w:val="FootnoteReference"/>
        </w:rPr>
        <w:footnoteReference w:id="10"/>
      </w:r>
      <w:r w:rsidR="00C86A46" w:rsidRPr="00C1694A">
        <w:t xml:space="preserve"> The Committee also addressed the finding that these impacts do not seem to persist into elementary school, stating the larger body of research on</w:t>
      </w:r>
      <w:r w:rsidR="00E32790" w:rsidRPr="00C1694A">
        <w:t xml:space="preserve"> Head Start</w:t>
      </w:r>
      <w:r w:rsidR="00C86A46" w:rsidRPr="00C1694A">
        <w:t xml:space="preserve"> provides “evidence of long-term positive outcomes for those who participated in Head Start in terms of high school completion, avoidance of problem behaviors, avoidance of entry into the criminal justice system, too-early family formation, avoidance of special education, and workforce attachment.” Overall, the report determined a key factor for Head Start to realize its potential is “making quality and other improvements and optimizing dosage within Head Start [and Early Head Start].” The </w:t>
      </w:r>
      <w:r w:rsidR="0046548F" w:rsidRPr="00C1694A">
        <w:t xml:space="preserve">final </w:t>
      </w:r>
      <w:r w:rsidR="00C86A46" w:rsidRPr="00C1694A">
        <w:t xml:space="preserve">rule aims to capitalize on the advancements in research, available data, program input, </w:t>
      </w:r>
      <w:r w:rsidR="00E32790" w:rsidRPr="00C1694A">
        <w:t xml:space="preserve">public comment, </w:t>
      </w:r>
      <w:r w:rsidR="00C86A46" w:rsidRPr="00C1694A">
        <w:t>and these recommendations in order to accomplish the critical goal of helping Head Start reach its full potential so more children reach kindergarten ready to succeed.</w:t>
      </w:r>
    </w:p>
    <w:p w:rsidR="002A1737" w:rsidRPr="00C1694A" w:rsidRDefault="00C86A46" w:rsidP="009A526A">
      <w:pPr>
        <w:pStyle w:val="NormalWeb"/>
        <w:spacing w:before="0" w:beforeAutospacing="0" w:after="0" w:afterAutospacing="0" w:line="480" w:lineRule="auto"/>
        <w:ind w:firstLine="720"/>
      </w:pPr>
      <w:r w:rsidRPr="00C1694A">
        <w:t xml:space="preserve">This final rule reorganizes previous </w:t>
      </w:r>
      <w:r w:rsidR="00D13374" w:rsidRPr="00C1694A">
        <w:t xml:space="preserve">program </w:t>
      </w:r>
      <w:r w:rsidRPr="00C1694A">
        <w:t xml:space="preserve">performance standards to make it easier for </w:t>
      </w:r>
      <w:r w:rsidR="00D13374" w:rsidRPr="00C1694A">
        <w:t xml:space="preserve">grantees </w:t>
      </w:r>
      <w:r w:rsidRPr="00C1694A">
        <w:t xml:space="preserve">to implement </w:t>
      </w:r>
      <w:r w:rsidR="00D13374" w:rsidRPr="00C1694A">
        <w:t xml:space="preserve">them </w:t>
      </w:r>
      <w:r w:rsidRPr="00C1694A">
        <w:t xml:space="preserve">and for the public to understand the broad range of </w:t>
      </w:r>
      <w:r w:rsidR="002A1737" w:rsidRPr="00C1694A">
        <w:t>Head Start program services</w:t>
      </w:r>
      <w:r w:rsidRPr="00C1694A">
        <w:t xml:space="preserve">. </w:t>
      </w:r>
      <w:r w:rsidR="002A1737" w:rsidRPr="00C1694A">
        <w:t>Our p</w:t>
      </w:r>
      <w:r w:rsidR="00D34978" w:rsidRPr="00C1694A">
        <w:t>revious</w:t>
      </w:r>
      <w:r w:rsidRPr="00C1694A">
        <w:t xml:space="preserve"> pr</w:t>
      </w:r>
      <w:r w:rsidR="00D34978" w:rsidRPr="00C1694A">
        <w:t>ogram performance standards consisted of</w:t>
      </w:r>
      <w:r w:rsidRPr="00C1694A">
        <w:t xml:space="preserve"> 1</w:t>
      </w:r>
      <w:r w:rsidR="00D13374" w:rsidRPr="00C1694A">
        <w:t>,</w:t>
      </w:r>
      <w:r w:rsidRPr="00C1694A">
        <w:t xml:space="preserve">400 provisions organized in 11 different sections that </w:t>
      </w:r>
      <w:r w:rsidR="00E32790" w:rsidRPr="00C1694A">
        <w:t>were</w:t>
      </w:r>
      <w:r w:rsidRPr="00C1694A">
        <w:t xml:space="preserve"> amended in a partial or topical fashion o</w:t>
      </w:r>
      <w:r w:rsidR="002A1737" w:rsidRPr="00C1694A">
        <w:t xml:space="preserve">ver the past 40 years. This </w:t>
      </w:r>
      <w:r w:rsidR="00D13374" w:rsidRPr="00C1694A">
        <w:t xml:space="preserve">approach </w:t>
      </w:r>
      <w:r w:rsidRPr="00C1694A">
        <w:t>resulted in a somewhat opa</w:t>
      </w:r>
      <w:r w:rsidR="002A1737" w:rsidRPr="00C1694A">
        <w:t xml:space="preserve">que set of requirements that </w:t>
      </w:r>
      <w:r w:rsidR="00E32790" w:rsidRPr="00C1694A">
        <w:t>were</w:t>
      </w:r>
      <w:r w:rsidRPr="00C1694A">
        <w:t xml:space="preserve"> unnecessarily challenging t</w:t>
      </w:r>
      <w:r w:rsidR="002A1737" w:rsidRPr="00C1694A">
        <w:t xml:space="preserve">o interpret and overburdened </w:t>
      </w:r>
      <w:r w:rsidRPr="00C1694A">
        <w:t>gra</w:t>
      </w:r>
      <w:r w:rsidR="002A1737" w:rsidRPr="00C1694A">
        <w:t xml:space="preserve">ntees with process-laden rules.  </w:t>
      </w:r>
    </w:p>
    <w:p w:rsidR="008F47A4" w:rsidRPr="00C1694A" w:rsidRDefault="002A1737" w:rsidP="009A526A">
      <w:pPr>
        <w:pStyle w:val="NormalWeb"/>
        <w:spacing w:before="0" w:beforeAutospacing="0" w:after="0" w:afterAutospacing="0" w:line="480" w:lineRule="auto"/>
        <w:ind w:firstLine="720"/>
      </w:pPr>
      <w:r w:rsidRPr="00C1694A">
        <w:t xml:space="preserve">This rule has </w:t>
      </w:r>
      <w:r w:rsidR="00C86A46" w:rsidRPr="00C1694A">
        <w:t xml:space="preserve">four distinct sections: (1) </w:t>
      </w:r>
      <w:r w:rsidR="00C86A46" w:rsidRPr="00C1694A">
        <w:rPr>
          <w:i/>
          <w:iCs/>
        </w:rPr>
        <w:t>Program Governance,</w:t>
      </w:r>
      <w:r w:rsidR="00C86A46" w:rsidRPr="00C1694A">
        <w:t xml:space="preserve"> which outlines the requirements imposed by the</w:t>
      </w:r>
      <w:r w:rsidR="00BB4C05" w:rsidRPr="00C1694A">
        <w:t xml:space="preserve"> Head Start</w:t>
      </w:r>
      <w:r w:rsidR="00C86A46" w:rsidRPr="00C1694A">
        <w:t xml:space="preserve"> Act</w:t>
      </w:r>
      <w:r w:rsidR="00BB4C05" w:rsidRPr="00C1694A">
        <w:t xml:space="preserve"> (the “Act”)</w:t>
      </w:r>
      <w:r w:rsidR="00C86A46" w:rsidRPr="00C1694A">
        <w:t xml:space="preserve"> on Governing Bodies and Policy Councils to ensure well-governed Head Start programs; (2) </w:t>
      </w:r>
      <w:r w:rsidR="00C86A46" w:rsidRPr="00C1694A">
        <w:rPr>
          <w:i/>
          <w:iCs/>
        </w:rPr>
        <w:t>Program Operations,</w:t>
      </w:r>
      <w:r w:rsidR="00C86A46" w:rsidRPr="00C1694A">
        <w:t xml:space="preserve"> which outlines all of the operational requirements for serving children and families, from the universe of eligible children and the services they must be provided in education, health, and family and community engagement, to the way programs must use data to improve the services they provide; (3) </w:t>
      </w:r>
      <w:r w:rsidR="00C86A46" w:rsidRPr="00C1694A">
        <w:rPr>
          <w:i/>
          <w:iCs/>
        </w:rPr>
        <w:t>Financial and Administrative Requirements,</w:t>
      </w:r>
      <w:r w:rsidR="00C86A46" w:rsidRPr="00C1694A">
        <w:t xml:space="preserve"> which lay</w:t>
      </w:r>
      <w:r w:rsidR="00E32790" w:rsidRPr="00C1694A">
        <w:t>s</w:t>
      </w:r>
      <w:r w:rsidR="00C86A46" w:rsidRPr="00C1694A">
        <w:t xml:space="preserve"> out the federal requirements Head Start programs must adhere to because of overarching federal requirements or specific provisions imposed in the Act; and (4) </w:t>
      </w:r>
      <w:r w:rsidR="00C86A46" w:rsidRPr="00C1694A">
        <w:rPr>
          <w:i/>
          <w:iCs/>
        </w:rPr>
        <w:t>Federal Administrative Procedures,</w:t>
      </w:r>
      <w:r w:rsidR="00C86A46" w:rsidRPr="00C1694A">
        <w:t xml:space="preserve"> which govern</w:t>
      </w:r>
      <w:r w:rsidR="00E32790" w:rsidRPr="00C1694A">
        <w:t>s</w:t>
      </w:r>
      <w:r w:rsidR="00C86A46" w:rsidRPr="00C1694A">
        <w:t xml:space="preserve"> the procedures the responsible HHS official takes </w:t>
      </w:r>
      <w:r w:rsidR="00E32790" w:rsidRPr="00C1694A">
        <w:t>to determine</w:t>
      </w:r>
      <w:r w:rsidR="00C86A46" w:rsidRPr="00C1694A">
        <w:t xml:space="preserve"> the results of competition for all grantees, any actions against a grantee, whether a grantee needs to compete for renewed funding</w:t>
      </w:r>
      <w:r w:rsidR="00D13374" w:rsidRPr="00C1694A">
        <w:t>,</w:t>
      </w:r>
      <w:r w:rsidR="00C86A46" w:rsidRPr="00C1694A">
        <w:t xml:space="preserve"> and other </w:t>
      </w:r>
      <w:r w:rsidR="00684E08" w:rsidRPr="00C1694A">
        <w:t xml:space="preserve">transparency-related </w:t>
      </w:r>
      <w:r w:rsidR="00C86A46" w:rsidRPr="00C1694A">
        <w:t>procedures requir</w:t>
      </w:r>
      <w:r w:rsidRPr="00C1694A">
        <w:t xml:space="preserve">ed in the Act.  </w:t>
      </w:r>
    </w:p>
    <w:p w:rsidR="00C86A46" w:rsidRPr="00C1694A" w:rsidRDefault="00E32790" w:rsidP="009A526A">
      <w:pPr>
        <w:pStyle w:val="NormalWeb"/>
        <w:spacing w:before="0" w:beforeAutospacing="0" w:after="0" w:afterAutospacing="0" w:line="480" w:lineRule="auto"/>
        <w:ind w:firstLine="720"/>
      </w:pPr>
      <w:r w:rsidRPr="00C1694A">
        <w:t>W</w:t>
      </w:r>
      <w:r w:rsidR="00C86A46" w:rsidRPr="00C1694A">
        <w:t>e also reorganize</w:t>
      </w:r>
      <w:r w:rsidR="008F47A4" w:rsidRPr="00C1694A">
        <w:t>d</w:t>
      </w:r>
      <w:r w:rsidR="00C86A46" w:rsidRPr="00C1694A">
        <w:t xml:space="preserve"> specific sections and streamline</w:t>
      </w:r>
      <w:r w:rsidR="008F47A4" w:rsidRPr="00C1694A">
        <w:t>d</w:t>
      </w:r>
      <w:r w:rsidR="00C86A46" w:rsidRPr="00C1694A">
        <w:t xml:space="preserve"> provisions to make Head Start requirements easier to understand for all interested parties—grantees, potential grantees, other early education programs, and members of the general public. </w:t>
      </w:r>
      <w:r w:rsidR="008F47A4" w:rsidRPr="00C1694A">
        <w:t>We reorganized s</w:t>
      </w:r>
      <w:r w:rsidR="00C86A46" w:rsidRPr="00C1694A">
        <w:t>ubparts and their sections to eliminate redundancy, and</w:t>
      </w:r>
      <w:r w:rsidR="008F47A4" w:rsidRPr="00C1694A">
        <w:t xml:space="preserve"> we grouped together</w:t>
      </w:r>
      <w:r w:rsidR="00C86A46" w:rsidRPr="00C1694A">
        <w:t xml:space="preserve"> related requirements</w:t>
      </w:r>
      <w:r w:rsidR="008F47A4" w:rsidRPr="00C1694A">
        <w:t xml:space="preserve">.  </w:t>
      </w:r>
      <w:r w:rsidR="00C86A46" w:rsidRPr="00C1694A">
        <w:t>Additionally, we systematically address</w:t>
      </w:r>
      <w:r w:rsidR="008F47A4" w:rsidRPr="00C1694A">
        <w:t>ed</w:t>
      </w:r>
      <w:r w:rsidR="00C86A46" w:rsidRPr="00C1694A">
        <w:t xml:space="preserve"> the fact that many of our most critica</w:t>
      </w:r>
      <w:r w:rsidR="008F47A4" w:rsidRPr="00C1694A">
        <w:t>l provisions were</w:t>
      </w:r>
      <w:r w:rsidR="00C86A46" w:rsidRPr="00C1694A">
        <w:t xml:space="preserve"> buried in subparts </w:t>
      </w:r>
      <w:r w:rsidR="008F47A4" w:rsidRPr="00C1694A">
        <w:t>that made</w:t>
      </w:r>
      <w:r w:rsidR="00C86A46" w:rsidRPr="00C1694A">
        <w:t xml:space="preserve"> them difficult to f</w:t>
      </w:r>
      <w:r w:rsidR="00027CDC" w:rsidRPr="00C1694A">
        <w:t xml:space="preserve">ind and interpret, and </w:t>
      </w:r>
      <w:r w:rsidR="008F47A4" w:rsidRPr="00C1694A">
        <w:t>did</w:t>
      </w:r>
      <w:r w:rsidR="00C86A46" w:rsidRPr="00C1694A">
        <w:t xml:space="preserve"> not reflect their centrality to the prov</w:t>
      </w:r>
      <w:r w:rsidR="008F47A4" w:rsidRPr="00C1694A">
        <w:t>ision of high</w:t>
      </w:r>
      <w:r w:rsidR="00915289" w:rsidRPr="00C1694A">
        <w:t>-</w:t>
      </w:r>
      <w:r w:rsidR="008F47A4" w:rsidRPr="00C1694A">
        <w:t xml:space="preserve">quality services.  </w:t>
      </w:r>
      <w:r w:rsidR="00C86A46" w:rsidRPr="00C1694A">
        <w:t xml:space="preserve">For example, </w:t>
      </w:r>
      <w:r w:rsidR="008F47A4" w:rsidRPr="00C1694A">
        <w:t xml:space="preserve">we </w:t>
      </w:r>
      <w:r w:rsidR="00C86A46" w:rsidRPr="00C1694A">
        <w:t>create</w:t>
      </w:r>
      <w:r w:rsidR="008F47A4" w:rsidRPr="00C1694A">
        <w:t>d</w:t>
      </w:r>
      <w:r w:rsidR="00C86A46" w:rsidRPr="00C1694A">
        <w:t xml:space="preserve"> new </w:t>
      </w:r>
      <w:r w:rsidR="00D13374" w:rsidRPr="00C1694A">
        <w:t xml:space="preserve">subparts or </w:t>
      </w:r>
      <w:r w:rsidR="00C86A46" w:rsidRPr="00C1694A">
        <w:t xml:space="preserve">sections to highlight and expand, where necessary, upon these important requirements. </w:t>
      </w:r>
    </w:p>
    <w:p w:rsidR="00C86A46" w:rsidRPr="00C1694A" w:rsidRDefault="00D13374" w:rsidP="009A526A">
      <w:pPr>
        <w:pStyle w:val="NormalWeb"/>
        <w:spacing w:before="0" w:beforeAutospacing="0" w:after="0" w:afterAutospacing="0" w:line="480" w:lineRule="auto"/>
        <w:ind w:firstLine="720"/>
      </w:pPr>
      <w:r w:rsidRPr="00C1694A">
        <w:t>W</w:t>
      </w:r>
      <w:r w:rsidR="00C86A46" w:rsidRPr="00C1694A">
        <w:t xml:space="preserve">e </w:t>
      </w:r>
      <w:r w:rsidRPr="00C1694A">
        <w:t xml:space="preserve">also </w:t>
      </w:r>
      <w:r w:rsidR="00C86A46" w:rsidRPr="00C1694A">
        <w:t>streamline</w:t>
      </w:r>
      <w:r w:rsidR="00CC257A" w:rsidRPr="00C1694A">
        <w:t>d</w:t>
      </w:r>
      <w:r w:rsidR="00C86A46" w:rsidRPr="00C1694A">
        <w:t xml:space="preserve"> requirements and minimize</w:t>
      </w:r>
      <w:r w:rsidR="000B389D" w:rsidRPr="00C1694A">
        <w:t>d</w:t>
      </w:r>
      <w:r w:rsidR="00C86A46" w:rsidRPr="00C1694A">
        <w:t xml:space="preserve"> administrative burden on local programs. In total, we significantly reduce</w:t>
      </w:r>
      <w:r w:rsidR="000B389D" w:rsidRPr="00C1694A">
        <w:t>d</w:t>
      </w:r>
      <w:r w:rsidR="00CF7F9B" w:rsidRPr="00C1694A">
        <w:t xml:space="preserve"> the number of regulatory </w:t>
      </w:r>
      <w:r w:rsidR="00C86A46" w:rsidRPr="00C1694A">
        <w:t>requirements without compromising quality</w:t>
      </w:r>
      <w:r w:rsidR="00CF7F9B" w:rsidRPr="00C1694A">
        <w:t xml:space="preserve">. We give programs </w:t>
      </w:r>
      <w:r w:rsidR="00C86A46" w:rsidRPr="00C1694A">
        <w:t>greater flexibility to determin</w:t>
      </w:r>
      <w:r w:rsidR="00CF7F9B" w:rsidRPr="00C1694A">
        <w:t>e</w:t>
      </w:r>
      <w:r w:rsidR="00C86A46" w:rsidRPr="00C1694A">
        <w:t xml:space="preserve"> </w:t>
      </w:r>
      <w:r w:rsidR="00D247F2" w:rsidRPr="00C1694A">
        <w:t xml:space="preserve">how </w:t>
      </w:r>
      <w:r w:rsidR="00C86A46" w:rsidRPr="00C1694A">
        <w:t>best to achieve their goals</w:t>
      </w:r>
      <w:r w:rsidR="00D247F2" w:rsidRPr="00C1694A">
        <w:t xml:space="preserve"> and administer a high-quality Head Start program </w:t>
      </w:r>
      <w:r w:rsidR="00066478" w:rsidRPr="00C1694A">
        <w:t>without reducing expectations</w:t>
      </w:r>
      <w:r w:rsidR="00D247F2" w:rsidRPr="00C1694A">
        <w:t xml:space="preserve"> for children and families</w:t>
      </w:r>
      <w:r w:rsidR="00066478" w:rsidRPr="00C1694A">
        <w:t xml:space="preserve">.  </w:t>
      </w:r>
      <w:r w:rsidR="00C86A46" w:rsidRPr="00C1694A">
        <w:t>We anticipate these changes will help move Head Start away from a compliance-oriented culture to an outcomes-focused one.</w:t>
      </w:r>
      <w:r w:rsidR="00F20158" w:rsidRPr="00C1694A">
        <w:t xml:space="preserve">  </w:t>
      </w:r>
      <w:r w:rsidR="00C86A46" w:rsidRPr="00C1694A">
        <w:t xml:space="preserve">Furthermore, we believe this </w:t>
      </w:r>
      <w:r w:rsidRPr="00C1694A">
        <w:t xml:space="preserve">approach </w:t>
      </w:r>
      <w:r w:rsidR="00C86A46" w:rsidRPr="00C1694A">
        <w:t>will support better collaboration with other programs and funding streams. We recognize that grantees deliver services through a variety of modalities including child care and state pre-kindergarten programs</w:t>
      </w:r>
      <w:r w:rsidR="00CC257A" w:rsidRPr="00C1694A">
        <w:t>. Additionally, we</w:t>
      </w:r>
      <w:r w:rsidR="00C86A46" w:rsidRPr="00C1694A">
        <w:t xml:space="preserve"> remove</w:t>
      </w:r>
      <w:r w:rsidR="00CC257A" w:rsidRPr="00C1694A">
        <w:t>d</w:t>
      </w:r>
      <w:r w:rsidR="00C86A46" w:rsidRPr="00C1694A">
        <w:t xml:space="preserve"> </w:t>
      </w:r>
      <w:r w:rsidR="00CC257A" w:rsidRPr="00C1694A">
        <w:t>other</w:t>
      </w:r>
      <w:r w:rsidR="00C86A46" w:rsidRPr="00C1694A">
        <w:t xml:space="preserve"> overly prescriptive requirements related to governing bodies, appeals, and audits.</w:t>
      </w:r>
    </w:p>
    <w:p w:rsidR="00C86A46" w:rsidRPr="00C1694A" w:rsidRDefault="00C86A46" w:rsidP="009A526A">
      <w:pPr>
        <w:pStyle w:val="NormalWeb"/>
        <w:spacing w:before="0" w:beforeAutospacing="0" w:after="0" w:afterAutospacing="0" w:line="480" w:lineRule="auto"/>
        <w:ind w:firstLine="720"/>
      </w:pPr>
      <w:r w:rsidRPr="00C1694A">
        <w:t xml:space="preserve">We include several provisions to support local flexibility to meet community needs and to promote innovation and research. We give Head Start programs additional flexibility in the structural requirements of program models, such as </w:t>
      </w:r>
      <w:r w:rsidR="002450D3" w:rsidRPr="00C1694A">
        <w:t>group</w:t>
      </w:r>
      <w:r w:rsidRPr="00C1694A">
        <w:t xml:space="preserve"> size and </w:t>
      </w:r>
      <w:r w:rsidR="00CC257A" w:rsidRPr="00C1694A">
        <w:t>ratios</w:t>
      </w:r>
      <w:r w:rsidR="00066478" w:rsidRPr="00C1694A">
        <w:t xml:space="preserve">.  </w:t>
      </w:r>
      <w:r w:rsidRPr="00C1694A">
        <w:t>Further, we permit local variations</w:t>
      </w:r>
      <w:r w:rsidR="00CC257A" w:rsidRPr="00C1694A">
        <w:t xml:space="preserve"> for effective and innovative curriculum and professional development models</w:t>
      </w:r>
      <w:r w:rsidRPr="00C1694A">
        <w:t xml:space="preserve">, giving flexibility from some of these requirements if the Head Start program works with research experts and evaluates the effectiveness of their model. We also support local innovation </w:t>
      </w:r>
      <w:r w:rsidR="00CC257A" w:rsidRPr="00C1694A">
        <w:t xml:space="preserve">through a process to waive individual eligibility </w:t>
      </w:r>
      <w:r w:rsidRPr="00C1694A">
        <w:t>verification</w:t>
      </w:r>
      <w:r w:rsidR="00CC257A" w:rsidRPr="00C1694A">
        <w:t xml:space="preserve"> requirements, which will</w:t>
      </w:r>
      <w:r w:rsidRPr="00C1694A">
        <w:t xml:space="preserve"> allow better coordination with local early education programs without reducing quality. Collectively, these changes will allow for the development of innovative program models, alleviate paperwork burdens, and support mixed income settings.</w:t>
      </w:r>
    </w:p>
    <w:p w:rsidR="00C86A46" w:rsidRPr="00C1694A" w:rsidRDefault="00C86A46" w:rsidP="009A526A">
      <w:pPr>
        <w:pStyle w:val="NormalWeb"/>
        <w:spacing w:before="0" w:beforeAutospacing="0" w:after="0" w:afterAutospacing="0" w:line="480" w:lineRule="auto"/>
        <w:ind w:firstLine="720"/>
      </w:pPr>
      <w:r w:rsidRPr="00C1694A">
        <w:t xml:space="preserve">We believe the benefits of these changes will be significant for the children and families Head Start serves. Strengthening Head Start standards will improve child outcomes and promote greater success in school as well as produce higher returns on taxpayer investment. Reorganizing, streamlining, and reducing the </w:t>
      </w:r>
      <w:r w:rsidR="00D057DC" w:rsidRPr="00C1694A">
        <w:t xml:space="preserve">requirements in the regulation </w:t>
      </w:r>
      <w:r w:rsidRPr="00C1694A">
        <w:t xml:space="preserve">will make Head Start </w:t>
      </w:r>
      <w:r w:rsidR="000B389D" w:rsidRPr="00C1694A">
        <w:t xml:space="preserve">less burdensome for existing grantees and </w:t>
      </w:r>
      <w:r w:rsidRPr="00C1694A">
        <w:t>more approachable for potential grantees</w:t>
      </w:r>
      <w:r w:rsidR="000B389D" w:rsidRPr="00C1694A">
        <w:t>, which may result in more organizations competing for Head Start grants</w:t>
      </w:r>
      <w:r w:rsidRPr="00C1694A">
        <w:t>. These changes ar</w:t>
      </w:r>
      <w:r w:rsidR="00066478" w:rsidRPr="00C1694A">
        <w:t>e central to the Administration’</w:t>
      </w:r>
      <w:r w:rsidRPr="00C1694A">
        <w:t>s belief that every child deserves an opportunity to succeed.</w:t>
      </w:r>
    </w:p>
    <w:p w:rsidR="003515A4" w:rsidRPr="00001E53" w:rsidRDefault="00001E53" w:rsidP="00001E53">
      <w:pPr>
        <w:autoSpaceDE w:val="0"/>
        <w:autoSpaceDN w:val="0"/>
        <w:adjustRightInd w:val="0"/>
        <w:spacing w:after="0" w:line="480" w:lineRule="auto"/>
        <w:ind w:left="900" w:hanging="540"/>
        <w:rPr>
          <w:rFonts w:ascii="Times New Roman" w:hAnsi="Times New Roman" w:cs="Times New Roman"/>
          <w:b/>
          <w:sz w:val="24"/>
          <w:szCs w:val="24"/>
        </w:rPr>
      </w:pPr>
      <w:r w:rsidRPr="00C1694A">
        <w:rPr>
          <w:rFonts w:ascii="Times New Roman" w:hAnsi="Times New Roman" w:cs="Times New Roman"/>
          <w:b/>
          <w:sz w:val="24"/>
          <w:szCs w:val="24"/>
        </w:rPr>
        <w:t>II.</w:t>
      </w:r>
      <w:r w:rsidRPr="00C1694A">
        <w:rPr>
          <w:rFonts w:ascii="Times New Roman" w:hAnsi="Times New Roman" w:cs="Times New Roman"/>
          <w:b/>
          <w:sz w:val="24"/>
          <w:szCs w:val="24"/>
        </w:rPr>
        <w:tab/>
      </w:r>
      <w:r w:rsidR="003515A4" w:rsidRPr="00001E53">
        <w:rPr>
          <w:rFonts w:ascii="Times New Roman" w:hAnsi="Times New Roman" w:cs="Times New Roman"/>
          <w:b/>
          <w:sz w:val="24"/>
          <w:szCs w:val="24"/>
        </w:rPr>
        <w:t>Table</w:t>
      </w:r>
      <w:r w:rsidR="00CF0E1F" w:rsidRPr="00001E53">
        <w:rPr>
          <w:rFonts w:ascii="Times New Roman" w:hAnsi="Times New Roman" w:cs="Times New Roman"/>
          <w:b/>
          <w:sz w:val="24"/>
          <w:szCs w:val="24"/>
        </w:rPr>
        <w:t>s</w:t>
      </w:r>
    </w:p>
    <w:p w:rsidR="00CF0E1F" w:rsidRPr="00C1694A" w:rsidRDefault="00CF0E1F" w:rsidP="00CF0E1F">
      <w:pPr>
        <w:autoSpaceDE w:val="0"/>
        <w:autoSpaceDN w:val="0"/>
        <w:adjustRightInd w:val="0"/>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Table 1: Compliance Table</w:t>
      </w:r>
    </w:p>
    <w:p w:rsidR="00CF0E1F" w:rsidRPr="00C1694A" w:rsidRDefault="00CF0E1F" w:rsidP="00CF0E1F">
      <w:pPr>
        <w:autoSpaceDE w:val="0"/>
        <w:autoSpaceDN w:val="0"/>
        <w:adjustRightInd w:val="0"/>
        <w:spacing w:after="0" w:line="240" w:lineRule="auto"/>
        <w:ind w:left="540"/>
        <w:contextual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693"/>
        <w:gridCol w:w="1883"/>
      </w:tblGrid>
      <w:tr w:rsidR="004351F7" w:rsidRPr="00C1694A" w:rsidTr="00D23898">
        <w:tc>
          <w:tcPr>
            <w:tcW w:w="0" w:type="auto"/>
          </w:tcPr>
          <w:p w:rsidR="004351F7" w:rsidRPr="00C1694A" w:rsidRDefault="004351F7" w:rsidP="006C6CA9">
            <w:pPr>
              <w:jc w:val="center"/>
              <w:rPr>
                <w:rFonts w:ascii="Times New Roman" w:hAnsi="Times New Roman" w:cs="Times New Roman"/>
                <w:sz w:val="24"/>
                <w:szCs w:val="24"/>
              </w:rPr>
            </w:pPr>
            <w:r w:rsidRPr="00C1694A">
              <w:rPr>
                <w:rFonts w:ascii="Times New Roman" w:hAnsi="Times New Roman" w:cs="Times New Roman"/>
                <w:b/>
                <w:bCs/>
                <w:caps/>
                <w:sz w:val="24"/>
                <w:szCs w:val="24"/>
              </w:rPr>
              <w:t>Performance Standard</w:t>
            </w:r>
          </w:p>
        </w:tc>
        <w:tc>
          <w:tcPr>
            <w:tcW w:w="0" w:type="auto"/>
          </w:tcPr>
          <w:p w:rsidR="004351F7" w:rsidRPr="00C1694A" w:rsidRDefault="004351F7" w:rsidP="006C6CA9">
            <w:pPr>
              <w:jc w:val="center"/>
              <w:rPr>
                <w:rFonts w:ascii="Times New Roman" w:hAnsi="Times New Roman" w:cs="Times New Roman"/>
                <w:sz w:val="24"/>
                <w:szCs w:val="24"/>
              </w:rPr>
            </w:pPr>
            <w:r w:rsidRPr="00C1694A">
              <w:rPr>
                <w:rFonts w:ascii="Times New Roman" w:hAnsi="Times New Roman" w:cs="Times New Roman"/>
                <w:b/>
                <w:bCs/>
                <w:caps/>
                <w:sz w:val="24"/>
                <w:szCs w:val="24"/>
              </w:rPr>
              <w:t>Compliance Date</w:t>
            </w:r>
          </w:p>
        </w:tc>
      </w:tr>
      <w:tr w:rsidR="004351F7" w:rsidRPr="00C1694A" w:rsidTr="00D23898">
        <w:tc>
          <w:tcPr>
            <w:tcW w:w="0" w:type="auto"/>
          </w:tcPr>
          <w:p w:rsidR="004351F7" w:rsidRDefault="004351F7" w:rsidP="006C6CA9">
            <w:pPr>
              <w:tabs>
                <w:tab w:val="left" w:pos="360"/>
              </w:tabs>
              <w:contextualSpacing/>
              <w:jc w:val="center"/>
              <w:rPr>
                <w:rFonts w:ascii="Times New Roman" w:hAnsi="Times New Roman" w:cs="Times New Roman"/>
                <w:b/>
                <w:sz w:val="24"/>
                <w:szCs w:val="24"/>
              </w:rPr>
            </w:pPr>
            <w:r w:rsidRPr="00C1694A">
              <w:rPr>
                <w:rFonts w:ascii="Times New Roman" w:hAnsi="Times New Roman" w:cs="Times New Roman"/>
                <w:b/>
                <w:sz w:val="24"/>
                <w:szCs w:val="24"/>
              </w:rPr>
              <w:t xml:space="preserve">Early Head Start center-based service duration </w:t>
            </w:r>
          </w:p>
          <w:p w:rsidR="00A53129" w:rsidRPr="00A53129" w:rsidRDefault="00A53129" w:rsidP="006C6CA9">
            <w:pPr>
              <w:tabs>
                <w:tab w:val="left" w:pos="360"/>
              </w:tabs>
              <w:contextualSpacing/>
              <w:jc w:val="center"/>
              <w:rPr>
                <w:rFonts w:ascii="Times New Roman" w:hAnsi="Times New Roman" w:cs="Times New Roman"/>
                <w:sz w:val="24"/>
                <w:szCs w:val="24"/>
              </w:rPr>
            </w:pPr>
            <w:r w:rsidRPr="00A53129">
              <w:rPr>
                <w:rFonts w:ascii="Times New Roman" w:hAnsi="Times New Roman" w:cs="Times New Roman"/>
                <w:sz w:val="24"/>
                <w:szCs w:val="24"/>
              </w:rPr>
              <w:t>(unless granted a waiver under §1302.24)</w:t>
            </w:r>
          </w:p>
          <w:p w:rsidR="004351F7" w:rsidRPr="00C1694A" w:rsidRDefault="004351F7" w:rsidP="006C6CA9">
            <w:pPr>
              <w:jc w:val="center"/>
              <w:rPr>
                <w:rFonts w:ascii="Times New Roman" w:hAnsi="Times New Roman" w:cs="Times New Roman"/>
                <w:b/>
                <w:sz w:val="24"/>
                <w:szCs w:val="24"/>
              </w:rPr>
            </w:pPr>
          </w:p>
          <w:p w:rsidR="004351F7" w:rsidRPr="00AC521C" w:rsidRDefault="004351F7" w:rsidP="00AC521C">
            <w:pPr>
              <w:rPr>
                <w:rFonts w:ascii="Times New Roman" w:hAnsi="Times New Roman" w:cs="Times New Roman"/>
                <w:sz w:val="24"/>
                <w:szCs w:val="24"/>
              </w:rPr>
            </w:pPr>
            <w:r w:rsidRPr="00C1694A">
              <w:rPr>
                <w:rFonts w:ascii="Times New Roman" w:hAnsi="Times New Roman" w:cs="Times New Roman"/>
                <w:b/>
                <w:sz w:val="24"/>
                <w:szCs w:val="24"/>
                <w:u w:val="single"/>
              </w:rPr>
              <w:t>§1302.21(c)(1):</w:t>
            </w:r>
            <w:r w:rsidRPr="00C1694A">
              <w:rPr>
                <w:rFonts w:ascii="Times New Roman" w:hAnsi="Times New Roman" w:cs="Times New Roman"/>
                <w:sz w:val="24"/>
                <w:szCs w:val="24"/>
              </w:rPr>
              <w:t xml:space="preserve"> </w:t>
            </w:r>
            <w:r w:rsidR="00C757F4" w:rsidRPr="00AC521C">
              <w:rPr>
                <w:rFonts w:ascii="Times New Roman" w:hAnsi="Times New Roman" w:cs="Times New Roman"/>
                <w:sz w:val="24"/>
                <w:szCs w:val="24"/>
              </w:rPr>
              <w:t xml:space="preserve">By August 1, 2018, a </w:t>
            </w:r>
            <w:r w:rsidRPr="00AC521C">
              <w:rPr>
                <w:rFonts w:ascii="Times New Roman" w:hAnsi="Times New Roman" w:cs="Times New Roman"/>
                <w:sz w:val="24"/>
                <w:szCs w:val="24"/>
              </w:rPr>
              <w:t xml:space="preserve">program must provide 1,380 annual hours of planned class operations for all enrolled children.  </w:t>
            </w:r>
          </w:p>
          <w:p w:rsidR="00567DFB" w:rsidRDefault="00567DFB" w:rsidP="00AC521C">
            <w:pPr>
              <w:rPr>
                <w:rFonts w:ascii="Times New Roman" w:hAnsi="Times New Roman" w:cs="Times New Roman"/>
                <w:b/>
                <w:sz w:val="24"/>
                <w:szCs w:val="24"/>
              </w:rPr>
            </w:pPr>
          </w:p>
          <w:p w:rsidR="00281FF8" w:rsidRPr="00AC521C" w:rsidRDefault="00A0319E" w:rsidP="00AC521C">
            <w:pPr>
              <w:rPr>
                <w:rFonts w:ascii="Times New Roman" w:hAnsi="Times New Roman" w:cs="Times New Roman"/>
                <w:sz w:val="24"/>
                <w:szCs w:val="24"/>
              </w:rPr>
            </w:pPr>
            <w:r w:rsidRPr="00AC521C">
              <w:rPr>
                <w:rFonts w:ascii="Times New Roman" w:hAnsi="Times New Roman" w:cs="Times New Roman"/>
                <w:sz w:val="24"/>
                <w:szCs w:val="24"/>
              </w:rPr>
              <w:t xml:space="preserve">A program that is designed to meet the needs of young parents enrolled in public school settings may meet the service duration requirements in </w:t>
            </w:r>
            <w:r w:rsidR="00C731B0" w:rsidRPr="00AC521C">
              <w:rPr>
                <w:rFonts w:ascii="Times New Roman" w:hAnsi="Times New Roman" w:cs="Times New Roman"/>
                <w:sz w:val="24"/>
                <w:szCs w:val="24"/>
              </w:rPr>
              <w:t>§1302.21(c)(1)</w:t>
            </w:r>
            <w:r w:rsidRPr="00AC521C">
              <w:rPr>
                <w:rFonts w:ascii="Times New Roman" w:hAnsi="Times New Roman" w:cs="Times New Roman"/>
                <w:sz w:val="24"/>
                <w:szCs w:val="24"/>
              </w:rPr>
              <w:t>(i) if it operates a center-based program schedule during the school year aligned with its local education agency requirements and provides regular home-based services during the summer break.</w:t>
            </w:r>
          </w:p>
        </w:tc>
        <w:tc>
          <w:tcPr>
            <w:tcW w:w="0" w:type="auto"/>
          </w:tcPr>
          <w:p w:rsidR="004351F7" w:rsidRPr="00C1694A" w:rsidRDefault="004351F7" w:rsidP="006C6CA9">
            <w:pPr>
              <w:rPr>
                <w:rFonts w:ascii="Times New Roman" w:hAnsi="Times New Roman" w:cs="Times New Roman"/>
                <w:b/>
                <w:bCs/>
                <w:caps/>
                <w:sz w:val="24"/>
                <w:szCs w:val="24"/>
              </w:rPr>
            </w:pPr>
          </w:p>
          <w:p w:rsidR="004351F7" w:rsidRPr="00C1694A" w:rsidRDefault="004351F7" w:rsidP="006C6CA9">
            <w:pPr>
              <w:rPr>
                <w:rFonts w:ascii="Times New Roman" w:hAnsi="Times New Roman" w:cs="Times New Roman"/>
                <w:b/>
                <w:bCs/>
                <w:caps/>
                <w:sz w:val="24"/>
                <w:szCs w:val="24"/>
              </w:rPr>
            </w:pPr>
          </w:p>
          <w:p w:rsidR="004351F7" w:rsidRPr="00C1694A" w:rsidRDefault="004351F7" w:rsidP="006C6CA9">
            <w:pPr>
              <w:rPr>
                <w:rFonts w:ascii="Times New Roman" w:hAnsi="Times New Roman" w:cs="Times New Roman"/>
                <w:b/>
                <w:bCs/>
                <w:caps/>
                <w:sz w:val="24"/>
                <w:szCs w:val="24"/>
              </w:rPr>
            </w:pPr>
          </w:p>
          <w:p w:rsidR="004351F7" w:rsidRPr="00C1694A" w:rsidRDefault="004351F7" w:rsidP="00281FF8">
            <w:pPr>
              <w:jc w:val="center"/>
              <w:rPr>
                <w:rFonts w:ascii="Times New Roman" w:hAnsi="Times New Roman" w:cs="Times New Roman"/>
                <w:sz w:val="24"/>
                <w:szCs w:val="24"/>
              </w:rPr>
            </w:pPr>
            <w:r w:rsidRPr="00C1694A">
              <w:rPr>
                <w:rFonts w:ascii="Times New Roman" w:hAnsi="Times New Roman" w:cs="Times New Roman"/>
                <w:b/>
                <w:bCs/>
                <w:caps/>
                <w:sz w:val="24"/>
                <w:szCs w:val="24"/>
              </w:rPr>
              <w:t>A</w:t>
            </w:r>
            <w:r w:rsidRPr="00C1694A">
              <w:rPr>
                <w:rFonts w:ascii="Times New Roman" w:hAnsi="Times New Roman" w:cs="Times New Roman"/>
                <w:b/>
                <w:bCs/>
                <w:sz w:val="24"/>
                <w:szCs w:val="24"/>
              </w:rPr>
              <w:t>ugust 1, 2018</w:t>
            </w:r>
          </w:p>
        </w:tc>
      </w:tr>
      <w:tr w:rsidR="004351F7" w:rsidRPr="00C1694A" w:rsidTr="00D23898">
        <w:tc>
          <w:tcPr>
            <w:tcW w:w="0" w:type="auto"/>
          </w:tcPr>
          <w:p w:rsidR="004351F7" w:rsidRPr="00C1694A" w:rsidRDefault="004351F7" w:rsidP="006C6CA9">
            <w:pPr>
              <w:tabs>
                <w:tab w:val="left" w:pos="360"/>
              </w:tabs>
              <w:contextualSpacing/>
              <w:jc w:val="center"/>
              <w:rPr>
                <w:rFonts w:ascii="Times New Roman" w:hAnsi="Times New Roman" w:cs="Times New Roman"/>
                <w:b/>
                <w:sz w:val="24"/>
                <w:szCs w:val="24"/>
              </w:rPr>
            </w:pPr>
            <w:r w:rsidRPr="00C1694A">
              <w:rPr>
                <w:rFonts w:ascii="Times New Roman" w:hAnsi="Times New Roman" w:cs="Times New Roman"/>
                <w:b/>
                <w:sz w:val="24"/>
                <w:szCs w:val="24"/>
              </w:rPr>
              <w:t xml:space="preserve">Head Start center-based service duration: </w:t>
            </w:r>
          </w:p>
          <w:p w:rsidR="004351F7" w:rsidRDefault="004351F7" w:rsidP="006C6CA9">
            <w:pPr>
              <w:tabs>
                <w:tab w:val="left" w:pos="360"/>
              </w:tabs>
              <w:contextualSpacing/>
              <w:jc w:val="center"/>
              <w:rPr>
                <w:rFonts w:ascii="Times New Roman" w:hAnsi="Times New Roman" w:cs="Times New Roman"/>
                <w:b/>
                <w:sz w:val="24"/>
                <w:szCs w:val="24"/>
              </w:rPr>
            </w:pPr>
            <w:r w:rsidRPr="00C1694A">
              <w:rPr>
                <w:rFonts w:ascii="Times New Roman" w:hAnsi="Times New Roman" w:cs="Times New Roman"/>
                <w:b/>
                <w:sz w:val="24"/>
                <w:szCs w:val="24"/>
              </w:rPr>
              <w:t>50 percent at 1,020 annual hours</w:t>
            </w:r>
          </w:p>
          <w:p w:rsidR="00A53129" w:rsidRPr="00A53129" w:rsidRDefault="00A53129" w:rsidP="006C6CA9">
            <w:pPr>
              <w:tabs>
                <w:tab w:val="left" w:pos="360"/>
              </w:tabs>
              <w:contextualSpacing/>
              <w:jc w:val="center"/>
              <w:rPr>
                <w:rFonts w:ascii="Times New Roman" w:hAnsi="Times New Roman" w:cs="Times New Roman"/>
                <w:sz w:val="24"/>
                <w:szCs w:val="24"/>
              </w:rPr>
            </w:pPr>
            <w:r w:rsidRPr="00A53129">
              <w:rPr>
                <w:rFonts w:ascii="Times New Roman" w:hAnsi="Times New Roman" w:cs="Times New Roman"/>
                <w:sz w:val="24"/>
                <w:szCs w:val="24"/>
              </w:rPr>
              <w:t>(unless granted a waiver under §1302.24)</w:t>
            </w:r>
          </w:p>
          <w:p w:rsidR="004351F7" w:rsidRPr="00C1694A" w:rsidRDefault="004351F7" w:rsidP="006C6CA9">
            <w:pPr>
              <w:tabs>
                <w:tab w:val="left" w:pos="360"/>
              </w:tabs>
              <w:contextualSpacing/>
              <w:jc w:val="center"/>
              <w:rPr>
                <w:rFonts w:ascii="Times New Roman" w:hAnsi="Times New Roman" w:cs="Times New Roman"/>
                <w:b/>
                <w:sz w:val="24"/>
                <w:szCs w:val="24"/>
              </w:rPr>
            </w:pPr>
          </w:p>
          <w:p w:rsidR="004351F7" w:rsidRPr="00AC521C" w:rsidRDefault="004351F7" w:rsidP="00AC521C">
            <w:pPr>
              <w:tabs>
                <w:tab w:val="left" w:pos="360"/>
              </w:tabs>
              <w:rPr>
                <w:rFonts w:ascii="Times New Roman" w:hAnsi="Times New Roman" w:cs="Times New Roman"/>
                <w:sz w:val="24"/>
                <w:szCs w:val="24"/>
              </w:rPr>
            </w:pPr>
            <w:r w:rsidRPr="00C1694A">
              <w:rPr>
                <w:rFonts w:ascii="Times New Roman" w:hAnsi="Times New Roman" w:cs="Times New Roman"/>
                <w:b/>
                <w:sz w:val="24"/>
                <w:szCs w:val="24"/>
                <w:u w:val="single"/>
              </w:rPr>
              <w:t>§1302.21(c)(2)</w:t>
            </w:r>
            <w:r w:rsidR="00567DFB">
              <w:rPr>
                <w:rFonts w:ascii="Times New Roman" w:hAnsi="Times New Roman" w:cs="Times New Roman"/>
                <w:b/>
                <w:sz w:val="24"/>
                <w:szCs w:val="24"/>
                <w:u w:val="single"/>
              </w:rPr>
              <w:t>(iii) and (v)</w:t>
            </w:r>
            <w:r w:rsidRPr="00C1694A">
              <w:rPr>
                <w:rFonts w:ascii="Times New Roman" w:hAnsi="Times New Roman" w:cs="Times New Roman"/>
                <w:b/>
                <w:sz w:val="24"/>
                <w:szCs w:val="24"/>
                <w:u w:val="single"/>
              </w:rPr>
              <w:t>:</w:t>
            </w:r>
            <w:r w:rsidRPr="00C1694A">
              <w:rPr>
                <w:rFonts w:ascii="Times New Roman" w:eastAsia="MS Mincho" w:hAnsi="Times New Roman" w:cs="Times New Roman"/>
                <w:sz w:val="24"/>
                <w:szCs w:val="24"/>
              </w:rPr>
              <w:t xml:space="preserve"> </w:t>
            </w:r>
            <w:r w:rsidRPr="00AC521C">
              <w:rPr>
                <w:rFonts w:ascii="Times New Roman" w:eastAsia="MS Mincho" w:hAnsi="Times New Roman" w:cs="Times New Roman"/>
                <w:sz w:val="24"/>
                <w:szCs w:val="24"/>
              </w:rPr>
              <w:t>By August 1, 201</w:t>
            </w:r>
            <w:r w:rsidR="000C79E0" w:rsidRPr="00AC521C">
              <w:rPr>
                <w:rFonts w:ascii="Times New Roman" w:eastAsia="MS Mincho" w:hAnsi="Times New Roman" w:cs="Times New Roman"/>
                <w:sz w:val="24"/>
                <w:szCs w:val="24"/>
              </w:rPr>
              <w:t>9</w:t>
            </w:r>
            <w:r w:rsidRPr="00AC521C">
              <w:rPr>
                <w:rFonts w:ascii="Times New Roman" w:eastAsia="MS Mincho" w:hAnsi="Times New Roman" w:cs="Times New Roman"/>
                <w:sz w:val="24"/>
                <w:szCs w:val="24"/>
              </w:rPr>
              <w:t xml:space="preserve">, a program must provide 1,020 annual hours of planned class operations over the course of at least </w:t>
            </w:r>
            <w:r w:rsidR="00A0319E" w:rsidRPr="00AC521C">
              <w:rPr>
                <w:rFonts w:ascii="Times New Roman" w:eastAsia="MS Mincho" w:hAnsi="Times New Roman" w:cs="Times New Roman"/>
                <w:sz w:val="24"/>
                <w:szCs w:val="24"/>
              </w:rPr>
              <w:t>eight</w:t>
            </w:r>
            <w:r w:rsidRPr="00AC521C">
              <w:rPr>
                <w:rFonts w:ascii="Times New Roman" w:eastAsia="MS Mincho" w:hAnsi="Times New Roman" w:cs="Times New Roman"/>
                <w:sz w:val="24"/>
                <w:szCs w:val="24"/>
              </w:rPr>
              <w:t xml:space="preserve"> months per year for at least 50 percent of its Head Start center-based funded enrollment.</w:t>
            </w:r>
            <w:r w:rsidRPr="00AC521C" w:rsidDel="0057264E">
              <w:rPr>
                <w:rFonts w:ascii="Times New Roman" w:hAnsi="Times New Roman" w:cs="Times New Roman"/>
                <w:sz w:val="24"/>
                <w:szCs w:val="24"/>
              </w:rPr>
              <w:t xml:space="preserve"> </w:t>
            </w:r>
          </w:p>
          <w:p w:rsidR="004351F7" w:rsidRPr="00C1694A" w:rsidRDefault="004351F7" w:rsidP="006C6CA9">
            <w:pPr>
              <w:tabs>
                <w:tab w:val="left" w:pos="360"/>
              </w:tabs>
              <w:rPr>
                <w:rFonts w:ascii="Times New Roman" w:eastAsia="MS Mincho" w:hAnsi="Times New Roman" w:cs="Times New Roman"/>
                <w:sz w:val="24"/>
                <w:szCs w:val="24"/>
              </w:rPr>
            </w:pPr>
          </w:p>
          <w:p w:rsidR="004351F7" w:rsidRPr="00AC521C" w:rsidRDefault="004351F7" w:rsidP="00AC521C">
            <w:pPr>
              <w:tabs>
                <w:tab w:val="left" w:pos="360"/>
              </w:tabs>
              <w:rPr>
                <w:rFonts w:ascii="Times New Roman" w:hAnsi="Times New Roman" w:cs="Times New Roman"/>
                <w:sz w:val="24"/>
                <w:szCs w:val="24"/>
              </w:rPr>
            </w:pPr>
            <w:r w:rsidRPr="00AC521C">
              <w:rPr>
                <w:rFonts w:ascii="Times New Roman" w:hAnsi="Times New Roman" w:cs="Times New Roman"/>
                <w:sz w:val="24"/>
                <w:szCs w:val="24"/>
              </w:rPr>
              <w:t xml:space="preserve">A Head Start program providing fewer than 1,020 annual hours of planned class operations or fewer than </w:t>
            </w:r>
            <w:r w:rsidR="00A0319E" w:rsidRPr="00AC521C">
              <w:rPr>
                <w:rFonts w:ascii="Times New Roman" w:hAnsi="Times New Roman" w:cs="Times New Roman"/>
                <w:sz w:val="24"/>
                <w:szCs w:val="24"/>
              </w:rPr>
              <w:t>eight</w:t>
            </w:r>
            <w:r w:rsidRPr="00AC521C">
              <w:rPr>
                <w:rFonts w:ascii="Times New Roman" w:hAnsi="Times New Roman" w:cs="Times New Roman"/>
                <w:sz w:val="24"/>
                <w:szCs w:val="24"/>
              </w:rPr>
              <w:t xml:space="preserve"> months of service is considered to meet the requirements described in paragraphs </w:t>
            </w:r>
            <w:r w:rsidR="00C731B0" w:rsidRPr="00AC521C">
              <w:rPr>
                <w:rFonts w:ascii="Times New Roman" w:hAnsi="Times New Roman" w:cs="Times New Roman"/>
                <w:sz w:val="24"/>
                <w:szCs w:val="24"/>
              </w:rPr>
              <w:t>§1302.21(c)(2)</w:t>
            </w:r>
            <w:r w:rsidRPr="00AC521C">
              <w:rPr>
                <w:rFonts w:ascii="Times New Roman" w:hAnsi="Times New Roman" w:cs="Times New Roman"/>
                <w:sz w:val="24"/>
                <w:szCs w:val="24"/>
              </w:rPr>
              <w:t xml:space="preserve">(iii) and (iv) if </w:t>
            </w:r>
            <w:r w:rsidR="0052102A" w:rsidRPr="00AC521C">
              <w:rPr>
                <w:rFonts w:ascii="Times New Roman" w:hAnsi="Times New Roman" w:cs="Times New Roman"/>
                <w:sz w:val="24"/>
                <w:szCs w:val="24"/>
              </w:rPr>
              <w:t xml:space="preserve">its </w:t>
            </w:r>
            <w:r w:rsidRPr="00AC521C">
              <w:rPr>
                <w:rFonts w:ascii="Times New Roman" w:hAnsi="Times New Roman" w:cs="Times New Roman"/>
                <w:sz w:val="24"/>
                <w:szCs w:val="24"/>
              </w:rPr>
              <w:t xml:space="preserve">program schedule aligns with the annual hours </w:t>
            </w:r>
            <w:r w:rsidR="00A0319E" w:rsidRPr="00AC521C">
              <w:rPr>
                <w:rFonts w:ascii="Times New Roman" w:hAnsi="Times New Roman" w:cs="Times New Roman"/>
                <w:sz w:val="24"/>
                <w:szCs w:val="24"/>
              </w:rPr>
              <w:t xml:space="preserve">required </w:t>
            </w:r>
            <w:r w:rsidRPr="00AC521C">
              <w:rPr>
                <w:rFonts w:ascii="Times New Roman" w:hAnsi="Times New Roman" w:cs="Times New Roman"/>
                <w:sz w:val="24"/>
                <w:szCs w:val="24"/>
              </w:rPr>
              <w:t xml:space="preserve">by </w:t>
            </w:r>
            <w:r w:rsidR="0052102A" w:rsidRPr="00AC521C">
              <w:rPr>
                <w:rFonts w:ascii="Times New Roman" w:hAnsi="Times New Roman" w:cs="Times New Roman"/>
                <w:sz w:val="24"/>
                <w:szCs w:val="24"/>
              </w:rPr>
              <w:t xml:space="preserve">its </w:t>
            </w:r>
            <w:r w:rsidRPr="00AC521C">
              <w:rPr>
                <w:rFonts w:ascii="Times New Roman" w:hAnsi="Times New Roman" w:cs="Times New Roman"/>
                <w:sz w:val="24"/>
                <w:szCs w:val="24"/>
              </w:rPr>
              <w:t>local education agency for grade one and such alignment is necessary to support par</w:t>
            </w:r>
            <w:r w:rsidR="009A2F5A" w:rsidRPr="00AC521C">
              <w:rPr>
                <w:rFonts w:ascii="Times New Roman" w:hAnsi="Times New Roman" w:cs="Times New Roman"/>
                <w:sz w:val="24"/>
                <w:szCs w:val="24"/>
              </w:rPr>
              <w:t>tnerships for service delivery.</w:t>
            </w:r>
          </w:p>
        </w:tc>
        <w:tc>
          <w:tcPr>
            <w:tcW w:w="0" w:type="auto"/>
          </w:tcPr>
          <w:p w:rsidR="004351F7" w:rsidRPr="00C1694A" w:rsidRDefault="004351F7" w:rsidP="006C6CA9">
            <w:pPr>
              <w:rPr>
                <w:rFonts w:ascii="Times New Roman" w:hAnsi="Times New Roman" w:cs="Times New Roman"/>
                <w:b/>
                <w:bCs/>
                <w:sz w:val="24"/>
                <w:szCs w:val="24"/>
              </w:rPr>
            </w:pPr>
          </w:p>
          <w:p w:rsidR="004351F7" w:rsidRPr="00C1694A" w:rsidRDefault="004351F7" w:rsidP="006C6CA9">
            <w:pPr>
              <w:rPr>
                <w:rFonts w:ascii="Times New Roman" w:hAnsi="Times New Roman" w:cs="Times New Roman"/>
                <w:b/>
                <w:bCs/>
                <w:sz w:val="24"/>
                <w:szCs w:val="24"/>
              </w:rPr>
            </w:pPr>
          </w:p>
          <w:p w:rsidR="004351F7" w:rsidRPr="00C1694A" w:rsidRDefault="004351F7" w:rsidP="006C6CA9">
            <w:pPr>
              <w:rPr>
                <w:rFonts w:ascii="Times New Roman" w:hAnsi="Times New Roman" w:cs="Times New Roman"/>
                <w:b/>
                <w:bCs/>
                <w:sz w:val="24"/>
                <w:szCs w:val="24"/>
              </w:rPr>
            </w:pPr>
          </w:p>
          <w:p w:rsidR="004351F7" w:rsidRPr="00C1694A" w:rsidRDefault="004351F7" w:rsidP="006C6CA9">
            <w:pPr>
              <w:rPr>
                <w:rFonts w:ascii="Times New Roman" w:hAnsi="Times New Roman" w:cs="Times New Roman"/>
                <w:b/>
                <w:bCs/>
                <w:sz w:val="24"/>
                <w:szCs w:val="24"/>
              </w:rPr>
            </w:pPr>
          </w:p>
          <w:p w:rsidR="004351F7" w:rsidRPr="00C1694A" w:rsidRDefault="004351F7" w:rsidP="006C6CA9">
            <w:pPr>
              <w:rPr>
                <w:rFonts w:ascii="Times New Roman" w:hAnsi="Times New Roman" w:cs="Times New Roman"/>
                <w:b/>
                <w:bCs/>
                <w:sz w:val="24"/>
                <w:szCs w:val="24"/>
              </w:rPr>
            </w:pPr>
          </w:p>
          <w:p w:rsidR="004351F7" w:rsidRPr="00C1694A" w:rsidRDefault="004351F7" w:rsidP="00281FF8">
            <w:pPr>
              <w:jc w:val="center"/>
              <w:rPr>
                <w:rFonts w:ascii="Times New Roman" w:hAnsi="Times New Roman" w:cs="Times New Roman"/>
                <w:b/>
                <w:bCs/>
                <w:caps/>
                <w:sz w:val="24"/>
                <w:szCs w:val="24"/>
              </w:rPr>
            </w:pPr>
            <w:r w:rsidRPr="00C1694A">
              <w:rPr>
                <w:rFonts w:ascii="Times New Roman" w:hAnsi="Times New Roman" w:cs="Times New Roman"/>
                <w:b/>
                <w:bCs/>
                <w:sz w:val="24"/>
                <w:szCs w:val="24"/>
              </w:rPr>
              <w:t>August 1, 201</w:t>
            </w:r>
            <w:r w:rsidR="000C79E0" w:rsidRPr="00C1694A">
              <w:rPr>
                <w:rFonts w:ascii="Times New Roman" w:hAnsi="Times New Roman" w:cs="Times New Roman"/>
                <w:b/>
                <w:bCs/>
                <w:sz w:val="24"/>
                <w:szCs w:val="24"/>
              </w:rPr>
              <w:t>9</w:t>
            </w:r>
          </w:p>
        </w:tc>
      </w:tr>
      <w:tr w:rsidR="004351F7" w:rsidRPr="00C1694A" w:rsidTr="00D23898">
        <w:tc>
          <w:tcPr>
            <w:tcW w:w="0" w:type="auto"/>
          </w:tcPr>
          <w:p w:rsidR="004351F7" w:rsidRPr="00C1694A" w:rsidRDefault="004351F7" w:rsidP="006C6CA9">
            <w:pPr>
              <w:tabs>
                <w:tab w:val="left" w:pos="360"/>
              </w:tabs>
              <w:contextualSpacing/>
              <w:jc w:val="center"/>
              <w:rPr>
                <w:rFonts w:ascii="Times New Roman" w:hAnsi="Times New Roman" w:cs="Times New Roman"/>
                <w:b/>
                <w:sz w:val="24"/>
                <w:szCs w:val="24"/>
              </w:rPr>
            </w:pPr>
            <w:r w:rsidRPr="00C1694A">
              <w:rPr>
                <w:rFonts w:ascii="Times New Roman" w:hAnsi="Times New Roman" w:cs="Times New Roman"/>
                <w:b/>
                <w:sz w:val="24"/>
                <w:szCs w:val="24"/>
              </w:rPr>
              <w:t xml:space="preserve">Head Start center-based service duration: </w:t>
            </w:r>
          </w:p>
          <w:p w:rsidR="004351F7" w:rsidRDefault="004351F7" w:rsidP="006C6CA9">
            <w:pPr>
              <w:tabs>
                <w:tab w:val="left" w:pos="360"/>
              </w:tabs>
              <w:contextualSpacing/>
              <w:jc w:val="center"/>
              <w:rPr>
                <w:rFonts w:ascii="Times New Roman" w:hAnsi="Times New Roman" w:cs="Times New Roman"/>
                <w:b/>
                <w:sz w:val="24"/>
                <w:szCs w:val="24"/>
              </w:rPr>
            </w:pPr>
            <w:r w:rsidRPr="00C1694A">
              <w:rPr>
                <w:rFonts w:ascii="Times New Roman" w:hAnsi="Times New Roman" w:cs="Times New Roman"/>
                <w:b/>
                <w:sz w:val="24"/>
                <w:szCs w:val="24"/>
              </w:rPr>
              <w:t>100 percent at 1,020 annual hours</w:t>
            </w:r>
          </w:p>
          <w:p w:rsidR="00A53129" w:rsidRPr="00A53129" w:rsidRDefault="00A53129" w:rsidP="006C6CA9">
            <w:pPr>
              <w:tabs>
                <w:tab w:val="left" w:pos="360"/>
              </w:tabs>
              <w:contextualSpacing/>
              <w:jc w:val="center"/>
              <w:rPr>
                <w:rFonts w:ascii="Times New Roman" w:hAnsi="Times New Roman" w:cs="Times New Roman"/>
                <w:sz w:val="24"/>
                <w:szCs w:val="24"/>
              </w:rPr>
            </w:pPr>
            <w:r w:rsidRPr="00A53129">
              <w:rPr>
                <w:rFonts w:ascii="Times New Roman" w:hAnsi="Times New Roman" w:cs="Times New Roman"/>
                <w:sz w:val="24"/>
                <w:szCs w:val="24"/>
              </w:rPr>
              <w:t>(unless granted a waiver under §1302.24)</w:t>
            </w:r>
          </w:p>
          <w:p w:rsidR="004351F7" w:rsidRPr="00C1694A" w:rsidRDefault="004351F7" w:rsidP="006C6CA9">
            <w:pPr>
              <w:tabs>
                <w:tab w:val="left" w:pos="360"/>
              </w:tabs>
              <w:contextualSpacing/>
              <w:jc w:val="center"/>
              <w:rPr>
                <w:rFonts w:ascii="Times New Roman" w:hAnsi="Times New Roman" w:cs="Times New Roman"/>
                <w:b/>
                <w:sz w:val="24"/>
                <w:szCs w:val="24"/>
              </w:rPr>
            </w:pPr>
          </w:p>
          <w:p w:rsidR="004351F7" w:rsidRPr="00C1694A" w:rsidRDefault="004351F7" w:rsidP="00281FF8">
            <w:pPr>
              <w:tabs>
                <w:tab w:val="left" w:pos="360"/>
              </w:tabs>
              <w:contextualSpacing/>
              <w:rPr>
                <w:rFonts w:ascii="Times New Roman" w:hAnsi="Times New Roman" w:cs="Times New Roman"/>
                <w:sz w:val="24"/>
                <w:szCs w:val="24"/>
              </w:rPr>
            </w:pPr>
            <w:r w:rsidRPr="00C1694A">
              <w:rPr>
                <w:rFonts w:ascii="Times New Roman" w:hAnsi="Times New Roman" w:cs="Times New Roman"/>
                <w:b/>
                <w:sz w:val="24"/>
                <w:szCs w:val="24"/>
                <w:u w:val="single"/>
              </w:rPr>
              <w:t>§1302.21(c)(2)(iv)</w:t>
            </w:r>
            <w:r w:rsidR="00E36AE1" w:rsidRPr="00C1694A">
              <w:rPr>
                <w:rFonts w:ascii="Times New Roman" w:hAnsi="Times New Roman" w:cs="Times New Roman"/>
                <w:b/>
                <w:sz w:val="24"/>
                <w:szCs w:val="24"/>
                <w:u w:val="single"/>
              </w:rPr>
              <w:t>:</w:t>
            </w:r>
            <w:r w:rsidRPr="00C1694A">
              <w:rPr>
                <w:rFonts w:ascii="Times New Roman" w:hAnsi="Times New Roman" w:cs="Times New Roman"/>
                <w:sz w:val="24"/>
                <w:szCs w:val="24"/>
              </w:rPr>
              <w:t xml:space="preserve"> By August 1, 2021, a program must provide 1,020 annual hours of planned class operations over the course of at least </w:t>
            </w:r>
            <w:r w:rsidR="00A0319E">
              <w:rPr>
                <w:rFonts w:ascii="Times New Roman" w:hAnsi="Times New Roman" w:cs="Times New Roman"/>
                <w:sz w:val="24"/>
                <w:szCs w:val="24"/>
              </w:rPr>
              <w:t>eight</w:t>
            </w:r>
            <w:r w:rsidRPr="00C1694A">
              <w:rPr>
                <w:rFonts w:ascii="Times New Roman" w:hAnsi="Times New Roman" w:cs="Times New Roman"/>
                <w:sz w:val="24"/>
                <w:szCs w:val="24"/>
              </w:rPr>
              <w:t xml:space="preserve"> months per year for all of its Head Start center-based f</w:t>
            </w:r>
            <w:r w:rsidR="009A2F5A" w:rsidRPr="00C1694A">
              <w:rPr>
                <w:rFonts w:ascii="Times New Roman" w:hAnsi="Times New Roman" w:cs="Times New Roman"/>
                <w:sz w:val="24"/>
                <w:szCs w:val="24"/>
              </w:rPr>
              <w:t>unded enrollment.</w:t>
            </w:r>
          </w:p>
        </w:tc>
        <w:tc>
          <w:tcPr>
            <w:tcW w:w="0" w:type="auto"/>
          </w:tcPr>
          <w:p w:rsidR="004351F7" w:rsidRPr="00C1694A" w:rsidRDefault="004351F7" w:rsidP="006C6CA9">
            <w:pPr>
              <w:rPr>
                <w:rFonts w:ascii="Times New Roman" w:hAnsi="Times New Roman" w:cs="Times New Roman"/>
                <w:b/>
                <w:bCs/>
                <w:sz w:val="24"/>
                <w:szCs w:val="24"/>
              </w:rPr>
            </w:pPr>
          </w:p>
          <w:p w:rsidR="004351F7" w:rsidRPr="00C1694A" w:rsidRDefault="004351F7" w:rsidP="006C6CA9">
            <w:pPr>
              <w:rPr>
                <w:rFonts w:ascii="Times New Roman" w:hAnsi="Times New Roman" w:cs="Times New Roman"/>
                <w:b/>
                <w:bCs/>
                <w:sz w:val="24"/>
                <w:szCs w:val="24"/>
              </w:rPr>
            </w:pPr>
          </w:p>
          <w:p w:rsidR="004351F7" w:rsidRPr="00C1694A" w:rsidRDefault="004351F7" w:rsidP="006C6CA9">
            <w:pPr>
              <w:jc w:val="center"/>
              <w:rPr>
                <w:rFonts w:ascii="Times New Roman" w:hAnsi="Times New Roman" w:cs="Times New Roman"/>
                <w:b/>
                <w:bCs/>
                <w:sz w:val="24"/>
                <w:szCs w:val="24"/>
              </w:rPr>
            </w:pPr>
            <w:r w:rsidRPr="00C1694A">
              <w:rPr>
                <w:rFonts w:ascii="Times New Roman" w:hAnsi="Times New Roman" w:cs="Times New Roman"/>
                <w:b/>
                <w:bCs/>
                <w:sz w:val="24"/>
                <w:szCs w:val="24"/>
              </w:rPr>
              <w:t>August 1, 2021</w:t>
            </w:r>
          </w:p>
        </w:tc>
      </w:tr>
      <w:tr w:rsidR="004351F7" w:rsidRPr="00C1694A" w:rsidTr="00D23898">
        <w:tc>
          <w:tcPr>
            <w:tcW w:w="0" w:type="auto"/>
          </w:tcPr>
          <w:p w:rsidR="004351F7" w:rsidRDefault="004351F7" w:rsidP="006C6CA9">
            <w:pPr>
              <w:tabs>
                <w:tab w:val="left" w:pos="360"/>
              </w:tabs>
              <w:contextualSpacing/>
              <w:jc w:val="center"/>
              <w:rPr>
                <w:rFonts w:ascii="Times New Roman" w:hAnsi="Times New Roman" w:cs="Times New Roman"/>
                <w:b/>
                <w:sz w:val="24"/>
                <w:szCs w:val="24"/>
              </w:rPr>
            </w:pPr>
            <w:r w:rsidRPr="00C1694A">
              <w:rPr>
                <w:rFonts w:ascii="Times New Roman" w:hAnsi="Times New Roman" w:cs="Times New Roman"/>
                <w:b/>
                <w:sz w:val="24"/>
                <w:szCs w:val="24"/>
              </w:rPr>
              <w:t>Early Head Start home-based service duration</w:t>
            </w:r>
          </w:p>
          <w:p w:rsidR="00A53129" w:rsidRPr="00A53129" w:rsidRDefault="00A53129" w:rsidP="006C6CA9">
            <w:pPr>
              <w:tabs>
                <w:tab w:val="left" w:pos="360"/>
              </w:tabs>
              <w:contextualSpacing/>
              <w:jc w:val="center"/>
              <w:rPr>
                <w:rFonts w:ascii="Times New Roman" w:hAnsi="Times New Roman" w:cs="Times New Roman"/>
                <w:sz w:val="24"/>
                <w:szCs w:val="24"/>
              </w:rPr>
            </w:pPr>
            <w:r w:rsidRPr="00A53129">
              <w:rPr>
                <w:rFonts w:ascii="Times New Roman" w:hAnsi="Times New Roman" w:cs="Times New Roman"/>
                <w:sz w:val="24"/>
                <w:szCs w:val="24"/>
              </w:rPr>
              <w:t>(unless granted a waiver under §1302.24)</w:t>
            </w:r>
          </w:p>
          <w:p w:rsidR="004351F7" w:rsidRPr="00C1694A" w:rsidRDefault="004351F7" w:rsidP="006C6CA9">
            <w:pPr>
              <w:tabs>
                <w:tab w:val="left" w:pos="360"/>
              </w:tabs>
              <w:contextualSpacing/>
              <w:jc w:val="center"/>
              <w:rPr>
                <w:rFonts w:ascii="Times New Roman" w:hAnsi="Times New Roman" w:cs="Times New Roman"/>
                <w:b/>
                <w:sz w:val="24"/>
                <w:szCs w:val="24"/>
              </w:rPr>
            </w:pPr>
          </w:p>
          <w:p w:rsidR="004351F7" w:rsidRPr="00AC521C" w:rsidRDefault="004351F7" w:rsidP="00AC521C">
            <w:pPr>
              <w:tabs>
                <w:tab w:val="left" w:pos="360"/>
              </w:tabs>
              <w:contextualSpacing/>
              <w:rPr>
                <w:rFonts w:ascii="Times New Roman" w:hAnsi="Times New Roman" w:cs="Times New Roman"/>
                <w:b/>
                <w:sz w:val="24"/>
                <w:szCs w:val="24"/>
              </w:rPr>
            </w:pPr>
            <w:r w:rsidRPr="00C1694A">
              <w:rPr>
                <w:rFonts w:ascii="Times New Roman" w:hAnsi="Times New Roman" w:cs="Times New Roman"/>
                <w:b/>
                <w:sz w:val="24"/>
                <w:szCs w:val="24"/>
                <w:u w:val="single"/>
              </w:rPr>
              <w:t>§1302.22(c)(1):</w:t>
            </w:r>
            <w:r w:rsidRPr="00C1694A">
              <w:rPr>
                <w:rFonts w:ascii="Times New Roman" w:hAnsi="Times New Roman" w:cs="Times New Roman"/>
                <w:sz w:val="24"/>
                <w:szCs w:val="24"/>
              </w:rPr>
              <w:t xml:space="preserve">  </w:t>
            </w:r>
            <w:r w:rsidR="00C757F4" w:rsidRPr="00C1694A">
              <w:rPr>
                <w:rFonts w:ascii="Times New Roman" w:hAnsi="Times New Roman" w:cs="Times New Roman"/>
                <w:sz w:val="24"/>
                <w:szCs w:val="24"/>
              </w:rPr>
              <w:t>By August 1, 2017, a</w:t>
            </w:r>
            <w:r w:rsidRPr="00C1694A">
              <w:rPr>
                <w:rFonts w:ascii="Times New Roman" w:hAnsi="Times New Roman" w:cs="Times New Roman"/>
                <w:sz w:val="24"/>
                <w:szCs w:val="24"/>
              </w:rPr>
              <w:t>n Early Head Start home-based program must</w:t>
            </w:r>
            <w:r w:rsidR="00567DFB">
              <w:rPr>
                <w:rFonts w:ascii="Times New Roman" w:hAnsi="Times New Roman" w:cs="Times New Roman"/>
                <w:sz w:val="24"/>
                <w:szCs w:val="24"/>
              </w:rPr>
              <w:t xml:space="preserve"> p</w:t>
            </w:r>
            <w:r w:rsidRPr="00AC521C">
              <w:rPr>
                <w:rFonts w:ascii="Times New Roman" w:hAnsi="Times New Roman" w:cs="Times New Roman"/>
                <w:sz w:val="24"/>
                <w:szCs w:val="24"/>
              </w:rPr>
              <w:t>rovide one home visit per week per family that lasts at least an hour and a half and provide a minimum of 46 visits per year; and,</w:t>
            </w:r>
            <w:r w:rsidR="00567DFB">
              <w:rPr>
                <w:rFonts w:ascii="Times New Roman" w:hAnsi="Times New Roman" w:cs="Times New Roman"/>
                <w:sz w:val="24"/>
                <w:szCs w:val="24"/>
              </w:rPr>
              <w:t xml:space="preserve"> p</w:t>
            </w:r>
            <w:r w:rsidRPr="00AC521C">
              <w:rPr>
                <w:rFonts w:ascii="Times New Roman" w:hAnsi="Times New Roman" w:cs="Times New Roman"/>
                <w:sz w:val="24"/>
                <w:szCs w:val="24"/>
              </w:rPr>
              <w:t>rovide, at a minimum, 22 group socialization activities distributed over the course of the program year.</w:t>
            </w:r>
          </w:p>
        </w:tc>
        <w:tc>
          <w:tcPr>
            <w:tcW w:w="0" w:type="auto"/>
          </w:tcPr>
          <w:p w:rsidR="004351F7" w:rsidRPr="00C1694A" w:rsidRDefault="004351F7" w:rsidP="006C6CA9">
            <w:pPr>
              <w:rPr>
                <w:rFonts w:ascii="Times New Roman" w:hAnsi="Times New Roman" w:cs="Times New Roman"/>
                <w:b/>
                <w:bCs/>
                <w:sz w:val="24"/>
                <w:szCs w:val="24"/>
              </w:rPr>
            </w:pPr>
          </w:p>
          <w:p w:rsidR="004351F7" w:rsidRPr="00C1694A" w:rsidRDefault="004351F7" w:rsidP="006C6CA9">
            <w:pPr>
              <w:rPr>
                <w:rFonts w:ascii="Times New Roman" w:hAnsi="Times New Roman" w:cs="Times New Roman"/>
                <w:b/>
                <w:bCs/>
                <w:sz w:val="24"/>
                <w:szCs w:val="24"/>
              </w:rPr>
            </w:pPr>
          </w:p>
          <w:p w:rsidR="004351F7" w:rsidRPr="00C1694A" w:rsidRDefault="004351F7" w:rsidP="006C6CA9">
            <w:pPr>
              <w:rPr>
                <w:rFonts w:ascii="Times New Roman" w:hAnsi="Times New Roman" w:cs="Times New Roman"/>
                <w:b/>
                <w:bCs/>
                <w:sz w:val="24"/>
                <w:szCs w:val="24"/>
              </w:rPr>
            </w:pPr>
          </w:p>
          <w:p w:rsidR="004351F7" w:rsidRPr="00C1694A" w:rsidRDefault="004351F7" w:rsidP="006C6CA9">
            <w:pPr>
              <w:jc w:val="center"/>
              <w:rPr>
                <w:rFonts w:ascii="Times New Roman" w:hAnsi="Times New Roman" w:cs="Times New Roman"/>
                <w:b/>
                <w:bCs/>
                <w:sz w:val="24"/>
                <w:szCs w:val="24"/>
              </w:rPr>
            </w:pPr>
            <w:r w:rsidRPr="00C1694A">
              <w:rPr>
                <w:rFonts w:ascii="Times New Roman" w:hAnsi="Times New Roman" w:cs="Times New Roman"/>
                <w:b/>
                <w:bCs/>
                <w:sz w:val="24"/>
                <w:szCs w:val="24"/>
              </w:rPr>
              <w:t>August 1, 2017</w:t>
            </w:r>
          </w:p>
        </w:tc>
      </w:tr>
      <w:tr w:rsidR="004351F7" w:rsidRPr="00C1694A" w:rsidTr="00D23898">
        <w:tc>
          <w:tcPr>
            <w:tcW w:w="0" w:type="auto"/>
          </w:tcPr>
          <w:p w:rsidR="004351F7" w:rsidRPr="00C1694A" w:rsidRDefault="004351F7" w:rsidP="006C6CA9">
            <w:pPr>
              <w:jc w:val="center"/>
              <w:rPr>
                <w:rFonts w:ascii="Times New Roman" w:hAnsi="Times New Roman" w:cs="Times New Roman"/>
                <w:b/>
                <w:sz w:val="24"/>
                <w:szCs w:val="24"/>
              </w:rPr>
            </w:pPr>
            <w:r w:rsidRPr="00C1694A">
              <w:rPr>
                <w:rFonts w:ascii="Times New Roman" w:hAnsi="Times New Roman" w:cs="Times New Roman"/>
                <w:b/>
                <w:sz w:val="24"/>
                <w:szCs w:val="24"/>
              </w:rPr>
              <w:t>C</w:t>
            </w:r>
            <w:r w:rsidR="00155814" w:rsidRPr="00C1694A">
              <w:rPr>
                <w:rFonts w:ascii="Times New Roman" w:hAnsi="Times New Roman" w:cs="Times New Roman"/>
                <w:b/>
                <w:sz w:val="24"/>
                <w:szCs w:val="24"/>
              </w:rPr>
              <w:t>urricula for c</w:t>
            </w:r>
            <w:r w:rsidRPr="00C1694A">
              <w:rPr>
                <w:rFonts w:ascii="Times New Roman" w:hAnsi="Times New Roman" w:cs="Times New Roman"/>
                <w:b/>
                <w:sz w:val="24"/>
                <w:szCs w:val="24"/>
              </w:rPr>
              <w:t>en</w:t>
            </w:r>
            <w:r w:rsidR="00155814" w:rsidRPr="00C1694A">
              <w:rPr>
                <w:rFonts w:ascii="Times New Roman" w:hAnsi="Times New Roman" w:cs="Times New Roman"/>
                <w:b/>
                <w:sz w:val="24"/>
                <w:szCs w:val="24"/>
              </w:rPr>
              <w:t>ter-based and family child care programs</w:t>
            </w:r>
          </w:p>
          <w:p w:rsidR="004351F7" w:rsidRPr="00C1694A" w:rsidRDefault="004351F7" w:rsidP="006C6CA9">
            <w:pPr>
              <w:jc w:val="center"/>
              <w:rPr>
                <w:rFonts w:ascii="Times New Roman" w:hAnsi="Times New Roman" w:cs="Times New Roman"/>
                <w:b/>
                <w:sz w:val="24"/>
                <w:szCs w:val="24"/>
              </w:rPr>
            </w:pPr>
          </w:p>
          <w:p w:rsidR="004351F7" w:rsidRPr="00AC521C" w:rsidRDefault="004351F7" w:rsidP="00AC521C">
            <w:pPr>
              <w:rPr>
                <w:rFonts w:ascii="Times New Roman" w:hAnsi="Times New Roman" w:cs="Times New Roman"/>
                <w:sz w:val="24"/>
                <w:szCs w:val="24"/>
              </w:rPr>
            </w:pPr>
            <w:r w:rsidRPr="00C1694A">
              <w:rPr>
                <w:rFonts w:ascii="Times New Roman" w:hAnsi="Times New Roman" w:cs="Times New Roman"/>
                <w:b/>
                <w:sz w:val="24"/>
                <w:szCs w:val="24"/>
                <w:u w:val="single"/>
              </w:rPr>
              <w:t>§1302.32(a)(1)</w:t>
            </w:r>
            <w:r w:rsidR="00567DFB">
              <w:rPr>
                <w:rFonts w:ascii="Times New Roman" w:hAnsi="Times New Roman" w:cs="Times New Roman"/>
                <w:b/>
                <w:sz w:val="24"/>
                <w:szCs w:val="24"/>
                <w:u w:val="single"/>
              </w:rPr>
              <w:t>(ii) and (iii)</w:t>
            </w:r>
            <w:r w:rsidRPr="00C1694A">
              <w:rPr>
                <w:rFonts w:ascii="Times New Roman" w:hAnsi="Times New Roman" w:cs="Times New Roman"/>
                <w:b/>
                <w:sz w:val="24"/>
                <w:szCs w:val="24"/>
                <w:u w:val="single"/>
              </w:rPr>
              <w:t>:</w:t>
            </w:r>
            <w:r w:rsidRPr="00C1694A">
              <w:rPr>
                <w:rFonts w:ascii="Times New Roman" w:hAnsi="Times New Roman" w:cs="Times New Roman"/>
                <w:sz w:val="24"/>
                <w:szCs w:val="24"/>
              </w:rPr>
              <w:t xml:space="preserve"> Implement curricula that</w:t>
            </w:r>
            <w:r w:rsidR="00567DFB">
              <w:rPr>
                <w:rFonts w:ascii="Times New Roman" w:hAnsi="Times New Roman" w:cs="Times New Roman"/>
                <w:sz w:val="24"/>
                <w:szCs w:val="24"/>
              </w:rPr>
              <w:t xml:space="preserve"> a</w:t>
            </w:r>
            <w:r w:rsidR="00E36AE1" w:rsidRPr="00AC521C">
              <w:rPr>
                <w:rFonts w:ascii="Times New Roman" w:hAnsi="Times New Roman" w:cs="Times New Roman"/>
                <w:sz w:val="24"/>
                <w:szCs w:val="24"/>
              </w:rPr>
              <w:t>re</w:t>
            </w:r>
            <w:r w:rsidRPr="00AC521C">
              <w:rPr>
                <w:rFonts w:ascii="Times New Roman" w:hAnsi="Times New Roman" w:cs="Times New Roman"/>
                <w:sz w:val="24"/>
                <w:szCs w:val="24"/>
              </w:rPr>
              <w:t xml:space="preserve"> aligned with the </w:t>
            </w:r>
            <w:r w:rsidR="003B4016" w:rsidRPr="00AC521C">
              <w:rPr>
                <w:rFonts w:ascii="Times New Roman" w:hAnsi="Times New Roman" w:cs="Times New Roman"/>
                <w:sz w:val="24"/>
                <w:szCs w:val="24"/>
                <w:u w:val="single"/>
              </w:rPr>
              <w:t xml:space="preserve">Head Start Early Learning Outcomes Framework: Ages Birth to </w:t>
            </w:r>
            <w:r w:rsidR="00074148" w:rsidRPr="00AC521C">
              <w:rPr>
                <w:rFonts w:ascii="Times New Roman" w:hAnsi="Times New Roman" w:cs="Times New Roman"/>
                <w:sz w:val="24"/>
                <w:szCs w:val="24"/>
                <w:u w:val="single"/>
              </w:rPr>
              <w:t>Five</w:t>
            </w:r>
            <w:r w:rsidRPr="00AC521C">
              <w:rPr>
                <w:rFonts w:ascii="Times New Roman" w:eastAsia="Times New Roman" w:hAnsi="Times New Roman" w:cs="Times New Roman"/>
                <w:sz w:val="24"/>
                <w:szCs w:val="24"/>
              </w:rPr>
              <w:t xml:space="preserve"> </w:t>
            </w:r>
            <w:r w:rsidRPr="00AC521C">
              <w:rPr>
                <w:rFonts w:ascii="Times New Roman" w:hAnsi="Times New Roman" w:cs="Times New Roman"/>
                <w:sz w:val="24"/>
                <w:szCs w:val="24"/>
              </w:rPr>
              <w:t xml:space="preserve">and, as appropriate, state early learning and development standards; and </w:t>
            </w:r>
            <w:r w:rsidR="00E36AE1" w:rsidRPr="00AC521C">
              <w:rPr>
                <w:rFonts w:ascii="Times New Roman" w:hAnsi="Times New Roman" w:cs="Times New Roman"/>
                <w:sz w:val="24"/>
                <w:szCs w:val="24"/>
              </w:rPr>
              <w:t>are</w:t>
            </w:r>
            <w:r w:rsidRPr="00AC521C">
              <w:rPr>
                <w:rFonts w:ascii="Times New Roman" w:hAnsi="Times New Roman" w:cs="Times New Roman"/>
                <w:sz w:val="24"/>
                <w:szCs w:val="24"/>
              </w:rPr>
              <w:t xml:space="preserve"> sufficiently content-rich to promote measurable progress toward development and learning outlined in the Framework; and,</w:t>
            </w:r>
            <w:r w:rsidR="00567DFB">
              <w:rPr>
                <w:rFonts w:ascii="Times New Roman" w:hAnsi="Times New Roman" w:cs="Times New Roman"/>
                <w:sz w:val="24"/>
                <w:szCs w:val="24"/>
              </w:rPr>
              <w:t xml:space="preserve"> h</w:t>
            </w:r>
            <w:r w:rsidRPr="00AC521C">
              <w:rPr>
                <w:rFonts w:ascii="Times New Roman" w:hAnsi="Times New Roman" w:cs="Times New Roman"/>
                <w:sz w:val="24"/>
                <w:szCs w:val="24"/>
              </w:rPr>
              <w:t>a</w:t>
            </w:r>
            <w:r w:rsidR="00E36AE1" w:rsidRPr="00AC521C">
              <w:rPr>
                <w:rFonts w:ascii="Times New Roman" w:hAnsi="Times New Roman" w:cs="Times New Roman"/>
                <w:sz w:val="24"/>
                <w:szCs w:val="24"/>
              </w:rPr>
              <w:t>ve</w:t>
            </w:r>
            <w:r w:rsidRPr="00AC521C">
              <w:rPr>
                <w:rFonts w:ascii="Times New Roman" w:hAnsi="Times New Roman" w:cs="Times New Roman"/>
                <w:sz w:val="24"/>
                <w:szCs w:val="24"/>
              </w:rPr>
              <w:t xml:space="preserve"> an organized developmental scope and sequence that include plans and materials for learning experiences based on developmental progressions and how children learn.</w:t>
            </w:r>
          </w:p>
          <w:p w:rsidR="004351F7" w:rsidRPr="00C1694A" w:rsidRDefault="004351F7" w:rsidP="006C6CA9">
            <w:pPr>
              <w:widowControl w:val="0"/>
              <w:autoSpaceDE w:val="0"/>
              <w:autoSpaceDN w:val="0"/>
              <w:adjustRightInd w:val="0"/>
              <w:rPr>
                <w:rFonts w:ascii="Times New Roman" w:hAnsi="Times New Roman" w:cs="Times New Roman"/>
                <w:sz w:val="24"/>
                <w:szCs w:val="24"/>
              </w:rPr>
            </w:pPr>
          </w:p>
          <w:p w:rsidR="004351F7" w:rsidRPr="00C1694A" w:rsidRDefault="004351F7" w:rsidP="006C6CA9">
            <w:pPr>
              <w:widowControl w:val="0"/>
              <w:autoSpaceDE w:val="0"/>
              <w:autoSpaceDN w:val="0"/>
              <w:adjustRightInd w:val="0"/>
              <w:rPr>
                <w:rFonts w:ascii="Times New Roman" w:hAnsi="Times New Roman" w:cs="Times New Roman"/>
                <w:sz w:val="24"/>
                <w:szCs w:val="24"/>
              </w:rPr>
            </w:pPr>
            <w:r w:rsidRPr="00C1694A">
              <w:rPr>
                <w:rFonts w:ascii="Times New Roman" w:hAnsi="Times New Roman" w:cs="Times New Roman"/>
                <w:b/>
                <w:sz w:val="24"/>
                <w:szCs w:val="24"/>
                <w:u w:val="single"/>
              </w:rPr>
              <w:t>§1302.32(a)(2):</w:t>
            </w:r>
            <w:r w:rsidRPr="00C1694A">
              <w:rPr>
                <w:rFonts w:ascii="Times New Roman" w:eastAsia="Times New Roman" w:hAnsi="Times New Roman" w:cs="Times New Roman"/>
                <w:sz w:val="24"/>
                <w:szCs w:val="24"/>
              </w:rPr>
              <w:t xml:space="preserve"> A program must support staff to effectiv</w:t>
            </w:r>
            <w:r w:rsidR="00E36AE1" w:rsidRPr="00C1694A">
              <w:rPr>
                <w:rFonts w:ascii="Times New Roman" w:eastAsia="Times New Roman" w:hAnsi="Times New Roman" w:cs="Times New Roman"/>
                <w:sz w:val="24"/>
                <w:szCs w:val="24"/>
              </w:rPr>
              <w:t>ely implement curricula</w:t>
            </w:r>
            <w:r w:rsidRPr="00C1694A">
              <w:rPr>
                <w:rFonts w:ascii="Times New Roman" w:eastAsia="Times New Roman" w:hAnsi="Times New Roman" w:cs="Times New Roman"/>
                <w:sz w:val="24"/>
                <w:szCs w:val="24"/>
              </w:rPr>
              <w:t xml:space="preserve"> and at a minimum monitor curriculum implementation and fidelity, and provide support, feedback, and supervision for continuous improvement of its implementation through the system of training and professional development. </w:t>
            </w:r>
          </w:p>
          <w:p w:rsidR="004351F7" w:rsidRPr="00C1694A" w:rsidRDefault="004351F7" w:rsidP="006C6CA9">
            <w:pPr>
              <w:widowControl w:val="0"/>
              <w:autoSpaceDE w:val="0"/>
              <w:autoSpaceDN w:val="0"/>
              <w:adjustRightInd w:val="0"/>
              <w:rPr>
                <w:rFonts w:ascii="Times New Roman" w:hAnsi="Times New Roman" w:cs="Times New Roman"/>
                <w:sz w:val="24"/>
                <w:szCs w:val="24"/>
              </w:rPr>
            </w:pPr>
          </w:p>
          <w:p w:rsidR="004351F7" w:rsidRPr="00C1694A" w:rsidRDefault="004351F7" w:rsidP="00C731B0">
            <w:pPr>
              <w:tabs>
                <w:tab w:val="left" w:pos="360"/>
              </w:tabs>
              <w:contextualSpacing/>
              <w:rPr>
                <w:rFonts w:ascii="Times New Roman" w:hAnsi="Times New Roman" w:cs="Times New Roman"/>
                <w:sz w:val="24"/>
                <w:szCs w:val="24"/>
              </w:rPr>
            </w:pPr>
            <w:r w:rsidRPr="00C1694A">
              <w:rPr>
                <w:rFonts w:ascii="Times New Roman" w:hAnsi="Times New Roman" w:cs="Times New Roman"/>
                <w:b/>
                <w:sz w:val="24"/>
                <w:szCs w:val="24"/>
                <w:u w:val="single"/>
              </w:rPr>
              <w:t>§1302.32(b):</w:t>
            </w:r>
            <w:r w:rsidRPr="00C1694A">
              <w:rPr>
                <w:rFonts w:ascii="Times New Roman" w:hAnsi="Times New Roman" w:cs="Times New Roman"/>
                <w:sz w:val="24"/>
                <w:szCs w:val="24"/>
              </w:rPr>
              <w:t xml:space="preserve"> A program that </w:t>
            </w:r>
            <w:r w:rsidR="00E36AE1" w:rsidRPr="00C1694A">
              <w:rPr>
                <w:rFonts w:ascii="Times New Roman" w:hAnsi="Times New Roman" w:cs="Times New Roman"/>
                <w:sz w:val="24"/>
                <w:szCs w:val="24"/>
              </w:rPr>
              <w:t>chooses</w:t>
            </w:r>
            <w:r w:rsidRPr="00C1694A">
              <w:rPr>
                <w:rFonts w:ascii="Times New Roman" w:hAnsi="Times New Roman" w:cs="Times New Roman"/>
                <w:sz w:val="24"/>
                <w:szCs w:val="24"/>
              </w:rPr>
              <w:t xml:space="preserve"> to make significant adaptations to a curriculum or a curriculum enhancement described in </w:t>
            </w:r>
            <w:r w:rsidR="00C731B0">
              <w:rPr>
                <w:rFonts w:ascii="Times New Roman" w:hAnsi="Times New Roman" w:cs="Times New Roman"/>
                <w:sz w:val="24"/>
                <w:szCs w:val="24"/>
              </w:rPr>
              <w:t>§1302.32</w:t>
            </w:r>
            <w:r w:rsidRPr="00C1694A">
              <w:rPr>
                <w:rFonts w:ascii="Times New Roman" w:hAnsi="Times New Roman" w:cs="Times New Roman"/>
                <w:sz w:val="24"/>
                <w:szCs w:val="24"/>
              </w:rPr>
              <w:t xml:space="preserve">(a)(1) to better meet the needs of one or more specific populations must </w:t>
            </w:r>
            <w:r w:rsidR="00E36AE1" w:rsidRPr="00C1694A">
              <w:rPr>
                <w:rFonts w:ascii="Times New Roman" w:hAnsi="Times New Roman" w:cs="Times New Roman"/>
                <w:sz w:val="24"/>
                <w:szCs w:val="24"/>
              </w:rPr>
              <w:t>use an</w:t>
            </w:r>
            <w:r w:rsidRPr="00C1694A">
              <w:rPr>
                <w:rFonts w:ascii="Times New Roman" w:hAnsi="Times New Roman" w:cs="Times New Roman"/>
                <w:sz w:val="24"/>
                <w:szCs w:val="24"/>
              </w:rPr>
              <w:t xml:space="preserve"> </w:t>
            </w:r>
            <w:r w:rsidR="00106F4C">
              <w:rPr>
                <w:rFonts w:ascii="Times New Roman" w:hAnsi="Times New Roman" w:cs="Times New Roman"/>
                <w:sz w:val="24"/>
                <w:szCs w:val="24"/>
              </w:rPr>
              <w:t xml:space="preserve">external </w:t>
            </w:r>
            <w:r w:rsidRPr="00C1694A">
              <w:rPr>
                <w:rFonts w:ascii="Times New Roman" w:hAnsi="Times New Roman" w:cs="Times New Roman"/>
                <w:sz w:val="24"/>
                <w:szCs w:val="24"/>
              </w:rPr>
              <w:t xml:space="preserve">early childhood education curriculum or content </w:t>
            </w:r>
            <w:r w:rsidR="00E36AE1" w:rsidRPr="00C1694A">
              <w:rPr>
                <w:rFonts w:ascii="Times New Roman" w:hAnsi="Times New Roman" w:cs="Times New Roman"/>
                <w:sz w:val="24"/>
                <w:szCs w:val="24"/>
              </w:rPr>
              <w:t xml:space="preserve">area </w:t>
            </w:r>
            <w:r w:rsidRPr="00C1694A">
              <w:rPr>
                <w:rFonts w:ascii="Times New Roman" w:hAnsi="Times New Roman" w:cs="Times New Roman"/>
                <w:sz w:val="24"/>
                <w:szCs w:val="24"/>
              </w:rPr>
              <w:t>expe</w:t>
            </w:r>
            <w:r w:rsidR="00E36AE1" w:rsidRPr="00C1694A">
              <w:rPr>
                <w:rFonts w:ascii="Times New Roman" w:hAnsi="Times New Roman" w:cs="Times New Roman"/>
                <w:sz w:val="24"/>
                <w:szCs w:val="24"/>
              </w:rPr>
              <w:t>rt</w:t>
            </w:r>
            <w:r w:rsidRPr="00C1694A">
              <w:rPr>
                <w:rFonts w:ascii="Times New Roman" w:hAnsi="Times New Roman" w:cs="Times New Roman"/>
                <w:sz w:val="24"/>
                <w:szCs w:val="24"/>
              </w:rPr>
              <w:t xml:space="preserve"> to develop such significant adaptations. A program must </w:t>
            </w:r>
            <w:r w:rsidR="00315408" w:rsidRPr="00C1694A">
              <w:rPr>
                <w:rFonts w:ascii="Times New Roman" w:hAnsi="Times New Roman" w:cs="Times New Roman"/>
                <w:sz w:val="24"/>
                <w:szCs w:val="24"/>
              </w:rPr>
              <w:t xml:space="preserve">assess whether </w:t>
            </w:r>
            <w:r w:rsidRPr="00C1694A">
              <w:rPr>
                <w:rFonts w:ascii="Times New Roman" w:hAnsi="Times New Roman" w:cs="Times New Roman"/>
                <w:sz w:val="24"/>
                <w:szCs w:val="24"/>
              </w:rPr>
              <w:t xml:space="preserve">the adaptation </w:t>
            </w:r>
            <w:r w:rsidR="00315408" w:rsidRPr="00C1694A">
              <w:rPr>
                <w:rFonts w:ascii="Times New Roman" w:hAnsi="Times New Roman" w:cs="Times New Roman"/>
                <w:sz w:val="24"/>
                <w:szCs w:val="24"/>
              </w:rPr>
              <w:t>adequately facilitates progress toward</w:t>
            </w:r>
            <w:r w:rsidRPr="00C1694A">
              <w:rPr>
                <w:rFonts w:ascii="Times New Roman" w:hAnsi="Times New Roman" w:cs="Times New Roman"/>
                <w:sz w:val="24"/>
                <w:szCs w:val="24"/>
              </w:rPr>
              <w:t xml:space="preserve"> meeting school readiness goals</w:t>
            </w:r>
            <w:r w:rsidR="00315408" w:rsidRPr="00C1694A">
              <w:rPr>
                <w:rFonts w:ascii="Times New Roman" w:hAnsi="Times New Roman" w:cs="Times New Roman"/>
                <w:sz w:val="24"/>
                <w:szCs w:val="24"/>
              </w:rPr>
              <w:t>,</w:t>
            </w:r>
            <w:r w:rsidRPr="00C1694A">
              <w:rPr>
                <w:rFonts w:ascii="Times New Roman" w:hAnsi="Times New Roman" w:cs="Times New Roman"/>
                <w:sz w:val="24"/>
                <w:szCs w:val="24"/>
              </w:rPr>
              <w:t xml:space="preserve"> consistent</w:t>
            </w:r>
            <w:r w:rsidR="00E36AE1" w:rsidRPr="00C1694A">
              <w:rPr>
                <w:rFonts w:ascii="Times New Roman" w:hAnsi="Times New Roman" w:cs="Times New Roman"/>
                <w:sz w:val="24"/>
                <w:szCs w:val="24"/>
              </w:rPr>
              <w:t xml:space="preserve"> with the process described in </w:t>
            </w:r>
            <w:r w:rsidR="00315408" w:rsidRPr="00C1694A">
              <w:rPr>
                <w:rFonts w:ascii="Times New Roman" w:hAnsi="Times New Roman" w:cs="Times New Roman"/>
                <w:sz w:val="24"/>
                <w:szCs w:val="24"/>
              </w:rPr>
              <w:t>§1302.102(b) and (c)</w:t>
            </w:r>
            <w:r w:rsidR="009A2F5A" w:rsidRPr="00C1694A">
              <w:rPr>
                <w:rFonts w:ascii="Times New Roman" w:hAnsi="Times New Roman" w:cs="Times New Roman"/>
                <w:sz w:val="24"/>
                <w:szCs w:val="24"/>
              </w:rPr>
              <w:t xml:space="preserve">. </w:t>
            </w:r>
          </w:p>
        </w:tc>
        <w:tc>
          <w:tcPr>
            <w:tcW w:w="0" w:type="auto"/>
          </w:tcPr>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r w:rsidRPr="00C1694A">
              <w:rPr>
                <w:rFonts w:ascii="Times New Roman" w:hAnsi="Times New Roman" w:cs="Times New Roman"/>
                <w:b/>
                <w:sz w:val="24"/>
                <w:szCs w:val="24"/>
              </w:rPr>
              <w:t>August 1, 2017</w:t>
            </w:r>
          </w:p>
          <w:p w:rsidR="004351F7" w:rsidRPr="00C1694A" w:rsidRDefault="004351F7" w:rsidP="006C6CA9">
            <w:pPr>
              <w:rPr>
                <w:rFonts w:ascii="Times New Roman" w:hAnsi="Times New Roman" w:cs="Times New Roman"/>
                <w:sz w:val="24"/>
                <w:szCs w:val="24"/>
              </w:rPr>
            </w:pPr>
          </w:p>
        </w:tc>
      </w:tr>
      <w:tr w:rsidR="004351F7" w:rsidRPr="00C1694A" w:rsidTr="00D23898">
        <w:tc>
          <w:tcPr>
            <w:tcW w:w="0" w:type="auto"/>
          </w:tcPr>
          <w:p w:rsidR="004351F7" w:rsidRPr="00C1694A" w:rsidRDefault="004351F7" w:rsidP="006C6CA9">
            <w:pPr>
              <w:jc w:val="center"/>
              <w:rPr>
                <w:rFonts w:ascii="Times New Roman" w:hAnsi="Times New Roman" w:cs="Times New Roman"/>
                <w:b/>
                <w:sz w:val="24"/>
                <w:szCs w:val="24"/>
              </w:rPr>
            </w:pPr>
            <w:r w:rsidRPr="00C1694A">
              <w:rPr>
                <w:rFonts w:ascii="Times New Roman" w:hAnsi="Times New Roman" w:cs="Times New Roman"/>
                <w:b/>
                <w:sz w:val="24"/>
                <w:szCs w:val="24"/>
              </w:rPr>
              <w:t>Assessment</w:t>
            </w:r>
          </w:p>
          <w:p w:rsidR="004351F7" w:rsidRPr="00C1694A" w:rsidRDefault="004351F7" w:rsidP="006C6CA9">
            <w:pPr>
              <w:jc w:val="center"/>
              <w:rPr>
                <w:rFonts w:ascii="Times New Roman" w:hAnsi="Times New Roman" w:cs="Times New Roman"/>
                <w:b/>
                <w:sz w:val="24"/>
                <w:szCs w:val="24"/>
              </w:rPr>
            </w:pPr>
          </w:p>
          <w:p w:rsidR="00C731B0" w:rsidRDefault="004351F7" w:rsidP="00074E16">
            <w:pPr>
              <w:rPr>
                <w:rFonts w:ascii="Times New Roman" w:hAnsi="Times New Roman" w:cs="Times New Roman"/>
                <w:sz w:val="24"/>
                <w:szCs w:val="24"/>
              </w:rPr>
            </w:pPr>
            <w:r w:rsidRPr="00C1694A">
              <w:rPr>
                <w:rFonts w:ascii="Times New Roman" w:hAnsi="Times New Roman" w:cs="Times New Roman"/>
                <w:b/>
                <w:sz w:val="24"/>
                <w:szCs w:val="24"/>
                <w:u w:val="single"/>
              </w:rPr>
              <w:t>§1302.33(b)</w:t>
            </w:r>
            <w:r w:rsidR="00567DFB">
              <w:rPr>
                <w:rFonts w:ascii="Times New Roman" w:hAnsi="Times New Roman" w:cs="Times New Roman"/>
                <w:b/>
                <w:sz w:val="24"/>
                <w:szCs w:val="24"/>
                <w:u w:val="single"/>
              </w:rPr>
              <w:t>(1) through (3)</w:t>
            </w:r>
            <w:r w:rsidRPr="00C1694A">
              <w:rPr>
                <w:rFonts w:ascii="Times New Roman" w:hAnsi="Times New Roman" w:cs="Times New Roman"/>
                <w:b/>
                <w:sz w:val="24"/>
                <w:szCs w:val="24"/>
                <w:u w:val="single"/>
              </w:rPr>
              <w:t>:</w:t>
            </w:r>
            <w:r w:rsidRPr="00C1694A">
              <w:rPr>
                <w:rFonts w:ascii="Times New Roman" w:hAnsi="Times New Roman" w:cs="Times New Roman"/>
                <w:sz w:val="24"/>
                <w:szCs w:val="24"/>
              </w:rPr>
              <w:t xml:space="preserve"> </w:t>
            </w:r>
          </w:p>
          <w:p w:rsidR="00074E16" w:rsidRPr="00AC521C" w:rsidRDefault="00074E16" w:rsidP="00AC521C">
            <w:pPr>
              <w:rPr>
                <w:rFonts w:ascii="Times New Roman" w:hAnsi="Times New Roman" w:cs="Times New Roman"/>
                <w:sz w:val="24"/>
                <w:szCs w:val="24"/>
              </w:rPr>
            </w:pPr>
            <w:r w:rsidRPr="00AC521C">
              <w:rPr>
                <w:rFonts w:ascii="Times New Roman" w:hAnsi="Times New Roman" w:cs="Times New Roman"/>
                <w:sz w:val="24"/>
                <w:szCs w:val="24"/>
              </w:rPr>
              <w:t xml:space="preserve">A program must conduct standardized and structured assessments, which may be observation-based or direct, for each child that provide ongoing information to evaluate the child’s developmental level and progress in outcomes aligned to the goals described in the </w:t>
            </w:r>
            <w:r w:rsidR="003B4016" w:rsidRPr="00AC521C">
              <w:rPr>
                <w:rFonts w:ascii="Times New Roman" w:hAnsi="Times New Roman" w:cs="Times New Roman"/>
                <w:sz w:val="24"/>
                <w:szCs w:val="24"/>
                <w:u w:val="single"/>
              </w:rPr>
              <w:t xml:space="preserve">Head Start Early Learning Outcomes Framework: Ages Birth to </w:t>
            </w:r>
            <w:r w:rsidR="00074148" w:rsidRPr="00AC521C">
              <w:rPr>
                <w:rFonts w:ascii="Times New Roman" w:hAnsi="Times New Roman" w:cs="Times New Roman"/>
                <w:sz w:val="24"/>
                <w:szCs w:val="24"/>
                <w:u w:val="single"/>
              </w:rPr>
              <w:t>Five</w:t>
            </w:r>
            <w:r w:rsidRPr="00AC521C">
              <w:rPr>
                <w:rFonts w:ascii="Times New Roman" w:hAnsi="Times New Roman" w:cs="Times New Roman"/>
                <w:sz w:val="24"/>
                <w:szCs w:val="24"/>
              </w:rPr>
              <w:t xml:space="preserve">.  Such assessments must result in usable information for teachers, home visitors, and parents and be conducted with sufficient frequency to allow for individualization within the program year. </w:t>
            </w:r>
          </w:p>
          <w:p w:rsidR="00074E16" w:rsidRPr="00C1694A" w:rsidRDefault="00074E16" w:rsidP="00074E16">
            <w:pPr>
              <w:ind w:firstLine="720"/>
              <w:rPr>
                <w:rFonts w:ascii="Times New Roman" w:hAnsi="Times New Roman" w:cs="Times New Roman"/>
                <w:sz w:val="24"/>
                <w:szCs w:val="24"/>
              </w:rPr>
            </w:pPr>
          </w:p>
          <w:p w:rsidR="00074E16" w:rsidRPr="00AC521C" w:rsidRDefault="00074E16" w:rsidP="00AC521C">
            <w:pPr>
              <w:rPr>
                <w:rFonts w:ascii="Times New Roman" w:hAnsi="Times New Roman" w:cs="Times New Roman"/>
                <w:sz w:val="24"/>
                <w:szCs w:val="24"/>
              </w:rPr>
            </w:pPr>
            <w:r w:rsidRPr="00AC521C">
              <w:rPr>
                <w:rFonts w:ascii="Times New Roman" w:hAnsi="Times New Roman" w:cs="Times New Roman"/>
                <w:sz w:val="24"/>
                <w:szCs w:val="24"/>
              </w:rPr>
              <w:t xml:space="preserve">A program must regularly use information from </w:t>
            </w:r>
            <w:r w:rsidR="00C731B0" w:rsidRPr="00AC521C">
              <w:rPr>
                <w:rFonts w:ascii="Times New Roman" w:hAnsi="Times New Roman" w:cs="Times New Roman"/>
                <w:sz w:val="24"/>
                <w:szCs w:val="24"/>
              </w:rPr>
              <w:t>§1302.33</w:t>
            </w:r>
            <w:r w:rsidRPr="00AC521C">
              <w:rPr>
                <w:rFonts w:ascii="Times New Roman" w:hAnsi="Times New Roman" w:cs="Times New Roman"/>
                <w:sz w:val="24"/>
                <w:szCs w:val="24"/>
              </w:rPr>
              <w:t>(b)(1)</w:t>
            </w:r>
            <w:r w:rsidR="00EA15A1" w:rsidRPr="00AC521C">
              <w:rPr>
                <w:rFonts w:ascii="Times New Roman" w:hAnsi="Times New Roman" w:cs="Times New Roman"/>
                <w:sz w:val="24"/>
                <w:szCs w:val="24"/>
              </w:rPr>
              <w:t xml:space="preserve"> along</w:t>
            </w:r>
            <w:r w:rsidRPr="00AC521C">
              <w:rPr>
                <w:rFonts w:ascii="Times New Roman" w:hAnsi="Times New Roman" w:cs="Times New Roman"/>
                <w:sz w:val="24"/>
                <w:szCs w:val="24"/>
              </w:rPr>
              <w:t xml:space="preserve"> with informal teacher observations and additional information from family and staff, as relevant, to determine a child’s strengths and needs, inform and adjust strategies to better support individualized learning and improve teaching practices in center-based and family child care settings</w:t>
            </w:r>
            <w:r w:rsidR="00EA15A1" w:rsidRPr="00AC521C">
              <w:rPr>
                <w:rFonts w:ascii="Times New Roman" w:hAnsi="Times New Roman" w:cs="Times New Roman"/>
                <w:sz w:val="24"/>
                <w:szCs w:val="24"/>
              </w:rPr>
              <w:t>,</w:t>
            </w:r>
            <w:r w:rsidRPr="00AC521C">
              <w:rPr>
                <w:rFonts w:ascii="Times New Roman" w:hAnsi="Times New Roman" w:cs="Times New Roman"/>
                <w:sz w:val="24"/>
                <w:szCs w:val="24"/>
              </w:rPr>
              <w:t xml:space="preserve"> and improve home visit strategies in home</w:t>
            </w:r>
            <w:r w:rsidR="002F0A0D" w:rsidRPr="00AC521C">
              <w:rPr>
                <w:rFonts w:ascii="Times New Roman" w:hAnsi="Times New Roman" w:cs="Times New Roman"/>
                <w:sz w:val="24"/>
                <w:szCs w:val="24"/>
              </w:rPr>
              <w:t>-</w:t>
            </w:r>
            <w:r w:rsidRPr="00AC521C">
              <w:rPr>
                <w:rFonts w:ascii="Times New Roman" w:hAnsi="Times New Roman" w:cs="Times New Roman"/>
                <w:sz w:val="24"/>
                <w:szCs w:val="24"/>
              </w:rPr>
              <w:t xml:space="preserve">based models.  </w:t>
            </w:r>
          </w:p>
          <w:p w:rsidR="00074E16" w:rsidRPr="00C1694A" w:rsidRDefault="00074E16" w:rsidP="00074E16">
            <w:pPr>
              <w:pStyle w:val="bodytext"/>
              <w:shd w:val="clear" w:color="auto" w:fill="FFFFFF"/>
              <w:spacing w:before="0" w:beforeAutospacing="0" w:after="0" w:afterAutospacing="0"/>
              <w:ind w:firstLine="720"/>
              <w:rPr>
                <w:rFonts w:ascii="Times New Roman" w:hAnsi="Times New Roman" w:cs="Times New Roman"/>
                <w:sz w:val="24"/>
                <w:szCs w:val="24"/>
              </w:rPr>
            </w:pPr>
          </w:p>
          <w:p w:rsidR="00074E16" w:rsidRPr="00C1694A" w:rsidRDefault="00074E16" w:rsidP="00AC521C">
            <w:pPr>
              <w:pStyle w:val="bodytext"/>
              <w:shd w:val="clear" w:color="auto" w:fill="FFFFFF"/>
              <w:spacing w:before="0" w:beforeAutospacing="0" w:after="0" w:afterAutospacing="0"/>
              <w:rPr>
                <w:rFonts w:ascii="Times New Roman" w:hAnsi="Times New Roman" w:cs="Times New Roman"/>
                <w:sz w:val="24"/>
                <w:szCs w:val="24"/>
              </w:rPr>
            </w:pPr>
            <w:r w:rsidRPr="00C1694A">
              <w:rPr>
                <w:rFonts w:ascii="Times New Roman" w:hAnsi="Times New Roman" w:cs="Times New Roman"/>
                <w:sz w:val="24"/>
                <w:szCs w:val="24"/>
              </w:rPr>
              <w:t xml:space="preserve">If warranted from the information gathered from </w:t>
            </w:r>
            <w:r w:rsidR="00C731B0">
              <w:rPr>
                <w:rFonts w:ascii="Times New Roman" w:hAnsi="Times New Roman" w:cs="Times New Roman"/>
                <w:sz w:val="24"/>
                <w:szCs w:val="24"/>
              </w:rPr>
              <w:t>§1302.33</w:t>
            </w:r>
            <w:r w:rsidRPr="00C1694A">
              <w:rPr>
                <w:rFonts w:ascii="Times New Roman" w:hAnsi="Times New Roman" w:cs="Times New Roman"/>
                <w:sz w:val="24"/>
                <w:szCs w:val="24"/>
              </w:rPr>
              <w:t>(b)(1) and (2) and with direct guidance from a mental health or child development professional and a parent’s consent, a program must refer the child to the local agency responsible for implementing IDEA for a formal evaluation to assess a child’s eligibility for services under IDEA.</w:t>
            </w:r>
          </w:p>
          <w:p w:rsidR="004351F7" w:rsidRPr="00C1694A" w:rsidRDefault="004351F7" w:rsidP="006C6CA9">
            <w:pPr>
              <w:rPr>
                <w:rFonts w:ascii="Times New Roman" w:hAnsi="Times New Roman" w:cs="Times New Roman"/>
                <w:sz w:val="24"/>
                <w:szCs w:val="24"/>
              </w:rPr>
            </w:pPr>
          </w:p>
          <w:p w:rsidR="0094175D" w:rsidRPr="00C1694A" w:rsidRDefault="004351F7" w:rsidP="00AC521C">
            <w:pPr>
              <w:rPr>
                <w:rFonts w:ascii="Times New Roman" w:eastAsia="Times New Roman" w:hAnsi="Times New Roman" w:cs="Times New Roman"/>
                <w:sz w:val="24"/>
                <w:szCs w:val="24"/>
              </w:rPr>
            </w:pPr>
            <w:r w:rsidRPr="00C1694A">
              <w:rPr>
                <w:rFonts w:ascii="Times New Roman" w:hAnsi="Times New Roman" w:cs="Times New Roman"/>
                <w:b/>
                <w:sz w:val="24"/>
                <w:szCs w:val="24"/>
                <w:u w:val="single"/>
              </w:rPr>
              <w:t>§1302.33(c)(2)</w:t>
            </w:r>
            <w:r w:rsidR="0094175D" w:rsidRPr="00C1694A">
              <w:rPr>
                <w:rFonts w:ascii="Times New Roman" w:hAnsi="Times New Roman" w:cs="Times New Roman"/>
                <w:b/>
                <w:sz w:val="24"/>
                <w:szCs w:val="24"/>
                <w:u w:val="single"/>
              </w:rPr>
              <w:t xml:space="preserve"> and (3)</w:t>
            </w:r>
            <w:r w:rsidRPr="00C1694A">
              <w:rPr>
                <w:rFonts w:ascii="Times New Roman" w:hAnsi="Times New Roman" w:cs="Times New Roman"/>
                <w:b/>
                <w:sz w:val="24"/>
                <w:szCs w:val="24"/>
                <w:u w:val="single"/>
              </w:rPr>
              <w:t>:</w:t>
            </w:r>
            <w:r w:rsidRPr="00C1694A">
              <w:rPr>
                <w:rFonts w:ascii="Times New Roman" w:eastAsia="Times New Roman" w:hAnsi="Times New Roman" w:cs="Times New Roman"/>
                <w:sz w:val="24"/>
                <w:szCs w:val="24"/>
              </w:rPr>
              <w:t xml:space="preserve"> </w:t>
            </w:r>
            <w:r w:rsidR="0094175D" w:rsidRPr="00C1694A">
              <w:rPr>
                <w:rFonts w:ascii="Times New Roman" w:eastAsia="Times New Roman" w:hAnsi="Times New Roman" w:cs="Times New Roman"/>
                <w:sz w:val="24"/>
                <w:szCs w:val="24"/>
              </w:rPr>
              <w:t>If a program serves a child who speaks a language other than English a program must use qualified bilingual staff, contractor, or consultant to:</w:t>
            </w:r>
          </w:p>
          <w:p w:rsidR="0094175D" w:rsidRPr="00AC521C" w:rsidRDefault="0094175D" w:rsidP="00AC521C">
            <w:pPr>
              <w:pStyle w:val="ListParagraph"/>
              <w:numPr>
                <w:ilvl w:val="0"/>
                <w:numId w:val="54"/>
              </w:numPr>
              <w:tabs>
                <w:tab w:val="left" w:pos="7500"/>
              </w:tabs>
              <w:rPr>
                <w:rFonts w:ascii="Times New Roman" w:eastAsia="Times New Roman" w:hAnsi="Times New Roman" w:cs="Times New Roman"/>
                <w:sz w:val="24"/>
                <w:szCs w:val="24"/>
              </w:rPr>
            </w:pPr>
            <w:r w:rsidRPr="00AC521C">
              <w:rPr>
                <w:rFonts w:ascii="Times New Roman" w:eastAsia="Times New Roman" w:hAnsi="Times New Roman" w:cs="Times New Roman"/>
                <w:sz w:val="24"/>
                <w:szCs w:val="24"/>
              </w:rPr>
              <w:t>Assess language skills in English and</w:t>
            </w:r>
            <w:r w:rsidR="00A80579" w:rsidRPr="00AC521C">
              <w:rPr>
                <w:rFonts w:ascii="Times New Roman" w:eastAsia="Times New Roman" w:hAnsi="Times New Roman" w:cs="Times New Roman"/>
                <w:sz w:val="24"/>
                <w:szCs w:val="24"/>
              </w:rPr>
              <w:t xml:space="preserve"> in</w:t>
            </w:r>
            <w:r w:rsidRPr="00AC521C">
              <w:rPr>
                <w:rFonts w:ascii="Times New Roman" w:eastAsia="Times New Roman" w:hAnsi="Times New Roman" w:cs="Times New Roman"/>
                <w:sz w:val="24"/>
                <w:szCs w:val="24"/>
              </w:rPr>
              <w:t xml:space="preserve"> the child’s home language, to assess both the child’s progress in the home language and in English language acquisition;</w:t>
            </w:r>
          </w:p>
          <w:p w:rsidR="0094175D" w:rsidRPr="00AC521C" w:rsidRDefault="0094175D" w:rsidP="00AC521C">
            <w:pPr>
              <w:pStyle w:val="ListParagraph"/>
              <w:numPr>
                <w:ilvl w:val="0"/>
                <w:numId w:val="54"/>
              </w:numPr>
              <w:rPr>
                <w:rFonts w:ascii="Times New Roman" w:eastAsia="Times New Roman" w:hAnsi="Times New Roman" w:cs="Times New Roman"/>
                <w:sz w:val="24"/>
                <w:szCs w:val="24"/>
              </w:rPr>
            </w:pPr>
            <w:r w:rsidRPr="00AC521C">
              <w:rPr>
                <w:rFonts w:ascii="Times New Roman" w:eastAsia="Times New Roman" w:hAnsi="Times New Roman" w:cs="Times New Roman"/>
                <w:sz w:val="24"/>
                <w:szCs w:val="24"/>
              </w:rPr>
              <w:t>Conduct screenings and assessments for domains other than language skills in the language or languages that best capture the child’s development and skills in the specific domain; and,</w:t>
            </w:r>
          </w:p>
          <w:p w:rsidR="0094175D" w:rsidRPr="00AC521C" w:rsidRDefault="0094175D" w:rsidP="00AC521C">
            <w:pPr>
              <w:pStyle w:val="ListParagraph"/>
              <w:numPr>
                <w:ilvl w:val="0"/>
                <w:numId w:val="54"/>
              </w:numPr>
              <w:rPr>
                <w:rFonts w:ascii="Times New Roman" w:eastAsia="Times New Roman" w:hAnsi="Times New Roman" w:cs="Times New Roman"/>
                <w:sz w:val="24"/>
                <w:szCs w:val="24"/>
              </w:rPr>
            </w:pPr>
            <w:r w:rsidRPr="00AC521C">
              <w:rPr>
                <w:rFonts w:ascii="Times New Roman" w:eastAsia="Times New Roman" w:hAnsi="Times New Roman" w:cs="Times New Roman"/>
                <w:sz w:val="24"/>
                <w:szCs w:val="24"/>
              </w:rPr>
              <w:t>Ensure those conducting the screening or assessment</w:t>
            </w:r>
            <w:r w:rsidR="00747C23" w:rsidRPr="00AC521C">
              <w:rPr>
                <w:rFonts w:ascii="Times New Roman" w:eastAsia="Times New Roman" w:hAnsi="Times New Roman" w:cs="Times New Roman"/>
                <w:sz w:val="24"/>
                <w:szCs w:val="24"/>
              </w:rPr>
              <w:t xml:space="preserve"> </w:t>
            </w:r>
            <w:r w:rsidRPr="00AC521C">
              <w:rPr>
                <w:rFonts w:ascii="Times New Roman" w:eastAsia="Times New Roman" w:hAnsi="Times New Roman" w:cs="Times New Roman"/>
                <w:sz w:val="24"/>
                <w:szCs w:val="24"/>
              </w:rPr>
              <w:t>know and understand the child’s language and culture and have sufficient skill level in the child’s home language to accurately administer the screening or assessment and to record and understand the child’s responses, interactions, and communications.</w:t>
            </w:r>
          </w:p>
          <w:p w:rsidR="00567DFB" w:rsidRDefault="00567DFB" w:rsidP="00AC521C">
            <w:pPr>
              <w:rPr>
                <w:rFonts w:ascii="Times New Roman" w:eastAsia="Times New Roman" w:hAnsi="Times New Roman" w:cs="Times New Roman"/>
                <w:b/>
                <w:sz w:val="24"/>
                <w:szCs w:val="24"/>
              </w:rPr>
            </w:pPr>
          </w:p>
          <w:p w:rsidR="004351F7" w:rsidRPr="00C1694A" w:rsidRDefault="0094175D" w:rsidP="00567DFB">
            <w:pPr>
              <w:rPr>
                <w:rFonts w:ascii="Times New Roman" w:hAnsi="Times New Roman" w:cs="Times New Roman"/>
                <w:b/>
                <w:sz w:val="24"/>
                <w:szCs w:val="24"/>
              </w:rPr>
            </w:pPr>
            <w:r w:rsidRPr="00AC521C">
              <w:rPr>
                <w:rFonts w:ascii="Times New Roman" w:eastAsia="Times New Roman" w:hAnsi="Times New Roman" w:cs="Times New Roman"/>
                <w:sz w:val="24"/>
                <w:szCs w:val="24"/>
              </w:rPr>
              <w:t xml:space="preserve">If a program serves a child who speaks a language other than English and qualified bilingual staff, contractors, or consultants are not able conduct screenings and assessments, a program must use an interpreter in conjunction with a qualified staff person to conduct screenings and assessments as described in </w:t>
            </w:r>
            <w:r w:rsidR="00DD6709" w:rsidRPr="00AC521C">
              <w:rPr>
                <w:rFonts w:ascii="Times New Roman" w:eastAsia="Times New Roman" w:hAnsi="Times New Roman" w:cs="Times New Roman"/>
                <w:sz w:val="24"/>
                <w:szCs w:val="24"/>
              </w:rPr>
              <w:t>§1302.33(c)</w:t>
            </w:r>
            <w:r w:rsidRPr="00AC521C">
              <w:rPr>
                <w:rFonts w:ascii="Times New Roman" w:eastAsia="Times New Roman" w:hAnsi="Times New Roman" w:cs="Times New Roman"/>
                <w:sz w:val="24"/>
                <w:szCs w:val="24"/>
              </w:rPr>
              <w:t xml:space="preserve">(2)(i) through (iii). </w:t>
            </w:r>
          </w:p>
        </w:tc>
        <w:tc>
          <w:tcPr>
            <w:tcW w:w="0" w:type="auto"/>
          </w:tcPr>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sz w:val="24"/>
                <w:szCs w:val="24"/>
                <w:u w:val="single"/>
              </w:rPr>
            </w:pPr>
            <w:r w:rsidRPr="00C1694A">
              <w:rPr>
                <w:rFonts w:ascii="Times New Roman" w:hAnsi="Times New Roman" w:cs="Times New Roman"/>
                <w:b/>
                <w:sz w:val="24"/>
                <w:szCs w:val="24"/>
              </w:rPr>
              <w:t>August 1, 2017</w:t>
            </w:r>
          </w:p>
          <w:p w:rsidR="004351F7" w:rsidRPr="00C1694A" w:rsidRDefault="004351F7" w:rsidP="006C6CA9">
            <w:pPr>
              <w:rPr>
                <w:rFonts w:ascii="Times New Roman" w:hAnsi="Times New Roman" w:cs="Times New Roman"/>
                <w:b/>
                <w:sz w:val="24"/>
                <w:szCs w:val="24"/>
              </w:rPr>
            </w:pPr>
          </w:p>
        </w:tc>
      </w:tr>
      <w:tr w:rsidR="004351F7" w:rsidRPr="00C1694A" w:rsidTr="00D23898">
        <w:tc>
          <w:tcPr>
            <w:tcW w:w="0" w:type="auto"/>
          </w:tcPr>
          <w:p w:rsidR="004351F7" w:rsidRPr="00C1694A" w:rsidRDefault="00155814" w:rsidP="006C6CA9">
            <w:pPr>
              <w:jc w:val="center"/>
              <w:rPr>
                <w:rFonts w:ascii="Times New Roman" w:hAnsi="Times New Roman" w:cs="Times New Roman"/>
                <w:b/>
                <w:sz w:val="24"/>
                <w:szCs w:val="24"/>
              </w:rPr>
            </w:pPr>
            <w:r w:rsidRPr="00C1694A">
              <w:rPr>
                <w:rFonts w:ascii="Times New Roman" w:hAnsi="Times New Roman" w:cs="Times New Roman"/>
                <w:b/>
                <w:sz w:val="24"/>
                <w:szCs w:val="24"/>
              </w:rPr>
              <w:t>Curriculum for home-based programs</w:t>
            </w:r>
          </w:p>
          <w:p w:rsidR="004351F7" w:rsidRPr="00C1694A" w:rsidRDefault="004351F7" w:rsidP="006C6CA9">
            <w:pPr>
              <w:jc w:val="center"/>
              <w:rPr>
                <w:rFonts w:ascii="Times New Roman" w:hAnsi="Times New Roman" w:cs="Times New Roman"/>
                <w:b/>
                <w:sz w:val="24"/>
                <w:szCs w:val="24"/>
              </w:rPr>
            </w:pPr>
          </w:p>
          <w:p w:rsidR="00562133" w:rsidRPr="00C1694A" w:rsidRDefault="004351F7" w:rsidP="009A2F5A">
            <w:pPr>
              <w:rPr>
                <w:rFonts w:ascii="Times New Roman" w:hAnsi="Times New Roman" w:cs="Times New Roman"/>
                <w:iCs/>
                <w:sz w:val="24"/>
                <w:szCs w:val="24"/>
                <w:u w:val="single"/>
              </w:rPr>
            </w:pPr>
            <w:r w:rsidRPr="00C1694A">
              <w:rPr>
                <w:rFonts w:ascii="Times New Roman" w:hAnsi="Times New Roman" w:cs="Times New Roman"/>
                <w:b/>
                <w:sz w:val="24"/>
                <w:szCs w:val="24"/>
                <w:u w:val="single"/>
              </w:rPr>
              <w:t>§</w:t>
            </w:r>
            <w:r w:rsidR="002646D8" w:rsidRPr="00C1694A">
              <w:rPr>
                <w:rFonts w:ascii="Times New Roman" w:hAnsi="Times New Roman" w:cs="Times New Roman"/>
                <w:b/>
                <w:sz w:val="24"/>
                <w:szCs w:val="24"/>
                <w:u w:val="single"/>
              </w:rPr>
              <w:t>1302.35(d)(1</w:t>
            </w:r>
            <w:r w:rsidR="00567DFB">
              <w:rPr>
                <w:rFonts w:ascii="Times New Roman" w:hAnsi="Times New Roman" w:cs="Times New Roman"/>
                <w:b/>
                <w:sz w:val="24"/>
                <w:szCs w:val="24"/>
                <w:u w:val="single"/>
              </w:rPr>
              <w:t>) through (</w:t>
            </w:r>
            <w:r w:rsidR="002646D8" w:rsidRPr="00C1694A">
              <w:rPr>
                <w:rFonts w:ascii="Times New Roman" w:hAnsi="Times New Roman" w:cs="Times New Roman"/>
                <w:b/>
                <w:sz w:val="24"/>
                <w:szCs w:val="24"/>
                <w:u w:val="single"/>
              </w:rPr>
              <w:t>3)</w:t>
            </w:r>
            <w:r w:rsidRPr="00C1694A">
              <w:rPr>
                <w:rFonts w:ascii="Times New Roman" w:hAnsi="Times New Roman" w:cs="Times New Roman"/>
                <w:b/>
                <w:sz w:val="24"/>
                <w:szCs w:val="24"/>
                <w:u w:val="single"/>
              </w:rPr>
              <w:t>:</w:t>
            </w:r>
            <w:r w:rsidRPr="00C1694A">
              <w:rPr>
                <w:rFonts w:ascii="Times New Roman" w:hAnsi="Times New Roman" w:cs="Times New Roman"/>
                <w:iCs/>
                <w:sz w:val="24"/>
                <w:szCs w:val="24"/>
              </w:rPr>
              <w:t xml:space="preserve"> </w:t>
            </w:r>
            <w:r w:rsidR="00562133" w:rsidRPr="00C1694A">
              <w:rPr>
                <w:rStyle w:val="Emphasis"/>
                <w:rFonts w:ascii="Times New Roman" w:hAnsi="Times New Roman" w:cs="Times New Roman"/>
                <w:i w:val="0"/>
                <w:sz w:val="24"/>
                <w:szCs w:val="24"/>
              </w:rPr>
              <w:t xml:space="preserve">A program that operates the home-based option </w:t>
            </w:r>
            <w:r w:rsidR="00562133" w:rsidRPr="00C1694A">
              <w:rPr>
                <w:rFonts w:ascii="Times New Roman" w:hAnsi="Times New Roman" w:cs="Times New Roman"/>
                <w:sz w:val="24"/>
                <w:szCs w:val="24"/>
              </w:rPr>
              <w:t>must:</w:t>
            </w:r>
          </w:p>
          <w:p w:rsidR="00562133" w:rsidRPr="00AC521C" w:rsidRDefault="00562133" w:rsidP="00AC521C">
            <w:pPr>
              <w:pStyle w:val="ListParagraph"/>
              <w:numPr>
                <w:ilvl w:val="0"/>
                <w:numId w:val="56"/>
              </w:numPr>
              <w:rPr>
                <w:rFonts w:ascii="Times New Roman" w:hAnsi="Times New Roman" w:cs="Times New Roman"/>
                <w:sz w:val="24"/>
                <w:szCs w:val="24"/>
              </w:rPr>
            </w:pPr>
            <w:r w:rsidRPr="00AC521C">
              <w:rPr>
                <w:rFonts w:ascii="Times New Roman" w:hAnsi="Times New Roman" w:cs="Times New Roman"/>
                <w:sz w:val="24"/>
                <w:szCs w:val="24"/>
              </w:rPr>
              <w:t>Ensure home-visiting and group socializations implement a developmentally appropriate research-based early childhood home-based curriculum that:</w:t>
            </w:r>
          </w:p>
          <w:p w:rsidR="00562133" w:rsidRPr="00AC521C" w:rsidRDefault="00562133" w:rsidP="00AC521C">
            <w:pPr>
              <w:pStyle w:val="ListParagraph"/>
              <w:numPr>
                <w:ilvl w:val="1"/>
                <w:numId w:val="56"/>
              </w:numPr>
              <w:rPr>
                <w:rFonts w:ascii="Times New Roman" w:hAnsi="Times New Roman" w:cs="Times New Roman"/>
                <w:sz w:val="24"/>
                <w:szCs w:val="24"/>
              </w:rPr>
            </w:pPr>
            <w:r w:rsidRPr="00AC521C">
              <w:rPr>
                <w:rFonts w:ascii="Times New Roman" w:hAnsi="Times New Roman" w:cs="Times New Roman"/>
                <w:sz w:val="24"/>
                <w:szCs w:val="24"/>
              </w:rPr>
              <w:t>Promotes the parent’s role as the child’s teacher through experiences focused on the parent-child relationship and, as appropriate, the family’s traditions, cultur</w:t>
            </w:r>
            <w:r w:rsidR="001D2BD6" w:rsidRPr="00AC521C">
              <w:rPr>
                <w:rFonts w:ascii="Times New Roman" w:hAnsi="Times New Roman" w:cs="Times New Roman"/>
                <w:sz w:val="24"/>
                <w:szCs w:val="24"/>
              </w:rPr>
              <w:t>e</w:t>
            </w:r>
            <w:r w:rsidRPr="00AC521C">
              <w:rPr>
                <w:rFonts w:ascii="Times New Roman" w:hAnsi="Times New Roman" w:cs="Times New Roman"/>
                <w:sz w:val="24"/>
                <w:szCs w:val="24"/>
              </w:rPr>
              <w:t>, values, and beliefs;</w:t>
            </w:r>
          </w:p>
          <w:p w:rsidR="00562133" w:rsidRPr="00AC521C" w:rsidRDefault="00562133" w:rsidP="00AC521C">
            <w:pPr>
              <w:pStyle w:val="ListParagraph"/>
              <w:numPr>
                <w:ilvl w:val="1"/>
                <w:numId w:val="56"/>
              </w:numPr>
              <w:rPr>
                <w:rFonts w:ascii="Times New Roman" w:hAnsi="Times New Roman" w:cs="Times New Roman"/>
                <w:sz w:val="24"/>
                <w:szCs w:val="24"/>
              </w:rPr>
            </w:pPr>
            <w:r w:rsidRPr="00AC521C">
              <w:rPr>
                <w:rFonts w:ascii="Times New Roman" w:hAnsi="Times New Roman" w:cs="Times New Roman"/>
                <w:sz w:val="24"/>
                <w:szCs w:val="24"/>
              </w:rPr>
              <w:t xml:space="preserve">Aligns with the </w:t>
            </w:r>
            <w:r w:rsidR="003B4016" w:rsidRPr="00AC521C">
              <w:rPr>
                <w:rFonts w:ascii="Times New Roman" w:hAnsi="Times New Roman" w:cs="Times New Roman"/>
                <w:sz w:val="24"/>
                <w:szCs w:val="24"/>
                <w:u w:val="single"/>
              </w:rPr>
              <w:t xml:space="preserve">Head Start Early Learning Outcomes Framework: Ages Birth to </w:t>
            </w:r>
            <w:r w:rsidR="00074148" w:rsidRPr="00AC521C">
              <w:rPr>
                <w:rFonts w:ascii="Times New Roman" w:hAnsi="Times New Roman" w:cs="Times New Roman"/>
                <w:sz w:val="24"/>
                <w:szCs w:val="24"/>
                <w:u w:val="single"/>
              </w:rPr>
              <w:t>Five</w:t>
            </w:r>
            <w:r w:rsidRPr="00AC521C">
              <w:rPr>
                <w:rFonts w:ascii="Times New Roman" w:eastAsia="Times New Roman" w:hAnsi="Times New Roman" w:cs="Times New Roman"/>
                <w:sz w:val="24"/>
                <w:szCs w:val="24"/>
              </w:rPr>
              <w:t xml:space="preserve"> </w:t>
            </w:r>
            <w:r w:rsidRPr="00AC521C">
              <w:rPr>
                <w:rFonts w:ascii="Times New Roman" w:hAnsi="Times New Roman" w:cs="Times New Roman"/>
                <w:sz w:val="24"/>
                <w:szCs w:val="24"/>
              </w:rPr>
              <w:t xml:space="preserve">and, as appropriate, state early learning standards, and, is sufficiently content-rich within the </w:t>
            </w:r>
            <w:r w:rsidRPr="00AC521C">
              <w:rPr>
                <w:rFonts w:ascii="Times New Roman" w:eastAsia="Times New Roman" w:hAnsi="Times New Roman" w:cs="Times New Roman"/>
                <w:sz w:val="24"/>
                <w:szCs w:val="24"/>
              </w:rPr>
              <w:t xml:space="preserve">Framework </w:t>
            </w:r>
            <w:r w:rsidRPr="00AC521C">
              <w:rPr>
                <w:rFonts w:ascii="Times New Roman" w:hAnsi="Times New Roman" w:cs="Times New Roman"/>
                <w:sz w:val="24"/>
                <w:szCs w:val="24"/>
              </w:rPr>
              <w:t>to promote measurable progress toward goals outlined in the Framework; and,</w:t>
            </w:r>
          </w:p>
          <w:p w:rsidR="00562133" w:rsidRPr="00C1694A" w:rsidRDefault="00562133" w:rsidP="00AC521C">
            <w:pPr>
              <w:pStyle w:val="ListParagraph"/>
              <w:numPr>
                <w:ilvl w:val="1"/>
                <w:numId w:val="56"/>
              </w:numPr>
              <w:tabs>
                <w:tab w:val="left" w:pos="270"/>
              </w:tabs>
              <w:rPr>
                <w:rFonts w:ascii="Times New Roman" w:hAnsi="Times New Roman" w:cs="Times New Roman"/>
                <w:sz w:val="24"/>
                <w:szCs w:val="24"/>
              </w:rPr>
            </w:pPr>
            <w:r w:rsidRPr="00C1694A">
              <w:rPr>
                <w:rFonts w:ascii="Times New Roman" w:hAnsi="Times New Roman" w:cs="Times New Roman"/>
                <w:sz w:val="24"/>
                <w:szCs w:val="24"/>
              </w:rPr>
              <w:t>Has an organized developmental scope and sequence that includes plans and materials for learning experiences based on developmental progressions and how children learn.</w:t>
            </w:r>
          </w:p>
          <w:p w:rsidR="00562133" w:rsidRPr="00C1694A" w:rsidRDefault="00562133" w:rsidP="00AC521C">
            <w:pPr>
              <w:pStyle w:val="ListParagraph"/>
              <w:numPr>
                <w:ilvl w:val="0"/>
                <w:numId w:val="56"/>
              </w:numPr>
              <w:tabs>
                <w:tab w:val="left" w:pos="270"/>
              </w:tabs>
              <w:rPr>
                <w:rFonts w:ascii="Times New Roman" w:hAnsi="Times New Roman" w:cs="Times New Roman"/>
                <w:sz w:val="24"/>
                <w:szCs w:val="24"/>
              </w:rPr>
            </w:pPr>
            <w:r w:rsidRPr="00C1694A">
              <w:rPr>
                <w:rFonts w:ascii="Times New Roman" w:eastAsia="Times New Roman" w:hAnsi="Times New Roman" w:cs="Times New Roman"/>
                <w:sz w:val="24"/>
                <w:szCs w:val="24"/>
              </w:rPr>
              <w:t xml:space="preserve">Support staff in the effective implementation of </w:t>
            </w:r>
            <w:r w:rsidR="00A80579">
              <w:rPr>
                <w:rFonts w:ascii="Times New Roman" w:eastAsia="Times New Roman" w:hAnsi="Times New Roman" w:cs="Times New Roman"/>
                <w:sz w:val="24"/>
                <w:szCs w:val="24"/>
              </w:rPr>
              <w:t xml:space="preserve">the </w:t>
            </w:r>
            <w:r w:rsidRPr="00C1694A">
              <w:rPr>
                <w:rFonts w:ascii="Times New Roman" w:eastAsia="Times New Roman" w:hAnsi="Times New Roman" w:cs="Times New Roman"/>
                <w:sz w:val="24"/>
                <w:szCs w:val="24"/>
              </w:rPr>
              <w:t>curriculum and at a minimum monitor curriculum implementation and fidelity, and provide support, feedback, and supervision for continuous improvement of its implementation through the system of training and professional development. </w:t>
            </w:r>
          </w:p>
          <w:p w:rsidR="00C61514" w:rsidRPr="00C1694A" w:rsidRDefault="00EA6ABA" w:rsidP="00AC521C">
            <w:pPr>
              <w:pStyle w:val="ListParagraph"/>
              <w:widowControl w:val="0"/>
              <w:numPr>
                <w:ilvl w:val="1"/>
                <w:numId w:val="56"/>
              </w:numPr>
              <w:autoSpaceDE w:val="0"/>
              <w:autoSpaceDN w:val="0"/>
              <w:adjustRightInd w:val="0"/>
              <w:rPr>
                <w:rFonts w:ascii="Times New Roman" w:hAnsi="Times New Roman" w:cs="Times New Roman"/>
                <w:sz w:val="24"/>
                <w:szCs w:val="24"/>
              </w:rPr>
            </w:pPr>
            <w:r w:rsidRPr="00AC521C">
              <w:rPr>
                <w:rFonts w:ascii="Times New Roman" w:hAnsi="Times New Roman" w:cs="Times New Roman"/>
                <w:sz w:val="24"/>
                <w:szCs w:val="24"/>
              </w:rPr>
              <w:t>If a program chooses to make significant adaptations to a curriculum or curriculum enhancement to better meet the needs of one or more specific populations, a program must</w:t>
            </w:r>
            <w:r w:rsidR="00567DFB" w:rsidRPr="00567DFB">
              <w:rPr>
                <w:rFonts w:ascii="Times New Roman" w:hAnsi="Times New Roman" w:cs="Times New Roman"/>
                <w:sz w:val="24"/>
                <w:szCs w:val="24"/>
              </w:rPr>
              <w:t xml:space="preserve"> p</w:t>
            </w:r>
            <w:r w:rsidR="00562133" w:rsidRPr="00AC521C">
              <w:rPr>
                <w:rFonts w:ascii="Times New Roman" w:hAnsi="Times New Roman" w:cs="Times New Roman"/>
                <w:sz w:val="24"/>
                <w:szCs w:val="24"/>
              </w:rPr>
              <w:t>artner with early childhood education curriculum or content experts; and,</w:t>
            </w:r>
            <w:r w:rsidR="00567DFB">
              <w:rPr>
                <w:rFonts w:ascii="Times New Roman" w:hAnsi="Times New Roman" w:cs="Times New Roman"/>
                <w:sz w:val="24"/>
                <w:szCs w:val="24"/>
              </w:rPr>
              <w:t xml:space="preserve"> a</w:t>
            </w:r>
            <w:r w:rsidR="00C61514" w:rsidRPr="00AC521C">
              <w:rPr>
                <w:rFonts w:ascii="Times New Roman" w:hAnsi="Times New Roman" w:cs="Times New Roman"/>
                <w:sz w:val="24"/>
                <w:szCs w:val="24"/>
              </w:rPr>
              <w:t xml:space="preserve">ssess whether </w:t>
            </w:r>
            <w:r w:rsidR="00562133" w:rsidRPr="00AC521C">
              <w:rPr>
                <w:rFonts w:ascii="Times New Roman" w:hAnsi="Times New Roman" w:cs="Times New Roman"/>
                <w:sz w:val="24"/>
                <w:szCs w:val="24"/>
              </w:rPr>
              <w:t xml:space="preserve">the adaptation </w:t>
            </w:r>
            <w:r w:rsidR="00C61514" w:rsidRPr="00AC521C">
              <w:rPr>
                <w:rFonts w:ascii="Times New Roman" w:hAnsi="Times New Roman" w:cs="Times New Roman"/>
                <w:sz w:val="24"/>
                <w:szCs w:val="24"/>
              </w:rPr>
              <w:t xml:space="preserve">adequately facilitates progress toward </w:t>
            </w:r>
            <w:r w:rsidR="00562133" w:rsidRPr="00AC521C">
              <w:rPr>
                <w:rFonts w:ascii="Times New Roman" w:hAnsi="Times New Roman" w:cs="Times New Roman"/>
                <w:sz w:val="24"/>
                <w:szCs w:val="24"/>
              </w:rPr>
              <w:t xml:space="preserve">meeting school readiness goals consistent with the process described in </w:t>
            </w:r>
            <w:r w:rsidR="00C61514" w:rsidRPr="00AC521C">
              <w:rPr>
                <w:rFonts w:ascii="Times New Roman" w:hAnsi="Times New Roman" w:cs="Times New Roman"/>
                <w:sz w:val="24"/>
                <w:szCs w:val="24"/>
              </w:rPr>
              <w:t>§1302.102(b) and (c)</w:t>
            </w:r>
            <w:r w:rsidR="00562133" w:rsidRPr="00AC521C">
              <w:rPr>
                <w:rFonts w:ascii="Times New Roman" w:hAnsi="Times New Roman" w:cs="Times New Roman"/>
                <w:sz w:val="24"/>
                <w:szCs w:val="24"/>
              </w:rPr>
              <w:t>.</w:t>
            </w:r>
          </w:p>
        </w:tc>
        <w:tc>
          <w:tcPr>
            <w:tcW w:w="1883" w:type="dxa"/>
          </w:tcPr>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bCs/>
                <w:caps/>
                <w:sz w:val="24"/>
                <w:szCs w:val="24"/>
              </w:rPr>
            </w:pPr>
            <w:r w:rsidRPr="00C1694A">
              <w:rPr>
                <w:rFonts w:ascii="Times New Roman" w:hAnsi="Times New Roman" w:cs="Times New Roman"/>
                <w:b/>
                <w:sz w:val="24"/>
                <w:szCs w:val="24"/>
              </w:rPr>
              <w:t>August 1, 2017</w:t>
            </w:r>
          </w:p>
        </w:tc>
      </w:tr>
      <w:tr w:rsidR="004351F7" w:rsidRPr="00C1694A" w:rsidTr="00D23898">
        <w:tc>
          <w:tcPr>
            <w:tcW w:w="0" w:type="auto"/>
          </w:tcPr>
          <w:p w:rsidR="00BB7A28" w:rsidRPr="00C1694A" w:rsidRDefault="004351F7" w:rsidP="006C6CA9">
            <w:pPr>
              <w:jc w:val="center"/>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 xml:space="preserve">Quality Rating and Improvement Systems (QRIS) and </w:t>
            </w:r>
          </w:p>
          <w:p w:rsidR="004351F7" w:rsidRPr="00C1694A" w:rsidRDefault="004351F7" w:rsidP="006C6CA9">
            <w:pPr>
              <w:jc w:val="center"/>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Data systems</w:t>
            </w:r>
          </w:p>
          <w:p w:rsidR="004351F7" w:rsidRPr="00C1694A" w:rsidRDefault="004351F7" w:rsidP="006C6CA9">
            <w:pPr>
              <w:jc w:val="center"/>
              <w:rPr>
                <w:rFonts w:ascii="Times New Roman" w:eastAsia="Times New Roman" w:hAnsi="Times New Roman" w:cs="Times New Roman"/>
                <w:b/>
                <w:sz w:val="24"/>
                <w:szCs w:val="24"/>
              </w:rPr>
            </w:pPr>
          </w:p>
          <w:p w:rsidR="00A80579" w:rsidRPr="00A80579" w:rsidRDefault="004351F7" w:rsidP="00A80579">
            <w:pPr>
              <w:rPr>
                <w:rFonts w:ascii="Times New Roman" w:hAnsi="Times New Roman" w:cs="Times New Roman"/>
                <w:sz w:val="24"/>
                <w:szCs w:val="24"/>
              </w:rPr>
            </w:pPr>
            <w:r w:rsidRPr="00C1694A">
              <w:rPr>
                <w:rFonts w:ascii="Times New Roman" w:eastAsia="Times New Roman" w:hAnsi="Times New Roman" w:cs="Times New Roman"/>
                <w:b/>
                <w:sz w:val="24"/>
                <w:szCs w:val="24"/>
                <w:u w:val="single"/>
              </w:rPr>
              <w:t>§1302.53(b)(2):</w:t>
            </w:r>
            <w:r w:rsidRPr="00C1694A">
              <w:rPr>
                <w:rFonts w:ascii="Times New Roman" w:eastAsia="Times New Roman" w:hAnsi="Times New Roman" w:cs="Times New Roman"/>
                <w:b/>
                <w:sz w:val="24"/>
                <w:szCs w:val="24"/>
              </w:rPr>
              <w:t xml:space="preserve"> </w:t>
            </w:r>
            <w:r w:rsidR="00A80579" w:rsidRPr="00A80579">
              <w:rPr>
                <w:rFonts w:ascii="Times New Roman" w:hAnsi="Times New Roman" w:cs="Times New Roman"/>
                <w:sz w:val="24"/>
                <w:szCs w:val="24"/>
              </w:rPr>
              <w:t>A program, with the exception of American Indian and Alaska Native programs, must participate in its state or local Quality Rating and Improvement System (QRIS) if:</w:t>
            </w:r>
          </w:p>
          <w:p w:rsidR="00A80579" w:rsidRPr="00AC521C" w:rsidRDefault="00A80579" w:rsidP="00AC521C">
            <w:pPr>
              <w:pStyle w:val="ListParagraph"/>
              <w:numPr>
                <w:ilvl w:val="0"/>
                <w:numId w:val="58"/>
              </w:numPr>
              <w:rPr>
                <w:rFonts w:ascii="Times New Roman" w:hAnsi="Times New Roman" w:cs="Times New Roman"/>
                <w:sz w:val="24"/>
                <w:szCs w:val="24"/>
              </w:rPr>
            </w:pPr>
            <w:r w:rsidRPr="00AC521C">
              <w:rPr>
                <w:rFonts w:ascii="Times New Roman" w:hAnsi="Times New Roman" w:cs="Times New Roman"/>
                <w:sz w:val="24"/>
                <w:szCs w:val="24"/>
              </w:rPr>
              <w:t xml:space="preserve">Its state or local QRIS accepts Head Start monitoring data to document quality indicators included in the state’s tiered system; </w:t>
            </w:r>
          </w:p>
          <w:p w:rsidR="00A80579" w:rsidRPr="00AC521C" w:rsidRDefault="00A80579" w:rsidP="00AC521C">
            <w:pPr>
              <w:pStyle w:val="ListParagraph"/>
              <w:numPr>
                <w:ilvl w:val="0"/>
                <w:numId w:val="58"/>
              </w:numPr>
              <w:rPr>
                <w:rFonts w:ascii="Times New Roman" w:hAnsi="Times New Roman" w:cs="Times New Roman"/>
                <w:sz w:val="24"/>
                <w:szCs w:val="24"/>
              </w:rPr>
            </w:pPr>
            <w:r w:rsidRPr="00AC521C">
              <w:rPr>
                <w:rFonts w:ascii="Times New Roman" w:hAnsi="Times New Roman" w:cs="Times New Roman"/>
                <w:sz w:val="24"/>
                <w:szCs w:val="24"/>
              </w:rPr>
              <w:t>Participation would not impact a program’s ability to comply with the Head Start Program Performance Standards; and,</w:t>
            </w:r>
          </w:p>
          <w:p w:rsidR="004351F7" w:rsidRPr="00AC521C" w:rsidRDefault="00A80579" w:rsidP="00AC521C">
            <w:pPr>
              <w:pStyle w:val="ListParagraph"/>
              <w:numPr>
                <w:ilvl w:val="0"/>
                <w:numId w:val="58"/>
              </w:numPr>
              <w:rPr>
                <w:rFonts w:ascii="Times New Roman" w:hAnsi="Times New Roman" w:cs="Times New Roman"/>
                <w:sz w:val="24"/>
                <w:szCs w:val="24"/>
              </w:rPr>
            </w:pPr>
            <w:r w:rsidRPr="00AC521C">
              <w:rPr>
                <w:rFonts w:ascii="Times New Roman" w:hAnsi="Times New Roman" w:cs="Times New Roman"/>
                <w:sz w:val="24"/>
                <w:szCs w:val="24"/>
              </w:rPr>
              <w:t>The program has not provided the Office of Head Start with a compelling reason not to comply with this requirement.</w:t>
            </w:r>
          </w:p>
          <w:p w:rsidR="00A80579" w:rsidRDefault="00A80579" w:rsidP="006C6CA9">
            <w:pPr>
              <w:rPr>
                <w:rFonts w:ascii="Times New Roman" w:eastAsia="Times New Roman" w:hAnsi="Times New Roman" w:cs="Times New Roman"/>
                <w:b/>
                <w:sz w:val="24"/>
                <w:szCs w:val="24"/>
                <w:u w:val="single"/>
              </w:rPr>
            </w:pPr>
          </w:p>
          <w:p w:rsidR="004351F7" w:rsidRPr="00C1694A" w:rsidRDefault="004351F7" w:rsidP="006C6CA9">
            <w:pPr>
              <w:rPr>
                <w:rFonts w:ascii="Times New Roman" w:hAnsi="Times New Roman" w:cs="Times New Roman"/>
                <w:b/>
                <w:sz w:val="24"/>
                <w:szCs w:val="24"/>
              </w:rPr>
            </w:pPr>
            <w:r w:rsidRPr="00C1694A">
              <w:rPr>
                <w:rFonts w:ascii="Times New Roman" w:eastAsia="Times New Roman" w:hAnsi="Times New Roman" w:cs="Times New Roman"/>
                <w:b/>
                <w:sz w:val="24"/>
                <w:szCs w:val="24"/>
                <w:u w:val="single"/>
              </w:rPr>
              <w:t>§1302.53(b)(3):</w:t>
            </w:r>
            <w:r w:rsidRPr="00C1694A">
              <w:rPr>
                <w:rFonts w:ascii="Times New Roman" w:eastAsia="Times New Roman" w:hAnsi="Times New Roman" w:cs="Times New Roman"/>
                <w:b/>
                <w:sz w:val="24"/>
                <w:szCs w:val="24"/>
              </w:rPr>
              <w:t xml:space="preserve">  </w:t>
            </w:r>
            <w:r w:rsidRPr="00C1694A">
              <w:rPr>
                <w:rFonts w:ascii="Times New Roman" w:hAnsi="Times New Roman" w:cs="Times New Roman"/>
                <w:b/>
                <w:sz w:val="24"/>
                <w:szCs w:val="24"/>
                <w:u w:val="single"/>
              </w:rPr>
              <w:t>Data systems</w:t>
            </w:r>
            <w:r w:rsidRPr="00C1694A">
              <w:rPr>
                <w:rFonts w:ascii="Times New Roman" w:hAnsi="Times New Roman" w:cs="Times New Roman"/>
                <w:b/>
                <w:sz w:val="24"/>
                <w:szCs w:val="24"/>
              </w:rPr>
              <w:t>.</w:t>
            </w:r>
            <w:r w:rsidRPr="00C1694A">
              <w:rPr>
                <w:rFonts w:ascii="Times New Roman" w:hAnsi="Times New Roman" w:cs="Times New Roman"/>
                <w:sz w:val="24"/>
                <w:szCs w:val="24"/>
              </w:rPr>
              <w:t xml:space="preserve"> </w:t>
            </w:r>
            <w:r w:rsidR="00AD7356" w:rsidRPr="00C1694A">
              <w:rPr>
                <w:rFonts w:ascii="Times New Roman" w:hAnsi="Times New Roman" w:cs="Times New Roman"/>
                <w:sz w:val="24"/>
                <w:szCs w:val="24"/>
              </w:rPr>
              <w:t>A program, with the exception of American Indian</w:t>
            </w:r>
            <w:r w:rsidR="00BB7A28" w:rsidRPr="00C1694A">
              <w:rPr>
                <w:rFonts w:ascii="Times New Roman" w:hAnsi="Times New Roman" w:cs="Times New Roman"/>
                <w:sz w:val="24"/>
                <w:szCs w:val="24"/>
              </w:rPr>
              <w:t xml:space="preserve"> and </w:t>
            </w:r>
            <w:r w:rsidR="00AD7356" w:rsidRPr="00C1694A">
              <w:rPr>
                <w:rFonts w:ascii="Times New Roman" w:hAnsi="Times New Roman" w:cs="Times New Roman"/>
                <w:sz w:val="24"/>
                <w:szCs w:val="24"/>
              </w:rPr>
              <w:t>Alaska Native programs</w:t>
            </w:r>
            <w:r w:rsidR="00A80579">
              <w:rPr>
                <w:rFonts w:ascii="Times New Roman" w:hAnsi="Times New Roman" w:cs="Times New Roman"/>
                <w:sz w:val="24"/>
                <w:szCs w:val="24"/>
              </w:rPr>
              <w:t xml:space="preserve"> </w:t>
            </w:r>
            <w:r w:rsidR="00A80579" w:rsidRPr="00C1694A">
              <w:rPr>
                <w:rFonts w:ascii="Times New Roman" w:hAnsi="Times New Roman" w:cs="Times New Roman"/>
                <w:sz w:val="24"/>
                <w:szCs w:val="24"/>
              </w:rPr>
              <w:t>unless they would like to and to the extent practicable</w:t>
            </w:r>
            <w:r w:rsidR="00AD7356" w:rsidRPr="00C1694A">
              <w:rPr>
                <w:rFonts w:ascii="Times New Roman" w:hAnsi="Times New Roman" w:cs="Times New Roman"/>
                <w:sz w:val="24"/>
                <w:szCs w:val="24"/>
              </w:rPr>
              <w:t xml:space="preserve">, should integrate and share relevant data with state education data systems, to the extent practicable, if the program can receive similar support and benefits as other participating early childhood programs.  </w:t>
            </w:r>
          </w:p>
        </w:tc>
        <w:tc>
          <w:tcPr>
            <w:tcW w:w="1883" w:type="dxa"/>
          </w:tcPr>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r w:rsidRPr="00C1694A">
              <w:rPr>
                <w:rFonts w:ascii="Times New Roman" w:hAnsi="Times New Roman" w:cs="Times New Roman"/>
                <w:b/>
                <w:sz w:val="24"/>
                <w:szCs w:val="24"/>
              </w:rPr>
              <w:t>August 1, 2017</w:t>
            </w:r>
          </w:p>
        </w:tc>
      </w:tr>
      <w:tr w:rsidR="004351F7" w:rsidRPr="00C1694A" w:rsidTr="00D23898">
        <w:tc>
          <w:tcPr>
            <w:tcW w:w="0" w:type="auto"/>
          </w:tcPr>
          <w:p w:rsidR="004351F7" w:rsidRPr="00C1694A" w:rsidRDefault="004351F7" w:rsidP="006C6CA9">
            <w:pPr>
              <w:jc w:val="center"/>
              <w:rPr>
                <w:rFonts w:ascii="Times New Roman" w:hAnsi="Times New Roman" w:cs="Times New Roman"/>
                <w:b/>
                <w:sz w:val="24"/>
                <w:szCs w:val="24"/>
              </w:rPr>
            </w:pPr>
            <w:r w:rsidRPr="00C1694A">
              <w:rPr>
                <w:rFonts w:ascii="Times New Roman" w:hAnsi="Times New Roman" w:cs="Times New Roman"/>
                <w:sz w:val="24"/>
                <w:szCs w:val="24"/>
              </w:rPr>
              <w:br w:type="page"/>
            </w:r>
            <w:r w:rsidR="00155814" w:rsidRPr="00C1694A">
              <w:rPr>
                <w:rFonts w:ascii="Times New Roman" w:hAnsi="Times New Roman" w:cs="Times New Roman"/>
                <w:b/>
                <w:sz w:val="24"/>
                <w:szCs w:val="24"/>
              </w:rPr>
              <w:t>Complete b</w:t>
            </w:r>
            <w:r w:rsidR="009A2F5A" w:rsidRPr="00C1694A">
              <w:rPr>
                <w:rFonts w:ascii="Times New Roman" w:hAnsi="Times New Roman" w:cs="Times New Roman"/>
                <w:b/>
                <w:sz w:val="24"/>
                <w:szCs w:val="24"/>
              </w:rPr>
              <w:t>ackground check</w:t>
            </w:r>
            <w:r w:rsidRPr="00C1694A">
              <w:rPr>
                <w:rFonts w:ascii="Times New Roman" w:hAnsi="Times New Roman" w:cs="Times New Roman"/>
                <w:b/>
                <w:sz w:val="24"/>
                <w:szCs w:val="24"/>
              </w:rPr>
              <w:t xml:space="preserve"> </w:t>
            </w:r>
            <w:r w:rsidR="009A2F5A" w:rsidRPr="00C1694A">
              <w:rPr>
                <w:rFonts w:ascii="Times New Roman" w:hAnsi="Times New Roman" w:cs="Times New Roman"/>
                <w:b/>
                <w:sz w:val="24"/>
                <w:szCs w:val="24"/>
              </w:rPr>
              <w:t>procedures</w:t>
            </w:r>
          </w:p>
          <w:p w:rsidR="004351F7" w:rsidRPr="00C1694A" w:rsidRDefault="004351F7" w:rsidP="006C6CA9">
            <w:pPr>
              <w:jc w:val="center"/>
              <w:rPr>
                <w:rFonts w:ascii="Times New Roman" w:hAnsi="Times New Roman" w:cs="Times New Roman"/>
                <w:b/>
                <w:sz w:val="24"/>
                <w:szCs w:val="24"/>
              </w:rPr>
            </w:pPr>
          </w:p>
          <w:p w:rsidR="004351F7" w:rsidRPr="00AC521C" w:rsidRDefault="004351F7" w:rsidP="00AC521C">
            <w:pPr>
              <w:rPr>
                <w:rFonts w:ascii="Times New Roman" w:hAnsi="Times New Roman" w:cs="Times New Roman"/>
                <w:sz w:val="24"/>
                <w:szCs w:val="24"/>
              </w:rPr>
            </w:pPr>
            <w:r w:rsidRPr="00C1694A">
              <w:rPr>
                <w:rFonts w:ascii="Times New Roman" w:hAnsi="Times New Roman" w:cs="Times New Roman"/>
                <w:b/>
                <w:sz w:val="24"/>
                <w:szCs w:val="24"/>
                <w:u w:val="single"/>
              </w:rPr>
              <w:t>§1302.90(b)(2):</w:t>
            </w:r>
            <w:r w:rsidRPr="00C1694A">
              <w:rPr>
                <w:rFonts w:ascii="Times New Roman" w:hAnsi="Times New Roman" w:cs="Times New Roman"/>
                <w:sz w:val="24"/>
                <w:szCs w:val="24"/>
              </w:rPr>
              <w:t xml:space="preserve"> A program has 90 days after an employee is hired to complete the background check process by obtaining</w:t>
            </w:r>
            <w:r w:rsidR="00567DFB">
              <w:rPr>
                <w:rFonts w:ascii="Times New Roman" w:hAnsi="Times New Roman" w:cs="Times New Roman"/>
                <w:sz w:val="24"/>
                <w:szCs w:val="24"/>
              </w:rPr>
              <w:t xml:space="preserve"> w</w:t>
            </w:r>
            <w:r w:rsidRPr="00AC521C">
              <w:rPr>
                <w:rFonts w:ascii="Times New Roman" w:hAnsi="Times New Roman" w:cs="Times New Roman"/>
                <w:sz w:val="24"/>
                <w:szCs w:val="24"/>
              </w:rPr>
              <w:t xml:space="preserve">hichever check listed in </w:t>
            </w:r>
            <w:r w:rsidR="00DD6709">
              <w:rPr>
                <w:rFonts w:ascii="Times New Roman" w:hAnsi="Times New Roman" w:cs="Times New Roman"/>
                <w:sz w:val="24"/>
                <w:szCs w:val="24"/>
              </w:rPr>
              <w:t>§1302.90</w:t>
            </w:r>
            <w:r w:rsidRPr="00AC521C">
              <w:rPr>
                <w:rFonts w:ascii="Times New Roman" w:hAnsi="Times New Roman" w:cs="Times New Roman"/>
                <w:sz w:val="24"/>
                <w:szCs w:val="24"/>
              </w:rPr>
              <w:t>(b)(1) was not obtained prior to the date of hire;</w:t>
            </w:r>
            <w:r w:rsidR="00323500" w:rsidRPr="00AC521C">
              <w:rPr>
                <w:rFonts w:ascii="Times New Roman" w:hAnsi="Times New Roman" w:cs="Times New Roman"/>
                <w:sz w:val="24"/>
                <w:szCs w:val="24"/>
              </w:rPr>
              <w:t xml:space="preserve"> and,</w:t>
            </w:r>
            <w:r w:rsidR="00567DFB">
              <w:rPr>
                <w:rFonts w:ascii="Times New Roman" w:hAnsi="Times New Roman" w:cs="Times New Roman"/>
                <w:sz w:val="24"/>
                <w:szCs w:val="24"/>
              </w:rPr>
              <w:t xml:space="preserve"> c</w:t>
            </w:r>
            <w:r w:rsidRPr="00AC521C">
              <w:rPr>
                <w:rFonts w:ascii="Times New Roman" w:hAnsi="Times New Roman" w:cs="Times New Roman"/>
                <w:sz w:val="24"/>
                <w:szCs w:val="24"/>
              </w:rPr>
              <w:t>hild abuse and neglect state registry check, if available</w:t>
            </w:r>
            <w:r w:rsidR="00323500" w:rsidRPr="00AC521C">
              <w:rPr>
                <w:rFonts w:ascii="Times New Roman" w:hAnsi="Times New Roman" w:cs="Times New Roman"/>
                <w:sz w:val="24"/>
                <w:szCs w:val="24"/>
              </w:rPr>
              <w:t>.</w:t>
            </w:r>
          </w:p>
          <w:p w:rsidR="004351F7" w:rsidRPr="00C1694A" w:rsidRDefault="004351F7" w:rsidP="00DC44D0">
            <w:pPr>
              <w:ind w:firstLine="720"/>
              <w:rPr>
                <w:rFonts w:ascii="Times New Roman" w:hAnsi="Times New Roman" w:cs="Times New Roman"/>
                <w:sz w:val="24"/>
                <w:szCs w:val="24"/>
                <w:u w:val="single"/>
              </w:rPr>
            </w:pPr>
          </w:p>
          <w:p w:rsidR="00D42C8C" w:rsidRPr="00C1694A" w:rsidRDefault="004351F7" w:rsidP="00D42C8C">
            <w:pPr>
              <w:rPr>
                <w:rFonts w:ascii="Times New Roman" w:hAnsi="Times New Roman" w:cs="Times New Roman"/>
                <w:sz w:val="24"/>
                <w:szCs w:val="24"/>
              </w:rPr>
            </w:pPr>
            <w:r w:rsidRPr="00C1694A">
              <w:rPr>
                <w:rFonts w:ascii="Times New Roman" w:hAnsi="Times New Roman" w:cs="Times New Roman"/>
                <w:b/>
                <w:sz w:val="24"/>
                <w:szCs w:val="24"/>
                <w:u w:val="single"/>
              </w:rPr>
              <w:t>§1302.90(b)(</w:t>
            </w:r>
            <w:r w:rsidR="00A7381C">
              <w:rPr>
                <w:rFonts w:ascii="Times New Roman" w:hAnsi="Times New Roman" w:cs="Times New Roman"/>
                <w:b/>
                <w:sz w:val="24"/>
                <w:szCs w:val="24"/>
                <w:u w:val="single"/>
              </w:rPr>
              <w:t>4</w:t>
            </w:r>
            <w:r w:rsidRPr="00C1694A">
              <w:rPr>
                <w:rFonts w:ascii="Times New Roman" w:hAnsi="Times New Roman" w:cs="Times New Roman"/>
                <w:b/>
                <w:sz w:val="24"/>
                <w:szCs w:val="24"/>
                <w:u w:val="single"/>
              </w:rPr>
              <w:t>):</w:t>
            </w:r>
            <w:r w:rsidRPr="00C1694A">
              <w:rPr>
                <w:rFonts w:ascii="Times New Roman" w:eastAsia="MS Mincho" w:hAnsi="Times New Roman" w:cs="Times New Roman"/>
                <w:sz w:val="24"/>
                <w:szCs w:val="24"/>
              </w:rPr>
              <w:t xml:space="preserve"> </w:t>
            </w:r>
            <w:r w:rsidR="00D42C8C" w:rsidRPr="00C1694A">
              <w:rPr>
                <w:rFonts w:ascii="Times New Roman" w:hAnsi="Times New Roman" w:cs="Times New Roman"/>
                <w:sz w:val="24"/>
                <w:szCs w:val="24"/>
              </w:rPr>
              <w:t xml:space="preserve"> A program must ensure a newly hired employee, consultant, or contractor does not have unsupervised access to children until the complete background check process described in </w:t>
            </w:r>
            <w:r w:rsidR="00DD6709">
              <w:rPr>
                <w:rFonts w:ascii="Times New Roman" w:hAnsi="Times New Roman" w:cs="Times New Roman"/>
                <w:sz w:val="24"/>
                <w:szCs w:val="24"/>
              </w:rPr>
              <w:t>§1302.90</w:t>
            </w:r>
            <w:r w:rsidR="00D42C8C" w:rsidRPr="00C1694A">
              <w:rPr>
                <w:rFonts w:ascii="Times New Roman" w:hAnsi="Times New Roman" w:cs="Times New Roman"/>
                <w:sz w:val="24"/>
                <w:szCs w:val="24"/>
              </w:rPr>
              <w:t>(b)(1)</w:t>
            </w:r>
            <w:r w:rsidR="00D42C8C">
              <w:rPr>
                <w:rFonts w:ascii="Times New Roman" w:hAnsi="Times New Roman" w:cs="Times New Roman"/>
                <w:sz w:val="24"/>
                <w:szCs w:val="24"/>
              </w:rPr>
              <w:t xml:space="preserve"> through</w:t>
            </w:r>
            <w:r w:rsidR="00D42C8C" w:rsidRPr="00C1694A">
              <w:rPr>
                <w:rFonts w:ascii="Times New Roman" w:hAnsi="Times New Roman" w:cs="Times New Roman"/>
                <w:sz w:val="24"/>
                <w:szCs w:val="24"/>
              </w:rPr>
              <w:t xml:space="preserve"> (3) is complete.  </w:t>
            </w:r>
          </w:p>
          <w:p w:rsidR="004351F7" w:rsidRPr="00C1694A" w:rsidRDefault="004351F7" w:rsidP="006C6CA9">
            <w:pPr>
              <w:rPr>
                <w:rFonts w:ascii="Times New Roman" w:eastAsia="MS Mincho" w:hAnsi="Times New Roman" w:cs="Times New Roman"/>
                <w:sz w:val="24"/>
                <w:szCs w:val="24"/>
              </w:rPr>
            </w:pPr>
          </w:p>
          <w:p w:rsidR="004351F7" w:rsidRPr="00C1694A" w:rsidRDefault="004351F7" w:rsidP="00AD7356">
            <w:pPr>
              <w:rPr>
                <w:rFonts w:ascii="Times New Roman" w:hAnsi="Times New Roman" w:cs="Times New Roman"/>
                <w:b/>
                <w:bCs/>
                <w:caps/>
                <w:sz w:val="24"/>
                <w:szCs w:val="24"/>
              </w:rPr>
            </w:pPr>
            <w:r w:rsidRPr="00C1694A">
              <w:rPr>
                <w:rFonts w:ascii="Times New Roman" w:hAnsi="Times New Roman" w:cs="Times New Roman"/>
                <w:b/>
                <w:sz w:val="24"/>
                <w:szCs w:val="24"/>
                <w:u w:val="single"/>
              </w:rPr>
              <w:t>§1302.90(b)(5):</w:t>
            </w:r>
            <w:r w:rsidRPr="00C1694A">
              <w:rPr>
                <w:rFonts w:ascii="Times New Roman" w:eastAsia="MS Mincho" w:hAnsi="Times New Roman" w:cs="Times New Roman"/>
                <w:sz w:val="24"/>
                <w:szCs w:val="24"/>
              </w:rPr>
              <w:t xml:space="preserve"> </w:t>
            </w:r>
            <w:r w:rsidR="00323500" w:rsidRPr="00C1694A">
              <w:rPr>
                <w:rFonts w:ascii="Times New Roman" w:hAnsi="Times New Roman" w:cs="Times New Roman"/>
                <w:sz w:val="24"/>
                <w:szCs w:val="24"/>
              </w:rPr>
              <w:t xml:space="preserve">A program must conduct the complete background check for each employee, consultant, or contractor at least once every five years which must include each of the four checks listed in </w:t>
            </w:r>
            <w:r w:rsidR="00DD6709">
              <w:rPr>
                <w:rFonts w:ascii="Times New Roman" w:hAnsi="Times New Roman" w:cs="Times New Roman"/>
                <w:sz w:val="24"/>
                <w:szCs w:val="24"/>
              </w:rPr>
              <w:t>§1302.90</w:t>
            </w:r>
            <w:r w:rsidR="00323500" w:rsidRPr="00C1694A">
              <w:rPr>
                <w:rFonts w:ascii="Times New Roman" w:hAnsi="Times New Roman" w:cs="Times New Roman"/>
                <w:sz w:val="24"/>
                <w:szCs w:val="24"/>
              </w:rPr>
              <w:t xml:space="preserve">(b)(1) and (2), and review and make employment decisions based on the information as described in </w:t>
            </w:r>
            <w:r w:rsidR="00DD6709">
              <w:rPr>
                <w:rFonts w:ascii="Times New Roman" w:hAnsi="Times New Roman" w:cs="Times New Roman"/>
                <w:sz w:val="24"/>
                <w:szCs w:val="24"/>
              </w:rPr>
              <w:t>§1302.90</w:t>
            </w:r>
            <w:r w:rsidR="00A7381C">
              <w:rPr>
                <w:rFonts w:ascii="Times New Roman" w:hAnsi="Times New Roman" w:cs="Times New Roman"/>
                <w:sz w:val="24"/>
                <w:szCs w:val="24"/>
              </w:rPr>
              <w:t>(b)</w:t>
            </w:r>
            <w:r w:rsidR="00323500" w:rsidRPr="00C1694A">
              <w:rPr>
                <w:rFonts w:ascii="Times New Roman" w:hAnsi="Times New Roman" w:cs="Times New Roman"/>
                <w:sz w:val="24"/>
                <w:szCs w:val="24"/>
              </w:rPr>
              <w:t>(3), unless the program can demonstrate to the responsible HHS official that it has a more stringent system in place that will ensure child safety.</w:t>
            </w:r>
          </w:p>
        </w:tc>
        <w:tc>
          <w:tcPr>
            <w:tcW w:w="1883" w:type="dxa"/>
          </w:tcPr>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bCs/>
                <w:caps/>
                <w:sz w:val="24"/>
                <w:szCs w:val="24"/>
              </w:rPr>
            </w:pPr>
            <w:r w:rsidRPr="00C1694A">
              <w:rPr>
                <w:rFonts w:ascii="Times New Roman" w:hAnsi="Times New Roman" w:cs="Times New Roman"/>
                <w:b/>
                <w:sz w:val="24"/>
                <w:szCs w:val="24"/>
              </w:rPr>
              <w:t>August 1, 2017</w:t>
            </w:r>
          </w:p>
        </w:tc>
      </w:tr>
      <w:tr w:rsidR="00630123" w:rsidRPr="00C1694A" w:rsidTr="0089144B">
        <w:tc>
          <w:tcPr>
            <w:tcW w:w="0" w:type="auto"/>
          </w:tcPr>
          <w:p w:rsidR="00630123" w:rsidRPr="00C1694A" w:rsidRDefault="00630123" w:rsidP="006C6CA9">
            <w:pPr>
              <w:jc w:val="center"/>
              <w:rPr>
                <w:rFonts w:ascii="Times New Roman" w:hAnsi="Times New Roman" w:cs="Times New Roman"/>
                <w:b/>
                <w:sz w:val="24"/>
                <w:szCs w:val="24"/>
              </w:rPr>
            </w:pPr>
            <w:r w:rsidRPr="00C1694A">
              <w:rPr>
                <w:rFonts w:ascii="Times New Roman" w:hAnsi="Times New Roman" w:cs="Times New Roman"/>
                <w:b/>
                <w:sz w:val="24"/>
                <w:szCs w:val="24"/>
              </w:rPr>
              <w:t>Child Development Specialist staff qualification</w:t>
            </w:r>
          </w:p>
          <w:p w:rsidR="00630123" w:rsidRPr="00C1694A" w:rsidRDefault="00630123" w:rsidP="006C6CA9">
            <w:pPr>
              <w:jc w:val="center"/>
              <w:rPr>
                <w:rFonts w:ascii="Times New Roman" w:hAnsi="Times New Roman" w:cs="Times New Roman"/>
                <w:sz w:val="24"/>
                <w:szCs w:val="24"/>
              </w:rPr>
            </w:pPr>
          </w:p>
          <w:p w:rsidR="00630123" w:rsidRPr="00C1694A" w:rsidRDefault="00630123" w:rsidP="00D23898">
            <w:pPr>
              <w:rPr>
                <w:rFonts w:ascii="Times New Roman" w:hAnsi="Times New Roman" w:cs="Times New Roman"/>
                <w:b/>
                <w:sz w:val="24"/>
                <w:szCs w:val="24"/>
              </w:rPr>
            </w:pPr>
            <w:r w:rsidRPr="00C1694A">
              <w:rPr>
                <w:rFonts w:ascii="Times New Roman" w:hAnsi="Times New Roman" w:cs="Times New Roman"/>
                <w:b/>
                <w:sz w:val="24"/>
                <w:szCs w:val="24"/>
                <w:u w:val="single"/>
              </w:rPr>
              <w:t>§1302.91(e)(4)(ii):</w:t>
            </w:r>
            <w:r w:rsidRPr="00C1694A">
              <w:rPr>
                <w:rFonts w:ascii="Times New Roman" w:hAnsi="Times New Roman" w:cs="Times New Roman"/>
                <w:sz w:val="24"/>
                <w:szCs w:val="24"/>
              </w:rPr>
              <w:t xml:space="preserve">  By August 1, 2018</w:t>
            </w:r>
            <w:r w:rsidR="00CE4A25" w:rsidRPr="00C1694A">
              <w:rPr>
                <w:rFonts w:ascii="Times New Roman" w:hAnsi="Times New Roman" w:cs="Times New Roman"/>
                <w:sz w:val="24"/>
                <w:szCs w:val="24"/>
              </w:rPr>
              <w:t>,</w:t>
            </w:r>
            <w:r w:rsidRPr="00C1694A">
              <w:rPr>
                <w:rFonts w:ascii="Times New Roman" w:hAnsi="Times New Roman" w:cs="Times New Roman"/>
                <w:sz w:val="24"/>
                <w:szCs w:val="24"/>
              </w:rPr>
              <w:t xml:space="preserve"> a child development specialist, as required for family child care in §1302.23(e), must have, at a minimum, a baccalaureate degree in child development,</w:t>
            </w:r>
            <w:r w:rsidR="00747C23" w:rsidRPr="00C1694A">
              <w:rPr>
                <w:rFonts w:ascii="Times New Roman" w:hAnsi="Times New Roman" w:cs="Times New Roman"/>
                <w:sz w:val="24"/>
                <w:szCs w:val="24"/>
              </w:rPr>
              <w:t xml:space="preserve"> </w:t>
            </w:r>
            <w:r w:rsidRPr="00C1694A">
              <w:rPr>
                <w:rFonts w:ascii="Times New Roman" w:hAnsi="Times New Roman" w:cs="Times New Roman"/>
                <w:sz w:val="24"/>
                <w:szCs w:val="24"/>
              </w:rPr>
              <w:t>early childhood education, or a related field.</w:t>
            </w:r>
          </w:p>
          <w:p w:rsidR="00630123" w:rsidRPr="00C1694A" w:rsidRDefault="00630123" w:rsidP="006C6CA9">
            <w:pPr>
              <w:jc w:val="center"/>
              <w:rPr>
                <w:rFonts w:ascii="Times New Roman" w:hAnsi="Times New Roman" w:cs="Times New Roman"/>
                <w:b/>
                <w:sz w:val="24"/>
                <w:szCs w:val="24"/>
              </w:rPr>
            </w:pPr>
          </w:p>
        </w:tc>
        <w:tc>
          <w:tcPr>
            <w:tcW w:w="1883" w:type="dxa"/>
          </w:tcPr>
          <w:p w:rsidR="00630123" w:rsidRPr="00C1694A" w:rsidRDefault="00630123" w:rsidP="006C6CA9">
            <w:pPr>
              <w:jc w:val="center"/>
              <w:rPr>
                <w:rFonts w:ascii="Times New Roman" w:hAnsi="Times New Roman" w:cs="Times New Roman"/>
                <w:b/>
                <w:sz w:val="24"/>
                <w:szCs w:val="24"/>
              </w:rPr>
            </w:pPr>
          </w:p>
          <w:p w:rsidR="00630123" w:rsidRPr="00C1694A" w:rsidRDefault="00630123" w:rsidP="006C6CA9">
            <w:pPr>
              <w:jc w:val="center"/>
              <w:rPr>
                <w:rFonts w:ascii="Times New Roman" w:hAnsi="Times New Roman" w:cs="Times New Roman"/>
                <w:b/>
                <w:sz w:val="24"/>
                <w:szCs w:val="24"/>
              </w:rPr>
            </w:pPr>
          </w:p>
          <w:p w:rsidR="00630123" w:rsidRPr="00C1694A" w:rsidRDefault="00630123" w:rsidP="006C6CA9">
            <w:pPr>
              <w:jc w:val="center"/>
              <w:rPr>
                <w:rFonts w:ascii="Times New Roman" w:hAnsi="Times New Roman" w:cs="Times New Roman"/>
                <w:b/>
                <w:sz w:val="24"/>
                <w:szCs w:val="24"/>
              </w:rPr>
            </w:pPr>
            <w:r w:rsidRPr="00C1694A">
              <w:rPr>
                <w:rFonts w:ascii="Times New Roman" w:hAnsi="Times New Roman" w:cs="Times New Roman"/>
                <w:b/>
                <w:sz w:val="24"/>
                <w:szCs w:val="24"/>
              </w:rPr>
              <w:t>August 1, 2018</w:t>
            </w:r>
          </w:p>
        </w:tc>
      </w:tr>
      <w:tr w:rsidR="004351F7" w:rsidRPr="00C1694A" w:rsidTr="00D23898">
        <w:tc>
          <w:tcPr>
            <w:tcW w:w="0" w:type="auto"/>
          </w:tcPr>
          <w:p w:rsidR="004351F7" w:rsidRPr="00C1694A" w:rsidRDefault="009A2F5A" w:rsidP="006C6CA9">
            <w:pPr>
              <w:jc w:val="center"/>
              <w:rPr>
                <w:rFonts w:ascii="Times New Roman" w:hAnsi="Times New Roman" w:cs="Times New Roman"/>
                <w:b/>
                <w:sz w:val="24"/>
                <w:szCs w:val="24"/>
              </w:rPr>
            </w:pPr>
            <w:r w:rsidRPr="00C1694A">
              <w:rPr>
                <w:rFonts w:ascii="Times New Roman" w:hAnsi="Times New Roman" w:cs="Times New Roman"/>
                <w:b/>
                <w:sz w:val="24"/>
                <w:szCs w:val="24"/>
              </w:rPr>
              <w:t>Home visitor staff qualifications</w:t>
            </w:r>
          </w:p>
          <w:p w:rsidR="004351F7" w:rsidRPr="00C1694A" w:rsidRDefault="004351F7" w:rsidP="006C6CA9">
            <w:pPr>
              <w:jc w:val="center"/>
              <w:rPr>
                <w:rFonts w:ascii="Times New Roman" w:hAnsi="Times New Roman" w:cs="Times New Roman"/>
                <w:b/>
                <w:sz w:val="24"/>
                <w:szCs w:val="24"/>
              </w:rPr>
            </w:pPr>
          </w:p>
          <w:p w:rsidR="004351F7" w:rsidRPr="00AC521C" w:rsidRDefault="004351F7" w:rsidP="00AC521C">
            <w:pPr>
              <w:rPr>
                <w:rFonts w:ascii="Times New Roman" w:hAnsi="Times New Roman" w:cs="Times New Roman"/>
                <w:sz w:val="24"/>
                <w:szCs w:val="24"/>
              </w:rPr>
            </w:pPr>
            <w:r w:rsidRPr="00C1694A">
              <w:rPr>
                <w:rFonts w:ascii="Times New Roman" w:hAnsi="Times New Roman" w:cs="Times New Roman"/>
                <w:b/>
                <w:sz w:val="24"/>
                <w:szCs w:val="24"/>
                <w:u w:val="single"/>
              </w:rPr>
              <w:t>§1302.91(e)(6)</w:t>
            </w:r>
            <w:r w:rsidR="008B4C51">
              <w:rPr>
                <w:rFonts w:ascii="Times New Roman" w:hAnsi="Times New Roman" w:cs="Times New Roman"/>
                <w:b/>
                <w:sz w:val="24"/>
                <w:szCs w:val="24"/>
                <w:u w:val="single"/>
              </w:rPr>
              <w:t>(i)</w:t>
            </w:r>
            <w:r w:rsidRPr="00C1694A">
              <w:rPr>
                <w:rFonts w:ascii="Times New Roman" w:hAnsi="Times New Roman" w:cs="Times New Roman"/>
                <w:b/>
                <w:sz w:val="24"/>
                <w:szCs w:val="24"/>
                <w:u w:val="single"/>
              </w:rPr>
              <w:t>:</w:t>
            </w:r>
            <w:r w:rsidRPr="00C1694A">
              <w:rPr>
                <w:rFonts w:ascii="Times New Roman" w:hAnsi="Times New Roman" w:cs="Times New Roman"/>
                <w:sz w:val="24"/>
                <w:szCs w:val="24"/>
              </w:rPr>
              <w:t xml:space="preserve">  A program must ensure home visitors providing home-based education services</w:t>
            </w:r>
            <w:r w:rsidR="008B4C51">
              <w:rPr>
                <w:rFonts w:ascii="Times New Roman" w:hAnsi="Times New Roman" w:cs="Times New Roman"/>
                <w:sz w:val="24"/>
                <w:szCs w:val="24"/>
              </w:rPr>
              <w:t xml:space="preserve"> h</w:t>
            </w:r>
            <w:r w:rsidRPr="00AC521C">
              <w:rPr>
                <w:rFonts w:ascii="Times New Roman" w:hAnsi="Times New Roman" w:cs="Times New Roman"/>
                <w:sz w:val="24"/>
                <w:szCs w:val="24"/>
              </w:rPr>
              <w:t>ave a minimum of a home-based CDA credential or comparable credential, or equivalent coursework as part of an as</w:t>
            </w:r>
            <w:r w:rsidR="009A2F5A" w:rsidRPr="00AC521C">
              <w:rPr>
                <w:rFonts w:ascii="Times New Roman" w:hAnsi="Times New Roman" w:cs="Times New Roman"/>
                <w:sz w:val="24"/>
                <w:szCs w:val="24"/>
              </w:rPr>
              <w:t>sociate’s or bachelor's degree</w:t>
            </w:r>
            <w:r w:rsidR="00323500" w:rsidRPr="00AC521C">
              <w:rPr>
                <w:rFonts w:ascii="Times New Roman" w:hAnsi="Times New Roman" w:cs="Times New Roman"/>
                <w:sz w:val="24"/>
                <w:szCs w:val="24"/>
              </w:rPr>
              <w:t>.</w:t>
            </w:r>
          </w:p>
        </w:tc>
        <w:tc>
          <w:tcPr>
            <w:tcW w:w="1883" w:type="dxa"/>
          </w:tcPr>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r w:rsidRPr="00C1694A">
              <w:rPr>
                <w:rFonts w:ascii="Times New Roman" w:hAnsi="Times New Roman" w:cs="Times New Roman"/>
                <w:b/>
                <w:sz w:val="24"/>
                <w:szCs w:val="24"/>
              </w:rPr>
              <w:t>August 1, 2018</w:t>
            </w:r>
          </w:p>
        </w:tc>
      </w:tr>
      <w:tr w:rsidR="004351F7" w:rsidRPr="00C1694A" w:rsidTr="00D23898">
        <w:tc>
          <w:tcPr>
            <w:tcW w:w="0" w:type="auto"/>
          </w:tcPr>
          <w:p w:rsidR="005819C4" w:rsidRPr="00C1694A" w:rsidRDefault="009A2F5A" w:rsidP="006C6CA9">
            <w:pPr>
              <w:jc w:val="center"/>
              <w:rPr>
                <w:rFonts w:ascii="Times New Roman" w:hAnsi="Times New Roman" w:cs="Times New Roman"/>
                <w:b/>
                <w:sz w:val="24"/>
                <w:szCs w:val="24"/>
              </w:rPr>
            </w:pPr>
            <w:r w:rsidRPr="00C1694A">
              <w:rPr>
                <w:rFonts w:ascii="Times New Roman" w:hAnsi="Times New Roman" w:cs="Times New Roman"/>
                <w:b/>
                <w:sz w:val="24"/>
                <w:szCs w:val="24"/>
              </w:rPr>
              <w:t>C</w:t>
            </w:r>
            <w:r w:rsidR="005819C4" w:rsidRPr="00C1694A">
              <w:rPr>
                <w:rFonts w:ascii="Times New Roman" w:hAnsi="Times New Roman" w:cs="Times New Roman"/>
                <w:b/>
                <w:sz w:val="24"/>
                <w:szCs w:val="24"/>
              </w:rPr>
              <w:t>oordinated coaching strategy</w:t>
            </w:r>
            <w:r w:rsidR="008B4C51">
              <w:rPr>
                <w:rFonts w:ascii="Times New Roman" w:hAnsi="Times New Roman" w:cs="Times New Roman"/>
                <w:b/>
                <w:sz w:val="24"/>
                <w:szCs w:val="24"/>
              </w:rPr>
              <w:t xml:space="preserve"> and coaching staff qualifications</w:t>
            </w:r>
          </w:p>
          <w:p w:rsidR="005819C4" w:rsidRPr="00C1694A" w:rsidRDefault="005819C4" w:rsidP="005819C4">
            <w:pPr>
              <w:ind w:firstLine="720"/>
              <w:rPr>
                <w:rFonts w:ascii="Times New Roman" w:hAnsi="Times New Roman" w:cs="Times New Roman"/>
                <w:b/>
                <w:sz w:val="24"/>
                <w:szCs w:val="24"/>
              </w:rPr>
            </w:pPr>
          </w:p>
          <w:p w:rsidR="004351F7" w:rsidRPr="00AC521C" w:rsidRDefault="004351F7" w:rsidP="008B4C51">
            <w:pPr>
              <w:spacing w:after="200" w:line="276" w:lineRule="auto"/>
              <w:ind w:firstLine="720"/>
              <w:rPr>
                <w:rFonts w:ascii="Times New Roman" w:hAnsi="Times New Roman" w:cs="Times New Roman"/>
                <w:b/>
                <w:sz w:val="24"/>
                <w:szCs w:val="24"/>
              </w:rPr>
            </w:pPr>
            <w:r w:rsidRPr="00C1694A">
              <w:rPr>
                <w:rFonts w:ascii="Times New Roman" w:hAnsi="Times New Roman" w:cs="Times New Roman"/>
                <w:b/>
                <w:sz w:val="24"/>
                <w:szCs w:val="24"/>
                <w:u w:val="single"/>
              </w:rPr>
              <w:t>§1302.92(</w:t>
            </w:r>
            <w:r w:rsidR="00D42C8C">
              <w:rPr>
                <w:rFonts w:ascii="Times New Roman" w:hAnsi="Times New Roman" w:cs="Times New Roman"/>
                <w:b/>
                <w:sz w:val="24"/>
                <w:szCs w:val="24"/>
                <w:u w:val="single"/>
              </w:rPr>
              <w:t>c</w:t>
            </w:r>
            <w:r w:rsidRPr="00C1694A">
              <w:rPr>
                <w:rFonts w:ascii="Times New Roman" w:hAnsi="Times New Roman" w:cs="Times New Roman"/>
                <w:b/>
                <w:sz w:val="24"/>
                <w:szCs w:val="24"/>
                <w:u w:val="single"/>
              </w:rPr>
              <w:t>):</w:t>
            </w:r>
            <w:r w:rsidRPr="00C1694A">
              <w:rPr>
                <w:rFonts w:ascii="Times New Roman" w:hAnsi="Times New Roman" w:cs="Times New Roman"/>
                <w:sz w:val="24"/>
                <w:szCs w:val="24"/>
              </w:rPr>
              <w:t xml:space="preserve">  </w:t>
            </w:r>
            <w:r w:rsidR="00323500" w:rsidRPr="00C1694A">
              <w:rPr>
                <w:rFonts w:ascii="Times New Roman" w:hAnsi="Times New Roman" w:cs="Times New Roman"/>
                <w:sz w:val="24"/>
                <w:szCs w:val="24"/>
              </w:rPr>
              <w:t xml:space="preserve">A program must </w:t>
            </w:r>
            <w:r w:rsidR="008B4C51">
              <w:rPr>
                <w:rFonts w:ascii="Times New Roman" w:hAnsi="Times New Roman" w:cs="Times New Roman"/>
                <w:sz w:val="24"/>
                <w:szCs w:val="24"/>
              </w:rPr>
              <w:t xml:space="preserve">ensure coaches meet staff qualifications in </w:t>
            </w:r>
            <w:r w:rsidR="008B4C51" w:rsidRPr="001E00C8">
              <w:rPr>
                <w:rFonts w:ascii="Times New Roman" w:hAnsi="Times New Roman" w:cs="Times New Roman"/>
                <w:sz w:val="24"/>
                <w:szCs w:val="24"/>
              </w:rPr>
              <w:t>§</w:t>
            </w:r>
            <w:r w:rsidR="008B4C51">
              <w:rPr>
                <w:rFonts w:ascii="Times New Roman" w:hAnsi="Times New Roman" w:cs="Times New Roman"/>
                <w:sz w:val="24"/>
                <w:szCs w:val="24"/>
              </w:rPr>
              <w:t xml:space="preserve">1302.91(f) and must </w:t>
            </w:r>
            <w:r w:rsidR="00323500" w:rsidRPr="00C1694A">
              <w:rPr>
                <w:rFonts w:ascii="Times New Roman" w:hAnsi="Times New Roman" w:cs="Times New Roman"/>
                <w:sz w:val="24"/>
                <w:szCs w:val="24"/>
              </w:rPr>
              <w:t xml:space="preserve">implement a research-based, coordinated coaching strategy for education staff </w:t>
            </w:r>
            <w:r w:rsidR="008B4C51">
              <w:rPr>
                <w:rFonts w:ascii="Times New Roman" w:hAnsi="Times New Roman" w:cs="Times New Roman"/>
                <w:sz w:val="24"/>
                <w:szCs w:val="24"/>
              </w:rPr>
              <w:t xml:space="preserve">as described in </w:t>
            </w:r>
            <w:r w:rsidR="008B4C51" w:rsidRPr="001E00C8">
              <w:rPr>
                <w:rFonts w:ascii="Times New Roman" w:hAnsi="Times New Roman" w:cs="Times New Roman"/>
                <w:sz w:val="24"/>
                <w:szCs w:val="24"/>
              </w:rPr>
              <w:t>§1302.92(c)</w:t>
            </w:r>
            <w:r w:rsidR="008B4C51">
              <w:rPr>
                <w:rFonts w:ascii="Times New Roman" w:hAnsi="Times New Roman" w:cs="Times New Roman"/>
                <w:sz w:val="24"/>
                <w:szCs w:val="24"/>
              </w:rPr>
              <w:t>.</w:t>
            </w:r>
          </w:p>
        </w:tc>
        <w:tc>
          <w:tcPr>
            <w:tcW w:w="1883" w:type="dxa"/>
          </w:tcPr>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r w:rsidRPr="00C1694A">
              <w:rPr>
                <w:rFonts w:ascii="Times New Roman" w:hAnsi="Times New Roman" w:cs="Times New Roman"/>
                <w:b/>
                <w:sz w:val="24"/>
                <w:szCs w:val="24"/>
              </w:rPr>
              <w:t>August 1, 2017</w:t>
            </w:r>
          </w:p>
        </w:tc>
      </w:tr>
      <w:tr w:rsidR="004351F7" w:rsidRPr="00C1694A" w:rsidTr="00D23898">
        <w:tc>
          <w:tcPr>
            <w:tcW w:w="0" w:type="auto"/>
          </w:tcPr>
          <w:p w:rsidR="004351F7" w:rsidRPr="00C1694A" w:rsidRDefault="009A2F5A" w:rsidP="006C6CA9">
            <w:pPr>
              <w:jc w:val="center"/>
              <w:rPr>
                <w:rFonts w:ascii="Times New Roman" w:hAnsi="Times New Roman" w:cs="Times New Roman"/>
                <w:b/>
                <w:sz w:val="24"/>
                <w:szCs w:val="24"/>
              </w:rPr>
            </w:pPr>
            <w:r w:rsidRPr="00C1694A">
              <w:rPr>
                <w:rFonts w:ascii="Times New Roman" w:hAnsi="Times New Roman" w:cs="Times New Roman"/>
                <w:b/>
                <w:sz w:val="24"/>
                <w:szCs w:val="24"/>
              </w:rPr>
              <w:t xml:space="preserve">Management of program data </w:t>
            </w:r>
          </w:p>
          <w:p w:rsidR="009A2F5A" w:rsidRPr="00C1694A" w:rsidRDefault="009A2F5A" w:rsidP="006C6CA9">
            <w:pPr>
              <w:jc w:val="center"/>
              <w:rPr>
                <w:rFonts w:ascii="Times New Roman" w:hAnsi="Times New Roman" w:cs="Times New Roman"/>
                <w:b/>
                <w:sz w:val="24"/>
                <w:szCs w:val="24"/>
              </w:rPr>
            </w:pPr>
          </w:p>
          <w:p w:rsidR="004351F7" w:rsidRPr="00C1694A" w:rsidRDefault="004351F7" w:rsidP="00AC521C">
            <w:pPr>
              <w:pStyle w:val="PlainText"/>
              <w:rPr>
                <w:rFonts w:ascii="Times New Roman" w:hAnsi="Times New Roman" w:cs="Times New Roman"/>
                <w:sz w:val="24"/>
                <w:szCs w:val="24"/>
                <w:lang w:eastAsia="ja-JP"/>
              </w:rPr>
            </w:pPr>
            <w:r w:rsidRPr="00C1694A">
              <w:rPr>
                <w:rFonts w:ascii="Times New Roman" w:hAnsi="Times New Roman" w:cs="Times New Roman"/>
                <w:b/>
                <w:sz w:val="24"/>
                <w:szCs w:val="24"/>
                <w:u w:val="single"/>
              </w:rPr>
              <w:t>§1302.101(b)(4):</w:t>
            </w:r>
            <w:r w:rsidRPr="00C1694A">
              <w:rPr>
                <w:rFonts w:ascii="Times New Roman" w:hAnsi="Times New Roman" w:cs="Times New Roman"/>
                <w:b/>
                <w:sz w:val="24"/>
                <w:szCs w:val="24"/>
              </w:rPr>
              <w:t xml:space="preserve"> </w:t>
            </w:r>
            <w:r w:rsidR="00323500" w:rsidRPr="00C1694A">
              <w:rPr>
                <w:rFonts w:ascii="Times New Roman" w:eastAsia="Times New Roman" w:hAnsi="Times New Roman" w:cs="Times New Roman"/>
                <w:sz w:val="24"/>
                <w:szCs w:val="24"/>
              </w:rPr>
              <w:t>At the beginning of each program year, and on an ongoing basis throughout the year, a program must design and implement program-wide coordinated approaches that ensure</w:t>
            </w:r>
            <w:r w:rsidR="008B4C51">
              <w:rPr>
                <w:rFonts w:ascii="Times New Roman" w:hAnsi="Times New Roman" w:cs="Times New Roman"/>
                <w:sz w:val="24"/>
                <w:szCs w:val="24"/>
              </w:rPr>
              <w:t xml:space="preserve"> t</w:t>
            </w:r>
            <w:r w:rsidR="00323500" w:rsidRPr="00C1694A">
              <w:rPr>
                <w:rFonts w:ascii="Times New Roman" w:hAnsi="Times New Roman" w:cs="Times New Roman"/>
                <w:sz w:val="24"/>
                <w:szCs w:val="24"/>
              </w:rPr>
              <w:t>he management of program data to effectively support the availability, usability, integrity, and security of data.  A program must establish procedures on data management, and have them approved by the governing body and policy council, in areas such as quality of data and effective use and sharing of data, while protecting the privacy of child records in accordance with subpart C of part 1303 and applicable federal, state, local, and tribal laws.</w:t>
            </w:r>
          </w:p>
        </w:tc>
        <w:tc>
          <w:tcPr>
            <w:tcW w:w="1883" w:type="dxa"/>
          </w:tcPr>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p>
          <w:p w:rsidR="004351F7" w:rsidRPr="00C1694A" w:rsidRDefault="004351F7" w:rsidP="006C6CA9">
            <w:pPr>
              <w:jc w:val="center"/>
              <w:rPr>
                <w:rFonts w:ascii="Times New Roman" w:hAnsi="Times New Roman" w:cs="Times New Roman"/>
                <w:b/>
                <w:sz w:val="24"/>
                <w:szCs w:val="24"/>
              </w:rPr>
            </w:pPr>
            <w:r w:rsidRPr="00C1694A">
              <w:rPr>
                <w:rFonts w:ascii="Times New Roman" w:hAnsi="Times New Roman" w:cs="Times New Roman"/>
                <w:b/>
                <w:sz w:val="24"/>
                <w:szCs w:val="24"/>
              </w:rPr>
              <w:t>August 1, 2017</w:t>
            </w:r>
          </w:p>
        </w:tc>
      </w:tr>
    </w:tbl>
    <w:p w:rsidR="004351F7" w:rsidRPr="00C1694A" w:rsidRDefault="004351F7" w:rsidP="00CF0E1F">
      <w:pPr>
        <w:autoSpaceDE w:val="0"/>
        <w:autoSpaceDN w:val="0"/>
        <w:adjustRightInd w:val="0"/>
        <w:spacing w:after="0" w:line="240" w:lineRule="auto"/>
        <w:ind w:left="540"/>
        <w:contextualSpacing/>
        <w:rPr>
          <w:rFonts w:ascii="Times New Roman" w:hAnsi="Times New Roman" w:cs="Times New Roman"/>
          <w:b/>
          <w:sz w:val="24"/>
          <w:szCs w:val="24"/>
        </w:rPr>
      </w:pPr>
    </w:p>
    <w:p w:rsidR="00CF0E1F" w:rsidRPr="00C1694A" w:rsidRDefault="00CF0E1F" w:rsidP="00CF0E1F">
      <w:pPr>
        <w:autoSpaceDE w:val="0"/>
        <w:autoSpaceDN w:val="0"/>
        <w:adjustRightInd w:val="0"/>
        <w:spacing w:after="0" w:line="480" w:lineRule="auto"/>
        <w:rPr>
          <w:rFonts w:ascii="Times New Roman" w:hAnsi="Times New Roman" w:cs="Times New Roman"/>
          <w:b/>
          <w:sz w:val="24"/>
          <w:szCs w:val="24"/>
        </w:rPr>
      </w:pPr>
    </w:p>
    <w:p w:rsidR="00CF0E1F" w:rsidRPr="00C1694A" w:rsidRDefault="00CF0E1F" w:rsidP="00CF0E1F">
      <w:pPr>
        <w:autoSpaceDE w:val="0"/>
        <w:autoSpaceDN w:val="0"/>
        <w:adjustRightInd w:val="0"/>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Table 2: Redesignation Table</w:t>
      </w:r>
    </w:p>
    <w:p w:rsidR="003E24B4" w:rsidRPr="00C1694A" w:rsidRDefault="003E24B4" w:rsidP="009A526A">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 xml:space="preserve">This final rule </w:t>
      </w:r>
      <w:r w:rsidR="000B389D" w:rsidRPr="00C1694A">
        <w:rPr>
          <w:rFonts w:ascii="Times New Roman" w:eastAsia="Times New Roman" w:hAnsi="Times New Roman" w:cs="Times New Roman"/>
          <w:sz w:val="24"/>
          <w:szCs w:val="24"/>
        </w:rPr>
        <w:t>reorganizes and redesignates</w:t>
      </w:r>
      <w:r w:rsidRPr="00C1694A">
        <w:rPr>
          <w:rFonts w:ascii="Times New Roman" w:eastAsia="Times New Roman" w:hAnsi="Times New Roman" w:cs="Times New Roman"/>
          <w:sz w:val="24"/>
          <w:szCs w:val="24"/>
        </w:rPr>
        <w:t xml:space="preserve"> </w:t>
      </w:r>
      <w:r w:rsidR="00CC257A" w:rsidRPr="00C1694A">
        <w:rPr>
          <w:rFonts w:ascii="Times New Roman" w:eastAsia="Times New Roman" w:hAnsi="Times New Roman" w:cs="Times New Roman"/>
          <w:sz w:val="24"/>
          <w:szCs w:val="24"/>
        </w:rPr>
        <w:t xml:space="preserve">the </w:t>
      </w:r>
      <w:r w:rsidRPr="00C1694A">
        <w:rPr>
          <w:rFonts w:ascii="Times New Roman" w:eastAsia="Times New Roman" w:hAnsi="Times New Roman" w:cs="Times New Roman"/>
          <w:sz w:val="24"/>
          <w:szCs w:val="24"/>
        </w:rPr>
        <w:t xml:space="preserve">Head Start </w:t>
      </w:r>
      <w:r w:rsidR="00076281" w:rsidRPr="00C1694A">
        <w:rPr>
          <w:rFonts w:ascii="Times New Roman" w:eastAsia="Times New Roman" w:hAnsi="Times New Roman" w:cs="Times New Roman"/>
          <w:sz w:val="24"/>
          <w:szCs w:val="24"/>
        </w:rPr>
        <w:t>P</w:t>
      </w:r>
      <w:r w:rsidRPr="00C1694A">
        <w:rPr>
          <w:rFonts w:ascii="Times New Roman" w:eastAsia="Times New Roman" w:hAnsi="Times New Roman" w:cs="Times New Roman"/>
          <w:sz w:val="24"/>
          <w:szCs w:val="24"/>
        </w:rPr>
        <w:t xml:space="preserve">rogram </w:t>
      </w:r>
      <w:r w:rsidR="00076281" w:rsidRPr="00C1694A">
        <w:rPr>
          <w:rFonts w:ascii="Times New Roman" w:eastAsia="Times New Roman" w:hAnsi="Times New Roman" w:cs="Times New Roman"/>
          <w:sz w:val="24"/>
          <w:szCs w:val="24"/>
        </w:rPr>
        <w:t>P</w:t>
      </w:r>
      <w:r w:rsidRPr="00C1694A">
        <w:rPr>
          <w:rFonts w:ascii="Times New Roman" w:eastAsia="Times New Roman" w:hAnsi="Times New Roman" w:cs="Times New Roman"/>
          <w:sz w:val="24"/>
          <w:szCs w:val="24"/>
        </w:rPr>
        <w:t xml:space="preserve">erformance </w:t>
      </w:r>
      <w:r w:rsidR="00076281"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tandards </w:t>
      </w:r>
      <w:r w:rsidRPr="00C1694A">
        <w:rPr>
          <w:rFonts w:ascii="Times New Roman" w:hAnsi="Times New Roman" w:cs="Times New Roman"/>
          <w:sz w:val="24"/>
          <w:szCs w:val="24"/>
        </w:rPr>
        <w:t xml:space="preserve">under subchapter B at 45 CFR </w:t>
      </w:r>
      <w:r w:rsidR="0045572D">
        <w:rPr>
          <w:rFonts w:ascii="Times New Roman" w:hAnsi="Times New Roman" w:cs="Times New Roman"/>
          <w:sz w:val="24"/>
          <w:szCs w:val="24"/>
        </w:rPr>
        <w:t>c</w:t>
      </w:r>
      <w:r w:rsidRPr="00C1694A">
        <w:rPr>
          <w:rFonts w:ascii="Times New Roman" w:hAnsi="Times New Roman" w:cs="Times New Roman"/>
          <w:sz w:val="24"/>
          <w:szCs w:val="24"/>
        </w:rPr>
        <w:t xml:space="preserve">hapter XIII.  </w:t>
      </w:r>
      <w:r w:rsidRPr="00C1694A">
        <w:rPr>
          <w:rFonts w:ascii="Times New Roman" w:eastAsia="Times New Roman" w:hAnsi="Times New Roman" w:cs="Times New Roman"/>
          <w:sz w:val="24"/>
          <w:szCs w:val="24"/>
        </w:rPr>
        <w:t xml:space="preserve">We believe our efforts provide </w:t>
      </w:r>
      <w:r w:rsidRPr="00C1694A">
        <w:rPr>
          <w:rFonts w:ascii="Times New Roman" w:hAnsi="Times New Roman" w:cs="Times New Roman"/>
          <w:sz w:val="24"/>
          <w:szCs w:val="24"/>
        </w:rPr>
        <w:t>current and prospective grantees an organized road map on how to provide high</w:t>
      </w:r>
      <w:r w:rsidR="00915289" w:rsidRPr="00C1694A">
        <w:rPr>
          <w:rFonts w:ascii="Times New Roman" w:hAnsi="Times New Roman" w:cs="Times New Roman"/>
          <w:sz w:val="24"/>
          <w:szCs w:val="24"/>
        </w:rPr>
        <w:t>-</w:t>
      </w:r>
      <w:r w:rsidRPr="00C1694A">
        <w:rPr>
          <w:rFonts w:ascii="Times New Roman" w:hAnsi="Times New Roman" w:cs="Times New Roman"/>
          <w:sz w:val="24"/>
          <w:szCs w:val="24"/>
        </w:rPr>
        <w:t xml:space="preserve">quality Head Start services.   </w:t>
      </w:r>
    </w:p>
    <w:p w:rsidR="003515A4" w:rsidRPr="00C1694A" w:rsidRDefault="000B389D"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3E24B4" w:rsidRPr="00C1694A">
        <w:rPr>
          <w:rFonts w:ascii="Times New Roman" w:hAnsi="Times New Roman" w:cs="Times New Roman"/>
          <w:sz w:val="24"/>
          <w:szCs w:val="24"/>
        </w:rPr>
        <w:t>To help the public readily locate sections and provisions</w:t>
      </w:r>
      <w:r w:rsidR="000A4712" w:rsidRPr="00C1694A">
        <w:rPr>
          <w:rFonts w:ascii="Times New Roman" w:hAnsi="Times New Roman" w:cs="Times New Roman"/>
          <w:sz w:val="24"/>
          <w:szCs w:val="24"/>
        </w:rPr>
        <w:t xml:space="preserve"> from the previous performance standards</w:t>
      </w:r>
      <w:r w:rsidR="003E24B4" w:rsidRPr="00C1694A">
        <w:rPr>
          <w:rFonts w:ascii="Times New Roman" w:hAnsi="Times New Roman" w:cs="Times New Roman"/>
          <w:sz w:val="24"/>
          <w:szCs w:val="24"/>
        </w:rPr>
        <w:t xml:space="preserve"> </w:t>
      </w:r>
      <w:r w:rsidR="009D1BCB" w:rsidRPr="00C1694A">
        <w:rPr>
          <w:rFonts w:ascii="Times New Roman" w:hAnsi="Times New Roman" w:cs="Times New Roman"/>
          <w:sz w:val="24"/>
          <w:szCs w:val="24"/>
        </w:rPr>
        <w:t>that are reorganized and redesignated</w:t>
      </w:r>
      <w:r w:rsidR="003E24B4" w:rsidRPr="00C1694A">
        <w:rPr>
          <w:rFonts w:ascii="Times New Roman" w:hAnsi="Times New Roman" w:cs="Times New Roman"/>
          <w:sz w:val="24"/>
          <w:szCs w:val="24"/>
        </w:rPr>
        <w:t>, we include</w:t>
      </w:r>
      <w:r w:rsidR="00145F54" w:rsidRPr="00C1694A">
        <w:rPr>
          <w:rFonts w:ascii="Times New Roman" w:hAnsi="Times New Roman" w:cs="Times New Roman"/>
          <w:sz w:val="24"/>
          <w:szCs w:val="24"/>
        </w:rPr>
        <w:t xml:space="preserve">d </w:t>
      </w:r>
      <w:r w:rsidR="003E24B4" w:rsidRPr="00C1694A">
        <w:rPr>
          <w:rFonts w:ascii="Times New Roman" w:hAnsi="Times New Roman" w:cs="Times New Roman"/>
          <w:sz w:val="24"/>
          <w:szCs w:val="24"/>
        </w:rPr>
        <w:t>redesignation and distribution tables in the NPRM.  The redesignation table list</w:t>
      </w:r>
      <w:r w:rsidR="00145F54" w:rsidRPr="00C1694A">
        <w:rPr>
          <w:rFonts w:ascii="Times New Roman" w:hAnsi="Times New Roman" w:cs="Times New Roman"/>
          <w:sz w:val="24"/>
          <w:szCs w:val="24"/>
        </w:rPr>
        <w:t>ed</w:t>
      </w:r>
      <w:r w:rsidR="003E24B4" w:rsidRPr="00C1694A">
        <w:rPr>
          <w:rFonts w:ascii="Times New Roman" w:hAnsi="Times New Roman" w:cs="Times New Roman"/>
          <w:sz w:val="24"/>
          <w:szCs w:val="24"/>
        </w:rPr>
        <w:t xml:space="preserve"> th</w:t>
      </w:r>
      <w:r w:rsidR="00145F54" w:rsidRPr="00C1694A">
        <w:rPr>
          <w:rFonts w:ascii="Times New Roman" w:hAnsi="Times New Roman" w:cs="Times New Roman"/>
          <w:sz w:val="24"/>
          <w:szCs w:val="24"/>
        </w:rPr>
        <w:t xml:space="preserve">e </w:t>
      </w:r>
      <w:r w:rsidR="000A4712" w:rsidRPr="00C1694A">
        <w:rPr>
          <w:rFonts w:ascii="Times New Roman" w:hAnsi="Times New Roman" w:cs="Times New Roman"/>
          <w:sz w:val="24"/>
          <w:szCs w:val="24"/>
        </w:rPr>
        <w:t>previous</w:t>
      </w:r>
      <w:r w:rsidR="00145F54" w:rsidRPr="00C1694A">
        <w:rPr>
          <w:rFonts w:ascii="Times New Roman" w:hAnsi="Times New Roman" w:cs="Times New Roman"/>
          <w:sz w:val="24"/>
          <w:szCs w:val="24"/>
        </w:rPr>
        <w:t xml:space="preserve"> section and identified</w:t>
      </w:r>
      <w:r w:rsidR="003E24B4" w:rsidRPr="00C1694A">
        <w:rPr>
          <w:rFonts w:ascii="Times New Roman" w:hAnsi="Times New Roman" w:cs="Times New Roman"/>
          <w:sz w:val="24"/>
          <w:szCs w:val="24"/>
        </w:rPr>
        <w:t xml:space="preserve"> the section we propose</w:t>
      </w:r>
      <w:r w:rsidR="00145F54" w:rsidRPr="00C1694A">
        <w:rPr>
          <w:rFonts w:ascii="Times New Roman" w:hAnsi="Times New Roman" w:cs="Times New Roman"/>
          <w:sz w:val="24"/>
          <w:szCs w:val="24"/>
        </w:rPr>
        <w:t>d would</w:t>
      </w:r>
      <w:r w:rsidR="003E24B4" w:rsidRPr="00C1694A">
        <w:rPr>
          <w:rFonts w:ascii="Times New Roman" w:hAnsi="Times New Roman" w:cs="Times New Roman"/>
          <w:sz w:val="24"/>
          <w:szCs w:val="24"/>
        </w:rPr>
        <w:t xml:space="preserve"> replace it.</w:t>
      </w:r>
      <w:r w:rsidR="003E24B4" w:rsidRPr="00C1694A">
        <w:rPr>
          <w:rFonts w:ascii="Times New Roman" w:eastAsia="Times New Roman" w:hAnsi="Times New Roman" w:cs="Times New Roman"/>
          <w:sz w:val="24"/>
          <w:szCs w:val="24"/>
        </w:rPr>
        <w:t xml:space="preserve">  </w:t>
      </w:r>
      <w:r w:rsidR="00145F54" w:rsidRPr="00C1694A">
        <w:rPr>
          <w:rFonts w:ascii="Times New Roman" w:hAnsi="Times New Roman" w:cs="Times New Roman"/>
          <w:sz w:val="24"/>
          <w:szCs w:val="24"/>
        </w:rPr>
        <w:t>The distribution table</w:t>
      </w:r>
      <w:r w:rsidR="00566A26" w:rsidRPr="00C1694A">
        <w:rPr>
          <w:rFonts w:ascii="Times New Roman" w:hAnsi="Times New Roman" w:cs="Times New Roman"/>
          <w:sz w:val="24"/>
          <w:szCs w:val="24"/>
        </w:rPr>
        <w:t xml:space="preserve"> in the NPRM</w:t>
      </w:r>
      <w:r w:rsidR="00145F54" w:rsidRPr="00C1694A">
        <w:rPr>
          <w:rFonts w:ascii="Times New Roman" w:hAnsi="Times New Roman" w:cs="Times New Roman"/>
          <w:sz w:val="24"/>
          <w:szCs w:val="24"/>
        </w:rPr>
        <w:t xml:space="preserve"> listed </w:t>
      </w:r>
      <w:r w:rsidR="000A4712" w:rsidRPr="00C1694A">
        <w:rPr>
          <w:rFonts w:ascii="Times New Roman" w:hAnsi="Times New Roman" w:cs="Times New Roman"/>
          <w:sz w:val="24"/>
          <w:szCs w:val="24"/>
        </w:rPr>
        <w:t>previous</w:t>
      </w:r>
      <w:r w:rsidR="00145F54" w:rsidRPr="00C1694A">
        <w:rPr>
          <w:rFonts w:ascii="Times New Roman" w:hAnsi="Times New Roman" w:cs="Times New Roman"/>
          <w:sz w:val="24"/>
          <w:szCs w:val="24"/>
        </w:rPr>
        <w:t xml:space="preserve"> provisions and showed</w:t>
      </w:r>
      <w:r w:rsidR="003E24B4" w:rsidRPr="00C1694A">
        <w:rPr>
          <w:rFonts w:ascii="Times New Roman" w:hAnsi="Times New Roman" w:cs="Times New Roman"/>
          <w:sz w:val="24"/>
          <w:szCs w:val="24"/>
        </w:rPr>
        <w:t xml:space="preserve"> whether we removed,</w:t>
      </w:r>
      <w:r w:rsidR="00145F54" w:rsidRPr="00C1694A">
        <w:rPr>
          <w:rFonts w:ascii="Times New Roman" w:hAnsi="Times New Roman" w:cs="Times New Roman"/>
          <w:sz w:val="24"/>
          <w:szCs w:val="24"/>
        </w:rPr>
        <w:t xml:space="preserve"> revised, or redesignated them.  </w:t>
      </w:r>
      <w:r w:rsidR="003515A4" w:rsidRPr="00C1694A">
        <w:rPr>
          <w:rFonts w:ascii="Times New Roman" w:hAnsi="Times New Roman" w:cs="Times New Roman"/>
          <w:sz w:val="24"/>
          <w:szCs w:val="24"/>
        </w:rPr>
        <w:t>We believe the public may continue to find</w:t>
      </w:r>
      <w:r w:rsidR="00145F54" w:rsidRPr="00C1694A">
        <w:rPr>
          <w:rFonts w:ascii="Times New Roman" w:hAnsi="Times New Roman" w:cs="Times New Roman"/>
          <w:sz w:val="24"/>
          <w:szCs w:val="24"/>
        </w:rPr>
        <w:t xml:space="preserve"> the redesignation table useful here, so we included </w:t>
      </w:r>
      <w:r w:rsidR="00BB4705" w:rsidRPr="00C1694A">
        <w:rPr>
          <w:rFonts w:ascii="Times New Roman" w:hAnsi="Times New Roman" w:cs="Times New Roman"/>
          <w:sz w:val="24"/>
          <w:szCs w:val="24"/>
        </w:rPr>
        <w:t xml:space="preserve">an updated version of </w:t>
      </w:r>
      <w:r w:rsidR="00145F54" w:rsidRPr="00C1694A">
        <w:rPr>
          <w:rFonts w:ascii="Times New Roman" w:hAnsi="Times New Roman" w:cs="Times New Roman"/>
          <w:sz w:val="24"/>
          <w:szCs w:val="24"/>
        </w:rPr>
        <w:t xml:space="preserve">it below.  </w:t>
      </w:r>
      <w:r w:rsidR="003515A4" w:rsidRPr="00C1694A">
        <w:rPr>
          <w:rFonts w:ascii="Times New Roman" w:hAnsi="Times New Roman" w:cs="Times New Roman"/>
          <w:sz w:val="24"/>
          <w:szCs w:val="24"/>
        </w:rPr>
        <w:t xml:space="preserve"> </w:t>
      </w:r>
    </w:p>
    <w:p w:rsidR="002F658A" w:rsidRPr="00C1694A" w:rsidRDefault="002F658A" w:rsidP="00EE457E">
      <w:pPr>
        <w:spacing w:after="0" w:line="480" w:lineRule="auto"/>
        <w:rPr>
          <w:rFonts w:ascii="Times New Roman" w:eastAsia="Calibri" w:hAnsi="Times New Roman" w:cs="Times New Roman"/>
          <w:sz w:val="24"/>
          <w:szCs w:val="24"/>
        </w:rPr>
      </w:pPr>
      <w:r w:rsidRPr="00C1694A">
        <w:rPr>
          <w:rFonts w:ascii="Times New Roman" w:hAnsi="Times New Roman" w:cs="Times New Roman"/>
          <w:i/>
          <w:sz w:val="24"/>
          <w:szCs w:val="24"/>
        </w:rPr>
        <w:t xml:space="preserve">Table: Redesignation Table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7290"/>
      </w:tblGrid>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b/>
                <w:sz w:val="24"/>
                <w:szCs w:val="24"/>
              </w:rPr>
            </w:pPr>
            <w:r w:rsidRPr="00C1694A">
              <w:rPr>
                <w:rFonts w:ascii="Times New Roman" w:hAnsi="Times New Roman" w:cs="Times New Roman"/>
                <w:b/>
                <w:sz w:val="24"/>
                <w:szCs w:val="24"/>
              </w:rPr>
              <w:t xml:space="preserve">Previous Section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b/>
                <w:sz w:val="24"/>
                <w:szCs w:val="24"/>
              </w:rPr>
            </w:pPr>
            <w:r w:rsidRPr="00C1694A">
              <w:rPr>
                <w:rFonts w:ascii="Times New Roman" w:hAnsi="Times New Roman" w:cs="Times New Roman"/>
                <w:b/>
                <w:sz w:val="24"/>
                <w:szCs w:val="24"/>
              </w:rPr>
              <w:t>New Section</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1301.1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1301.20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1301.10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1303.3</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1301.11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1303.12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1301.20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1301.21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1301.30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1303.10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1301.31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1302.90, 1302.102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1301.32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1303.5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1301.33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1303.31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1301.34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1304.5, 1304.7</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1302.1</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1302.2</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1305 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1302.5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1304.2, 1304.3, 1304.4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1302.10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1304.20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1302.11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1304.20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1302.30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1304.30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1302.31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1304.31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1302.32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1304.32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1303.1</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1304.1, 1303.30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1303.2</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1303.10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1304.1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1303.11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1304.3</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1303.12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1304.4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1303.14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1304.5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1303.21</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1304.6</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 xml:space="preserve">1303.22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hAnsi="Times New Roman" w:cs="Times New Roman"/>
                <w:sz w:val="24"/>
                <w:szCs w:val="24"/>
              </w:rPr>
              <w:t>1304.6</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1304.1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1304.3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1304.20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1302.42, 1302.33, 1302.41, 1302.61, 1302.46, 1302.63</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1304.21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1302.30, 1302.31, 1302, 1302.35, 1302.60, 1302.90, 1302.34, 1302.33, 1302.46, 1302.21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1304.22</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1302.47, 1302.92, 1302.15, 1302.90, 1302.41, 1302.42, 1302.46</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1304.23</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1302.42, 1302.44, 1302.31, , 1302.90, , 1302.46</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1304.24</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1302.46, 1302.45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1304.40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1302.50, 1302.52, 1302.80, 1302.18, 1302.34, 1302.51, 1302.30, 1302.18, 1302.81, 1302.46, 1302.52, 1302.70, 1302.71, 1302.72, 1302.22, 1302.82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1304.41</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1302.53, 1302.63, 1302.70, 1302.71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1304.50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1301.1, 1301.3 1302.102, , 1301.4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1304.51</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1302.101, 1302.90, 1303.23, 1302.102, 1301.3, 1303.32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1304.52</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1302.101, 1302.91, 1302.90, 1302.91, 1302.21, 1303.3, 1302.93, 1302.94, 1302.92, 1301.5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1304.53</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1302.31, 1302.21, 1302.47, 1302.22, 1302.23</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1304.60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1302.102, 1304.2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1305.1</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1305.2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1305.3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1302.11, 1302.102, 1302.20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1305.4</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1305.5</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1302.13, 1302.14,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1305.6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1305.7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1302.12, 1302.15, 1302.70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1305.8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1302.16</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1305.9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1302.18</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1305.10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1304.4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1306.3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1306.20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1302.101, 1302.21, 1302.90, 1302.23, 1302.20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1306.21</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1302.91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1306.23</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1302.92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1306.30</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1302.20, 1302.21, 1302.22, 1302.23 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1306.31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1302.20 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1306.32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1302.21, 1302.24, 1302.17, 1302.102, 1302.34, 1302.18</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1306.33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1302.22, 1302.101 , 1302.91, 1302.35, 1302.44, 1302.23, 1302.31, 1301.4, 1302.47, 1302.45, 1302.24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1307.1</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1304.10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1307.2</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1307.3</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1304.11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1307.4</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1304.12</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1307.5</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1304.13</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1307.6</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1304.14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1307.7</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1304.15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1307.8</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1304.16</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1308.1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1302.60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1308.3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1308.4</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1302.101, 1302.61, 1302.63, 1303.75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1308.5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1302.12, 1302.13 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1308.6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1302.33, 1302.42, 1302.34, 1302.33 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1308.18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1302.47</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1308.21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1302.61, 1302.62, 1302.34 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1303.40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1303.41</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1309.4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1303.42, 1303.44, 1303.45, 1303.48, 1303.50</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1309.21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1305, 1303.51, 1303.48, 1303.50, 1303.46, 1303.47, 1303.48, 1303.55, 1303.3</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1309.22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1303.49, 1303.51 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1309.31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1303.44, 1303.47 </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1309.33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1303.56</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1309.40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1303.53</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1309.41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1303.54</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1309.43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1303.43</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1309.52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1303.55</w:t>
            </w:r>
          </w:p>
        </w:tc>
      </w:tr>
      <w:tr w:rsidR="002F658A" w:rsidRPr="00C1694A" w:rsidTr="00D23898">
        <w:trPr>
          <w:trHeight w:val="144"/>
        </w:trPr>
        <w:tc>
          <w:tcPr>
            <w:tcW w:w="1985" w:type="dxa"/>
            <w:shd w:val="clear" w:color="auto" w:fill="auto"/>
            <w:tcMar>
              <w:left w:w="108" w:type="dxa"/>
              <w:right w:w="108" w:type="dxa"/>
            </w:tcMar>
          </w:tcPr>
          <w:p w:rsidR="002F658A" w:rsidRPr="00C1694A" w:rsidRDefault="002F658A" w:rsidP="00EE457E">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1309.53 </w:t>
            </w:r>
          </w:p>
        </w:tc>
        <w:tc>
          <w:tcPr>
            <w:tcW w:w="7290" w:type="dxa"/>
            <w:shd w:val="clear" w:color="auto" w:fill="auto"/>
            <w:tcMar>
              <w:left w:w="108" w:type="dxa"/>
              <w:right w:w="108" w:type="dxa"/>
            </w:tcMar>
          </w:tcPr>
          <w:p w:rsidR="002F658A" w:rsidRPr="00C1694A" w:rsidRDefault="002F658A" w:rsidP="00EE457E">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1303.56</w:t>
            </w:r>
          </w:p>
        </w:tc>
      </w:tr>
    </w:tbl>
    <w:tbl>
      <w:tblPr>
        <w:tblpPr w:leftFromText="180" w:rightFromText="180" w:vertAnchor="text" w:tblpX="103" w:tblpY="1"/>
        <w:tblOverlap w:val="never"/>
        <w:tblW w:w="0" w:type="auto"/>
        <w:tblLayout w:type="fixed"/>
        <w:tblLook w:val="04A0" w:firstRow="1" w:lastRow="0" w:firstColumn="1" w:lastColumn="0" w:noHBand="0" w:noVBand="1"/>
      </w:tblPr>
      <w:tblGrid>
        <w:gridCol w:w="1998"/>
        <w:gridCol w:w="7290"/>
      </w:tblGrid>
      <w:tr w:rsidR="002F658A" w:rsidRPr="00C1694A" w:rsidTr="00D23898">
        <w:trPr>
          <w:cantSplit/>
          <w:trHeight w:val="288"/>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1310.2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1303.70</w:t>
            </w:r>
          </w:p>
        </w:tc>
      </w:tr>
      <w:tr w:rsidR="002F658A" w:rsidRPr="00C1694A" w:rsidTr="00D23898">
        <w:trPr>
          <w:cantSplit/>
          <w:trHeight w:val="246"/>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1310.3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1305</w:t>
            </w:r>
          </w:p>
        </w:tc>
      </w:tr>
      <w:tr w:rsidR="002F658A" w:rsidRPr="00C1694A" w:rsidTr="00D23898">
        <w:trPr>
          <w:cantSplit/>
          <w:trHeight w:val="300"/>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1310.10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1303.70, 1303.71, 1303.72</w:t>
            </w:r>
          </w:p>
        </w:tc>
      </w:tr>
      <w:tr w:rsidR="002F658A" w:rsidRPr="00C1694A" w:rsidTr="00D23898">
        <w:trPr>
          <w:cantSplit/>
          <w:trHeight w:val="144"/>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1310.14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1303.71</w:t>
            </w:r>
          </w:p>
        </w:tc>
      </w:tr>
      <w:tr w:rsidR="002F658A" w:rsidRPr="00C1694A" w:rsidTr="00D23898">
        <w:trPr>
          <w:cantSplit/>
          <w:trHeight w:val="144"/>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1310.15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1303.72</w:t>
            </w:r>
          </w:p>
        </w:tc>
      </w:tr>
      <w:tr w:rsidR="002F658A" w:rsidRPr="00C1694A" w:rsidTr="00D23898">
        <w:trPr>
          <w:cantSplit/>
          <w:trHeight w:val="144"/>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1310.16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1303.72</w:t>
            </w:r>
          </w:p>
        </w:tc>
      </w:tr>
      <w:tr w:rsidR="002F658A" w:rsidRPr="00C1694A" w:rsidTr="00D23898">
        <w:trPr>
          <w:cantSplit/>
          <w:trHeight w:val="144"/>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1310.17</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1303.72</w:t>
            </w:r>
          </w:p>
        </w:tc>
      </w:tr>
      <w:tr w:rsidR="002F658A" w:rsidRPr="00C1694A" w:rsidTr="00D23898">
        <w:trPr>
          <w:cantSplit/>
          <w:trHeight w:val="144"/>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1310.20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1303.73</w:t>
            </w:r>
          </w:p>
        </w:tc>
      </w:tr>
      <w:tr w:rsidR="002F658A" w:rsidRPr="00C1694A" w:rsidTr="00D23898">
        <w:trPr>
          <w:cantSplit/>
          <w:trHeight w:val="144"/>
        </w:trPr>
        <w:tc>
          <w:tcPr>
            <w:tcW w:w="1998" w:type="dxa"/>
            <w:tcBorders>
              <w:top w:val="single" w:sz="4" w:space="0" w:color="auto"/>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1310.21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1303.74</w:t>
            </w:r>
          </w:p>
        </w:tc>
      </w:tr>
      <w:tr w:rsidR="002F658A" w:rsidRPr="00C1694A" w:rsidTr="00D23898">
        <w:trPr>
          <w:cantSplit/>
          <w:trHeight w:val="144"/>
        </w:trPr>
        <w:tc>
          <w:tcPr>
            <w:tcW w:w="1998" w:type="dxa"/>
            <w:tcBorders>
              <w:top w:val="nil"/>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1310.22 </w:t>
            </w:r>
          </w:p>
        </w:tc>
        <w:tc>
          <w:tcPr>
            <w:tcW w:w="7290" w:type="dxa"/>
            <w:tcBorders>
              <w:top w:val="nil"/>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1303.75</w:t>
            </w:r>
          </w:p>
        </w:tc>
      </w:tr>
      <w:tr w:rsidR="002F658A" w:rsidRPr="00C1694A" w:rsidTr="00D23898">
        <w:trPr>
          <w:cantSplit/>
          <w:trHeight w:val="144"/>
        </w:trPr>
        <w:tc>
          <w:tcPr>
            <w:tcW w:w="1998" w:type="dxa"/>
            <w:tcBorders>
              <w:top w:val="single" w:sz="4" w:space="0" w:color="auto"/>
              <w:left w:val="single" w:sz="4" w:space="0" w:color="auto"/>
              <w:bottom w:val="single" w:sz="4" w:space="0" w:color="auto"/>
              <w:right w:val="single" w:sz="4" w:space="0" w:color="auto"/>
            </w:tcBorders>
            <w:shd w:val="clear" w:color="auto" w:fill="auto"/>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 xml:space="preserve">1310.23 </w:t>
            </w:r>
          </w:p>
        </w:tc>
        <w:tc>
          <w:tcPr>
            <w:tcW w:w="7290" w:type="dxa"/>
            <w:tcBorders>
              <w:top w:val="single" w:sz="4" w:space="0" w:color="auto"/>
              <w:left w:val="nil"/>
              <w:bottom w:val="single" w:sz="4" w:space="0" w:color="auto"/>
              <w:right w:val="single" w:sz="4" w:space="0" w:color="auto"/>
            </w:tcBorders>
          </w:tcPr>
          <w:p w:rsidR="002F658A" w:rsidRPr="00C1694A" w:rsidRDefault="002F658A" w:rsidP="00EE457E">
            <w:pPr>
              <w:spacing w:after="0" w:line="240" w:lineRule="auto"/>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1303.70</w:t>
            </w:r>
          </w:p>
        </w:tc>
      </w:tr>
    </w:tbl>
    <w:p w:rsidR="002F658A" w:rsidRPr="00C1694A" w:rsidRDefault="002F658A" w:rsidP="00EE457E">
      <w:pPr>
        <w:autoSpaceDE w:val="0"/>
        <w:autoSpaceDN w:val="0"/>
        <w:adjustRightInd w:val="0"/>
        <w:spacing w:after="0" w:line="240" w:lineRule="auto"/>
        <w:rPr>
          <w:rFonts w:ascii="Times New Roman" w:hAnsi="Times New Roman" w:cs="Times New Roman"/>
          <w:sz w:val="24"/>
          <w:szCs w:val="24"/>
        </w:rPr>
      </w:pPr>
    </w:p>
    <w:p w:rsidR="003E24B4" w:rsidRPr="00C1694A" w:rsidRDefault="003E24B4" w:rsidP="009A526A">
      <w:pPr>
        <w:autoSpaceDE w:val="0"/>
        <w:autoSpaceDN w:val="0"/>
        <w:adjustRightInd w:val="0"/>
        <w:spacing w:after="0" w:line="240" w:lineRule="auto"/>
        <w:rPr>
          <w:rFonts w:ascii="Times New Roman" w:hAnsi="Times New Roman" w:cs="Times New Roman"/>
          <w:sz w:val="24"/>
          <w:szCs w:val="24"/>
        </w:rPr>
      </w:pPr>
    </w:p>
    <w:p w:rsidR="002F658A" w:rsidRPr="00C1694A" w:rsidRDefault="002F658A" w:rsidP="009A526A">
      <w:pPr>
        <w:autoSpaceDE w:val="0"/>
        <w:autoSpaceDN w:val="0"/>
        <w:adjustRightInd w:val="0"/>
        <w:spacing w:after="0" w:line="240" w:lineRule="auto"/>
        <w:rPr>
          <w:rFonts w:ascii="Times New Roman" w:hAnsi="Times New Roman" w:cs="Times New Roman"/>
          <w:sz w:val="24"/>
          <w:szCs w:val="24"/>
        </w:rPr>
      </w:pPr>
    </w:p>
    <w:p w:rsidR="009276A4" w:rsidRPr="00001E53" w:rsidRDefault="00001E53" w:rsidP="00001E53">
      <w:pPr>
        <w:autoSpaceDE w:val="0"/>
        <w:autoSpaceDN w:val="0"/>
        <w:adjustRightInd w:val="0"/>
        <w:spacing w:after="0" w:line="240" w:lineRule="auto"/>
        <w:ind w:left="450" w:hanging="450"/>
        <w:rPr>
          <w:rFonts w:ascii="Times New Roman" w:hAnsi="Times New Roman" w:cs="Times New Roman"/>
          <w:b/>
          <w:sz w:val="24"/>
          <w:szCs w:val="24"/>
        </w:rPr>
      </w:pPr>
      <w:r w:rsidRPr="00C1694A">
        <w:rPr>
          <w:rFonts w:ascii="Times New Roman" w:hAnsi="Times New Roman" w:cs="Times New Roman"/>
          <w:b/>
          <w:sz w:val="24"/>
          <w:szCs w:val="24"/>
        </w:rPr>
        <w:t>III.</w:t>
      </w:r>
      <w:r w:rsidRPr="00C1694A">
        <w:rPr>
          <w:rFonts w:ascii="Times New Roman" w:hAnsi="Times New Roman" w:cs="Times New Roman"/>
          <w:b/>
          <w:sz w:val="24"/>
          <w:szCs w:val="24"/>
        </w:rPr>
        <w:tab/>
      </w:r>
      <w:r w:rsidR="003515A4" w:rsidRPr="00001E53">
        <w:rPr>
          <w:rFonts w:ascii="Times New Roman" w:hAnsi="Times New Roman" w:cs="Times New Roman"/>
          <w:b/>
          <w:sz w:val="24"/>
          <w:szCs w:val="24"/>
        </w:rPr>
        <w:t>Background</w:t>
      </w:r>
    </w:p>
    <w:p w:rsidR="009276A4" w:rsidRPr="00C1694A" w:rsidRDefault="009276A4" w:rsidP="009A526A">
      <w:pPr>
        <w:autoSpaceDE w:val="0"/>
        <w:autoSpaceDN w:val="0"/>
        <w:adjustRightInd w:val="0"/>
        <w:spacing w:after="0" w:line="240" w:lineRule="auto"/>
        <w:rPr>
          <w:rFonts w:ascii="Times New Roman" w:hAnsi="Times New Roman" w:cs="Times New Roman"/>
          <w:sz w:val="24"/>
          <w:szCs w:val="24"/>
        </w:rPr>
      </w:pPr>
    </w:p>
    <w:p w:rsidR="003515A4" w:rsidRPr="00001E53" w:rsidRDefault="00001E53" w:rsidP="00001E53">
      <w:pPr>
        <w:tabs>
          <w:tab w:val="left" w:pos="1080"/>
        </w:tabs>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a.</w:t>
      </w:r>
      <w:r w:rsidRPr="00C1694A">
        <w:rPr>
          <w:rFonts w:ascii="Times New Roman" w:hAnsi="Times New Roman" w:cs="Times New Roman"/>
          <w:sz w:val="24"/>
          <w:szCs w:val="24"/>
        </w:rPr>
        <w:tab/>
      </w:r>
      <w:r w:rsidR="003515A4" w:rsidRPr="00001E53">
        <w:rPr>
          <w:rFonts w:ascii="Times New Roman" w:hAnsi="Times New Roman" w:cs="Times New Roman"/>
          <w:sz w:val="24"/>
          <w:szCs w:val="24"/>
          <w:u w:val="single"/>
        </w:rPr>
        <w:t>Statutory authority</w:t>
      </w:r>
    </w:p>
    <w:p w:rsidR="00EF2650" w:rsidRPr="00C1694A" w:rsidRDefault="003515A4" w:rsidP="004932C1">
      <w:pPr>
        <w:spacing w:line="480" w:lineRule="auto"/>
        <w:rPr>
          <w:rFonts w:ascii="Times New Roman" w:hAnsi="Times New Roman" w:cs="Times New Roman"/>
        </w:rPr>
      </w:pPr>
      <w:r w:rsidRPr="00C1694A">
        <w:rPr>
          <w:rFonts w:ascii="Times New Roman" w:hAnsi="Times New Roman" w:cs="Times New Roman"/>
          <w:sz w:val="24"/>
          <w:szCs w:val="24"/>
        </w:rPr>
        <w:tab/>
      </w:r>
      <w:r w:rsidR="009276A4" w:rsidRPr="00C1694A">
        <w:rPr>
          <w:rFonts w:ascii="Times New Roman" w:hAnsi="Times New Roman" w:cs="Times New Roman"/>
          <w:sz w:val="24"/>
          <w:szCs w:val="24"/>
        </w:rPr>
        <w:t>This final rule is published under the authority granted to the Secretary of the Department of Health and Human Services under</w:t>
      </w:r>
      <w:r w:rsidR="004D425C" w:rsidRPr="00C1694A">
        <w:rPr>
          <w:rFonts w:ascii="Times New Roman" w:hAnsi="Times New Roman" w:cs="Times New Roman"/>
          <w:sz w:val="24"/>
          <w:szCs w:val="24"/>
        </w:rPr>
        <w:t xml:space="preserve"> </w:t>
      </w:r>
      <w:r w:rsidR="00125A50" w:rsidRPr="00C1694A">
        <w:rPr>
          <w:rFonts w:ascii="Times New Roman" w:hAnsi="Times New Roman" w:cs="Times New Roman"/>
          <w:sz w:val="24"/>
          <w:szCs w:val="24"/>
        </w:rPr>
        <w:t>s</w:t>
      </w:r>
      <w:r w:rsidR="004D425C" w:rsidRPr="00C1694A">
        <w:rPr>
          <w:rFonts w:ascii="Times New Roman" w:hAnsi="Times New Roman" w:cs="Times New Roman"/>
          <w:sz w:val="24"/>
          <w:szCs w:val="24"/>
        </w:rPr>
        <w:t>ections 640, 641A, 642, 644, 645, 645A, 646, 648A, and 649 of the Head Start Act</w:t>
      </w:r>
      <w:r w:rsidR="008B4C51">
        <w:rPr>
          <w:rFonts w:ascii="Times New Roman" w:hAnsi="Times New Roman" w:cs="Times New Roman"/>
          <w:sz w:val="24"/>
          <w:szCs w:val="24"/>
        </w:rPr>
        <w:t>, Pub. L. 97-35, 95 Stat. 499</w:t>
      </w:r>
      <w:r w:rsidR="004D425C" w:rsidRPr="00C1694A">
        <w:rPr>
          <w:rFonts w:ascii="Times New Roman" w:hAnsi="Times New Roman" w:cs="Times New Roman"/>
          <w:sz w:val="24"/>
          <w:szCs w:val="24"/>
        </w:rPr>
        <w:t xml:space="preserve"> (42 U.S.C. 9835, 9836a, 9837, 9839, 9840, 9840a, 9841, 9843a, and 9844)</w:t>
      </w:r>
      <w:r w:rsidR="009276A4" w:rsidRPr="00C1694A">
        <w:rPr>
          <w:rFonts w:ascii="Times New Roman" w:hAnsi="Times New Roman" w:cs="Times New Roman"/>
          <w:sz w:val="24"/>
          <w:szCs w:val="24"/>
        </w:rPr>
        <w:t>, as amended by the Improving Head Start for School Readiness Act of 2007</w:t>
      </w:r>
      <w:r w:rsidR="008B4C51">
        <w:rPr>
          <w:rFonts w:ascii="Times New Roman" w:hAnsi="Times New Roman" w:cs="Times New Roman"/>
          <w:sz w:val="24"/>
          <w:szCs w:val="24"/>
        </w:rPr>
        <w:t>,</w:t>
      </w:r>
      <w:r w:rsidR="00567DFB">
        <w:rPr>
          <w:rFonts w:ascii="Times New Roman" w:hAnsi="Times New Roman" w:cs="Times New Roman"/>
          <w:sz w:val="24"/>
          <w:szCs w:val="24"/>
        </w:rPr>
        <w:t xml:space="preserve"> Pub. L. 110-134</w:t>
      </w:r>
      <w:r w:rsidR="008B4C51">
        <w:rPr>
          <w:rFonts w:ascii="Times New Roman" w:hAnsi="Times New Roman" w:cs="Times New Roman"/>
          <w:sz w:val="24"/>
          <w:szCs w:val="24"/>
        </w:rPr>
        <w:t>, 121 Stat. 1363</w:t>
      </w:r>
      <w:r w:rsidR="009276A4" w:rsidRPr="00C1694A">
        <w:rPr>
          <w:rFonts w:ascii="Times New Roman" w:hAnsi="Times New Roman" w:cs="Times New Roman"/>
          <w:sz w:val="24"/>
          <w:szCs w:val="24"/>
        </w:rPr>
        <w:t>.  In these sections, the Secretary is required to establish performance standards for Head Start and Early Head Start programs, as well as federal administrative procedures.  Specifically, the Act requires the Secretary to “… modify, as necessary, program performance standards by regulation applicable to Head Start agencies and programs…” and explicitly directs a number of modifications, including “scientifically based and developmentally appropriate education performance standards related to school readiness that are based on the Head Start Child Outcomes Framework” and to “consult with experts in the fields of child development, early childhood education, child health care, family services …, administration, and financial management, and with persons with experience in the operation of Head Start programs.”</w:t>
      </w:r>
      <w:r w:rsidR="00210415" w:rsidRPr="00C1694A">
        <w:rPr>
          <w:rStyle w:val="FootnoteReference"/>
          <w:rFonts w:ascii="Times New Roman" w:hAnsi="Times New Roman" w:cs="Times New Roman"/>
          <w:sz w:val="24"/>
          <w:szCs w:val="24"/>
        </w:rPr>
        <w:footnoteReference w:id="11"/>
      </w:r>
      <w:r w:rsidR="009276A4" w:rsidRPr="00C1694A">
        <w:rPr>
          <w:rFonts w:ascii="Times New Roman" w:hAnsi="Times New Roman" w:cs="Times New Roman"/>
          <w:sz w:val="24"/>
          <w:szCs w:val="24"/>
        </w:rPr>
        <w:t xml:space="preserve">  Not only did the Act mandate such significant revisions, there was also bipartisan and bicameral agreement in Congress that its central purpose was to update and raise the education standards and practices in Head Start programs.</w:t>
      </w:r>
      <w:r w:rsidR="009276A4" w:rsidRPr="00C1694A">
        <w:rPr>
          <w:rStyle w:val="FootnoteReference"/>
          <w:rFonts w:ascii="Times New Roman" w:hAnsi="Times New Roman" w:cs="Times New Roman"/>
          <w:sz w:val="24"/>
          <w:szCs w:val="24"/>
        </w:rPr>
        <w:footnoteReference w:id="12"/>
      </w:r>
      <w:r w:rsidR="009276A4" w:rsidRPr="00C1694A">
        <w:rPr>
          <w:rFonts w:ascii="Times New Roman" w:hAnsi="Times New Roman" w:cs="Times New Roman"/>
          <w:sz w:val="24"/>
          <w:szCs w:val="24"/>
          <w:vertAlign w:val="superscript"/>
        </w:rPr>
        <w:t>,</w:t>
      </w:r>
      <w:r w:rsidR="009276A4" w:rsidRPr="00C1694A">
        <w:rPr>
          <w:rStyle w:val="FootnoteReference"/>
          <w:rFonts w:ascii="Times New Roman" w:hAnsi="Times New Roman" w:cs="Times New Roman"/>
          <w:sz w:val="24"/>
          <w:szCs w:val="24"/>
        </w:rPr>
        <w:footnoteReference w:id="13"/>
      </w:r>
      <w:r w:rsidR="009276A4" w:rsidRPr="00C1694A">
        <w:rPr>
          <w:rFonts w:ascii="Times New Roman" w:hAnsi="Times New Roman" w:cs="Times New Roman"/>
          <w:sz w:val="24"/>
          <w:szCs w:val="24"/>
        </w:rPr>
        <w:t xml:space="preserve">  As such, these </w:t>
      </w:r>
      <w:r w:rsidR="00DC3FCE" w:rsidRPr="00C1694A">
        <w:rPr>
          <w:rFonts w:ascii="Times New Roman" w:hAnsi="Times New Roman" w:cs="Times New Roman"/>
          <w:sz w:val="24"/>
          <w:szCs w:val="24"/>
        </w:rPr>
        <w:t xml:space="preserve">program </w:t>
      </w:r>
      <w:r w:rsidR="009276A4" w:rsidRPr="00C1694A">
        <w:rPr>
          <w:rFonts w:ascii="Times New Roman" w:hAnsi="Times New Roman" w:cs="Times New Roman"/>
          <w:sz w:val="24"/>
          <w:szCs w:val="24"/>
        </w:rPr>
        <w:t xml:space="preserve">performance standards substantially </w:t>
      </w:r>
      <w:r w:rsidR="00DC3FCE" w:rsidRPr="00C1694A">
        <w:rPr>
          <w:rFonts w:ascii="Times New Roman" w:hAnsi="Times New Roman" w:cs="Times New Roman"/>
          <w:sz w:val="24"/>
          <w:szCs w:val="24"/>
        </w:rPr>
        <w:t>build</w:t>
      </w:r>
      <w:r w:rsidR="009276A4" w:rsidRPr="00C1694A">
        <w:rPr>
          <w:rFonts w:ascii="Times New Roman" w:hAnsi="Times New Roman" w:cs="Times New Roman"/>
          <w:sz w:val="24"/>
          <w:szCs w:val="24"/>
        </w:rPr>
        <w:t xml:space="preserve"> upon and improve the standards related to the education of children in Head Start programs. </w:t>
      </w:r>
    </w:p>
    <w:p w:rsidR="00EF2650" w:rsidRPr="00C1694A" w:rsidRDefault="00001E53" w:rsidP="00001E53">
      <w:pPr>
        <w:pStyle w:val="CM72"/>
        <w:spacing w:line="480" w:lineRule="auto"/>
        <w:ind w:left="1080" w:hanging="360"/>
        <w:rPr>
          <w:rFonts w:ascii="Times New Roman" w:hAnsi="Times New Roman" w:cs="Times New Roman"/>
          <w:u w:val="single"/>
        </w:rPr>
      </w:pPr>
      <w:r w:rsidRPr="00C1694A">
        <w:rPr>
          <w:rFonts w:ascii="Times New Roman" w:hAnsi="Times New Roman" w:cs="Times New Roman"/>
        </w:rPr>
        <w:t>b.</w:t>
      </w:r>
      <w:r w:rsidRPr="00C1694A">
        <w:rPr>
          <w:rFonts w:ascii="Times New Roman" w:hAnsi="Times New Roman" w:cs="Times New Roman"/>
        </w:rPr>
        <w:tab/>
      </w:r>
      <w:r w:rsidR="00EF2650" w:rsidRPr="00C1694A">
        <w:rPr>
          <w:rFonts w:ascii="Times New Roman" w:hAnsi="Times New Roman" w:cs="Times New Roman"/>
          <w:u w:val="single"/>
        </w:rPr>
        <w:t>Purpose of this rule</w:t>
      </w:r>
    </w:p>
    <w:p w:rsidR="00EF2650" w:rsidRPr="00C1694A" w:rsidRDefault="009276A4" w:rsidP="00400B29">
      <w:pPr>
        <w:pStyle w:val="CommentText"/>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This rule meets</w:t>
      </w:r>
      <w:r w:rsidR="00EF2650" w:rsidRPr="00C1694A">
        <w:rPr>
          <w:rFonts w:ascii="Times New Roman" w:hAnsi="Times New Roman" w:cs="Times New Roman"/>
          <w:sz w:val="24"/>
          <w:szCs w:val="24"/>
        </w:rPr>
        <w:t xml:space="preserve"> </w:t>
      </w:r>
      <w:r w:rsidR="00076281" w:rsidRPr="00C1694A">
        <w:rPr>
          <w:rFonts w:ascii="Times New Roman" w:hAnsi="Times New Roman" w:cs="Times New Roman"/>
          <w:sz w:val="24"/>
          <w:szCs w:val="24"/>
        </w:rPr>
        <w:t xml:space="preserve">the </w:t>
      </w:r>
      <w:r w:rsidR="00EF2650" w:rsidRPr="00C1694A">
        <w:rPr>
          <w:rFonts w:ascii="Times New Roman" w:hAnsi="Times New Roman" w:cs="Times New Roman"/>
          <w:sz w:val="24"/>
          <w:szCs w:val="24"/>
        </w:rPr>
        <w:t>statutory requirements Congress</w:t>
      </w:r>
      <w:r w:rsidR="0085217B" w:rsidRPr="00C1694A">
        <w:rPr>
          <w:rFonts w:ascii="Times New Roman" w:hAnsi="Times New Roman" w:cs="Times New Roman"/>
          <w:sz w:val="24"/>
          <w:szCs w:val="24"/>
        </w:rPr>
        <w:t xml:space="preserve"> put forth in its </w:t>
      </w:r>
      <w:r w:rsidR="00EF2650" w:rsidRPr="00C1694A">
        <w:rPr>
          <w:rFonts w:ascii="Times New Roman" w:hAnsi="Times New Roman" w:cs="Times New Roman"/>
          <w:sz w:val="24"/>
          <w:szCs w:val="24"/>
        </w:rPr>
        <w:t xml:space="preserve">2007 bipartisan reauthorization of Head Start and addresses Congress’s mandate </w:t>
      </w:r>
      <w:r w:rsidR="00C463F3" w:rsidRPr="00C1694A">
        <w:rPr>
          <w:rFonts w:ascii="Times New Roman" w:hAnsi="Times New Roman" w:cs="Times New Roman"/>
          <w:sz w:val="24"/>
          <w:szCs w:val="24"/>
        </w:rPr>
        <w:t>that</w:t>
      </w:r>
      <w:r w:rsidR="00EF2650" w:rsidRPr="00C1694A">
        <w:rPr>
          <w:rFonts w:ascii="Times New Roman" w:hAnsi="Times New Roman" w:cs="Times New Roman"/>
          <w:sz w:val="24"/>
          <w:szCs w:val="24"/>
        </w:rPr>
        <w:t xml:space="preserve"> called for </w:t>
      </w:r>
      <w:r w:rsidR="00DC3FCE" w:rsidRPr="00C1694A">
        <w:rPr>
          <w:rFonts w:ascii="Times New Roman" w:hAnsi="Times New Roman" w:cs="Times New Roman"/>
          <w:sz w:val="24"/>
          <w:szCs w:val="24"/>
        </w:rPr>
        <w:t>the Secretary</w:t>
      </w:r>
      <w:r w:rsidR="00EF2650" w:rsidRPr="00C1694A">
        <w:rPr>
          <w:rFonts w:ascii="Times New Roman" w:hAnsi="Times New Roman" w:cs="Times New Roman"/>
          <w:sz w:val="24"/>
          <w:szCs w:val="24"/>
        </w:rPr>
        <w:t xml:space="preserve"> to review and revise </w:t>
      </w:r>
      <w:r w:rsidR="00DC3FCE" w:rsidRPr="00C1694A">
        <w:rPr>
          <w:rFonts w:ascii="Times New Roman" w:hAnsi="Times New Roman" w:cs="Times New Roman"/>
          <w:sz w:val="24"/>
          <w:szCs w:val="24"/>
        </w:rPr>
        <w:t>the Head Start Program Performance S</w:t>
      </w:r>
      <w:r w:rsidR="00EF2650" w:rsidRPr="00C1694A">
        <w:rPr>
          <w:rFonts w:ascii="Times New Roman" w:hAnsi="Times New Roman" w:cs="Times New Roman"/>
          <w:sz w:val="24"/>
          <w:szCs w:val="24"/>
        </w:rPr>
        <w:t>tandards</w:t>
      </w:r>
      <w:r w:rsidR="002336DE" w:rsidRPr="00C1694A">
        <w:rPr>
          <w:rFonts w:ascii="Times New Roman" w:hAnsi="Times New Roman" w:cs="Times New Roman"/>
          <w:sz w:val="24"/>
          <w:szCs w:val="24"/>
        </w:rPr>
        <w:t>.</w:t>
      </w:r>
      <w:r w:rsidR="00EF2650" w:rsidRPr="00C1694A">
        <w:rPr>
          <w:rStyle w:val="FootnoteReference"/>
          <w:rFonts w:ascii="Times New Roman" w:hAnsi="Times New Roman" w:cs="Times New Roman"/>
          <w:sz w:val="24"/>
          <w:szCs w:val="24"/>
        </w:rPr>
        <w:footnoteReference w:id="14"/>
      </w:r>
      <w:r w:rsidR="002336DE" w:rsidRPr="00C1694A">
        <w:rPr>
          <w:rFonts w:ascii="Times New Roman" w:hAnsi="Times New Roman" w:cs="Times New Roman"/>
          <w:sz w:val="24"/>
          <w:szCs w:val="24"/>
        </w:rPr>
        <w:t xml:space="preserve">   Program p</w:t>
      </w:r>
      <w:r w:rsidR="00EF2650" w:rsidRPr="00C1694A">
        <w:rPr>
          <w:rFonts w:ascii="Times New Roman" w:hAnsi="Times New Roman" w:cs="Times New Roman"/>
          <w:sz w:val="24"/>
          <w:szCs w:val="24"/>
        </w:rPr>
        <w:t>erformance standards are the foundation upon which Head Start programs design and deliver comprehensive, high</w:t>
      </w:r>
      <w:r w:rsidR="00915289" w:rsidRPr="00C1694A">
        <w:rPr>
          <w:rFonts w:ascii="Times New Roman" w:hAnsi="Times New Roman" w:cs="Times New Roman"/>
          <w:sz w:val="24"/>
          <w:szCs w:val="24"/>
        </w:rPr>
        <w:t>-</w:t>
      </w:r>
      <w:r w:rsidR="00EF2650" w:rsidRPr="00C1694A">
        <w:rPr>
          <w:rFonts w:ascii="Times New Roman" w:hAnsi="Times New Roman" w:cs="Times New Roman"/>
          <w:sz w:val="24"/>
          <w:szCs w:val="24"/>
        </w:rPr>
        <w:t xml:space="preserve">quality individualized services to support the school readiness of children from low-income families.  </w:t>
      </w:r>
      <w:r w:rsidR="00076281" w:rsidRPr="00C1694A">
        <w:rPr>
          <w:rFonts w:ascii="Times New Roman" w:hAnsi="Times New Roman" w:cs="Times New Roman"/>
          <w:sz w:val="24"/>
          <w:szCs w:val="24"/>
        </w:rPr>
        <w:t>They</w:t>
      </w:r>
      <w:r w:rsidR="00EF2650" w:rsidRPr="00C1694A">
        <w:rPr>
          <w:rFonts w:ascii="Times New Roman" w:hAnsi="Times New Roman" w:cs="Times New Roman"/>
          <w:sz w:val="24"/>
          <w:szCs w:val="24"/>
        </w:rPr>
        <w:t xml:space="preserve"> set forth requirements local grantees must meet to support the cognitive, social, emotional, and healthy development of children from birth to age five.  They encompass requirements to provide education, health, mental health, nutrition, and family and community engagement services, as well as rules for local program governance and aspects of federal administration of the program</w:t>
      </w:r>
      <w:r w:rsidR="002336DE" w:rsidRPr="00C1694A">
        <w:rPr>
          <w:rFonts w:ascii="Times New Roman" w:hAnsi="Times New Roman" w:cs="Times New Roman"/>
          <w:sz w:val="24"/>
          <w:szCs w:val="24"/>
        </w:rPr>
        <w:t xml:space="preserve">.   Program </w:t>
      </w:r>
      <w:r w:rsidR="00EF2650" w:rsidRPr="00C1694A">
        <w:rPr>
          <w:rFonts w:ascii="Times New Roman" w:hAnsi="Times New Roman" w:cs="Times New Roman"/>
          <w:sz w:val="24"/>
          <w:szCs w:val="24"/>
        </w:rPr>
        <w:t xml:space="preserve">performance standards </w:t>
      </w:r>
      <w:r w:rsidR="002336DE" w:rsidRPr="00C1694A">
        <w:rPr>
          <w:rFonts w:ascii="Times New Roman" w:hAnsi="Times New Roman" w:cs="Times New Roman"/>
          <w:sz w:val="24"/>
          <w:szCs w:val="24"/>
        </w:rPr>
        <w:t xml:space="preserve">in this final rule </w:t>
      </w:r>
      <w:r w:rsidR="00EF2650" w:rsidRPr="00C1694A">
        <w:rPr>
          <w:rFonts w:ascii="Times New Roman" w:hAnsi="Times New Roman" w:cs="Times New Roman"/>
          <w:sz w:val="24"/>
          <w:szCs w:val="24"/>
        </w:rPr>
        <w:t>build upon</w:t>
      </w:r>
      <w:r w:rsidR="00EF2650" w:rsidRPr="00C1694A">
        <w:rPr>
          <w:rFonts w:ascii="Times New Roman" w:hAnsi="Times New Roman" w:cs="Times New Roman"/>
          <w:b/>
          <w:sz w:val="24"/>
          <w:szCs w:val="24"/>
        </w:rPr>
        <w:t xml:space="preserve"> </w:t>
      </w:r>
      <w:r w:rsidR="0085217B" w:rsidRPr="00C1694A">
        <w:rPr>
          <w:rFonts w:ascii="Times New Roman" w:hAnsi="Times New Roman" w:cs="Times New Roman"/>
          <w:sz w:val="24"/>
          <w:szCs w:val="24"/>
        </w:rPr>
        <w:t xml:space="preserve">field </w:t>
      </w:r>
      <w:r w:rsidR="00EF2650" w:rsidRPr="00C1694A">
        <w:rPr>
          <w:rFonts w:ascii="Times New Roman" w:hAnsi="Times New Roman" w:cs="Times New Roman"/>
          <w:sz w:val="24"/>
          <w:szCs w:val="24"/>
        </w:rPr>
        <w:t>knowledge and experience to codify best practices and ensure Head Start</w:t>
      </w:r>
      <w:r w:rsidR="00DC3FCE" w:rsidRPr="00C1694A">
        <w:rPr>
          <w:rFonts w:ascii="Times New Roman" w:hAnsi="Times New Roman" w:cs="Times New Roman"/>
          <w:sz w:val="24"/>
          <w:szCs w:val="24"/>
        </w:rPr>
        <w:t xml:space="preserve"> programs deliver high-quality services to the children and families they serve</w:t>
      </w:r>
      <w:r w:rsidR="00EF2650" w:rsidRPr="00C1694A">
        <w:rPr>
          <w:rFonts w:ascii="Times New Roman" w:hAnsi="Times New Roman" w:cs="Times New Roman"/>
          <w:sz w:val="24"/>
          <w:szCs w:val="24"/>
        </w:rPr>
        <w:t xml:space="preserve">.  </w:t>
      </w:r>
    </w:p>
    <w:p w:rsidR="006C7303" w:rsidRPr="00C1694A" w:rsidRDefault="006C7303" w:rsidP="00400B29">
      <w:pPr>
        <w:pStyle w:val="CommentText"/>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This final rule strengthens program standards so that all children and families receive high-quality services that will have a stronger impact on child development and outcomes and family well-being.  The program performance standards set higher standards for curriculum, staff development, and program duration, all based on research and effective practice, while maintaining Head Start’s core values of family engagement, parent leadership, and providing important comprehensive services to our nation’s neediest children.  At the same time, the final rule makes program requirements easier for current and future program leaders to understand and reduces administrative burden so that Head Start directors can focus on delivering high-quality early learning programs that help put children onto a path of success.  </w:t>
      </w:r>
    </w:p>
    <w:p w:rsidR="002C65D0" w:rsidRPr="00001E53" w:rsidRDefault="00001E53" w:rsidP="00001E53">
      <w:pPr>
        <w:spacing w:after="0" w:line="480" w:lineRule="auto"/>
        <w:ind w:left="1080" w:hanging="360"/>
        <w:rPr>
          <w:rFonts w:ascii="Times New Roman" w:hAnsi="Times New Roman" w:cs="Times New Roman"/>
          <w:sz w:val="24"/>
          <w:szCs w:val="24"/>
          <w:u w:val="single"/>
        </w:rPr>
      </w:pPr>
      <w:r w:rsidRPr="00C1694A">
        <w:rPr>
          <w:rFonts w:ascii="Times New Roman" w:hAnsi="Times New Roman" w:cs="Times New Roman"/>
          <w:sz w:val="24"/>
          <w:szCs w:val="24"/>
        </w:rPr>
        <w:t>c.</w:t>
      </w:r>
      <w:r w:rsidRPr="00C1694A">
        <w:rPr>
          <w:rFonts w:ascii="Times New Roman" w:hAnsi="Times New Roman" w:cs="Times New Roman"/>
          <w:sz w:val="24"/>
          <w:szCs w:val="24"/>
        </w:rPr>
        <w:tab/>
      </w:r>
      <w:r w:rsidR="001D5206" w:rsidRPr="00001E53">
        <w:rPr>
          <w:rFonts w:ascii="Times New Roman" w:hAnsi="Times New Roman" w:cs="Times New Roman"/>
          <w:sz w:val="24"/>
          <w:szCs w:val="24"/>
          <w:u w:val="single"/>
        </w:rPr>
        <w:t>Rulemaking and comment processes</w:t>
      </w:r>
    </w:p>
    <w:p w:rsidR="00B35ED3" w:rsidRPr="00C1694A" w:rsidRDefault="008F0045"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We sought extensive input to develop this final rule</w:t>
      </w:r>
      <w:r w:rsidR="00705D93" w:rsidRPr="00C1694A">
        <w:rPr>
          <w:rFonts w:ascii="Times New Roman" w:hAnsi="Times New Roman" w:cs="Times New Roman"/>
          <w:sz w:val="24"/>
          <w:szCs w:val="24"/>
        </w:rPr>
        <w:t xml:space="preserve">.  </w:t>
      </w:r>
      <w:r w:rsidR="006828BC" w:rsidRPr="00C1694A">
        <w:rPr>
          <w:rFonts w:ascii="Times New Roman" w:hAnsi="Times New Roman" w:cs="Times New Roman"/>
          <w:sz w:val="24"/>
          <w:szCs w:val="24"/>
        </w:rPr>
        <w:t xml:space="preserve">We began the rulemaking process with </w:t>
      </w:r>
      <w:r w:rsidR="00B35ED3" w:rsidRPr="00C1694A">
        <w:rPr>
          <w:rFonts w:ascii="Times New Roman" w:hAnsi="Times New Roman" w:cs="Times New Roman"/>
          <w:sz w:val="24"/>
          <w:szCs w:val="24"/>
        </w:rPr>
        <w:t xml:space="preserve">consultations, listening sessions, and focus groups </w:t>
      </w:r>
      <w:r w:rsidR="00DC7D98" w:rsidRPr="00C1694A">
        <w:rPr>
          <w:rFonts w:ascii="Times New Roman" w:hAnsi="Times New Roman" w:cs="Times New Roman"/>
          <w:sz w:val="24"/>
          <w:szCs w:val="24"/>
        </w:rPr>
        <w:t xml:space="preserve">with </w:t>
      </w:r>
      <w:r w:rsidR="00D247F2" w:rsidRPr="00C1694A">
        <w:rPr>
          <w:rFonts w:ascii="Times New Roman" w:hAnsi="Times New Roman" w:cs="Times New Roman"/>
          <w:sz w:val="24"/>
          <w:szCs w:val="24"/>
        </w:rPr>
        <w:t xml:space="preserve">Head Start staff, parents, and program administrators, along with </w:t>
      </w:r>
      <w:r w:rsidR="00DC7D98" w:rsidRPr="00C1694A">
        <w:rPr>
          <w:rFonts w:ascii="Times New Roman" w:hAnsi="Times New Roman" w:cs="Times New Roman"/>
          <w:sz w:val="24"/>
          <w:szCs w:val="24"/>
        </w:rPr>
        <w:t xml:space="preserve">child development and </w:t>
      </w:r>
      <w:r w:rsidR="00B35ED3" w:rsidRPr="00C1694A">
        <w:rPr>
          <w:rFonts w:ascii="Times New Roman" w:hAnsi="Times New Roman" w:cs="Times New Roman"/>
          <w:sz w:val="24"/>
          <w:szCs w:val="24"/>
        </w:rPr>
        <w:t xml:space="preserve">subject matter experts, early childhood education program </w:t>
      </w:r>
      <w:r w:rsidR="00D247F2" w:rsidRPr="00C1694A">
        <w:rPr>
          <w:rFonts w:ascii="Times New Roman" w:hAnsi="Times New Roman" w:cs="Times New Roman"/>
          <w:sz w:val="24"/>
          <w:szCs w:val="24"/>
        </w:rPr>
        <w:t>leaders</w:t>
      </w:r>
      <w:r w:rsidR="00B35ED3" w:rsidRPr="00C1694A">
        <w:rPr>
          <w:rFonts w:ascii="Times New Roman" w:hAnsi="Times New Roman" w:cs="Times New Roman"/>
          <w:sz w:val="24"/>
          <w:szCs w:val="24"/>
        </w:rPr>
        <w:t xml:space="preserve">, </w:t>
      </w:r>
      <w:r w:rsidR="00DC3FCE" w:rsidRPr="00C1694A">
        <w:rPr>
          <w:rFonts w:ascii="Times New Roman" w:hAnsi="Times New Roman" w:cs="Times New Roman"/>
          <w:sz w:val="24"/>
          <w:szCs w:val="24"/>
        </w:rPr>
        <w:t xml:space="preserve">and </w:t>
      </w:r>
      <w:r w:rsidR="00B35ED3" w:rsidRPr="00C1694A">
        <w:rPr>
          <w:rFonts w:ascii="Times New Roman" w:hAnsi="Times New Roman" w:cs="Times New Roman"/>
          <w:sz w:val="24"/>
          <w:szCs w:val="24"/>
        </w:rPr>
        <w:t xml:space="preserve">representatives from Indian tribes, </w:t>
      </w:r>
      <w:r w:rsidR="00D247F2" w:rsidRPr="00C1694A">
        <w:rPr>
          <w:rFonts w:ascii="Times New Roman" w:hAnsi="Times New Roman" w:cs="Times New Roman"/>
          <w:sz w:val="24"/>
          <w:szCs w:val="24"/>
        </w:rPr>
        <w:t>migrant and seasonal communities</w:t>
      </w:r>
      <w:r w:rsidR="00B35ED3" w:rsidRPr="00C1694A">
        <w:rPr>
          <w:rFonts w:ascii="Times New Roman" w:hAnsi="Times New Roman" w:cs="Times New Roman"/>
          <w:sz w:val="24"/>
          <w:szCs w:val="24"/>
        </w:rPr>
        <w:t>, and other constituent groups.  We heard from tribal leader</w:t>
      </w:r>
      <w:r w:rsidR="00DC7D98" w:rsidRPr="00C1694A">
        <w:rPr>
          <w:rFonts w:ascii="Times New Roman" w:hAnsi="Times New Roman" w:cs="Times New Roman"/>
          <w:sz w:val="24"/>
          <w:szCs w:val="24"/>
        </w:rPr>
        <w:t>s at</w:t>
      </w:r>
      <w:r w:rsidR="00B35ED3" w:rsidRPr="00C1694A">
        <w:rPr>
          <w:rFonts w:ascii="Times New Roman" w:hAnsi="Times New Roman" w:cs="Times New Roman"/>
          <w:sz w:val="24"/>
          <w:szCs w:val="24"/>
        </w:rPr>
        <w:t xml:space="preserve"> our annual tribal consultations.  </w:t>
      </w:r>
      <w:r w:rsidR="00024AD8" w:rsidRPr="00C1694A">
        <w:rPr>
          <w:rFonts w:ascii="Times New Roman" w:hAnsi="Times New Roman" w:cs="Times New Roman"/>
          <w:sz w:val="24"/>
          <w:szCs w:val="24"/>
        </w:rPr>
        <w:t xml:space="preserve">We studied the final report of the Secretary’s Advisory Committee on Head Start Research. </w:t>
      </w:r>
      <w:r w:rsidR="00B35ED3" w:rsidRPr="00C1694A">
        <w:rPr>
          <w:rFonts w:ascii="Times New Roman" w:hAnsi="Times New Roman" w:cs="Times New Roman"/>
          <w:sz w:val="24"/>
          <w:szCs w:val="24"/>
        </w:rPr>
        <w:t>We consulted with national organizations and agencies with particular expertise and longstanding interests in early childhood education.  In addition, we analyzed the types of technical assistance requested by and provided to Head Start agencies and programs.  We reviewed findings from monitoring reports and gathered information from programs and families a</w:t>
      </w:r>
      <w:r w:rsidR="006828BC" w:rsidRPr="00C1694A">
        <w:rPr>
          <w:rFonts w:ascii="Times New Roman" w:hAnsi="Times New Roman" w:cs="Times New Roman"/>
          <w:sz w:val="24"/>
          <w:szCs w:val="24"/>
        </w:rPr>
        <w:t xml:space="preserve">bout the circumstances of </w:t>
      </w:r>
      <w:r w:rsidR="00B35ED3" w:rsidRPr="00C1694A">
        <w:rPr>
          <w:rFonts w:ascii="Times New Roman" w:hAnsi="Times New Roman" w:cs="Times New Roman"/>
          <w:sz w:val="24"/>
          <w:szCs w:val="24"/>
        </w:rPr>
        <w:t xml:space="preserve">populations </w:t>
      </w:r>
      <w:r w:rsidR="006828BC" w:rsidRPr="00C1694A">
        <w:rPr>
          <w:rFonts w:ascii="Times New Roman" w:hAnsi="Times New Roman" w:cs="Times New Roman"/>
          <w:sz w:val="24"/>
          <w:szCs w:val="24"/>
        </w:rPr>
        <w:t>Head Start serves</w:t>
      </w:r>
      <w:r w:rsidR="00B35ED3" w:rsidRPr="00C1694A">
        <w:rPr>
          <w:rFonts w:ascii="Times New Roman" w:hAnsi="Times New Roman" w:cs="Times New Roman"/>
          <w:sz w:val="24"/>
          <w:szCs w:val="24"/>
        </w:rPr>
        <w:t xml:space="preserve">.  We considered advances in research-based practices with respect to early childhood education and development, and the projected needs of expanding Head Start services.  We also drew upon the expertise of federal agencies and staff responsible for related programs in order to obtain </w:t>
      </w:r>
      <w:r w:rsidR="008D230C" w:rsidRPr="00C1694A">
        <w:rPr>
          <w:rFonts w:ascii="Times New Roman" w:hAnsi="Times New Roman" w:cs="Times New Roman"/>
          <w:sz w:val="24"/>
          <w:szCs w:val="24"/>
        </w:rPr>
        <w:t xml:space="preserve">relevant data and </w:t>
      </w:r>
      <w:r w:rsidR="00B35ED3" w:rsidRPr="00C1694A">
        <w:rPr>
          <w:rFonts w:ascii="Times New Roman" w:hAnsi="Times New Roman" w:cs="Times New Roman"/>
          <w:sz w:val="24"/>
          <w:szCs w:val="24"/>
        </w:rPr>
        <w:t>advice on how to promote quality across all Head Start settings and program options.  We reviewed the stud</w:t>
      </w:r>
      <w:r w:rsidR="008656A1" w:rsidRPr="00C1694A">
        <w:rPr>
          <w:rFonts w:ascii="Times New Roman" w:hAnsi="Times New Roman" w:cs="Times New Roman"/>
          <w:sz w:val="24"/>
          <w:szCs w:val="24"/>
        </w:rPr>
        <w:t>ies</w:t>
      </w:r>
      <w:r w:rsidR="00B35ED3" w:rsidRPr="00C1694A">
        <w:rPr>
          <w:rFonts w:ascii="Times New Roman" w:hAnsi="Times New Roman" w:cs="Times New Roman"/>
          <w:sz w:val="24"/>
          <w:szCs w:val="24"/>
        </w:rPr>
        <w:t xml:space="preserve"> on developmental outcomes and assessments for young children </w:t>
      </w:r>
      <w:r w:rsidR="008656A1" w:rsidRPr="00C1694A">
        <w:rPr>
          <w:rFonts w:ascii="Times New Roman" w:hAnsi="Times New Roman" w:cs="Times New Roman"/>
          <w:sz w:val="24"/>
          <w:szCs w:val="24"/>
        </w:rPr>
        <w:t xml:space="preserve">and on the workforce </w:t>
      </w:r>
      <w:r w:rsidR="00B35ED3" w:rsidRPr="00C1694A">
        <w:rPr>
          <w:rFonts w:ascii="Times New Roman" w:hAnsi="Times New Roman" w:cs="Times New Roman"/>
          <w:sz w:val="24"/>
          <w:szCs w:val="24"/>
        </w:rPr>
        <w:t>by the National Academy of Sciences.</w:t>
      </w:r>
      <w:r w:rsidR="008656A1" w:rsidRPr="00C1694A">
        <w:rPr>
          <w:rStyle w:val="FootnoteReference"/>
          <w:rFonts w:ascii="Times New Roman" w:hAnsi="Times New Roman" w:cs="Times New Roman"/>
          <w:sz w:val="24"/>
          <w:szCs w:val="24"/>
        </w:rPr>
        <w:footnoteReference w:id="15"/>
      </w:r>
      <w:r w:rsidR="009A526A" w:rsidRPr="00C1694A">
        <w:rPr>
          <w:rFonts w:ascii="Times New Roman" w:hAnsi="Times New Roman" w:cs="Times New Roman"/>
          <w:sz w:val="24"/>
          <w:szCs w:val="24"/>
          <w:vertAlign w:val="superscript"/>
        </w:rPr>
        <w:t>,</w:t>
      </w:r>
      <w:r w:rsidR="009A526A" w:rsidRPr="00C1694A">
        <w:rPr>
          <w:rStyle w:val="FootnoteReference"/>
          <w:rFonts w:ascii="Times New Roman" w:hAnsi="Times New Roman" w:cs="Times New Roman"/>
          <w:sz w:val="24"/>
          <w:szCs w:val="24"/>
        </w:rPr>
        <w:footnoteReference w:id="16"/>
      </w:r>
      <w:r w:rsidR="00B35ED3" w:rsidRPr="00C1694A">
        <w:rPr>
          <w:rFonts w:ascii="Times New Roman" w:hAnsi="Times New Roman" w:cs="Times New Roman"/>
          <w:sz w:val="24"/>
          <w:szCs w:val="24"/>
        </w:rPr>
        <w:t xml:space="preserve">  We also reviewed the standards and performance criteria established by state Quality Rating and Improvement Systems, national organizations, and policy experts in early childhood development, health, safety, maternal health, and related fields.   </w:t>
      </w:r>
    </w:p>
    <w:p w:rsidR="003515A4" w:rsidRPr="00C1694A" w:rsidRDefault="00AC4A03" w:rsidP="009A526A">
      <w:pPr>
        <w:spacing w:after="0" w:line="480" w:lineRule="auto"/>
        <w:ind w:firstLine="720"/>
        <w:rPr>
          <w:rFonts w:ascii="Times New Roman" w:hAnsi="Times New Roman" w:cs="Times New Roman"/>
          <w:sz w:val="24"/>
          <w:szCs w:val="24"/>
          <w:lang w:val="en"/>
        </w:rPr>
      </w:pPr>
      <w:r w:rsidRPr="00C1694A">
        <w:rPr>
          <w:rFonts w:ascii="Times New Roman" w:hAnsi="Times New Roman" w:cs="Times New Roman"/>
          <w:sz w:val="24"/>
          <w:szCs w:val="24"/>
        </w:rPr>
        <w:t xml:space="preserve">We published a </w:t>
      </w:r>
      <w:r w:rsidR="0055633E" w:rsidRPr="00C1694A">
        <w:rPr>
          <w:rFonts w:ascii="Times New Roman" w:hAnsi="Times New Roman" w:cs="Times New Roman"/>
          <w:sz w:val="24"/>
          <w:szCs w:val="24"/>
        </w:rPr>
        <w:t>notice of proposed rulemaking</w:t>
      </w:r>
      <w:r w:rsidR="005D3BC8" w:rsidRPr="00C1694A">
        <w:rPr>
          <w:rFonts w:ascii="Times New Roman" w:hAnsi="Times New Roman" w:cs="Times New Roman"/>
          <w:sz w:val="24"/>
          <w:szCs w:val="24"/>
        </w:rPr>
        <w:t xml:space="preserve"> (NPRM)</w:t>
      </w:r>
      <w:r w:rsidR="0055633E" w:rsidRPr="00C1694A">
        <w:rPr>
          <w:rFonts w:ascii="Times New Roman" w:hAnsi="Times New Roman" w:cs="Times New Roman"/>
          <w:sz w:val="24"/>
          <w:szCs w:val="24"/>
        </w:rPr>
        <w:t xml:space="preserve"> on</w:t>
      </w:r>
      <w:r w:rsidR="008F0045" w:rsidRPr="00C1694A">
        <w:rPr>
          <w:rFonts w:ascii="Times New Roman" w:hAnsi="Times New Roman" w:cs="Times New Roman"/>
          <w:sz w:val="24"/>
          <w:szCs w:val="24"/>
        </w:rPr>
        <w:t xml:space="preserve"> June 19, 2015</w:t>
      </w:r>
      <w:r w:rsidR="007E204D" w:rsidRPr="00C1694A">
        <w:rPr>
          <w:rFonts w:ascii="Times New Roman" w:hAnsi="Times New Roman" w:cs="Times New Roman"/>
          <w:sz w:val="24"/>
          <w:szCs w:val="24"/>
        </w:rPr>
        <w:t xml:space="preserve"> to solicit comments from the public</w:t>
      </w:r>
      <w:r w:rsidR="00323805" w:rsidRPr="00C1694A">
        <w:rPr>
          <w:rFonts w:ascii="Times New Roman" w:hAnsi="Times New Roman" w:cs="Times New Roman"/>
          <w:sz w:val="24"/>
          <w:szCs w:val="24"/>
        </w:rPr>
        <w:t xml:space="preserve">.  </w:t>
      </w:r>
      <w:r w:rsidR="00325A31" w:rsidRPr="00C1694A">
        <w:rPr>
          <w:rFonts w:ascii="Times New Roman" w:hAnsi="Times New Roman" w:cs="Times New Roman"/>
          <w:sz w:val="24"/>
          <w:szCs w:val="24"/>
        </w:rPr>
        <w:t xml:space="preserve">We extended the </w:t>
      </w:r>
      <w:r w:rsidR="001B2032" w:rsidRPr="00C1694A">
        <w:rPr>
          <w:rFonts w:ascii="Times New Roman" w:hAnsi="Times New Roman" w:cs="Times New Roman"/>
          <w:sz w:val="24"/>
          <w:szCs w:val="24"/>
        </w:rPr>
        <w:t xml:space="preserve">notice of proposed rulemaking </w:t>
      </w:r>
      <w:r w:rsidR="00325A31" w:rsidRPr="00C1694A">
        <w:rPr>
          <w:rFonts w:ascii="Times New Roman" w:hAnsi="Times New Roman" w:cs="Times New Roman"/>
          <w:sz w:val="24"/>
          <w:szCs w:val="24"/>
        </w:rPr>
        <w:t xml:space="preserve">comment period </w:t>
      </w:r>
      <w:r w:rsidR="001B2032" w:rsidRPr="00C1694A">
        <w:rPr>
          <w:rFonts w:ascii="Times New Roman" w:hAnsi="Times New Roman" w:cs="Times New Roman"/>
          <w:sz w:val="24"/>
          <w:szCs w:val="24"/>
        </w:rPr>
        <w:t>30 days past our</w:t>
      </w:r>
      <w:r w:rsidR="00325A31" w:rsidRPr="00C1694A">
        <w:rPr>
          <w:rFonts w:ascii="Times New Roman" w:hAnsi="Times New Roman" w:cs="Times New Roman"/>
          <w:sz w:val="24"/>
          <w:szCs w:val="24"/>
        </w:rPr>
        <w:t xml:space="preserve"> original deadline </w:t>
      </w:r>
      <w:r w:rsidR="008D230C" w:rsidRPr="00C1694A">
        <w:rPr>
          <w:rFonts w:ascii="Times New Roman" w:hAnsi="Times New Roman" w:cs="Times New Roman"/>
          <w:sz w:val="24"/>
          <w:szCs w:val="24"/>
        </w:rPr>
        <w:t xml:space="preserve">to </w:t>
      </w:r>
      <w:r w:rsidR="00EC7D76" w:rsidRPr="00C1694A">
        <w:rPr>
          <w:rFonts w:ascii="Times New Roman" w:hAnsi="Times New Roman" w:cs="Times New Roman"/>
          <w:sz w:val="24"/>
          <w:szCs w:val="24"/>
        </w:rPr>
        <w:t xml:space="preserve">September </w:t>
      </w:r>
      <w:r w:rsidR="00D92E7F" w:rsidRPr="00C1694A">
        <w:rPr>
          <w:rFonts w:ascii="Times New Roman" w:hAnsi="Times New Roman" w:cs="Times New Roman"/>
          <w:sz w:val="24"/>
          <w:szCs w:val="24"/>
        </w:rPr>
        <w:t xml:space="preserve">17, 2015, </w:t>
      </w:r>
      <w:r w:rsidR="00325A31" w:rsidRPr="00C1694A">
        <w:rPr>
          <w:rFonts w:ascii="Times New Roman" w:hAnsi="Times New Roman" w:cs="Times New Roman"/>
          <w:sz w:val="24"/>
          <w:szCs w:val="24"/>
          <w:lang w:val="en"/>
        </w:rPr>
        <w:t xml:space="preserve">to </w:t>
      </w:r>
      <w:r w:rsidR="00024AD8" w:rsidRPr="00C1694A">
        <w:rPr>
          <w:rFonts w:ascii="Times New Roman" w:hAnsi="Times New Roman" w:cs="Times New Roman"/>
          <w:sz w:val="24"/>
          <w:szCs w:val="24"/>
          <w:lang w:val="en"/>
        </w:rPr>
        <w:t>allow for</w:t>
      </w:r>
      <w:r w:rsidR="00325A31" w:rsidRPr="00C1694A">
        <w:rPr>
          <w:rFonts w:ascii="Times New Roman" w:hAnsi="Times New Roman" w:cs="Times New Roman"/>
          <w:sz w:val="24"/>
          <w:szCs w:val="24"/>
          <w:lang w:val="en"/>
        </w:rPr>
        <w:t xml:space="preserve"> more feedback from parents, grantees, and </w:t>
      </w:r>
      <w:r w:rsidR="001B2032" w:rsidRPr="00C1694A">
        <w:rPr>
          <w:rFonts w:ascii="Times New Roman" w:hAnsi="Times New Roman" w:cs="Times New Roman"/>
          <w:sz w:val="24"/>
          <w:szCs w:val="24"/>
          <w:lang w:val="en"/>
        </w:rPr>
        <w:t>the Head Start community in general</w:t>
      </w:r>
      <w:r w:rsidR="00D630E2" w:rsidRPr="00C1694A">
        <w:rPr>
          <w:rFonts w:ascii="Times New Roman" w:hAnsi="Times New Roman" w:cs="Times New Roman"/>
          <w:sz w:val="24"/>
          <w:szCs w:val="24"/>
          <w:lang w:val="en"/>
        </w:rPr>
        <w:t xml:space="preserve">. </w:t>
      </w:r>
      <w:r w:rsidR="00325A31" w:rsidRPr="00C1694A">
        <w:rPr>
          <w:rFonts w:ascii="Times New Roman" w:hAnsi="Times New Roman" w:cs="Times New Roman"/>
          <w:sz w:val="24"/>
          <w:szCs w:val="24"/>
          <w:lang w:val="en"/>
        </w:rPr>
        <w:t xml:space="preserve"> </w:t>
      </w:r>
      <w:r w:rsidR="00D92E7F" w:rsidRPr="00C1694A">
        <w:rPr>
          <w:rFonts w:ascii="Times New Roman" w:hAnsi="Times New Roman" w:cs="Times New Roman"/>
          <w:sz w:val="24"/>
          <w:szCs w:val="24"/>
          <w:lang w:val="en"/>
        </w:rPr>
        <w:t xml:space="preserve">We </w:t>
      </w:r>
      <w:r w:rsidR="000F24AB" w:rsidRPr="00C1694A">
        <w:rPr>
          <w:rFonts w:ascii="Times New Roman" w:hAnsi="Times New Roman" w:cs="Times New Roman"/>
          <w:sz w:val="24"/>
          <w:szCs w:val="24"/>
          <w:lang w:val="en"/>
        </w:rPr>
        <w:t xml:space="preserve">received, </w:t>
      </w:r>
      <w:r w:rsidR="00D92E7F" w:rsidRPr="00C1694A">
        <w:rPr>
          <w:rFonts w:ascii="Times New Roman" w:hAnsi="Times New Roman" w:cs="Times New Roman"/>
          <w:sz w:val="24"/>
          <w:szCs w:val="24"/>
          <w:lang w:val="en"/>
        </w:rPr>
        <w:t>analyzed</w:t>
      </w:r>
      <w:r w:rsidR="000F24AB" w:rsidRPr="00C1694A">
        <w:rPr>
          <w:rFonts w:ascii="Times New Roman" w:hAnsi="Times New Roman" w:cs="Times New Roman"/>
          <w:sz w:val="24"/>
          <w:szCs w:val="24"/>
          <w:lang w:val="en"/>
        </w:rPr>
        <w:t>,</w:t>
      </w:r>
      <w:r w:rsidR="00D92E7F" w:rsidRPr="00C1694A">
        <w:rPr>
          <w:rFonts w:ascii="Times New Roman" w:hAnsi="Times New Roman" w:cs="Times New Roman"/>
          <w:sz w:val="24"/>
          <w:szCs w:val="24"/>
          <w:lang w:val="en"/>
        </w:rPr>
        <w:t xml:space="preserve"> and considered </w:t>
      </w:r>
      <w:r w:rsidR="000F24AB" w:rsidRPr="00C1694A">
        <w:rPr>
          <w:rFonts w:ascii="Times New Roman" w:hAnsi="Times New Roman" w:cs="Times New Roman"/>
          <w:sz w:val="24"/>
          <w:szCs w:val="24"/>
          <w:lang w:val="en"/>
        </w:rPr>
        <w:t>approximately</w:t>
      </w:r>
      <w:r w:rsidR="00D92E7F" w:rsidRPr="00C1694A">
        <w:rPr>
          <w:rFonts w:ascii="Times New Roman" w:hAnsi="Times New Roman" w:cs="Times New Roman"/>
          <w:sz w:val="24"/>
          <w:szCs w:val="24"/>
          <w:lang w:val="en"/>
        </w:rPr>
        <w:t xml:space="preserve"> 1,000 public comments to develop this final rule.  Commenters included Head Start parents, staff, and management; national, regional, and state Head Start associations; research</w:t>
      </w:r>
      <w:r w:rsidR="000F25CA" w:rsidRPr="00C1694A">
        <w:rPr>
          <w:rFonts w:ascii="Times New Roman" w:hAnsi="Times New Roman" w:cs="Times New Roman"/>
          <w:sz w:val="24"/>
          <w:szCs w:val="24"/>
          <w:lang w:val="en"/>
        </w:rPr>
        <w:t>ers</w:t>
      </w:r>
      <w:r w:rsidR="00D92E7F" w:rsidRPr="00C1694A">
        <w:rPr>
          <w:rFonts w:ascii="Times New Roman" w:hAnsi="Times New Roman" w:cs="Times New Roman"/>
          <w:sz w:val="24"/>
          <w:szCs w:val="24"/>
          <w:lang w:val="en"/>
        </w:rPr>
        <w:t>;</w:t>
      </w:r>
      <w:r w:rsidR="000F25CA" w:rsidRPr="00C1694A">
        <w:rPr>
          <w:rFonts w:ascii="Times New Roman" w:hAnsi="Times New Roman" w:cs="Times New Roman"/>
          <w:sz w:val="24"/>
          <w:szCs w:val="24"/>
          <w:lang w:val="en"/>
        </w:rPr>
        <w:t xml:space="preserve"> early childhood, health, and parent organizations;</w:t>
      </w:r>
      <w:r w:rsidR="00D92E7F" w:rsidRPr="00C1694A">
        <w:rPr>
          <w:rFonts w:ascii="Times New Roman" w:hAnsi="Times New Roman" w:cs="Times New Roman"/>
          <w:sz w:val="24"/>
          <w:szCs w:val="24"/>
          <w:lang w:val="en"/>
        </w:rPr>
        <w:t xml:space="preserve"> policy think tanks; philanthropic foundations; Members of Congress</w:t>
      </w:r>
      <w:r w:rsidR="000F25CA" w:rsidRPr="00C1694A">
        <w:rPr>
          <w:rFonts w:ascii="Times New Roman" w:hAnsi="Times New Roman" w:cs="Times New Roman"/>
          <w:sz w:val="24"/>
          <w:szCs w:val="24"/>
          <w:lang w:val="en"/>
        </w:rPr>
        <w:t>; and other interested parties</w:t>
      </w:r>
      <w:r w:rsidR="00D92E7F" w:rsidRPr="00C1694A">
        <w:rPr>
          <w:rFonts w:ascii="Times New Roman" w:hAnsi="Times New Roman" w:cs="Times New Roman"/>
          <w:sz w:val="24"/>
          <w:szCs w:val="24"/>
          <w:lang w:val="en"/>
        </w:rPr>
        <w:t>.</w:t>
      </w:r>
    </w:p>
    <w:p w:rsidR="00A04565" w:rsidRPr="00001E53" w:rsidRDefault="00001E53" w:rsidP="00001E53">
      <w:pPr>
        <w:spacing w:after="0" w:line="480" w:lineRule="auto"/>
        <w:ind w:left="1080" w:hanging="360"/>
        <w:rPr>
          <w:rFonts w:ascii="Times New Roman" w:hAnsi="Times New Roman" w:cs="Times New Roman"/>
          <w:sz w:val="24"/>
          <w:szCs w:val="24"/>
          <w:u w:val="single"/>
        </w:rPr>
      </w:pPr>
      <w:r w:rsidRPr="00C1694A">
        <w:rPr>
          <w:rFonts w:ascii="Times New Roman" w:hAnsi="Times New Roman" w:cs="Times New Roman"/>
          <w:sz w:val="24"/>
          <w:szCs w:val="24"/>
        </w:rPr>
        <w:t>d.</w:t>
      </w:r>
      <w:r w:rsidRPr="00C1694A">
        <w:rPr>
          <w:rFonts w:ascii="Times New Roman" w:hAnsi="Times New Roman" w:cs="Times New Roman"/>
          <w:sz w:val="24"/>
          <w:szCs w:val="24"/>
        </w:rPr>
        <w:tab/>
      </w:r>
      <w:r w:rsidR="003515A4" w:rsidRPr="00001E53">
        <w:rPr>
          <w:rFonts w:ascii="Times New Roman" w:hAnsi="Times New Roman" w:cs="Times New Roman"/>
          <w:sz w:val="24"/>
          <w:szCs w:val="24"/>
          <w:u w:val="single"/>
          <w:lang w:val="en"/>
        </w:rPr>
        <w:t xml:space="preserve">Overview of major </w:t>
      </w:r>
      <w:r w:rsidR="00D92E7F" w:rsidRPr="00001E53">
        <w:rPr>
          <w:rFonts w:ascii="Times New Roman" w:hAnsi="Times New Roman" w:cs="Times New Roman"/>
          <w:sz w:val="24"/>
          <w:szCs w:val="24"/>
          <w:u w:val="single"/>
          <w:lang w:val="en"/>
        </w:rPr>
        <w:t>changes from the NPRM</w:t>
      </w:r>
      <w:r w:rsidR="00325A31" w:rsidRPr="00001E53">
        <w:rPr>
          <w:rFonts w:ascii="Times New Roman" w:hAnsi="Times New Roman" w:cs="Times New Roman"/>
          <w:sz w:val="24"/>
          <w:szCs w:val="24"/>
          <w:u w:val="single"/>
          <w:lang w:val="en"/>
        </w:rPr>
        <w:t xml:space="preserve"> </w:t>
      </w:r>
    </w:p>
    <w:p w:rsidR="002C6786" w:rsidRPr="00C1694A" w:rsidRDefault="00EF70C8" w:rsidP="009A526A">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T</w:t>
      </w:r>
      <w:r w:rsidR="00D92E7F" w:rsidRPr="00C1694A">
        <w:rPr>
          <w:rFonts w:ascii="Times New Roman" w:eastAsia="Calibri" w:hAnsi="Times New Roman" w:cs="Times New Roman"/>
          <w:sz w:val="24"/>
          <w:szCs w:val="24"/>
        </w:rPr>
        <w:t xml:space="preserve">he </w:t>
      </w:r>
      <w:r w:rsidRPr="00C1694A">
        <w:rPr>
          <w:rFonts w:ascii="Times New Roman" w:eastAsia="Calibri" w:hAnsi="Times New Roman" w:cs="Times New Roman"/>
          <w:sz w:val="24"/>
          <w:szCs w:val="24"/>
        </w:rPr>
        <w:t xml:space="preserve">public </w:t>
      </w:r>
      <w:r w:rsidR="00D92E7F" w:rsidRPr="00C1694A">
        <w:rPr>
          <w:rFonts w:ascii="Times New Roman" w:eastAsia="Calibri" w:hAnsi="Times New Roman" w:cs="Times New Roman"/>
          <w:sz w:val="24"/>
          <w:szCs w:val="24"/>
        </w:rPr>
        <w:t xml:space="preserve">comments </w:t>
      </w:r>
      <w:r w:rsidRPr="00C1694A">
        <w:rPr>
          <w:rFonts w:ascii="Times New Roman" w:eastAsia="Calibri" w:hAnsi="Times New Roman" w:cs="Times New Roman"/>
          <w:sz w:val="24"/>
          <w:szCs w:val="24"/>
        </w:rPr>
        <w:t xml:space="preserve">addressed </w:t>
      </w:r>
      <w:r w:rsidR="002C6786" w:rsidRPr="00C1694A">
        <w:rPr>
          <w:rFonts w:ascii="Times New Roman" w:eastAsia="Calibri" w:hAnsi="Times New Roman" w:cs="Times New Roman"/>
          <w:sz w:val="24"/>
          <w:szCs w:val="24"/>
        </w:rPr>
        <w:t>a wide range of issues</w:t>
      </w:r>
      <w:r w:rsidRPr="00C1694A">
        <w:rPr>
          <w:rFonts w:ascii="Times New Roman" w:eastAsia="Calibri" w:hAnsi="Times New Roman" w:cs="Times New Roman"/>
          <w:sz w:val="24"/>
          <w:szCs w:val="24"/>
        </w:rPr>
        <w:t>. We</w:t>
      </w:r>
      <w:r w:rsidR="002C6786" w:rsidRPr="00C1694A">
        <w:rPr>
          <w:rFonts w:ascii="Times New Roman" w:eastAsia="Calibri" w:hAnsi="Times New Roman" w:cs="Times New Roman"/>
          <w:sz w:val="24"/>
          <w:szCs w:val="24"/>
        </w:rPr>
        <w:t xml:space="preserve"> </w:t>
      </w:r>
      <w:r w:rsidR="00CE65C7" w:rsidRPr="00C1694A">
        <w:rPr>
          <w:rFonts w:ascii="Times New Roman" w:eastAsia="Calibri" w:hAnsi="Times New Roman" w:cs="Times New Roman"/>
          <w:sz w:val="24"/>
          <w:szCs w:val="24"/>
        </w:rPr>
        <w:t xml:space="preserve">made </w:t>
      </w:r>
      <w:r w:rsidR="00D92E7F" w:rsidRPr="00C1694A">
        <w:rPr>
          <w:rFonts w:ascii="Times New Roman" w:eastAsia="Calibri" w:hAnsi="Times New Roman" w:cs="Times New Roman"/>
          <w:sz w:val="24"/>
          <w:szCs w:val="24"/>
        </w:rPr>
        <w:t xml:space="preserve">many </w:t>
      </w:r>
      <w:r w:rsidR="00CE65C7" w:rsidRPr="00C1694A">
        <w:rPr>
          <w:rFonts w:ascii="Times New Roman" w:eastAsia="Calibri" w:hAnsi="Times New Roman" w:cs="Times New Roman"/>
          <w:sz w:val="24"/>
          <w:szCs w:val="24"/>
        </w:rPr>
        <w:t>changes to</w:t>
      </w:r>
      <w:r w:rsidR="002C6786" w:rsidRPr="00C1694A">
        <w:rPr>
          <w:rFonts w:ascii="Times New Roman" w:eastAsia="Calibri" w:hAnsi="Times New Roman" w:cs="Times New Roman"/>
          <w:sz w:val="24"/>
          <w:szCs w:val="24"/>
        </w:rPr>
        <w:t xml:space="preserve"> the program performance standards </w:t>
      </w:r>
      <w:r w:rsidR="00D92E7F" w:rsidRPr="00C1694A">
        <w:rPr>
          <w:rFonts w:ascii="Times New Roman" w:eastAsia="Calibri" w:hAnsi="Times New Roman" w:cs="Times New Roman"/>
          <w:sz w:val="24"/>
          <w:szCs w:val="24"/>
        </w:rPr>
        <w:t>in response to those comments</w:t>
      </w:r>
      <w:r w:rsidRPr="00C1694A">
        <w:rPr>
          <w:rFonts w:ascii="Times New Roman" w:eastAsia="Calibri" w:hAnsi="Times New Roman" w:cs="Times New Roman"/>
          <w:sz w:val="24"/>
          <w:szCs w:val="24"/>
        </w:rPr>
        <w:t xml:space="preserve">, which </w:t>
      </w:r>
      <w:r w:rsidR="002C6786" w:rsidRPr="00C1694A">
        <w:rPr>
          <w:rFonts w:ascii="Times New Roman" w:eastAsia="Calibri" w:hAnsi="Times New Roman" w:cs="Times New Roman"/>
          <w:sz w:val="24"/>
          <w:szCs w:val="24"/>
        </w:rPr>
        <w:t>range from minor to significant.  The most significant</w:t>
      </w:r>
      <w:r w:rsidRPr="00C1694A">
        <w:rPr>
          <w:rFonts w:ascii="Times New Roman" w:eastAsia="Calibri" w:hAnsi="Times New Roman" w:cs="Times New Roman"/>
          <w:sz w:val="24"/>
          <w:szCs w:val="24"/>
        </w:rPr>
        <w:t xml:space="preserve"> </w:t>
      </w:r>
      <w:r w:rsidR="002C6786" w:rsidRPr="00C1694A">
        <w:rPr>
          <w:rFonts w:ascii="Times New Roman" w:eastAsia="Calibri" w:hAnsi="Times New Roman" w:cs="Times New Roman"/>
          <w:sz w:val="24"/>
          <w:szCs w:val="24"/>
        </w:rPr>
        <w:t xml:space="preserve">changes fall under several categories: service duration, </w:t>
      </w:r>
      <w:r w:rsidRPr="00C1694A">
        <w:rPr>
          <w:rFonts w:ascii="Times New Roman" w:eastAsia="Calibri" w:hAnsi="Times New Roman" w:cs="Times New Roman"/>
          <w:sz w:val="24"/>
          <w:szCs w:val="24"/>
        </w:rPr>
        <w:t xml:space="preserve">the central and critical role of parents in Head Start, </w:t>
      </w:r>
      <w:r w:rsidR="002C6786" w:rsidRPr="00C1694A">
        <w:rPr>
          <w:rFonts w:ascii="Times New Roman" w:eastAsia="Calibri" w:hAnsi="Times New Roman" w:cs="Times New Roman"/>
          <w:sz w:val="24"/>
          <w:szCs w:val="24"/>
        </w:rPr>
        <w:t xml:space="preserve">staff qualifications to support high-quality, comprehensive service delivery, </w:t>
      </w:r>
      <w:r w:rsidRPr="00C1694A">
        <w:rPr>
          <w:rFonts w:ascii="Times New Roman" w:eastAsia="Calibri" w:hAnsi="Times New Roman" w:cs="Times New Roman"/>
          <w:sz w:val="24"/>
          <w:szCs w:val="24"/>
        </w:rPr>
        <w:t xml:space="preserve">and </w:t>
      </w:r>
      <w:r w:rsidR="00AD1AFD" w:rsidRPr="00C1694A">
        <w:rPr>
          <w:rFonts w:ascii="Times New Roman" w:eastAsia="Calibri" w:hAnsi="Times New Roman" w:cs="Times New Roman"/>
          <w:sz w:val="24"/>
          <w:szCs w:val="24"/>
        </w:rPr>
        <w:t>health promotion</w:t>
      </w:r>
      <w:r w:rsidR="002C6786" w:rsidRPr="00C1694A">
        <w:rPr>
          <w:rFonts w:ascii="Times New Roman" w:eastAsia="Calibri" w:hAnsi="Times New Roman" w:cs="Times New Roman"/>
          <w:sz w:val="24"/>
          <w:szCs w:val="24"/>
        </w:rPr>
        <w:t xml:space="preserve">.  </w:t>
      </w:r>
    </w:p>
    <w:p w:rsidR="002C6786" w:rsidRPr="00C1694A" w:rsidRDefault="002C6786" w:rsidP="009A526A">
      <w:pPr>
        <w:spacing w:after="0" w:line="480" w:lineRule="auto"/>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ab/>
        <w:t xml:space="preserve">First, </w:t>
      </w:r>
      <w:r w:rsidR="00336632" w:rsidRPr="00C1694A">
        <w:rPr>
          <w:rFonts w:ascii="Times New Roman" w:eastAsia="Calibri" w:hAnsi="Times New Roman" w:cs="Times New Roman"/>
          <w:sz w:val="24"/>
          <w:szCs w:val="24"/>
        </w:rPr>
        <w:t xml:space="preserve">we made </w:t>
      </w:r>
      <w:r w:rsidRPr="00C1694A">
        <w:rPr>
          <w:rFonts w:ascii="Times New Roman" w:eastAsia="Calibri" w:hAnsi="Times New Roman" w:cs="Times New Roman"/>
          <w:sz w:val="24"/>
          <w:szCs w:val="24"/>
        </w:rPr>
        <w:t xml:space="preserve">changes to this final rule in response to the many public comments we received on the proposal to increase the duration of services children receive in Head Start.  </w:t>
      </w:r>
      <w:r w:rsidRPr="00C1694A">
        <w:rPr>
          <w:rFonts w:ascii="Times New Roman" w:eastAsia="Times New Roman" w:hAnsi="Times New Roman" w:cs="Times New Roman"/>
          <w:sz w:val="24"/>
          <w:szCs w:val="24"/>
        </w:rPr>
        <w:t xml:space="preserve">The changes to the service duration requirements in the final rule reflect concerns </w:t>
      </w:r>
      <w:r w:rsidRPr="00C1694A">
        <w:rPr>
          <w:rFonts w:ascii="Times New Roman" w:eastAsia="Times New Roman" w:hAnsi="Times New Roman" w:cs="Times New Roman"/>
          <w:bCs/>
          <w:sz w:val="24"/>
          <w:szCs w:val="24"/>
        </w:rPr>
        <w:t xml:space="preserve">about local flexibility and access </w:t>
      </w:r>
      <w:r w:rsidRPr="00C1694A">
        <w:rPr>
          <w:rFonts w:ascii="Times New Roman" w:eastAsia="Times New Roman" w:hAnsi="Times New Roman" w:cs="Times New Roman"/>
          <w:sz w:val="24"/>
          <w:szCs w:val="24"/>
        </w:rPr>
        <w:t xml:space="preserve">to Head Start for low-income children and their families.  </w:t>
      </w:r>
      <w:r w:rsidR="007670ED" w:rsidRPr="00C1694A">
        <w:rPr>
          <w:rFonts w:ascii="Times New Roman" w:eastAsia="Times New Roman" w:hAnsi="Times New Roman" w:cs="Times New Roman"/>
          <w:sz w:val="24"/>
          <w:szCs w:val="24"/>
        </w:rPr>
        <w:t xml:space="preserve">Instead of requiring all Head Start center-based programs to operate for </w:t>
      </w:r>
      <w:r w:rsidR="00024AD8" w:rsidRPr="00C1694A">
        <w:rPr>
          <w:rFonts w:ascii="Times New Roman" w:eastAsia="Times New Roman" w:hAnsi="Times New Roman" w:cs="Times New Roman"/>
          <w:sz w:val="24"/>
          <w:szCs w:val="24"/>
        </w:rPr>
        <w:t xml:space="preserve">at least </w:t>
      </w:r>
      <w:r w:rsidR="007670ED" w:rsidRPr="00C1694A">
        <w:rPr>
          <w:rFonts w:ascii="Times New Roman" w:eastAsia="Times New Roman" w:hAnsi="Times New Roman" w:cs="Times New Roman"/>
          <w:sz w:val="24"/>
          <w:szCs w:val="24"/>
        </w:rPr>
        <w:t xml:space="preserve">6 hours per day and 180 days per year as proposed in the NPRM, we changed the requirement to </w:t>
      </w:r>
      <w:r w:rsidR="00024AD8" w:rsidRPr="00C1694A">
        <w:rPr>
          <w:rFonts w:ascii="Times New Roman" w:eastAsia="Times New Roman" w:hAnsi="Times New Roman" w:cs="Times New Roman"/>
          <w:sz w:val="24"/>
          <w:szCs w:val="24"/>
        </w:rPr>
        <w:t xml:space="preserve">a minimum of </w:t>
      </w:r>
      <w:r w:rsidR="007670ED" w:rsidRPr="00C1694A">
        <w:rPr>
          <w:rFonts w:ascii="Times New Roman" w:eastAsia="Times New Roman" w:hAnsi="Times New Roman" w:cs="Times New Roman"/>
          <w:sz w:val="24"/>
          <w:szCs w:val="24"/>
        </w:rPr>
        <w:t xml:space="preserve">1,020 annual hours of planned class operations, which grantees will phase in for all of their center-based slots over five years.  Similarly for Early Head Start, we changed the requirement in the NPRM for center-based programs to operate </w:t>
      </w:r>
      <w:r w:rsidR="00024AD8" w:rsidRPr="00C1694A">
        <w:rPr>
          <w:rFonts w:ascii="Times New Roman" w:eastAsia="Times New Roman" w:hAnsi="Times New Roman" w:cs="Times New Roman"/>
          <w:sz w:val="24"/>
          <w:szCs w:val="24"/>
        </w:rPr>
        <w:t xml:space="preserve">at least </w:t>
      </w:r>
      <w:r w:rsidR="007670ED" w:rsidRPr="00C1694A">
        <w:rPr>
          <w:rFonts w:ascii="Times New Roman" w:eastAsia="Times New Roman" w:hAnsi="Times New Roman" w:cs="Times New Roman"/>
          <w:sz w:val="24"/>
          <w:szCs w:val="24"/>
        </w:rPr>
        <w:t xml:space="preserve">6 hours per day and 230 days per year to 1,380 annual hours in this rule, and allow two years for programs to plan and implement this increase in service duration.  </w:t>
      </w:r>
      <w:r w:rsidRPr="00C1694A">
        <w:rPr>
          <w:rFonts w:ascii="Times New Roman" w:eastAsia="Times New Roman" w:hAnsi="Times New Roman" w:cs="Times New Roman"/>
          <w:sz w:val="24"/>
          <w:szCs w:val="24"/>
        </w:rPr>
        <w:t>The</w:t>
      </w:r>
      <w:r w:rsidR="00336632" w:rsidRPr="00C1694A">
        <w:rPr>
          <w:rFonts w:ascii="Times New Roman" w:eastAsia="Times New Roman" w:hAnsi="Times New Roman" w:cs="Times New Roman"/>
          <w:sz w:val="24"/>
          <w:szCs w:val="24"/>
        </w:rPr>
        <w:t xml:space="preserve">se requirements </w:t>
      </w:r>
      <w:r w:rsidRPr="00C1694A">
        <w:rPr>
          <w:rFonts w:ascii="Times New Roman" w:eastAsia="Times New Roman" w:hAnsi="Times New Roman" w:cs="Times New Roman"/>
          <w:sz w:val="24"/>
          <w:szCs w:val="24"/>
        </w:rPr>
        <w:t xml:space="preserve">balance </w:t>
      </w:r>
      <w:r w:rsidRPr="00C1694A">
        <w:rPr>
          <w:rFonts w:ascii="Times New Roman" w:eastAsia="Times New Roman" w:hAnsi="Times New Roman" w:cs="Times New Roman"/>
          <w:bCs/>
          <w:sz w:val="24"/>
          <w:szCs w:val="24"/>
        </w:rPr>
        <w:t>the importance of</w:t>
      </w:r>
      <w:r w:rsidRPr="00C1694A">
        <w:rPr>
          <w:rFonts w:ascii="Times New Roman" w:eastAsia="Times New Roman" w:hAnsi="Times New Roman" w:cs="Times New Roman"/>
          <w:sz w:val="24"/>
          <w:szCs w:val="24"/>
        </w:rPr>
        <w:t xml:space="preserve"> increasing </w:t>
      </w:r>
      <w:r w:rsidRPr="00C1694A">
        <w:rPr>
          <w:rFonts w:ascii="Times New Roman" w:eastAsia="Times New Roman" w:hAnsi="Times New Roman" w:cs="Times New Roman"/>
          <w:bCs/>
          <w:sz w:val="24"/>
          <w:szCs w:val="24"/>
        </w:rPr>
        <w:t>service</w:t>
      </w:r>
      <w:r w:rsidRPr="00C1694A">
        <w:rPr>
          <w:rFonts w:ascii="Times New Roman" w:eastAsia="Times New Roman" w:hAnsi="Times New Roman" w:cs="Times New Roman"/>
          <w:sz w:val="24"/>
          <w:szCs w:val="24"/>
        </w:rPr>
        <w:t xml:space="preserve"> duration with </w:t>
      </w:r>
      <w:r w:rsidRPr="00C1694A">
        <w:rPr>
          <w:rFonts w:ascii="Times New Roman" w:eastAsia="Times New Roman" w:hAnsi="Times New Roman" w:cs="Times New Roman"/>
          <w:bCs/>
          <w:sz w:val="24"/>
          <w:szCs w:val="24"/>
        </w:rPr>
        <w:t xml:space="preserve">allowing greater local flexibility and more time for communities to adapt and potential funding to be </w:t>
      </w:r>
      <w:r w:rsidR="008D6FEB" w:rsidRPr="00C1694A">
        <w:rPr>
          <w:rFonts w:ascii="Times New Roman" w:eastAsia="Times New Roman" w:hAnsi="Times New Roman" w:cs="Times New Roman"/>
          <w:bCs/>
          <w:sz w:val="24"/>
          <w:szCs w:val="24"/>
        </w:rPr>
        <w:t>secured</w:t>
      </w:r>
      <w:r w:rsidRPr="00C1694A">
        <w:rPr>
          <w:rFonts w:ascii="Times New Roman" w:eastAsia="Times New Roman" w:hAnsi="Times New Roman" w:cs="Times New Roman"/>
          <w:sz w:val="24"/>
          <w:szCs w:val="24"/>
        </w:rPr>
        <w:t>.</w:t>
      </w:r>
    </w:p>
    <w:p w:rsidR="002C6786" w:rsidRPr="00C1694A" w:rsidRDefault="002C6786" w:rsidP="009A526A">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ab/>
        <w:t>Research supports the importance of longer preschool duration in achieving meaningful child outcomes and preparing children for success in school</w:t>
      </w:r>
      <w:r w:rsidR="00EF70C8"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vertAlign w:val="superscript"/>
        </w:rPr>
        <w:footnoteReference w:id="17"/>
      </w:r>
      <w:r w:rsidRPr="00C1694A">
        <w:rPr>
          <w:rFonts w:ascii="Times New Roman" w:eastAsia="Calibri" w:hAnsi="Times New Roman" w:cs="Times New Roman"/>
          <w:sz w:val="24"/>
          <w:szCs w:val="24"/>
          <w:vertAlign w:val="superscript"/>
        </w:rPr>
        <w:t>,</w:t>
      </w:r>
      <w:r w:rsidRPr="00C1694A">
        <w:rPr>
          <w:rFonts w:ascii="Times New Roman" w:eastAsia="Calibri" w:hAnsi="Times New Roman" w:cs="Times New Roman"/>
          <w:sz w:val="24"/>
          <w:szCs w:val="24"/>
          <w:vertAlign w:val="superscript"/>
        </w:rPr>
        <w:footnoteReference w:id="18"/>
      </w:r>
      <w:r w:rsidRPr="00C1694A">
        <w:rPr>
          <w:rFonts w:ascii="Times New Roman" w:eastAsia="Calibri" w:hAnsi="Times New Roman" w:cs="Times New Roman"/>
          <w:sz w:val="24"/>
          <w:szCs w:val="24"/>
          <w:vertAlign w:val="superscript"/>
        </w:rPr>
        <w:t>,</w:t>
      </w:r>
      <w:r w:rsidRPr="00C1694A">
        <w:rPr>
          <w:rFonts w:ascii="Times New Roman" w:eastAsia="Calibri" w:hAnsi="Times New Roman" w:cs="Times New Roman"/>
          <w:sz w:val="24"/>
          <w:szCs w:val="24"/>
          <w:vertAlign w:val="superscript"/>
        </w:rPr>
        <w:footnoteReference w:id="19"/>
      </w:r>
      <w:r w:rsidRPr="00C1694A">
        <w:rPr>
          <w:rFonts w:ascii="Times New Roman" w:eastAsia="Calibri" w:hAnsi="Times New Roman" w:cs="Times New Roman"/>
          <w:sz w:val="24"/>
          <w:szCs w:val="24"/>
          <w:vertAlign w:val="superscript"/>
        </w:rPr>
        <w:t>,</w:t>
      </w:r>
      <w:r w:rsidR="00210415" w:rsidRPr="00C1694A">
        <w:rPr>
          <w:rStyle w:val="FootnoteReference"/>
          <w:rFonts w:ascii="Times New Roman" w:eastAsia="Calibri" w:hAnsi="Times New Roman" w:cs="Times New Roman"/>
          <w:sz w:val="24"/>
          <w:szCs w:val="24"/>
        </w:rPr>
        <w:footnoteReference w:id="20"/>
      </w:r>
      <w:r w:rsidR="00210415" w:rsidRPr="00C1694A">
        <w:rPr>
          <w:rFonts w:ascii="Times New Roman" w:eastAsia="Calibri" w:hAnsi="Times New Roman" w:cs="Times New Roman"/>
          <w:sz w:val="24"/>
          <w:szCs w:val="24"/>
          <w:vertAlign w:val="superscript"/>
        </w:rPr>
        <w:t>,</w:t>
      </w:r>
      <w:r w:rsidRPr="00C1694A">
        <w:rPr>
          <w:rFonts w:ascii="Times New Roman" w:eastAsia="Calibri" w:hAnsi="Times New Roman" w:cs="Times New Roman"/>
          <w:sz w:val="24"/>
          <w:szCs w:val="24"/>
          <w:vertAlign w:val="superscript"/>
        </w:rPr>
        <w:footnoteReference w:id="21"/>
      </w:r>
      <w:r w:rsidR="00125A50" w:rsidRPr="00C1694A">
        <w:rPr>
          <w:rFonts w:ascii="Times New Roman" w:eastAsia="Calibri" w:hAnsi="Times New Roman" w:cs="Times New Roman"/>
          <w:sz w:val="24"/>
          <w:szCs w:val="24"/>
          <w:vertAlign w:val="superscript"/>
        </w:rPr>
        <w:t>,</w:t>
      </w:r>
      <w:r w:rsidR="00125A50" w:rsidRPr="00C1694A">
        <w:rPr>
          <w:rStyle w:val="FootnoteReference"/>
          <w:rFonts w:ascii="Times New Roman" w:eastAsia="Calibri" w:hAnsi="Times New Roman" w:cs="Times New Roman"/>
          <w:sz w:val="24"/>
          <w:szCs w:val="24"/>
        </w:rPr>
        <w:footnoteReference w:id="22"/>
      </w:r>
      <w:r w:rsidR="00125A50" w:rsidRPr="00C1694A">
        <w:rPr>
          <w:rFonts w:ascii="Times New Roman" w:eastAsia="Calibri" w:hAnsi="Times New Roman" w:cs="Times New Roman"/>
          <w:sz w:val="24"/>
          <w:szCs w:val="24"/>
          <w:vertAlign w:val="superscript"/>
        </w:rPr>
        <w:t>,</w:t>
      </w:r>
      <w:r w:rsidR="00125A50" w:rsidRPr="00C1694A">
        <w:rPr>
          <w:rStyle w:val="FootnoteReference"/>
          <w:rFonts w:ascii="Times New Roman" w:eastAsia="Calibri" w:hAnsi="Times New Roman" w:cs="Times New Roman"/>
          <w:sz w:val="24"/>
          <w:szCs w:val="24"/>
        </w:rPr>
        <w:footnoteReference w:id="23"/>
      </w:r>
      <w:r w:rsidR="00125A50" w:rsidRPr="00C1694A">
        <w:rPr>
          <w:rFonts w:ascii="Times New Roman" w:eastAsia="Calibri" w:hAnsi="Times New Roman" w:cs="Times New Roman"/>
          <w:sz w:val="24"/>
          <w:szCs w:val="24"/>
          <w:vertAlign w:val="superscript"/>
        </w:rPr>
        <w:t>,</w:t>
      </w:r>
      <w:r w:rsidR="00125A50" w:rsidRPr="00C1694A">
        <w:rPr>
          <w:rStyle w:val="FootnoteReference"/>
          <w:rFonts w:ascii="Times New Roman" w:eastAsia="Calibri" w:hAnsi="Times New Roman" w:cs="Times New Roman"/>
          <w:sz w:val="24"/>
          <w:szCs w:val="24"/>
        </w:rPr>
        <w:footnoteReference w:id="24"/>
      </w:r>
      <w:r w:rsidRPr="00C1694A">
        <w:rPr>
          <w:rFonts w:ascii="Times New Roman" w:eastAsia="Calibri" w:hAnsi="Times New Roman" w:cs="Times New Roman"/>
          <w:sz w:val="24"/>
          <w:szCs w:val="24"/>
        </w:rPr>
        <w:t xml:space="preserve">  Shorter preschool programs may not have as much time to adequately support strong early learning outcomes for children and provide necessary comprehensive services</w:t>
      </w:r>
      <w:r w:rsidR="00EF70C8"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vertAlign w:val="superscript"/>
        </w:rPr>
        <w:footnoteReference w:id="25"/>
      </w:r>
      <w:r w:rsidRPr="00C1694A">
        <w:rPr>
          <w:rFonts w:ascii="Times New Roman" w:eastAsia="Calibri" w:hAnsi="Times New Roman" w:cs="Times New Roman"/>
          <w:sz w:val="24"/>
          <w:szCs w:val="24"/>
          <w:vertAlign w:val="superscript"/>
        </w:rPr>
        <w:t>,</w:t>
      </w:r>
      <w:r w:rsidRPr="00C1694A">
        <w:rPr>
          <w:rFonts w:ascii="Times New Roman" w:eastAsia="Calibri" w:hAnsi="Times New Roman" w:cs="Times New Roman"/>
          <w:sz w:val="24"/>
          <w:szCs w:val="24"/>
          <w:vertAlign w:val="superscript"/>
        </w:rPr>
        <w:footnoteReference w:id="26"/>
      </w:r>
      <w:r w:rsidRPr="00C1694A">
        <w:rPr>
          <w:rFonts w:ascii="Times New Roman" w:eastAsia="Calibri" w:hAnsi="Times New Roman" w:cs="Times New Roman"/>
          <w:sz w:val="24"/>
          <w:szCs w:val="24"/>
          <w:vertAlign w:val="superscript"/>
        </w:rPr>
        <w:t>,</w:t>
      </w:r>
      <w:r w:rsidRPr="00C1694A">
        <w:rPr>
          <w:rFonts w:ascii="Times New Roman" w:eastAsia="Calibri" w:hAnsi="Times New Roman" w:cs="Times New Roman"/>
          <w:sz w:val="24"/>
          <w:szCs w:val="24"/>
          <w:vertAlign w:val="superscript"/>
        </w:rPr>
        <w:footnoteReference w:id="27"/>
      </w:r>
      <w:r w:rsidRPr="00C1694A">
        <w:rPr>
          <w:rFonts w:ascii="Times New Roman" w:eastAsia="Calibri" w:hAnsi="Times New Roman" w:cs="Times New Roman"/>
          <w:sz w:val="24"/>
          <w:szCs w:val="24"/>
        </w:rPr>
        <w:t xml:space="preserve">  In addition, the long summer break in most Head Start programs likely results in summer learning loss that undermines gains children make during the program year</w:t>
      </w:r>
      <w:r w:rsidR="00EF70C8"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vertAlign w:val="superscript"/>
        </w:rPr>
        <w:footnoteReference w:id="28"/>
      </w:r>
      <w:r w:rsidRPr="00C1694A">
        <w:rPr>
          <w:rFonts w:ascii="Times New Roman" w:eastAsia="Calibri" w:hAnsi="Times New Roman" w:cs="Times New Roman"/>
          <w:sz w:val="24"/>
          <w:szCs w:val="24"/>
          <w:vertAlign w:val="superscript"/>
        </w:rPr>
        <w:t>,</w:t>
      </w:r>
      <w:r w:rsidRPr="00C1694A">
        <w:rPr>
          <w:rFonts w:ascii="Times New Roman" w:eastAsia="Calibri" w:hAnsi="Times New Roman" w:cs="Times New Roman"/>
          <w:sz w:val="24"/>
          <w:szCs w:val="24"/>
          <w:vertAlign w:val="superscript"/>
        </w:rPr>
        <w:footnoteReference w:id="29"/>
      </w:r>
      <w:r w:rsidRPr="00C1694A">
        <w:rPr>
          <w:rFonts w:ascii="Times New Roman" w:eastAsia="Calibri" w:hAnsi="Times New Roman" w:cs="Times New Roman"/>
          <w:sz w:val="24"/>
          <w:szCs w:val="24"/>
          <w:vertAlign w:val="superscript"/>
        </w:rPr>
        <w:t>,</w:t>
      </w:r>
      <w:r w:rsidRPr="00C1694A">
        <w:rPr>
          <w:rFonts w:ascii="Times New Roman" w:eastAsia="Calibri" w:hAnsi="Times New Roman" w:cs="Times New Roman"/>
          <w:sz w:val="24"/>
          <w:szCs w:val="24"/>
          <w:vertAlign w:val="superscript"/>
        </w:rPr>
        <w:footnoteReference w:id="30"/>
      </w:r>
      <w:r w:rsidRPr="00C1694A">
        <w:rPr>
          <w:rFonts w:ascii="Times New Roman" w:eastAsia="Calibri" w:hAnsi="Times New Roman" w:cs="Times New Roman"/>
          <w:sz w:val="24"/>
          <w:szCs w:val="24"/>
        </w:rPr>
        <w:t xml:space="preserve">  Furthermore, part-day programs can undermine parents’ job search, job training, and employment opportunities.</w:t>
      </w:r>
    </w:p>
    <w:p w:rsidR="002C6786" w:rsidRPr="00C1694A" w:rsidRDefault="002C6786" w:rsidP="009A526A">
      <w:pPr>
        <w:spacing w:after="0" w:line="480" w:lineRule="auto"/>
        <w:rPr>
          <w:rFonts w:ascii="Times New Roman" w:eastAsia="Calibri" w:hAnsi="Times New Roman" w:cs="Times New Roman"/>
          <w:sz w:val="24"/>
          <w:szCs w:val="24"/>
          <w:u w:val="single"/>
        </w:rPr>
      </w:pPr>
      <w:r w:rsidRPr="00C1694A">
        <w:rPr>
          <w:rFonts w:ascii="Times New Roman" w:eastAsia="Calibri" w:hAnsi="Times New Roman" w:cs="Times New Roman"/>
          <w:sz w:val="24"/>
          <w:szCs w:val="24"/>
        </w:rPr>
        <w:tab/>
      </w:r>
      <w:r w:rsidR="00CE65C7" w:rsidRPr="00C1694A">
        <w:rPr>
          <w:rFonts w:ascii="Times New Roman" w:eastAsia="Calibri" w:hAnsi="Times New Roman" w:cs="Times New Roman"/>
          <w:sz w:val="24"/>
          <w:szCs w:val="24"/>
        </w:rPr>
        <w:t xml:space="preserve">In the </w:t>
      </w:r>
      <w:r w:rsidRPr="00C1694A">
        <w:rPr>
          <w:rFonts w:ascii="Times New Roman" w:eastAsia="Calibri" w:hAnsi="Times New Roman" w:cs="Times New Roman"/>
          <w:sz w:val="24"/>
          <w:szCs w:val="24"/>
        </w:rPr>
        <w:t>NPRM</w:t>
      </w:r>
      <w:r w:rsidR="00CE65C7" w:rsidRPr="00C1694A">
        <w:rPr>
          <w:rFonts w:ascii="Times New Roman" w:eastAsia="Calibri" w:hAnsi="Times New Roman" w:cs="Times New Roman"/>
          <w:sz w:val="24"/>
          <w:szCs w:val="24"/>
        </w:rPr>
        <w:t>, we</w:t>
      </w:r>
      <w:r w:rsidRPr="00C1694A">
        <w:rPr>
          <w:rFonts w:ascii="Times New Roman" w:eastAsia="Calibri" w:hAnsi="Times New Roman" w:cs="Times New Roman"/>
          <w:sz w:val="24"/>
          <w:szCs w:val="24"/>
        </w:rPr>
        <w:t xml:space="preserve"> proposed </w:t>
      </w:r>
      <w:r w:rsidRPr="00C1694A">
        <w:rPr>
          <w:rFonts w:ascii="Times New Roman" w:eastAsia="Times New Roman" w:hAnsi="Times New Roman" w:cs="Times New Roman"/>
          <w:bCs/>
          <w:sz w:val="24"/>
          <w:szCs w:val="24"/>
        </w:rPr>
        <w:t xml:space="preserve">to increase the positive impact of Head Start programs serving </w:t>
      </w:r>
      <w:r w:rsidR="009D1BCB" w:rsidRPr="00C1694A">
        <w:rPr>
          <w:rFonts w:ascii="Times New Roman" w:eastAsia="Times New Roman" w:hAnsi="Times New Roman" w:cs="Times New Roman"/>
          <w:bCs/>
          <w:sz w:val="24"/>
          <w:szCs w:val="24"/>
        </w:rPr>
        <w:t>three- to five-</w:t>
      </w:r>
      <w:r w:rsidRPr="00C1694A">
        <w:rPr>
          <w:rFonts w:ascii="Times New Roman" w:eastAsia="Times New Roman" w:hAnsi="Times New Roman" w:cs="Times New Roman"/>
          <w:bCs/>
          <w:sz w:val="24"/>
          <w:szCs w:val="24"/>
        </w:rPr>
        <w:t>year</w:t>
      </w:r>
      <w:r w:rsidR="009D1BCB"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 xml:space="preserve">olds </w:t>
      </w:r>
      <w:r w:rsidR="00F06938" w:rsidRPr="00C1694A">
        <w:rPr>
          <w:rFonts w:ascii="Times New Roman" w:eastAsia="Times New Roman" w:hAnsi="Times New Roman" w:cs="Times New Roman"/>
          <w:bCs/>
          <w:sz w:val="24"/>
          <w:szCs w:val="24"/>
        </w:rPr>
        <w:t xml:space="preserve">by increasing the minimum hours and days of operation </w:t>
      </w:r>
      <w:r w:rsidRPr="00C1694A">
        <w:rPr>
          <w:rFonts w:ascii="Times New Roman" w:eastAsia="Times New Roman" w:hAnsi="Times New Roman" w:cs="Times New Roman"/>
          <w:bCs/>
          <w:sz w:val="24"/>
          <w:szCs w:val="24"/>
        </w:rPr>
        <w:t xml:space="preserve">and </w:t>
      </w:r>
      <w:r w:rsidR="00CE65C7" w:rsidRPr="00C1694A">
        <w:rPr>
          <w:rFonts w:ascii="Times New Roman" w:eastAsia="Times New Roman" w:hAnsi="Times New Roman" w:cs="Times New Roman"/>
          <w:bCs/>
          <w:sz w:val="24"/>
          <w:szCs w:val="24"/>
        </w:rPr>
        <w:t xml:space="preserve">to </w:t>
      </w:r>
      <w:r w:rsidRPr="00C1694A">
        <w:rPr>
          <w:rFonts w:ascii="Times New Roman" w:eastAsia="Times New Roman" w:hAnsi="Times New Roman" w:cs="Times New Roman"/>
          <w:bCs/>
          <w:sz w:val="24"/>
          <w:szCs w:val="24"/>
        </w:rPr>
        <w:t xml:space="preserve">codify long-standing interpretation of continuous services for programs </w:t>
      </w:r>
      <w:r w:rsidR="00CE65C7" w:rsidRPr="00C1694A">
        <w:rPr>
          <w:rFonts w:ascii="Times New Roman" w:eastAsia="Times New Roman" w:hAnsi="Times New Roman" w:cs="Times New Roman"/>
          <w:bCs/>
          <w:sz w:val="24"/>
          <w:szCs w:val="24"/>
        </w:rPr>
        <w:t xml:space="preserve">that </w:t>
      </w:r>
      <w:r w:rsidRPr="00C1694A">
        <w:rPr>
          <w:rFonts w:ascii="Times New Roman" w:eastAsia="Times New Roman" w:hAnsi="Times New Roman" w:cs="Times New Roman"/>
          <w:bCs/>
          <w:sz w:val="24"/>
          <w:szCs w:val="24"/>
        </w:rPr>
        <w:t>serv</w:t>
      </w:r>
      <w:r w:rsidR="00CE65C7" w:rsidRPr="00C1694A">
        <w:rPr>
          <w:rFonts w:ascii="Times New Roman" w:eastAsia="Times New Roman" w:hAnsi="Times New Roman" w:cs="Times New Roman"/>
          <w:bCs/>
          <w:sz w:val="24"/>
          <w:szCs w:val="24"/>
        </w:rPr>
        <w:t>e</w:t>
      </w:r>
      <w:r w:rsidRPr="00C1694A">
        <w:rPr>
          <w:rFonts w:ascii="Times New Roman" w:eastAsia="Times New Roman" w:hAnsi="Times New Roman" w:cs="Times New Roman"/>
          <w:bCs/>
          <w:sz w:val="24"/>
          <w:szCs w:val="24"/>
        </w:rPr>
        <w:t xml:space="preserve"> infants and toddlers</w:t>
      </w:r>
      <w:r w:rsidR="00F06938"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 xml:space="preserve"> in concert with increasing st</w:t>
      </w:r>
      <w:r w:rsidR="00EF70C8" w:rsidRPr="00C1694A">
        <w:rPr>
          <w:rFonts w:ascii="Times New Roman" w:eastAsia="Times New Roman" w:hAnsi="Times New Roman" w:cs="Times New Roman"/>
          <w:bCs/>
          <w:sz w:val="24"/>
          <w:szCs w:val="24"/>
        </w:rPr>
        <w:t>andards for educational quality.</w:t>
      </w:r>
      <w:r w:rsidRPr="00C1694A">
        <w:rPr>
          <w:rFonts w:ascii="Times New Roman" w:eastAsia="Times New Roman" w:hAnsi="Times New Roman" w:cs="Times New Roman"/>
          <w:bCs/>
          <w:sz w:val="24"/>
          <w:szCs w:val="24"/>
        </w:rPr>
        <w:t xml:space="preserve">  Specifically, the NPRM proposed to require programs to serve </w:t>
      </w:r>
      <w:r w:rsidR="009D1BCB" w:rsidRPr="00C1694A">
        <w:rPr>
          <w:rFonts w:ascii="Times New Roman" w:eastAsia="Times New Roman" w:hAnsi="Times New Roman" w:cs="Times New Roman"/>
          <w:bCs/>
          <w:sz w:val="24"/>
          <w:szCs w:val="24"/>
        </w:rPr>
        <w:t>three- to five-</w:t>
      </w:r>
      <w:r w:rsidRPr="00C1694A">
        <w:rPr>
          <w:rFonts w:ascii="Times New Roman" w:eastAsia="Times New Roman" w:hAnsi="Times New Roman" w:cs="Times New Roman"/>
          <w:bCs/>
          <w:sz w:val="24"/>
          <w:szCs w:val="24"/>
        </w:rPr>
        <w:t>year</w:t>
      </w:r>
      <w:r w:rsidR="009D1BCB"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olds for at least 6 hours per day and 180 days per year and to require programs to serve infants and toddlers for a minimum of 6 hours per day and 230 days per year.</w:t>
      </w:r>
      <w:r w:rsidRPr="00C1694A">
        <w:rPr>
          <w:rFonts w:ascii="Times New Roman" w:eastAsia="Times New Roman" w:hAnsi="Times New Roman" w:cs="Times New Roman"/>
          <w:b/>
          <w:bCs/>
          <w:sz w:val="24"/>
          <w:szCs w:val="24"/>
        </w:rPr>
        <w:t xml:space="preserve">  </w:t>
      </w:r>
      <w:r w:rsidRPr="00C1694A">
        <w:rPr>
          <w:rFonts w:ascii="Times New Roman" w:eastAsia="Times New Roman" w:hAnsi="Times New Roman" w:cs="Times New Roman"/>
          <w:bCs/>
          <w:sz w:val="24"/>
          <w:szCs w:val="24"/>
        </w:rPr>
        <w:t>Our proposal was consistent with research demonstrating the necessity of adequate instructional time to improve child outcomes</w:t>
      </w:r>
      <w:r w:rsidR="00EF70C8" w:rsidRPr="00C1694A">
        <w:rPr>
          <w:rFonts w:ascii="Times New Roman" w:eastAsia="Times New Roman" w:hAnsi="Times New Roman" w:cs="Times New Roman"/>
          <w:bCs/>
          <w:sz w:val="24"/>
          <w:szCs w:val="24"/>
        </w:rPr>
        <w:t xml:space="preserve"> and aligned with recommendations from the Secretary’s Advisory Committee.</w:t>
      </w:r>
      <w:r w:rsidR="00EF70C8" w:rsidRPr="00C1694A">
        <w:rPr>
          <w:rFonts w:ascii="Times New Roman" w:eastAsia="Times New Roman" w:hAnsi="Times New Roman" w:cs="Times New Roman"/>
          <w:bCs/>
          <w:sz w:val="24"/>
          <w:szCs w:val="24"/>
          <w:vertAlign w:val="superscript"/>
        </w:rPr>
        <w:footnoteReference w:id="31"/>
      </w:r>
      <w:r w:rsidR="00EF70C8" w:rsidRPr="00C1694A">
        <w:rPr>
          <w:rFonts w:ascii="Times New Roman" w:eastAsia="Times New Roman" w:hAnsi="Times New Roman" w:cs="Times New Roman"/>
          <w:bCs/>
          <w:sz w:val="24"/>
          <w:szCs w:val="24"/>
          <w:vertAlign w:val="superscript"/>
        </w:rPr>
        <w:t>,</w:t>
      </w:r>
      <w:r w:rsidRPr="00C1694A">
        <w:rPr>
          <w:rFonts w:ascii="Times New Roman" w:eastAsia="Times New Roman" w:hAnsi="Times New Roman" w:cs="Times New Roman"/>
          <w:bCs/>
          <w:sz w:val="24"/>
          <w:szCs w:val="24"/>
          <w:vertAlign w:val="superscript"/>
        </w:rPr>
        <w:footnoteReference w:id="32"/>
      </w:r>
      <w:r w:rsidRPr="00C1694A">
        <w:rPr>
          <w:rFonts w:ascii="Times New Roman" w:eastAsia="Times New Roman" w:hAnsi="Times New Roman" w:cs="Times New Roman"/>
          <w:bCs/>
          <w:sz w:val="24"/>
          <w:szCs w:val="24"/>
          <w:vertAlign w:val="superscript"/>
        </w:rPr>
        <w:t>,</w:t>
      </w:r>
      <w:r w:rsidRPr="00C1694A">
        <w:rPr>
          <w:rFonts w:ascii="Times New Roman" w:eastAsia="Times New Roman" w:hAnsi="Times New Roman" w:cs="Times New Roman"/>
          <w:bCs/>
          <w:sz w:val="24"/>
          <w:szCs w:val="24"/>
          <w:vertAlign w:val="superscript"/>
        </w:rPr>
        <w:footnoteReference w:id="33"/>
      </w:r>
      <w:r w:rsidRPr="00C1694A">
        <w:rPr>
          <w:rFonts w:ascii="Times New Roman" w:eastAsia="Times New Roman" w:hAnsi="Times New Roman" w:cs="Times New Roman"/>
          <w:bCs/>
          <w:sz w:val="24"/>
          <w:szCs w:val="24"/>
          <w:vertAlign w:val="superscript"/>
        </w:rPr>
        <w:t>,</w:t>
      </w:r>
      <w:r w:rsidRPr="00C1694A">
        <w:rPr>
          <w:rFonts w:ascii="Times New Roman" w:eastAsia="Times New Roman" w:hAnsi="Times New Roman" w:cs="Times New Roman"/>
          <w:bCs/>
          <w:sz w:val="24"/>
          <w:szCs w:val="24"/>
          <w:vertAlign w:val="superscript"/>
        </w:rPr>
        <w:footnoteReference w:id="34"/>
      </w:r>
      <w:r w:rsidRPr="00C1694A">
        <w:rPr>
          <w:rFonts w:ascii="Times New Roman" w:eastAsia="Times New Roman" w:hAnsi="Times New Roman" w:cs="Times New Roman"/>
          <w:bCs/>
          <w:sz w:val="24"/>
          <w:szCs w:val="24"/>
          <w:vertAlign w:val="superscript"/>
        </w:rPr>
        <w:t>,</w:t>
      </w:r>
      <w:r w:rsidRPr="00C1694A">
        <w:rPr>
          <w:rFonts w:ascii="Times New Roman" w:eastAsia="Times New Roman" w:hAnsi="Times New Roman" w:cs="Times New Roman"/>
          <w:bCs/>
          <w:sz w:val="24"/>
          <w:szCs w:val="24"/>
          <w:vertAlign w:val="superscript"/>
        </w:rPr>
        <w:footnoteReference w:id="35"/>
      </w:r>
      <w:r w:rsidRPr="00C1694A">
        <w:rPr>
          <w:rFonts w:ascii="Times New Roman" w:eastAsia="Times New Roman" w:hAnsi="Times New Roman" w:cs="Times New Roman"/>
          <w:bCs/>
          <w:sz w:val="24"/>
          <w:szCs w:val="24"/>
          <w:vertAlign w:val="superscript"/>
        </w:rPr>
        <w:t>,</w:t>
      </w:r>
      <w:r w:rsidRPr="00C1694A">
        <w:rPr>
          <w:rFonts w:ascii="Times New Roman" w:eastAsia="Times New Roman" w:hAnsi="Times New Roman" w:cs="Times New Roman"/>
          <w:bCs/>
          <w:sz w:val="24"/>
          <w:szCs w:val="24"/>
          <w:vertAlign w:val="superscript"/>
        </w:rPr>
        <w:footnoteReference w:id="36"/>
      </w:r>
      <w:r w:rsidRPr="00C1694A">
        <w:rPr>
          <w:rFonts w:ascii="Times New Roman" w:eastAsia="Times New Roman" w:hAnsi="Times New Roman" w:cs="Times New Roman"/>
          <w:bCs/>
          <w:sz w:val="24"/>
          <w:szCs w:val="24"/>
        </w:rPr>
        <w:t xml:space="preserve">  </w:t>
      </w:r>
      <w:r w:rsidRPr="00C1694A">
        <w:rPr>
          <w:rFonts w:ascii="Times New Roman" w:eastAsia="Calibri" w:hAnsi="Times New Roman" w:cs="Times New Roman"/>
          <w:sz w:val="24"/>
          <w:szCs w:val="24"/>
        </w:rPr>
        <w:t>However, though the research is clear that longer duration matters, there is no clarity on an exact threshold or combination of hours and days needed to achieve positive child outcomes.  Therefore, in response to a significant number of public comments on the NPRM, including</w:t>
      </w:r>
      <w:r w:rsidR="00B43650" w:rsidRPr="00C1694A">
        <w:rPr>
          <w:rFonts w:ascii="Times New Roman" w:eastAsia="Calibri" w:hAnsi="Times New Roman" w:cs="Times New Roman"/>
          <w:sz w:val="24"/>
          <w:szCs w:val="24"/>
        </w:rPr>
        <w:t xml:space="preserve"> comments from the national, </w:t>
      </w:r>
      <w:r w:rsidRPr="00C1694A">
        <w:rPr>
          <w:rFonts w:ascii="Times New Roman" w:eastAsia="Calibri" w:hAnsi="Times New Roman" w:cs="Times New Roman"/>
          <w:sz w:val="24"/>
          <w:szCs w:val="24"/>
        </w:rPr>
        <w:t>state</w:t>
      </w:r>
      <w:r w:rsidR="00B43650"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rPr>
        <w:t xml:space="preserve"> </w:t>
      </w:r>
      <w:r w:rsidR="00CB6A6E" w:rsidRPr="00C1694A">
        <w:rPr>
          <w:rFonts w:ascii="Times New Roman" w:eastAsia="Calibri" w:hAnsi="Times New Roman" w:cs="Times New Roman"/>
          <w:sz w:val="24"/>
          <w:szCs w:val="24"/>
        </w:rPr>
        <w:t xml:space="preserve">and regional </w:t>
      </w:r>
      <w:r w:rsidRPr="00C1694A">
        <w:rPr>
          <w:rFonts w:ascii="Times New Roman" w:eastAsia="Calibri" w:hAnsi="Times New Roman" w:cs="Times New Roman"/>
          <w:sz w:val="24"/>
          <w:szCs w:val="24"/>
        </w:rPr>
        <w:t xml:space="preserve">Head Start associations, the final rule defines full school day and full school year services as 1,020 annual hours for Head Start programs and defines continuous services as 1,380 annual hours for Early Head Start programs, instead of setting a minimum number of hours per day and days per year for each program.  These adjusted requirements will give programs more flexibility to design their program schedules to better meet </w:t>
      </w:r>
      <w:r w:rsidR="00CB6A6E" w:rsidRPr="00C1694A">
        <w:rPr>
          <w:rFonts w:ascii="Times New Roman" w:eastAsia="Calibri" w:hAnsi="Times New Roman" w:cs="Times New Roman"/>
          <w:sz w:val="24"/>
          <w:szCs w:val="24"/>
        </w:rPr>
        <w:t xml:space="preserve">children and </w:t>
      </w:r>
      <w:r w:rsidRPr="00C1694A">
        <w:rPr>
          <w:rFonts w:ascii="Times New Roman" w:eastAsia="Calibri" w:hAnsi="Times New Roman" w:cs="Times New Roman"/>
          <w:sz w:val="24"/>
          <w:szCs w:val="24"/>
        </w:rPr>
        <w:t>community needs a</w:t>
      </w:r>
      <w:r w:rsidR="00CB6A6E" w:rsidRPr="00C1694A">
        <w:rPr>
          <w:rFonts w:ascii="Times New Roman" w:eastAsia="Calibri" w:hAnsi="Times New Roman" w:cs="Times New Roman"/>
          <w:sz w:val="24"/>
          <w:szCs w:val="24"/>
        </w:rPr>
        <w:t xml:space="preserve">s well as </w:t>
      </w:r>
      <w:r w:rsidRPr="00C1694A">
        <w:rPr>
          <w:rFonts w:ascii="Times New Roman" w:eastAsia="Calibri" w:hAnsi="Times New Roman" w:cs="Times New Roman"/>
          <w:sz w:val="24"/>
          <w:szCs w:val="24"/>
        </w:rPr>
        <w:t>align with local school district calendars</w:t>
      </w:r>
      <w:r w:rsidR="00B43650" w:rsidRPr="00C1694A">
        <w:rPr>
          <w:rFonts w:ascii="Times New Roman" w:eastAsia="Calibri" w:hAnsi="Times New Roman" w:cs="Times New Roman"/>
          <w:sz w:val="24"/>
          <w:szCs w:val="24"/>
        </w:rPr>
        <w:t>, where appropriate</w:t>
      </w:r>
      <w:r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u w:val="single"/>
        </w:rPr>
        <w:t xml:space="preserve"> </w:t>
      </w:r>
    </w:p>
    <w:p w:rsidR="002C6786" w:rsidRPr="00C1694A" w:rsidRDefault="002C6786" w:rsidP="009A526A">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ab/>
        <w:t xml:space="preserve">To further address the comments about service duration and ensure a smooth transition for children and families, the final rule also includes a </w:t>
      </w:r>
      <w:r w:rsidR="00B43650" w:rsidRPr="00C1694A">
        <w:rPr>
          <w:rFonts w:ascii="Times New Roman" w:eastAsia="Calibri" w:hAnsi="Times New Roman" w:cs="Times New Roman"/>
          <w:sz w:val="24"/>
          <w:szCs w:val="24"/>
        </w:rPr>
        <w:t>staggered</w:t>
      </w:r>
      <w:r w:rsidRPr="00C1694A">
        <w:rPr>
          <w:rFonts w:ascii="Times New Roman" w:eastAsia="Calibri" w:hAnsi="Times New Roman" w:cs="Times New Roman"/>
          <w:sz w:val="24"/>
          <w:szCs w:val="24"/>
        </w:rPr>
        <w:t xml:space="preserve"> approach to increasing service duration for Head Start preschoolers over the next five years.  This gradual transition will allow programs more time to plan and implement changes while also incr</w:t>
      </w:r>
      <w:r w:rsidR="00B43650" w:rsidRPr="00C1694A">
        <w:rPr>
          <w:rFonts w:ascii="Times New Roman" w:eastAsia="Calibri" w:hAnsi="Times New Roman" w:cs="Times New Roman"/>
          <w:sz w:val="24"/>
          <w:szCs w:val="24"/>
        </w:rPr>
        <w:t xml:space="preserve">easing families’ access to full school </w:t>
      </w:r>
      <w:r w:rsidRPr="00C1694A">
        <w:rPr>
          <w:rFonts w:ascii="Times New Roman" w:eastAsia="Calibri" w:hAnsi="Times New Roman" w:cs="Times New Roman"/>
          <w:sz w:val="24"/>
          <w:szCs w:val="24"/>
        </w:rPr>
        <w:t>day Head Start services and ensuring more children receive the high-quality early learning services to help them arrive at kindergarten ready to succeed.  The final rule also gives the Secretary the authority to re</w:t>
      </w:r>
      <w:r w:rsidR="00B43650" w:rsidRPr="00C1694A">
        <w:rPr>
          <w:rFonts w:ascii="Times New Roman" w:eastAsia="Calibri" w:hAnsi="Times New Roman" w:cs="Times New Roman"/>
          <w:sz w:val="24"/>
          <w:szCs w:val="24"/>
        </w:rPr>
        <w:t>duce the proportion of each grantee’s</w:t>
      </w:r>
      <w:r w:rsidRPr="00C1694A">
        <w:rPr>
          <w:rFonts w:ascii="Times New Roman" w:eastAsia="Calibri" w:hAnsi="Times New Roman" w:cs="Times New Roman"/>
          <w:sz w:val="24"/>
          <w:szCs w:val="24"/>
        </w:rPr>
        <w:t xml:space="preserve"> center-based slots required to operate for a full school day and full school year if </w:t>
      </w:r>
      <w:r w:rsidR="00843B0A" w:rsidRPr="00C1694A">
        <w:rPr>
          <w:rFonts w:ascii="Times New Roman" w:eastAsia="Calibri" w:hAnsi="Times New Roman" w:cs="Times New Roman"/>
          <w:sz w:val="24"/>
          <w:szCs w:val="24"/>
        </w:rPr>
        <w:t>the Secretary determines that such a reduction is needed to avert a substantial reduction in slots</w:t>
      </w:r>
      <w:r w:rsidRPr="00C1694A">
        <w:rPr>
          <w:rFonts w:ascii="Times New Roman" w:eastAsia="Calibri" w:hAnsi="Times New Roman" w:cs="Times New Roman"/>
          <w:sz w:val="24"/>
          <w:szCs w:val="24"/>
        </w:rPr>
        <w:t>.  We believe the requirements in the final rule strike an appropriate balance between setting the policy research demonstrates will best support positive outcomes for children and families, while minimizing reduction in the number of children and families Head Start can serve.</w:t>
      </w:r>
    </w:p>
    <w:p w:rsidR="00B43650" w:rsidRPr="00C1694A" w:rsidRDefault="00B43650" w:rsidP="009A526A">
      <w:pPr>
        <w:autoSpaceDE w:val="0"/>
        <w:autoSpaceDN w:val="0"/>
        <w:adjustRightInd w:val="0"/>
        <w:spacing w:after="0" w:line="480" w:lineRule="auto"/>
        <w:ind w:firstLine="720"/>
        <w:rPr>
          <w:rFonts w:ascii="Times New Roman" w:eastAsia="Times New Roman" w:hAnsi="Times New Roman" w:cs="Times New Roman"/>
          <w:bCs/>
          <w:sz w:val="24"/>
          <w:szCs w:val="24"/>
        </w:rPr>
      </w:pPr>
      <w:r w:rsidRPr="00C1694A">
        <w:rPr>
          <w:rFonts w:ascii="Times New Roman" w:eastAsia="Calibri" w:hAnsi="Times New Roman" w:cs="Times New Roman"/>
          <w:sz w:val="24"/>
          <w:szCs w:val="24"/>
        </w:rPr>
        <w:t>Second, we received comments that expressed concern that the proposed changes to family engagement services and governance would result in a reduction in emphasis on family engagement processes, parent leadership, and parent influence on program policy.  This was not our intent. The intent of the NPRM was for the family engagement standards to incorporate the changes made to governance in the 2007 reauthorization and align with the groundbreaking work Head Start has led through the development of the Parent, Family, and Community Engagement Framework.  F</w:t>
      </w:r>
      <w:r w:rsidRPr="00C1694A">
        <w:rPr>
          <w:rFonts w:ascii="Times New Roman" w:eastAsia="Times New Roman" w:hAnsi="Times New Roman" w:cs="Times New Roman"/>
          <w:bCs/>
          <w:sz w:val="24"/>
          <w:szCs w:val="24"/>
        </w:rPr>
        <w:t xml:space="preserve">amily engagement has always been at the foundation of Head Start, and as such, the final rule retains many of the proposed improvements to family services that integrate research-based practices and provide greater local flexibility to help programs better meet family needs. </w:t>
      </w:r>
      <w:r w:rsidRPr="00C1694A">
        <w:rPr>
          <w:rFonts w:ascii="Times New Roman" w:eastAsia="Calibri" w:hAnsi="Times New Roman" w:cs="Times New Roman"/>
          <w:sz w:val="24"/>
          <w:szCs w:val="24"/>
        </w:rPr>
        <w:t xml:space="preserve"> However, given the perception that the changes would limit the role of parents and families in Head Start, the final rule includes several changes to more effectively reflect </w:t>
      </w:r>
      <w:r w:rsidR="00D247F2" w:rsidRPr="00C1694A">
        <w:rPr>
          <w:rFonts w:ascii="Times New Roman" w:eastAsia="Calibri" w:hAnsi="Times New Roman" w:cs="Times New Roman"/>
          <w:sz w:val="24"/>
          <w:szCs w:val="24"/>
        </w:rPr>
        <w:t xml:space="preserve">and maintain </w:t>
      </w:r>
      <w:r w:rsidRPr="00C1694A">
        <w:rPr>
          <w:rFonts w:ascii="Times New Roman" w:eastAsia="Calibri" w:hAnsi="Times New Roman" w:cs="Times New Roman"/>
          <w:sz w:val="24"/>
          <w:szCs w:val="24"/>
        </w:rPr>
        <w:t>the importan</w:t>
      </w:r>
      <w:r w:rsidR="00D247F2" w:rsidRPr="00C1694A">
        <w:rPr>
          <w:rFonts w:ascii="Times New Roman" w:eastAsia="Calibri" w:hAnsi="Times New Roman" w:cs="Times New Roman"/>
          <w:sz w:val="24"/>
          <w:szCs w:val="24"/>
        </w:rPr>
        <w:t xml:space="preserve">t role of Head Start </w:t>
      </w:r>
      <w:r w:rsidRPr="00C1694A">
        <w:rPr>
          <w:rFonts w:ascii="Times New Roman" w:eastAsia="Calibri" w:hAnsi="Times New Roman" w:cs="Times New Roman"/>
          <w:sz w:val="24"/>
          <w:szCs w:val="24"/>
        </w:rPr>
        <w:t>parents in leading Head Start programs</w:t>
      </w:r>
      <w:r w:rsidR="00D247F2" w:rsidRPr="00C1694A">
        <w:rPr>
          <w:rFonts w:ascii="Times New Roman" w:eastAsia="Calibri" w:hAnsi="Times New Roman" w:cs="Times New Roman"/>
          <w:sz w:val="24"/>
          <w:szCs w:val="24"/>
        </w:rPr>
        <w:t xml:space="preserve">, as well as the importance of </w:t>
      </w:r>
      <w:r w:rsidRPr="00C1694A">
        <w:rPr>
          <w:rFonts w:ascii="Times New Roman" w:eastAsia="Calibri" w:hAnsi="Times New Roman" w:cs="Times New Roman"/>
          <w:sz w:val="24"/>
          <w:szCs w:val="24"/>
        </w:rPr>
        <w:t xml:space="preserve">family engagement </w:t>
      </w:r>
      <w:r w:rsidR="00D247F2" w:rsidRPr="00C1694A">
        <w:rPr>
          <w:rFonts w:ascii="Times New Roman" w:eastAsia="Calibri" w:hAnsi="Times New Roman" w:cs="Times New Roman"/>
          <w:sz w:val="24"/>
          <w:szCs w:val="24"/>
        </w:rPr>
        <w:t>to the growth and success of Head Start children</w:t>
      </w:r>
      <w:r w:rsidR="008656A1" w:rsidRPr="00C1694A">
        <w:rPr>
          <w:rFonts w:ascii="Times New Roman" w:eastAsia="Calibri" w:hAnsi="Times New Roman" w:cs="Times New Roman"/>
          <w:sz w:val="24"/>
          <w:szCs w:val="24"/>
        </w:rPr>
        <w:t xml:space="preserve">.  Specifically, we restore a requirement for parent committees, </w:t>
      </w:r>
      <w:r w:rsidR="00933E85" w:rsidRPr="00C1694A">
        <w:rPr>
          <w:rFonts w:ascii="Times New Roman" w:eastAsia="Calibri" w:hAnsi="Times New Roman" w:cs="Times New Roman"/>
          <w:sz w:val="24"/>
          <w:szCs w:val="24"/>
        </w:rPr>
        <w:t xml:space="preserve">maintain and strengthen </w:t>
      </w:r>
      <w:r w:rsidR="008656A1" w:rsidRPr="00C1694A">
        <w:rPr>
          <w:rFonts w:ascii="Times New Roman" w:eastAsia="Calibri" w:hAnsi="Times New Roman" w:cs="Times New Roman"/>
          <w:sz w:val="24"/>
          <w:szCs w:val="24"/>
        </w:rPr>
        <w:t xml:space="preserve">family partnership services </w:t>
      </w:r>
      <w:r w:rsidR="00933E85" w:rsidRPr="00C1694A">
        <w:rPr>
          <w:rFonts w:ascii="Times New Roman" w:eastAsia="Calibri" w:hAnsi="Times New Roman" w:cs="Times New Roman"/>
          <w:sz w:val="24"/>
          <w:szCs w:val="24"/>
        </w:rPr>
        <w:t>(</w:t>
      </w:r>
      <w:r w:rsidR="008656A1" w:rsidRPr="00C1694A">
        <w:rPr>
          <w:rFonts w:ascii="Times New Roman" w:eastAsia="Calibri" w:hAnsi="Times New Roman" w:cs="Times New Roman"/>
          <w:sz w:val="24"/>
          <w:szCs w:val="24"/>
        </w:rPr>
        <w:t>including goal setting</w:t>
      </w:r>
      <w:r w:rsidR="00933E85" w:rsidRPr="00C1694A">
        <w:rPr>
          <w:rFonts w:ascii="Times New Roman" w:eastAsia="Calibri" w:hAnsi="Times New Roman" w:cs="Times New Roman"/>
          <w:sz w:val="24"/>
          <w:szCs w:val="24"/>
        </w:rPr>
        <w:t>)</w:t>
      </w:r>
      <w:r w:rsidR="008656A1" w:rsidRPr="00C1694A">
        <w:rPr>
          <w:rFonts w:ascii="Times New Roman" w:eastAsia="Calibri" w:hAnsi="Times New Roman" w:cs="Times New Roman"/>
          <w:sz w:val="24"/>
          <w:szCs w:val="24"/>
        </w:rPr>
        <w:t xml:space="preserve">, and strengthen the requirements for impasse procedures to make it clear that the policy council </w:t>
      </w:r>
      <w:r w:rsidR="00933E85" w:rsidRPr="00C1694A">
        <w:rPr>
          <w:rFonts w:ascii="Times New Roman" w:eastAsia="Calibri" w:hAnsi="Times New Roman" w:cs="Times New Roman"/>
          <w:sz w:val="24"/>
          <w:szCs w:val="24"/>
        </w:rPr>
        <w:t xml:space="preserve">plays a leadership </w:t>
      </w:r>
      <w:r w:rsidR="008656A1" w:rsidRPr="00C1694A">
        <w:rPr>
          <w:rFonts w:ascii="Times New Roman" w:eastAsia="Calibri" w:hAnsi="Times New Roman" w:cs="Times New Roman"/>
          <w:sz w:val="24"/>
          <w:szCs w:val="24"/>
        </w:rPr>
        <w:t>role i</w:t>
      </w:r>
      <w:r w:rsidR="00933E85" w:rsidRPr="00C1694A">
        <w:rPr>
          <w:rFonts w:ascii="Times New Roman" w:eastAsia="Calibri" w:hAnsi="Times New Roman" w:cs="Times New Roman"/>
          <w:sz w:val="24"/>
          <w:szCs w:val="24"/>
        </w:rPr>
        <w:t xml:space="preserve">n the administration of </w:t>
      </w:r>
      <w:r w:rsidR="008656A1" w:rsidRPr="00C1694A">
        <w:rPr>
          <w:rFonts w:ascii="Times New Roman" w:eastAsia="Calibri" w:hAnsi="Times New Roman" w:cs="Times New Roman"/>
          <w:sz w:val="24"/>
          <w:szCs w:val="24"/>
        </w:rPr>
        <w:t>programs</w:t>
      </w:r>
      <w:r w:rsidR="00933E85" w:rsidRPr="00C1694A">
        <w:rPr>
          <w:rFonts w:ascii="Times New Roman" w:eastAsia="Calibri" w:hAnsi="Times New Roman" w:cs="Times New Roman"/>
          <w:sz w:val="24"/>
          <w:szCs w:val="24"/>
        </w:rPr>
        <w:t xml:space="preserve">, rather than functioning in an </w:t>
      </w:r>
      <w:r w:rsidR="008656A1" w:rsidRPr="00C1694A">
        <w:rPr>
          <w:rFonts w:ascii="Times New Roman" w:eastAsia="Calibri" w:hAnsi="Times New Roman" w:cs="Times New Roman"/>
          <w:sz w:val="24"/>
          <w:szCs w:val="24"/>
        </w:rPr>
        <w:t>advisory</w:t>
      </w:r>
      <w:r w:rsidR="00933E85" w:rsidRPr="00C1694A">
        <w:rPr>
          <w:rFonts w:ascii="Times New Roman" w:eastAsia="Calibri" w:hAnsi="Times New Roman" w:cs="Times New Roman"/>
          <w:sz w:val="24"/>
          <w:szCs w:val="24"/>
        </w:rPr>
        <w:t xml:space="preserve"> capacity</w:t>
      </w:r>
      <w:r w:rsidR="008656A1"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rPr>
        <w:t xml:space="preserve">  It is our expectation that the revisions to the final rule will ensure all grantees, programs, and parents understand the foundational role parents of Head Start children play in shaping the program at the local and national level.  </w:t>
      </w:r>
    </w:p>
    <w:p w:rsidR="002C6786" w:rsidRPr="00C1694A" w:rsidRDefault="00B43650" w:rsidP="009A526A">
      <w:pPr>
        <w:autoSpaceDE w:val="0"/>
        <w:autoSpaceDN w:val="0"/>
        <w:adjustRightInd w:val="0"/>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Third</w:t>
      </w:r>
      <w:r w:rsidR="002C6786" w:rsidRPr="00C1694A">
        <w:rPr>
          <w:rFonts w:ascii="Times New Roman" w:eastAsia="Times New Roman" w:hAnsi="Times New Roman" w:cs="Times New Roman"/>
          <w:bCs/>
          <w:sz w:val="24"/>
          <w:szCs w:val="24"/>
        </w:rPr>
        <w:t>, this final rule includes several changes in response to comments that suggested Head Start should use the revision of the program performance standards to set a higher bar for the delivery of quality comprehensive services.  Specifically, this final rule includes a greater emphasis on staff qualifications and competencies for health, disabilities, and family services managers, as well as staff who work directly with children and families in the family partnership process.  The qualification requirements represent minimum credentials we believe are critical to ensuring high-quality services. However, because we also recognize the important role of experience and community connections for such staff, these requirements are only for newly hired staff and, in some cases, give programs the flexibility to support staff in obtaining the credential</w:t>
      </w:r>
      <w:r w:rsidR="00336632" w:rsidRPr="00C1694A">
        <w:rPr>
          <w:rFonts w:ascii="Times New Roman" w:eastAsia="Times New Roman" w:hAnsi="Times New Roman" w:cs="Times New Roman"/>
          <w:bCs/>
          <w:sz w:val="24"/>
          <w:szCs w:val="24"/>
        </w:rPr>
        <w:t>s</w:t>
      </w:r>
      <w:r w:rsidR="002C6786" w:rsidRPr="00C1694A">
        <w:rPr>
          <w:rFonts w:ascii="Times New Roman" w:eastAsia="Times New Roman" w:hAnsi="Times New Roman" w:cs="Times New Roman"/>
          <w:bCs/>
          <w:sz w:val="24"/>
          <w:szCs w:val="24"/>
        </w:rPr>
        <w:t xml:space="preserve"> within 18 months of hire.  </w:t>
      </w:r>
    </w:p>
    <w:p w:rsidR="002C6786" w:rsidRPr="00C1694A" w:rsidRDefault="009D1BCB" w:rsidP="009A526A">
      <w:pPr>
        <w:autoSpaceDE w:val="0"/>
        <w:autoSpaceDN w:val="0"/>
        <w:adjustRightInd w:val="0"/>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In response to public comments that the NPRM was not strong enough in addressing some serious public health issues, t</w:t>
      </w:r>
      <w:r w:rsidR="002C6786" w:rsidRPr="00C1694A">
        <w:rPr>
          <w:rFonts w:ascii="Times New Roman" w:eastAsia="Times New Roman" w:hAnsi="Times New Roman" w:cs="Times New Roman"/>
          <w:bCs/>
          <w:sz w:val="24"/>
          <w:szCs w:val="24"/>
        </w:rPr>
        <w:t>his final rule includes changes that place a greater emphasis on c</w:t>
      </w:r>
      <w:r w:rsidR="008656A1" w:rsidRPr="00C1694A">
        <w:rPr>
          <w:rFonts w:ascii="Times New Roman" w:eastAsia="Times New Roman" w:hAnsi="Times New Roman" w:cs="Times New Roman"/>
          <w:bCs/>
          <w:sz w:val="24"/>
          <w:szCs w:val="24"/>
        </w:rPr>
        <w:t>ertain health concerns, including c</w:t>
      </w:r>
      <w:r w:rsidR="002C6786" w:rsidRPr="00C1694A">
        <w:rPr>
          <w:rFonts w:ascii="Times New Roman" w:eastAsia="Times New Roman" w:hAnsi="Times New Roman" w:cs="Times New Roman"/>
          <w:bCs/>
          <w:sz w:val="24"/>
          <w:szCs w:val="24"/>
        </w:rPr>
        <w:t>hildhood obesity prevention</w:t>
      </w:r>
      <w:r w:rsidR="003C319C" w:rsidRPr="00C1694A">
        <w:rPr>
          <w:rFonts w:ascii="Times New Roman" w:eastAsia="Times New Roman" w:hAnsi="Times New Roman" w:cs="Times New Roman"/>
          <w:bCs/>
          <w:sz w:val="24"/>
          <w:szCs w:val="24"/>
        </w:rPr>
        <w:t>, health and developmental consequences of tobacco products and exposure to lead</w:t>
      </w:r>
      <w:r w:rsidR="008656A1" w:rsidRPr="00C1694A">
        <w:rPr>
          <w:rFonts w:ascii="Times New Roman" w:eastAsia="Times New Roman" w:hAnsi="Times New Roman" w:cs="Times New Roman"/>
          <w:bCs/>
          <w:sz w:val="24"/>
          <w:szCs w:val="24"/>
        </w:rPr>
        <w:t xml:space="preserve"> and support for mental health and social and emotional well-being</w:t>
      </w:r>
      <w:r w:rsidR="002C6786" w:rsidRPr="00C1694A">
        <w:rPr>
          <w:rFonts w:ascii="Times New Roman" w:eastAsia="Times New Roman" w:hAnsi="Times New Roman" w:cs="Times New Roman"/>
          <w:bCs/>
          <w:sz w:val="24"/>
          <w:szCs w:val="24"/>
        </w:rPr>
        <w:t xml:space="preserve">.  Given the prevalence of childhood obesity across the nation, especially among low-income children, </w:t>
      </w:r>
      <w:r w:rsidR="008656A1" w:rsidRPr="00C1694A">
        <w:rPr>
          <w:rFonts w:ascii="Times New Roman" w:eastAsia="Times New Roman" w:hAnsi="Times New Roman" w:cs="Times New Roman"/>
          <w:bCs/>
          <w:sz w:val="24"/>
          <w:szCs w:val="24"/>
        </w:rPr>
        <w:t>we maintained important health and nutrition requirements and made</w:t>
      </w:r>
      <w:r w:rsidR="002C6786" w:rsidRPr="00C1694A">
        <w:rPr>
          <w:rFonts w:ascii="Times New Roman" w:eastAsia="Times New Roman" w:hAnsi="Times New Roman" w:cs="Times New Roman"/>
          <w:bCs/>
          <w:sz w:val="24"/>
          <w:szCs w:val="24"/>
        </w:rPr>
        <w:t xml:space="preserve"> specific changes to ensure Head Start actively engage in its prevention in the classroom and through the family partnership process. </w:t>
      </w:r>
      <w:r w:rsidR="008656A1" w:rsidRPr="00C1694A">
        <w:rPr>
          <w:rFonts w:ascii="Times New Roman" w:eastAsia="Times New Roman" w:hAnsi="Times New Roman" w:cs="Times New Roman"/>
          <w:bCs/>
          <w:sz w:val="24"/>
          <w:szCs w:val="24"/>
        </w:rPr>
        <w:t xml:space="preserve"> </w:t>
      </w:r>
      <w:r w:rsidR="003C319C" w:rsidRPr="00C1694A">
        <w:rPr>
          <w:rFonts w:ascii="Times New Roman" w:eastAsia="Times New Roman" w:hAnsi="Times New Roman" w:cs="Times New Roman"/>
          <w:bCs/>
          <w:sz w:val="24"/>
          <w:szCs w:val="24"/>
        </w:rPr>
        <w:t xml:space="preserve">Given the serious health and developmental consequences of children’s exposure to tobacco products, including second and third hand smoke, and to lead, we have explicitly required that programs offer parents opportunities to learn about these health risks and safety practices they can employ in their homes. </w:t>
      </w:r>
      <w:r w:rsidR="008656A1" w:rsidRPr="00C1694A">
        <w:rPr>
          <w:rFonts w:ascii="Times New Roman" w:eastAsia="Times New Roman" w:hAnsi="Times New Roman" w:cs="Times New Roman"/>
          <w:bCs/>
          <w:sz w:val="24"/>
          <w:szCs w:val="24"/>
        </w:rPr>
        <w:t xml:space="preserve">We significantly strengthened the breadth and clarity on the </w:t>
      </w:r>
      <w:r w:rsidR="000A26A3" w:rsidRPr="00C1694A">
        <w:rPr>
          <w:rFonts w:ascii="Times New Roman" w:eastAsia="Times New Roman" w:hAnsi="Times New Roman" w:cs="Times New Roman"/>
          <w:bCs/>
          <w:sz w:val="24"/>
          <w:szCs w:val="24"/>
        </w:rPr>
        <w:t>requirements</w:t>
      </w:r>
      <w:r w:rsidR="008656A1" w:rsidRPr="00C1694A">
        <w:rPr>
          <w:rFonts w:ascii="Times New Roman" w:eastAsia="Times New Roman" w:hAnsi="Times New Roman" w:cs="Times New Roman"/>
          <w:bCs/>
          <w:sz w:val="24"/>
          <w:szCs w:val="24"/>
        </w:rPr>
        <w:t xml:space="preserve"> for programs to </w:t>
      </w:r>
      <w:r w:rsidR="000A26A3" w:rsidRPr="00C1694A">
        <w:rPr>
          <w:rFonts w:ascii="Times New Roman" w:eastAsia="Times New Roman" w:hAnsi="Times New Roman" w:cs="Times New Roman"/>
          <w:bCs/>
          <w:sz w:val="24"/>
          <w:szCs w:val="24"/>
        </w:rPr>
        <w:t>use</w:t>
      </w:r>
      <w:r w:rsidR="008656A1" w:rsidRPr="00C1694A">
        <w:rPr>
          <w:rFonts w:ascii="Times New Roman" w:eastAsia="Times New Roman" w:hAnsi="Times New Roman" w:cs="Times New Roman"/>
          <w:bCs/>
          <w:sz w:val="24"/>
          <w:szCs w:val="24"/>
        </w:rPr>
        <w:t xml:space="preserve"> mental health consultants to ensure </w:t>
      </w:r>
      <w:r w:rsidR="000A26A3" w:rsidRPr="00C1694A">
        <w:rPr>
          <w:rFonts w:ascii="Times New Roman" w:eastAsia="Times New Roman" w:hAnsi="Times New Roman" w:cs="Times New Roman"/>
          <w:bCs/>
          <w:sz w:val="24"/>
          <w:szCs w:val="24"/>
        </w:rPr>
        <w:t>Head Start programs are supporting children’s mental health and social and emotional well-being.</w:t>
      </w:r>
      <w:r w:rsidR="002C6786" w:rsidRPr="00C1694A">
        <w:rPr>
          <w:rFonts w:ascii="Times New Roman" w:eastAsia="Times New Roman" w:hAnsi="Times New Roman" w:cs="Times New Roman"/>
          <w:bCs/>
          <w:sz w:val="24"/>
          <w:szCs w:val="24"/>
        </w:rPr>
        <w:t xml:space="preserve">  The final rule includes new provisions </w:t>
      </w:r>
      <w:r w:rsidR="00B43650" w:rsidRPr="00C1694A">
        <w:rPr>
          <w:rFonts w:ascii="Times New Roman" w:eastAsia="Times New Roman" w:hAnsi="Times New Roman" w:cs="Times New Roman"/>
          <w:bCs/>
          <w:sz w:val="24"/>
          <w:szCs w:val="24"/>
        </w:rPr>
        <w:t>in</w:t>
      </w:r>
      <w:r w:rsidR="002C6786" w:rsidRPr="00C1694A">
        <w:rPr>
          <w:rFonts w:ascii="Times New Roman" w:eastAsia="Times New Roman" w:hAnsi="Times New Roman" w:cs="Times New Roman"/>
          <w:bCs/>
          <w:sz w:val="24"/>
          <w:szCs w:val="24"/>
        </w:rPr>
        <w:t xml:space="preserve"> the requirements for health, education, and family engagement services that elevate the role of Head Start programs in addressing </w:t>
      </w:r>
      <w:r w:rsidR="008656A1" w:rsidRPr="00C1694A">
        <w:rPr>
          <w:rFonts w:ascii="Times New Roman" w:eastAsia="Times New Roman" w:hAnsi="Times New Roman" w:cs="Times New Roman"/>
          <w:bCs/>
          <w:sz w:val="24"/>
          <w:szCs w:val="24"/>
        </w:rPr>
        <w:t>these public health problems</w:t>
      </w:r>
      <w:r w:rsidR="002C6786" w:rsidRPr="00C1694A">
        <w:rPr>
          <w:rFonts w:ascii="Times New Roman" w:eastAsia="Times New Roman" w:hAnsi="Times New Roman" w:cs="Times New Roman"/>
          <w:bCs/>
          <w:sz w:val="24"/>
          <w:szCs w:val="24"/>
        </w:rPr>
        <w:t xml:space="preserve">. </w:t>
      </w:r>
    </w:p>
    <w:p w:rsidR="008656A1" w:rsidRPr="00C1694A" w:rsidRDefault="00297AD7" w:rsidP="009A526A">
      <w:pPr>
        <w:autoSpaceDE w:val="0"/>
        <w:autoSpaceDN w:val="0"/>
        <w:adjustRightInd w:val="0"/>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Additionally, through on</w:t>
      </w:r>
      <w:r w:rsidR="008656A1" w:rsidRPr="00C1694A">
        <w:rPr>
          <w:rFonts w:ascii="Times New Roman" w:eastAsia="Times New Roman" w:hAnsi="Times New Roman" w:cs="Times New Roman"/>
          <w:bCs/>
          <w:sz w:val="24"/>
          <w:szCs w:val="24"/>
        </w:rPr>
        <w:t>going tribal consultation</w:t>
      </w:r>
      <w:r w:rsidRPr="00C1694A">
        <w:rPr>
          <w:rFonts w:ascii="Times New Roman" w:eastAsia="Times New Roman" w:hAnsi="Times New Roman" w:cs="Times New Roman"/>
          <w:bCs/>
          <w:sz w:val="24"/>
          <w:szCs w:val="24"/>
        </w:rPr>
        <w:t>s</w:t>
      </w:r>
      <w:r w:rsidR="008656A1" w:rsidRPr="00C1694A">
        <w:rPr>
          <w:rFonts w:ascii="Times New Roman" w:eastAsia="Times New Roman" w:hAnsi="Times New Roman" w:cs="Times New Roman"/>
          <w:bCs/>
          <w:sz w:val="24"/>
          <w:szCs w:val="24"/>
        </w:rPr>
        <w:t xml:space="preserve"> and </w:t>
      </w:r>
      <w:r w:rsidRPr="00C1694A">
        <w:rPr>
          <w:rFonts w:ascii="Times New Roman" w:eastAsia="Times New Roman" w:hAnsi="Times New Roman" w:cs="Times New Roman"/>
          <w:bCs/>
          <w:sz w:val="24"/>
          <w:szCs w:val="24"/>
        </w:rPr>
        <w:t>the public comment process</w:t>
      </w:r>
      <w:r w:rsidR="008656A1" w:rsidRPr="00C1694A">
        <w:rPr>
          <w:rFonts w:ascii="Times New Roman" w:eastAsia="Times New Roman" w:hAnsi="Times New Roman" w:cs="Times New Roman"/>
          <w:bCs/>
          <w:sz w:val="24"/>
          <w:szCs w:val="24"/>
        </w:rPr>
        <w:t xml:space="preserve">, we received important feedback from the American Indian </w:t>
      </w:r>
      <w:r w:rsidR="00BB7A28" w:rsidRPr="00C1694A">
        <w:rPr>
          <w:rFonts w:ascii="Times New Roman" w:eastAsia="Times New Roman" w:hAnsi="Times New Roman" w:cs="Times New Roman"/>
          <w:bCs/>
          <w:sz w:val="24"/>
          <w:szCs w:val="24"/>
        </w:rPr>
        <w:t xml:space="preserve">and </w:t>
      </w:r>
      <w:r w:rsidR="008656A1" w:rsidRPr="00C1694A">
        <w:rPr>
          <w:rFonts w:ascii="Times New Roman" w:eastAsia="Times New Roman" w:hAnsi="Times New Roman" w:cs="Times New Roman"/>
          <w:bCs/>
          <w:sz w:val="24"/>
          <w:szCs w:val="24"/>
        </w:rPr>
        <w:t>Alaska Native community.  We made a number of changes specifically related to American Indian and Alaska Native programs based on th</w:t>
      </w:r>
      <w:r w:rsidR="009D1BCB" w:rsidRPr="00C1694A">
        <w:rPr>
          <w:rFonts w:ascii="Times New Roman" w:eastAsia="Times New Roman" w:hAnsi="Times New Roman" w:cs="Times New Roman"/>
          <w:bCs/>
          <w:sz w:val="24"/>
          <w:szCs w:val="24"/>
        </w:rPr>
        <w:t>ese</w:t>
      </w:r>
      <w:r w:rsidR="008656A1" w:rsidRPr="00C1694A">
        <w:rPr>
          <w:rFonts w:ascii="Times New Roman" w:eastAsia="Times New Roman" w:hAnsi="Times New Roman" w:cs="Times New Roman"/>
          <w:bCs/>
          <w:sz w:val="24"/>
          <w:szCs w:val="24"/>
        </w:rPr>
        <w:t xml:space="preserve"> </w:t>
      </w:r>
      <w:r w:rsidR="009D1BCB" w:rsidRPr="00C1694A">
        <w:rPr>
          <w:rFonts w:ascii="Times New Roman" w:eastAsia="Times New Roman" w:hAnsi="Times New Roman" w:cs="Times New Roman"/>
          <w:bCs/>
          <w:sz w:val="24"/>
          <w:szCs w:val="24"/>
        </w:rPr>
        <w:t xml:space="preserve">public comments </w:t>
      </w:r>
      <w:r w:rsidR="008656A1" w:rsidRPr="00C1694A">
        <w:rPr>
          <w:rFonts w:ascii="Times New Roman" w:eastAsia="Times New Roman" w:hAnsi="Times New Roman" w:cs="Times New Roman"/>
          <w:bCs/>
          <w:sz w:val="24"/>
          <w:szCs w:val="24"/>
        </w:rPr>
        <w:t xml:space="preserve">and the unique and important sovereign relations with tribal governments.  </w:t>
      </w:r>
      <w:r w:rsidRPr="00C1694A">
        <w:rPr>
          <w:rFonts w:ascii="Times New Roman" w:eastAsia="Times New Roman" w:hAnsi="Times New Roman" w:cs="Times New Roman"/>
          <w:bCs/>
          <w:sz w:val="24"/>
          <w:szCs w:val="24"/>
        </w:rPr>
        <w:t>We added a new provision that for the first time makes it explicit that programs serving American Indian and Alaska Native children may integrate efforts to preserve, revitalize, restore, or maintain tribal language into their education services.  We also clarified</w:t>
      </w:r>
      <w:r w:rsidR="008656A1" w:rsidRPr="00C1694A">
        <w:rPr>
          <w:rFonts w:ascii="Times New Roman" w:eastAsia="Times New Roman" w:hAnsi="Times New Roman" w:cs="Times New Roman"/>
          <w:bCs/>
          <w:sz w:val="24"/>
          <w:szCs w:val="24"/>
        </w:rPr>
        <w:t xml:space="preserve"> that</w:t>
      </w:r>
      <w:r w:rsidR="009D1BCB" w:rsidRPr="00C1694A">
        <w:rPr>
          <w:rFonts w:ascii="Times New Roman" w:eastAsia="Times New Roman" w:hAnsi="Times New Roman" w:cs="Times New Roman"/>
          <w:bCs/>
          <w:sz w:val="24"/>
          <w:szCs w:val="24"/>
        </w:rPr>
        <w:t>, due to tribal sovereignty,</w:t>
      </w:r>
      <w:r w:rsidR="008656A1" w:rsidRPr="00C1694A">
        <w:rPr>
          <w:rFonts w:ascii="Times New Roman" w:eastAsia="Times New Roman" w:hAnsi="Times New Roman" w:cs="Times New Roman"/>
          <w:bCs/>
          <w:sz w:val="24"/>
          <w:szCs w:val="24"/>
        </w:rPr>
        <w:t xml:space="preserve"> American Indi</w:t>
      </w:r>
      <w:r w:rsidRPr="00C1694A">
        <w:rPr>
          <w:rFonts w:ascii="Times New Roman" w:eastAsia="Times New Roman" w:hAnsi="Times New Roman" w:cs="Times New Roman"/>
          <w:bCs/>
          <w:sz w:val="24"/>
          <w:szCs w:val="24"/>
        </w:rPr>
        <w:t xml:space="preserve">an and Alaska Native programs </w:t>
      </w:r>
      <w:r w:rsidR="008656A1" w:rsidRPr="00C1694A">
        <w:rPr>
          <w:rFonts w:ascii="Times New Roman" w:eastAsia="Times New Roman" w:hAnsi="Times New Roman" w:cs="Times New Roman"/>
          <w:bCs/>
          <w:sz w:val="24"/>
          <w:szCs w:val="24"/>
        </w:rPr>
        <w:t xml:space="preserve">only need to </w:t>
      </w:r>
      <w:r w:rsidRPr="00C1694A">
        <w:rPr>
          <w:rFonts w:ascii="Times New Roman" w:eastAsia="Times New Roman" w:hAnsi="Times New Roman" w:cs="Times New Roman"/>
          <w:bCs/>
          <w:sz w:val="24"/>
          <w:szCs w:val="24"/>
        </w:rPr>
        <w:t xml:space="preserve">consider whether or not they will participate in early childhood </w:t>
      </w:r>
      <w:r w:rsidR="008656A1" w:rsidRPr="00C1694A">
        <w:rPr>
          <w:rFonts w:ascii="Times New Roman" w:eastAsia="Times New Roman" w:hAnsi="Times New Roman" w:cs="Times New Roman"/>
          <w:bCs/>
          <w:sz w:val="24"/>
          <w:szCs w:val="24"/>
        </w:rPr>
        <w:t xml:space="preserve">systems </w:t>
      </w:r>
      <w:r w:rsidRPr="00C1694A">
        <w:rPr>
          <w:rFonts w:ascii="Times New Roman" w:eastAsia="Times New Roman" w:hAnsi="Times New Roman" w:cs="Times New Roman"/>
          <w:bCs/>
          <w:sz w:val="24"/>
          <w:szCs w:val="24"/>
        </w:rPr>
        <w:t xml:space="preserve">and activities </w:t>
      </w:r>
      <w:r w:rsidR="009D1BCB" w:rsidRPr="00C1694A">
        <w:rPr>
          <w:rFonts w:ascii="Times New Roman" w:eastAsia="Times New Roman" w:hAnsi="Times New Roman" w:cs="Times New Roman"/>
          <w:bCs/>
          <w:sz w:val="24"/>
          <w:szCs w:val="24"/>
        </w:rPr>
        <w:t>in the state in which they operate</w:t>
      </w:r>
      <w:r w:rsidR="008656A1" w:rsidRPr="00C1694A">
        <w:rPr>
          <w:rFonts w:ascii="Times New Roman" w:eastAsia="Times New Roman" w:hAnsi="Times New Roman" w:cs="Times New Roman"/>
          <w:bCs/>
          <w:sz w:val="24"/>
          <w:szCs w:val="24"/>
        </w:rPr>
        <w:t xml:space="preserve">.  </w:t>
      </w:r>
    </w:p>
    <w:p w:rsidR="002C6786" w:rsidRPr="00C1694A" w:rsidRDefault="002C6786"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Calibri" w:hAnsi="Times New Roman" w:cs="Times New Roman"/>
          <w:sz w:val="24"/>
          <w:szCs w:val="24"/>
        </w:rPr>
        <w:t xml:space="preserve">In addition to these changes, the final rule maintains numerous changes proposed in the NPRM to strengthen program </w:t>
      </w:r>
      <w:r w:rsidR="00B43650" w:rsidRPr="00C1694A">
        <w:rPr>
          <w:rFonts w:ascii="Times New Roman" w:eastAsia="Calibri" w:hAnsi="Times New Roman" w:cs="Times New Roman"/>
          <w:sz w:val="24"/>
          <w:szCs w:val="24"/>
        </w:rPr>
        <w:t xml:space="preserve">performance </w:t>
      </w:r>
      <w:r w:rsidRPr="00C1694A">
        <w:rPr>
          <w:rFonts w:ascii="Times New Roman" w:eastAsia="Calibri" w:hAnsi="Times New Roman" w:cs="Times New Roman"/>
          <w:sz w:val="24"/>
          <w:szCs w:val="24"/>
        </w:rPr>
        <w:t xml:space="preserve">standards so all children and families receive high-quality services that will </w:t>
      </w:r>
      <w:r w:rsidR="00B43650" w:rsidRPr="00C1694A">
        <w:rPr>
          <w:rFonts w:ascii="Times New Roman" w:eastAsia="Calibri" w:hAnsi="Times New Roman" w:cs="Times New Roman"/>
          <w:sz w:val="24"/>
          <w:szCs w:val="24"/>
        </w:rPr>
        <w:t xml:space="preserve">improve </w:t>
      </w:r>
      <w:r w:rsidR="00404BFD" w:rsidRPr="00C1694A">
        <w:rPr>
          <w:rFonts w:ascii="Times New Roman" w:eastAsia="Calibri" w:hAnsi="Times New Roman" w:cs="Times New Roman"/>
          <w:sz w:val="24"/>
          <w:szCs w:val="24"/>
        </w:rPr>
        <w:t xml:space="preserve">child outcomes and </w:t>
      </w:r>
      <w:r w:rsidRPr="00C1694A">
        <w:rPr>
          <w:rFonts w:ascii="Times New Roman" w:eastAsia="Calibri" w:hAnsi="Times New Roman" w:cs="Times New Roman"/>
          <w:sz w:val="24"/>
          <w:szCs w:val="24"/>
        </w:rPr>
        <w:t xml:space="preserve">family well-being.  </w:t>
      </w:r>
      <w:r w:rsidRPr="00C1694A">
        <w:rPr>
          <w:rFonts w:ascii="Times New Roman" w:eastAsia="Times New Roman" w:hAnsi="Times New Roman" w:cs="Times New Roman"/>
          <w:bCs/>
          <w:sz w:val="24"/>
          <w:szCs w:val="24"/>
        </w:rPr>
        <w:t xml:space="preserve">We maintained and </w:t>
      </w:r>
      <w:r w:rsidR="00404BFD" w:rsidRPr="00C1694A">
        <w:rPr>
          <w:rFonts w:ascii="Times New Roman" w:eastAsia="Times New Roman" w:hAnsi="Times New Roman" w:cs="Times New Roman"/>
          <w:bCs/>
          <w:sz w:val="24"/>
          <w:szCs w:val="24"/>
        </w:rPr>
        <w:t>made</w:t>
      </w:r>
      <w:r w:rsidRPr="00C1694A">
        <w:rPr>
          <w:rFonts w:ascii="Times New Roman" w:eastAsia="Times New Roman" w:hAnsi="Times New Roman" w:cs="Times New Roman"/>
          <w:bCs/>
          <w:sz w:val="24"/>
          <w:szCs w:val="24"/>
        </w:rPr>
        <w:t xml:space="preserve"> important changes to </w:t>
      </w:r>
      <w:r w:rsidR="00404BFD" w:rsidRPr="00C1694A">
        <w:rPr>
          <w:rFonts w:ascii="Times New Roman" w:eastAsia="Times New Roman" w:hAnsi="Times New Roman" w:cs="Times New Roman"/>
          <w:bCs/>
          <w:sz w:val="24"/>
          <w:szCs w:val="24"/>
        </w:rPr>
        <w:t>strengthen service delivery.  For example, we updated</w:t>
      </w:r>
      <w:r w:rsidRPr="00C1694A">
        <w:rPr>
          <w:rFonts w:ascii="Times New Roman" w:eastAsia="Times New Roman" w:hAnsi="Times New Roman" w:cs="Times New Roman"/>
          <w:bCs/>
          <w:sz w:val="24"/>
          <w:szCs w:val="24"/>
        </w:rPr>
        <w:t xml:space="preserve"> the prioritization criteri</w:t>
      </w:r>
      <w:r w:rsidR="00404BFD" w:rsidRPr="00C1694A">
        <w:rPr>
          <w:rFonts w:ascii="Times New Roman" w:eastAsia="Times New Roman" w:hAnsi="Times New Roman" w:cs="Times New Roman"/>
          <w:bCs/>
          <w:sz w:val="24"/>
          <w:szCs w:val="24"/>
        </w:rPr>
        <w:t>a for selection and recruitment;</w:t>
      </w:r>
      <w:r w:rsidRPr="00C1694A">
        <w:rPr>
          <w:rFonts w:ascii="Times New Roman" w:eastAsia="Times New Roman" w:hAnsi="Times New Roman" w:cs="Times New Roman"/>
          <w:bCs/>
          <w:sz w:val="24"/>
          <w:szCs w:val="24"/>
        </w:rPr>
        <w:t xml:space="preserve"> </w:t>
      </w:r>
      <w:r w:rsidR="00404BFD" w:rsidRPr="00C1694A">
        <w:rPr>
          <w:rFonts w:ascii="Times New Roman" w:eastAsia="Times New Roman" w:hAnsi="Times New Roman" w:cs="Times New Roman"/>
          <w:bCs/>
          <w:sz w:val="24"/>
          <w:szCs w:val="24"/>
        </w:rPr>
        <w:t xml:space="preserve">made </w:t>
      </w:r>
      <w:r w:rsidRPr="00C1694A">
        <w:rPr>
          <w:rFonts w:ascii="Times New Roman" w:eastAsia="Times New Roman" w:hAnsi="Times New Roman" w:cs="Times New Roman"/>
          <w:bCs/>
          <w:sz w:val="24"/>
          <w:szCs w:val="24"/>
        </w:rPr>
        <w:t>improvements to promote</w:t>
      </w:r>
      <w:r w:rsidRPr="00C1694A">
        <w:rPr>
          <w:rFonts w:ascii="Times New Roman" w:eastAsia="Times New Roman" w:hAnsi="Times New Roman" w:cs="Times New Roman"/>
          <w:b/>
          <w:bCs/>
          <w:sz w:val="24"/>
          <w:szCs w:val="24"/>
        </w:rPr>
        <w:t xml:space="preserve"> </w:t>
      </w:r>
      <w:r w:rsidRPr="00C1694A">
        <w:rPr>
          <w:rFonts w:ascii="Times New Roman" w:eastAsia="Times New Roman" w:hAnsi="Times New Roman" w:cs="Times New Roman"/>
          <w:bCs/>
          <w:sz w:val="24"/>
          <w:szCs w:val="24"/>
        </w:rPr>
        <w:t>attendan</w:t>
      </w:r>
      <w:r w:rsidR="00404BFD" w:rsidRPr="00C1694A">
        <w:rPr>
          <w:rFonts w:ascii="Times New Roman" w:eastAsia="Times New Roman" w:hAnsi="Times New Roman" w:cs="Times New Roman"/>
          <w:bCs/>
          <w:sz w:val="24"/>
          <w:szCs w:val="24"/>
        </w:rPr>
        <w:t xml:space="preserve">ce; </w:t>
      </w:r>
      <w:r w:rsidRPr="00C1694A">
        <w:rPr>
          <w:rFonts w:ascii="Times New Roman" w:eastAsia="Times New Roman" w:hAnsi="Times New Roman" w:cs="Times New Roman"/>
          <w:bCs/>
          <w:sz w:val="24"/>
          <w:szCs w:val="24"/>
        </w:rPr>
        <w:t>prohibit</w:t>
      </w:r>
      <w:r w:rsidR="00404BFD" w:rsidRPr="00C1694A">
        <w:rPr>
          <w:rFonts w:ascii="Times New Roman" w:eastAsia="Times New Roman" w:hAnsi="Times New Roman" w:cs="Times New Roman"/>
          <w:bCs/>
          <w:sz w:val="24"/>
          <w:szCs w:val="24"/>
        </w:rPr>
        <w:t>ed</w:t>
      </w:r>
      <w:r w:rsidRPr="00C1694A">
        <w:rPr>
          <w:rFonts w:ascii="Times New Roman" w:eastAsia="Times New Roman" w:hAnsi="Times New Roman" w:cs="Times New Roman"/>
          <w:bCs/>
          <w:sz w:val="24"/>
          <w:szCs w:val="24"/>
        </w:rPr>
        <w:t xml:space="preserve"> expu</w:t>
      </w:r>
      <w:r w:rsidR="00404BFD" w:rsidRPr="00C1694A">
        <w:rPr>
          <w:rFonts w:ascii="Times New Roman" w:eastAsia="Times New Roman" w:hAnsi="Times New Roman" w:cs="Times New Roman"/>
          <w:bCs/>
          <w:sz w:val="24"/>
          <w:szCs w:val="24"/>
        </w:rPr>
        <w:t>lsion for challenging behaviors;</w:t>
      </w:r>
      <w:r w:rsidRPr="00C1694A">
        <w:rPr>
          <w:rFonts w:ascii="Times New Roman" w:eastAsia="Times New Roman" w:hAnsi="Times New Roman" w:cs="Times New Roman"/>
          <w:bCs/>
          <w:sz w:val="24"/>
          <w:szCs w:val="24"/>
        </w:rPr>
        <w:t xml:space="preserve"> </w:t>
      </w:r>
      <w:r w:rsidR="00404BFD" w:rsidRPr="00C1694A">
        <w:rPr>
          <w:rFonts w:ascii="Times New Roman" w:eastAsia="Times New Roman" w:hAnsi="Times New Roman" w:cs="Times New Roman"/>
          <w:bCs/>
          <w:sz w:val="24"/>
          <w:szCs w:val="24"/>
        </w:rPr>
        <w:t>strengthened services for children who are dual language learners</w:t>
      </w:r>
      <w:r w:rsidR="007670ED" w:rsidRPr="00C1694A">
        <w:rPr>
          <w:rFonts w:ascii="Times New Roman" w:eastAsia="Times New Roman" w:hAnsi="Times New Roman" w:cs="Times New Roman"/>
          <w:bCs/>
          <w:sz w:val="24"/>
          <w:szCs w:val="24"/>
        </w:rPr>
        <w:t xml:space="preserve"> (</w:t>
      </w:r>
      <w:r w:rsidR="00616699" w:rsidRPr="00C1694A">
        <w:rPr>
          <w:rFonts w:ascii="Times New Roman" w:eastAsia="Times New Roman" w:hAnsi="Times New Roman" w:cs="Times New Roman"/>
          <w:bCs/>
          <w:sz w:val="24"/>
          <w:szCs w:val="24"/>
        </w:rPr>
        <w:t>DLLs</w:t>
      </w:r>
      <w:r w:rsidR="007670ED" w:rsidRPr="00C1694A">
        <w:rPr>
          <w:rFonts w:ascii="Times New Roman" w:eastAsia="Times New Roman" w:hAnsi="Times New Roman" w:cs="Times New Roman"/>
          <w:bCs/>
          <w:sz w:val="24"/>
          <w:szCs w:val="24"/>
        </w:rPr>
        <w:t>)</w:t>
      </w:r>
      <w:r w:rsidR="00404BFD" w:rsidRPr="00C1694A">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bCs/>
          <w:sz w:val="24"/>
          <w:szCs w:val="24"/>
        </w:rPr>
        <w:t>and ensure</w:t>
      </w:r>
      <w:r w:rsidR="00404BFD" w:rsidRPr="00C1694A">
        <w:rPr>
          <w:rFonts w:ascii="Times New Roman" w:eastAsia="Times New Roman" w:hAnsi="Times New Roman" w:cs="Times New Roman"/>
          <w:bCs/>
          <w:sz w:val="24"/>
          <w:szCs w:val="24"/>
        </w:rPr>
        <w:t>d</w:t>
      </w:r>
      <w:r w:rsidRPr="00C1694A">
        <w:rPr>
          <w:rFonts w:ascii="Times New Roman" w:eastAsia="Times New Roman" w:hAnsi="Times New Roman" w:cs="Times New Roman"/>
          <w:bCs/>
          <w:sz w:val="24"/>
          <w:szCs w:val="24"/>
        </w:rPr>
        <w:t xml:space="preserve"> critical supports for children experiencing homelessness </w:t>
      </w:r>
      <w:r w:rsidR="00404BFD" w:rsidRPr="00C1694A">
        <w:rPr>
          <w:rFonts w:ascii="Times New Roman" w:eastAsia="Times New Roman" w:hAnsi="Times New Roman" w:cs="Times New Roman"/>
          <w:bCs/>
          <w:sz w:val="24"/>
          <w:szCs w:val="24"/>
        </w:rPr>
        <w:t>or</w:t>
      </w:r>
      <w:r w:rsidRPr="00C1694A">
        <w:rPr>
          <w:rFonts w:ascii="Times New Roman" w:eastAsia="Times New Roman" w:hAnsi="Times New Roman" w:cs="Times New Roman"/>
          <w:bCs/>
          <w:sz w:val="24"/>
          <w:szCs w:val="24"/>
        </w:rPr>
        <w:t xml:space="preserve"> in foster care.  </w:t>
      </w:r>
      <w:r w:rsidR="008656A1" w:rsidRPr="00C1694A">
        <w:rPr>
          <w:rFonts w:ascii="Times New Roman" w:eastAsia="Times New Roman" w:hAnsi="Times New Roman" w:cs="Times New Roman"/>
          <w:bCs/>
          <w:sz w:val="24"/>
          <w:szCs w:val="24"/>
        </w:rPr>
        <w:t>Throughout the final rule we have made changes in response to public comments to make language clearer or more focused on outcomes rather than processes.</w:t>
      </w:r>
    </w:p>
    <w:p w:rsidR="00F746B7" w:rsidRPr="00001E53" w:rsidRDefault="00001E53" w:rsidP="00001E53">
      <w:pPr>
        <w:tabs>
          <w:tab w:val="left" w:pos="540"/>
        </w:tabs>
        <w:autoSpaceDE w:val="0"/>
        <w:autoSpaceDN w:val="0"/>
        <w:adjustRightInd w:val="0"/>
        <w:spacing w:after="0" w:line="480" w:lineRule="auto"/>
        <w:ind w:left="720" w:hanging="720"/>
        <w:rPr>
          <w:rFonts w:ascii="Times New Roman" w:hAnsi="Times New Roman" w:cs="Times New Roman"/>
          <w:b/>
          <w:sz w:val="24"/>
          <w:szCs w:val="24"/>
        </w:rPr>
      </w:pPr>
      <w:r w:rsidRPr="00C1694A">
        <w:rPr>
          <w:rFonts w:ascii="Times New Roman" w:hAnsi="Times New Roman" w:cs="Times New Roman"/>
          <w:b/>
          <w:sz w:val="24"/>
          <w:szCs w:val="24"/>
        </w:rPr>
        <w:t>IV.</w:t>
      </w:r>
      <w:r w:rsidRPr="00C1694A">
        <w:rPr>
          <w:rFonts w:ascii="Times New Roman" w:hAnsi="Times New Roman" w:cs="Times New Roman"/>
          <w:b/>
          <w:sz w:val="24"/>
          <w:szCs w:val="24"/>
        </w:rPr>
        <w:tab/>
      </w:r>
      <w:r w:rsidR="003515A4" w:rsidRPr="00001E53">
        <w:rPr>
          <w:rFonts w:ascii="Times New Roman" w:hAnsi="Times New Roman" w:cs="Times New Roman"/>
          <w:b/>
          <w:sz w:val="24"/>
          <w:szCs w:val="24"/>
        </w:rPr>
        <w:t xml:space="preserve">Discussion of </w:t>
      </w:r>
      <w:r w:rsidR="00F746B7" w:rsidRPr="00001E53">
        <w:rPr>
          <w:rFonts w:ascii="Times New Roman" w:hAnsi="Times New Roman" w:cs="Times New Roman"/>
          <w:b/>
          <w:sz w:val="24"/>
          <w:szCs w:val="24"/>
        </w:rPr>
        <w:t>General Comments on the Final Rule</w:t>
      </w:r>
    </w:p>
    <w:p w:rsidR="000F24AB" w:rsidRPr="00C1694A" w:rsidRDefault="000F24AB" w:rsidP="000F24A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received approximately 1,000 public comments on the NPRM </w:t>
      </w:r>
      <w:r w:rsidR="009D1BCB" w:rsidRPr="00C1694A">
        <w:rPr>
          <w:rFonts w:ascii="Times New Roman" w:hAnsi="Times New Roman" w:cs="Times New Roman"/>
          <w:sz w:val="24"/>
          <w:szCs w:val="24"/>
        </w:rPr>
        <w:t xml:space="preserve">with </w:t>
      </w:r>
      <w:r w:rsidRPr="00C1694A">
        <w:rPr>
          <w:rFonts w:ascii="Times New Roman" w:hAnsi="Times New Roman" w:cs="Times New Roman"/>
          <w:sz w:val="24"/>
          <w:szCs w:val="24"/>
        </w:rPr>
        <w:t>many commenters support</w:t>
      </w:r>
      <w:r w:rsidR="00843B0A" w:rsidRPr="00C1694A">
        <w:rPr>
          <w:rFonts w:ascii="Times New Roman" w:hAnsi="Times New Roman" w:cs="Times New Roman"/>
          <w:sz w:val="24"/>
          <w:szCs w:val="24"/>
        </w:rPr>
        <w:t>ing</w:t>
      </w:r>
      <w:r w:rsidRPr="00C1694A">
        <w:rPr>
          <w:rFonts w:ascii="Times New Roman" w:hAnsi="Times New Roman" w:cs="Times New Roman"/>
          <w:sz w:val="24"/>
          <w:szCs w:val="24"/>
        </w:rPr>
        <w:t xml:space="preserve"> our overall approach to revising the Head Start Program Performance Standards.  Commenters appreciated our reorganization and streamlining, and agreed this made the standards more transparent and easier to understand.  Commenters generally supported our approach to systems-based standards that are more focused on outcomes and less prescriptive and process-laden.  They did note that how OHS monitored these standards would </w:t>
      </w:r>
      <w:r w:rsidR="009D1BCB" w:rsidRPr="00C1694A">
        <w:rPr>
          <w:rFonts w:ascii="Times New Roman" w:hAnsi="Times New Roman" w:cs="Times New Roman"/>
          <w:sz w:val="24"/>
          <w:szCs w:val="24"/>
        </w:rPr>
        <w:t>a</w:t>
      </w:r>
      <w:r w:rsidRPr="00C1694A">
        <w:rPr>
          <w:rFonts w:ascii="Times New Roman" w:hAnsi="Times New Roman" w:cs="Times New Roman"/>
          <w:sz w:val="24"/>
          <w:szCs w:val="24"/>
        </w:rPr>
        <w:t>ffect their implementation and impact.  Commenters also appreciated our research-based approach. They noted our education and child development standards focused on the elements most important for supporting strong child outcomes.  Commenters supported standards in the NPRM to improve services to children who are DLLs and their families. Commenters also supported our emphasis on reducing barriers and improving services to children experiencing homelessness and children in foster care.  Overall, commenters agreed our proposal would improve program quality, clarify expectations, and reduce burden on programs.</w:t>
      </w:r>
    </w:p>
    <w:p w:rsidR="000F24AB" w:rsidRPr="00C1694A" w:rsidRDefault="00D86046" w:rsidP="000F24AB">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We received a range of comments on our proposal to increase the minimum service duration for Head Start and Early Head Start programs.  Some commenters supported the proposal to increase duration, citing the research base and its importance to achieving strong child outcomes.  Many c</w:t>
      </w:r>
      <w:r w:rsidR="000F24AB" w:rsidRPr="00C1694A">
        <w:rPr>
          <w:rFonts w:ascii="Times New Roman" w:hAnsi="Times New Roman" w:cs="Times New Roman"/>
          <w:sz w:val="24"/>
          <w:szCs w:val="24"/>
        </w:rPr>
        <w:t xml:space="preserve">ommenters stated that without sufficient funds, this would lead to a reduction in the number of children and families Head Start served and this would be an unacceptable outcome.  </w:t>
      </w:r>
      <w:r w:rsidRPr="00C1694A">
        <w:rPr>
          <w:rFonts w:ascii="Times New Roman" w:hAnsi="Times New Roman" w:cs="Times New Roman"/>
          <w:sz w:val="24"/>
          <w:szCs w:val="24"/>
        </w:rPr>
        <w:t xml:space="preserve">Other commenters raised concern or opposition for a variety of other reasons. </w:t>
      </w:r>
      <w:r w:rsidR="000F24AB" w:rsidRPr="00C1694A">
        <w:rPr>
          <w:rFonts w:ascii="Times New Roman" w:hAnsi="Times New Roman" w:cs="Times New Roman"/>
          <w:sz w:val="24"/>
          <w:szCs w:val="24"/>
        </w:rPr>
        <w:t xml:space="preserve">We discuss and respond to these concerns in detail our discussion of </w:t>
      </w:r>
      <w:r w:rsidR="0045572D">
        <w:rPr>
          <w:rFonts w:ascii="Times New Roman" w:hAnsi="Times New Roman" w:cs="Times New Roman"/>
          <w:sz w:val="24"/>
          <w:szCs w:val="24"/>
        </w:rPr>
        <w:t xml:space="preserve">part </w:t>
      </w:r>
      <w:r w:rsidR="000F24AB" w:rsidRPr="00C1694A">
        <w:rPr>
          <w:rFonts w:ascii="Times New Roman" w:hAnsi="Times New Roman" w:cs="Times New Roman"/>
          <w:sz w:val="24"/>
          <w:szCs w:val="24"/>
        </w:rPr>
        <w:t>1302</w:t>
      </w:r>
      <w:r w:rsidR="0045572D">
        <w:rPr>
          <w:rFonts w:ascii="Times New Roman" w:hAnsi="Times New Roman" w:cs="Times New Roman"/>
          <w:sz w:val="24"/>
          <w:szCs w:val="24"/>
        </w:rPr>
        <w:t>,</w:t>
      </w:r>
      <w:r w:rsidR="000F24AB" w:rsidRPr="00C1694A">
        <w:rPr>
          <w:rFonts w:ascii="Times New Roman" w:hAnsi="Times New Roman" w:cs="Times New Roman"/>
          <w:sz w:val="24"/>
          <w:szCs w:val="24"/>
        </w:rPr>
        <w:t xml:space="preserve"> sub</w:t>
      </w:r>
      <w:r w:rsidR="009D1BCB" w:rsidRPr="00C1694A">
        <w:rPr>
          <w:rFonts w:ascii="Times New Roman" w:hAnsi="Times New Roman" w:cs="Times New Roman"/>
          <w:sz w:val="24"/>
          <w:szCs w:val="24"/>
        </w:rPr>
        <w:t>p</w:t>
      </w:r>
      <w:r w:rsidR="000F24AB" w:rsidRPr="00C1694A">
        <w:rPr>
          <w:rFonts w:ascii="Times New Roman" w:hAnsi="Times New Roman" w:cs="Times New Roman"/>
          <w:sz w:val="24"/>
          <w:szCs w:val="24"/>
        </w:rPr>
        <w:t xml:space="preserve">art B.  </w:t>
      </w:r>
    </w:p>
    <w:p w:rsidR="000F24AB" w:rsidRPr="00C1694A" w:rsidRDefault="000F24AB" w:rsidP="000F24AB">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Many commenters were concerned that the NPRM overall reflected a reduced commitment to the role of parents in Head Start.  They also pointed to specific proposals in different subparts and sections, which they stated contributed to a diminished role for parents.  It was not our intent to diminish </w:t>
      </w:r>
      <w:r w:rsidR="008960F5" w:rsidRPr="00C1694A">
        <w:rPr>
          <w:rFonts w:ascii="Times New Roman" w:hAnsi="Times New Roman" w:cs="Times New Roman"/>
          <w:sz w:val="24"/>
          <w:szCs w:val="24"/>
        </w:rPr>
        <w:t xml:space="preserve">the </w:t>
      </w:r>
      <w:r w:rsidRPr="00C1694A">
        <w:rPr>
          <w:rFonts w:ascii="Times New Roman" w:hAnsi="Times New Roman" w:cs="Times New Roman"/>
          <w:sz w:val="24"/>
          <w:szCs w:val="24"/>
        </w:rPr>
        <w:t>role of parents in the Head Start program</w:t>
      </w:r>
      <w:r w:rsidR="008960F5" w:rsidRPr="00C1694A">
        <w:rPr>
          <w:rFonts w:ascii="Times New Roman" w:hAnsi="Times New Roman" w:cs="Times New Roman"/>
          <w:sz w:val="24"/>
          <w:szCs w:val="24"/>
        </w:rPr>
        <w:t xml:space="preserve">, and </w:t>
      </w:r>
      <w:r w:rsidR="00747C23" w:rsidRPr="00C1694A">
        <w:rPr>
          <w:rFonts w:ascii="Times New Roman" w:hAnsi="Times New Roman" w:cs="Times New Roman"/>
          <w:sz w:val="24"/>
          <w:szCs w:val="24"/>
        </w:rPr>
        <w:t xml:space="preserve">we </w:t>
      </w:r>
      <w:r w:rsidR="008960F5" w:rsidRPr="00C1694A">
        <w:rPr>
          <w:rFonts w:ascii="Times New Roman" w:hAnsi="Times New Roman" w:cs="Times New Roman"/>
          <w:sz w:val="24"/>
          <w:szCs w:val="24"/>
        </w:rPr>
        <w:t>have revised provisions in the final rule to ensure our intent for parent engagement is appropriately conveyed.</w:t>
      </w:r>
      <w:r w:rsidRPr="00C1694A">
        <w:rPr>
          <w:rFonts w:ascii="Times New Roman" w:hAnsi="Times New Roman" w:cs="Times New Roman"/>
          <w:sz w:val="24"/>
          <w:szCs w:val="24"/>
        </w:rPr>
        <w:t xml:space="preserve">  We believe parent engagement is foundational to Head Start and essential to achieving Head Start’s mission to help children succeed in school and beyond.  We address specific comments</w:t>
      </w:r>
      <w:r w:rsidR="008960F5" w:rsidRPr="00C1694A">
        <w:rPr>
          <w:rFonts w:ascii="Times New Roman" w:hAnsi="Times New Roman" w:cs="Times New Roman"/>
          <w:sz w:val="24"/>
          <w:szCs w:val="24"/>
        </w:rPr>
        <w:t xml:space="preserve"> on parent involvement and engagement</w:t>
      </w:r>
      <w:r w:rsidRPr="00C1694A">
        <w:rPr>
          <w:rFonts w:ascii="Times New Roman" w:hAnsi="Times New Roman" w:cs="Times New Roman"/>
          <w:sz w:val="24"/>
          <w:szCs w:val="24"/>
        </w:rPr>
        <w:t xml:space="preserve"> and our responses in the discussions of the relevant sections.</w:t>
      </w:r>
    </w:p>
    <w:p w:rsidR="000F24AB" w:rsidRPr="00C1694A" w:rsidRDefault="000F24AB" w:rsidP="000F24A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Many commenters believed there were excessive references to the Act. They asked that the final regulation translate the references to the Act with specific language or brief excerpts from the Act.  We maintained the same approach as we proposed in the NPRM to reference the provisions in the Act so that the regulation will not become obsolete if the provisions in the Act change. However, we intend to issue a training and technical assistance document that integrates language from the Act into the same document as the program performance standards to address commenters’ interest in having a single document.  </w:t>
      </w:r>
    </w:p>
    <w:p w:rsidR="000F24AB" w:rsidRPr="00C1694A" w:rsidRDefault="000F24AB" w:rsidP="000F24A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also received </w:t>
      </w:r>
      <w:r w:rsidR="009D1BCB" w:rsidRPr="00C1694A">
        <w:rPr>
          <w:rFonts w:ascii="Times New Roman" w:hAnsi="Times New Roman" w:cs="Times New Roman"/>
          <w:sz w:val="24"/>
          <w:szCs w:val="24"/>
        </w:rPr>
        <w:t>other</w:t>
      </w:r>
      <w:r w:rsidRPr="00C1694A">
        <w:rPr>
          <w:rFonts w:ascii="Times New Roman" w:hAnsi="Times New Roman" w:cs="Times New Roman"/>
          <w:sz w:val="24"/>
          <w:szCs w:val="24"/>
        </w:rPr>
        <w:t xml:space="preserve"> general comments or comments not tied to a specific section or provision of the rule. For example, some commenters offered general support for the Head Start program and noted it was important for Head Start to continue. One commenter thought we should have included examples of excellent Head Start programs.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stated their overall opposition to the Head Start program or the NPRM as a whole, and </w:t>
      </w:r>
      <w:r w:rsidR="00C052DA" w:rsidRPr="00C1694A">
        <w:rPr>
          <w:rFonts w:ascii="Times New Roman" w:hAnsi="Times New Roman" w:cs="Times New Roman"/>
          <w:sz w:val="24"/>
          <w:szCs w:val="24"/>
        </w:rPr>
        <w:t xml:space="preserve">others </w:t>
      </w:r>
      <w:r w:rsidRPr="00C1694A">
        <w:rPr>
          <w:rFonts w:ascii="Times New Roman" w:hAnsi="Times New Roman" w:cs="Times New Roman"/>
          <w:sz w:val="24"/>
          <w:szCs w:val="24"/>
        </w:rPr>
        <w:t xml:space="preserve">did not want Head Start program to continue to receive funding.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stated that </w:t>
      </w:r>
      <w:r w:rsidR="009D1BCB" w:rsidRPr="00C1694A">
        <w:rPr>
          <w:rFonts w:ascii="Times New Roman" w:hAnsi="Times New Roman" w:cs="Times New Roman"/>
          <w:sz w:val="24"/>
          <w:szCs w:val="24"/>
        </w:rPr>
        <w:t xml:space="preserve">services for </w:t>
      </w:r>
      <w:r w:rsidRPr="00C1694A">
        <w:rPr>
          <w:rFonts w:ascii="Times New Roman" w:hAnsi="Times New Roman" w:cs="Times New Roman"/>
          <w:sz w:val="24"/>
          <w:szCs w:val="24"/>
        </w:rPr>
        <w:t xml:space="preserve">DLLs were </w:t>
      </w:r>
      <w:r w:rsidR="009D1BCB" w:rsidRPr="00C1694A">
        <w:rPr>
          <w:rFonts w:ascii="Times New Roman" w:hAnsi="Times New Roman" w:cs="Times New Roman"/>
          <w:sz w:val="24"/>
          <w:szCs w:val="24"/>
        </w:rPr>
        <w:t>emphasized</w:t>
      </w:r>
      <w:r w:rsidR="00143E3F" w:rsidRPr="00C1694A">
        <w:rPr>
          <w:rFonts w:ascii="Times New Roman" w:hAnsi="Times New Roman" w:cs="Times New Roman"/>
          <w:sz w:val="24"/>
          <w:szCs w:val="24"/>
        </w:rPr>
        <w:t xml:space="preserve"> too heavily</w:t>
      </w:r>
      <w:r w:rsidR="009D1BCB"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in the regulation or that the standards for DLLs were too prescriptive. We believe DLLs are </w:t>
      </w:r>
      <w:r w:rsidR="009D1BCB" w:rsidRPr="00C1694A">
        <w:rPr>
          <w:rFonts w:ascii="Times New Roman" w:hAnsi="Times New Roman" w:cs="Times New Roman"/>
          <w:sz w:val="24"/>
          <w:szCs w:val="24"/>
        </w:rPr>
        <w:t xml:space="preserve">an </w:t>
      </w:r>
      <w:r w:rsidRPr="00C1694A">
        <w:rPr>
          <w:rFonts w:ascii="Times New Roman" w:hAnsi="Times New Roman" w:cs="Times New Roman"/>
          <w:sz w:val="24"/>
          <w:szCs w:val="24"/>
        </w:rPr>
        <w:t xml:space="preserve">appropriate priority in the regulation because </w:t>
      </w:r>
      <w:r w:rsidR="00143E3F" w:rsidRPr="00C1694A">
        <w:rPr>
          <w:rFonts w:ascii="Times New Roman" w:hAnsi="Times New Roman" w:cs="Times New Roman"/>
          <w:sz w:val="24"/>
          <w:szCs w:val="24"/>
        </w:rPr>
        <w:t>the provisions</w:t>
      </w:r>
      <w:r w:rsidRPr="00C1694A">
        <w:rPr>
          <w:rFonts w:ascii="Times New Roman" w:hAnsi="Times New Roman" w:cs="Times New Roman"/>
          <w:sz w:val="24"/>
          <w:szCs w:val="24"/>
        </w:rPr>
        <w:t xml:space="preserve"> reflect requirements in the Act and because it is important programs effectively serve DLLs because they are a rapidly growing part of both Head Start and the broader United States population. Commenters also offered specific suggestions on ways to clarify, enhance, or add language relevant to serving culturally and linguistically diverse children and families, including children who are DLLs throughout the NPRM. We incorporated some of the suggestions into the final rule but felt some were already adequately covered while others were not feasible to include in regulation. </w:t>
      </w:r>
      <w:r w:rsidR="00AF08EF" w:rsidRPr="00C1694A">
        <w:rPr>
          <w:rFonts w:ascii="Times New Roman" w:hAnsi="Times New Roman" w:cs="Times New Roman"/>
          <w:sz w:val="24"/>
          <w:szCs w:val="24"/>
        </w:rPr>
        <w:t xml:space="preserve"> We discuss these comments as appropriate in the relevant sections of the preamble.</w:t>
      </w:r>
    </w:p>
    <w:p w:rsidR="000F24AB" w:rsidRPr="00C1694A" w:rsidRDefault="000F24AB" w:rsidP="00AE0039">
      <w:pPr>
        <w:tabs>
          <w:tab w:val="left" w:pos="360"/>
        </w:tabs>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Commenters also pointed out technical problems, such as incorrect cross</w:t>
      </w:r>
      <w:r w:rsidR="00AE0039" w:rsidRPr="00C1694A">
        <w:rPr>
          <w:rFonts w:ascii="Times New Roman" w:hAnsi="Times New Roman" w:cs="Times New Roman"/>
          <w:sz w:val="24"/>
          <w:szCs w:val="24"/>
        </w:rPr>
        <w:t xml:space="preserve"> </w:t>
      </w:r>
      <w:r w:rsidRPr="00C1694A">
        <w:rPr>
          <w:rFonts w:ascii="Times New Roman" w:hAnsi="Times New Roman" w:cs="Times New Roman"/>
          <w:sz w:val="24"/>
          <w:szCs w:val="24"/>
        </w:rPr>
        <w:t>references, typographical errors, or small inconsistencies in related provisions.  We corrected these errors and made other needed technical changes</w:t>
      </w:r>
      <w:r w:rsidR="00E45E2A">
        <w:rPr>
          <w:rFonts w:ascii="Times New Roman" w:hAnsi="Times New Roman" w:cs="Times New Roman"/>
          <w:sz w:val="24"/>
          <w:szCs w:val="24"/>
        </w:rPr>
        <w:t>, including edits to ensure descriptive</w:t>
      </w:r>
      <w:r w:rsidR="00E45E2A" w:rsidRPr="00C1694A">
        <w:rPr>
          <w:rFonts w:ascii="Times New Roman" w:hAnsi="Times New Roman" w:cs="Times New Roman"/>
          <w:sz w:val="24"/>
          <w:szCs w:val="24"/>
        </w:rPr>
        <w:t xml:space="preserve"> </w:t>
      </w:r>
      <w:r w:rsidR="00E45E2A">
        <w:rPr>
          <w:rFonts w:ascii="Times New Roman" w:hAnsi="Times New Roman" w:cs="Times New Roman"/>
          <w:sz w:val="24"/>
          <w:szCs w:val="24"/>
        </w:rPr>
        <w:t>titles throughout</w:t>
      </w:r>
      <w:r w:rsidRPr="00C1694A">
        <w:rPr>
          <w:rFonts w:ascii="Times New Roman" w:hAnsi="Times New Roman" w:cs="Times New Roman"/>
          <w:sz w:val="24"/>
          <w:szCs w:val="24"/>
        </w:rPr>
        <w:t xml:space="preserve"> the final rule.  Commenters also requested that we update existing data collections to account for changes in the program performance standards.  As we make changes to the </w:t>
      </w:r>
      <w:r w:rsidR="00523540" w:rsidRPr="00C1694A">
        <w:rPr>
          <w:rFonts w:ascii="Times New Roman" w:hAnsi="Times New Roman" w:cs="Times New Roman"/>
          <w:sz w:val="24"/>
          <w:szCs w:val="24"/>
        </w:rPr>
        <w:t xml:space="preserve">Head Start </w:t>
      </w:r>
      <w:r w:rsidR="00122298" w:rsidRPr="00C1694A">
        <w:rPr>
          <w:rFonts w:ascii="Times New Roman" w:hAnsi="Times New Roman" w:cs="Times New Roman"/>
          <w:sz w:val="24"/>
          <w:szCs w:val="24"/>
        </w:rPr>
        <w:t>Program Information Report (</w:t>
      </w:r>
      <w:r w:rsidRPr="00C1694A">
        <w:rPr>
          <w:rFonts w:ascii="Times New Roman" w:hAnsi="Times New Roman" w:cs="Times New Roman"/>
          <w:sz w:val="24"/>
          <w:szCs w:val="24"/>
        </w:rPr>
        <w:t>PIR</w:t>
      </w:r>
      <w:r w:rsidR="00122298"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other data collections we sponsor, we will consider the final rule, but this is not a regulatory issue.</w:t>
      </w:r>
    </w:p>
    <w:p w:rsidR="00797394" w:rsidRPr="00C1694A" w:rsidRDefault="00797394" w:rsidP="009A526A">
      <w:pPr>
        <w:tabs>
          <w:tab w:val="left" w:pos="360"/>
        </w:tabs>
        <w:autoSpaceDE w:val="0"/>
        <w:autoSpaceDN w:val="0"/>
        <w:adjustRightInd w:val="0"/>
        <w:spacing w:after="0" w:line="480" w:lineRule="auto"/>
        <w:ind w:firstLine="720"/>
        <w:rPr>
          <w:rFonts w:ascii="Times New Roman" w:hAnsi="Times New Roman" w:cs="Times New Roman"/>
          <w:sz w:val="24"/>
          <w:szCs w:val="24"/>
        </w:rPr>
      </w:pPr>
    </w:p>
    <w:p w:rsidR="00156E56" w:rsidRPr="00001E53" w:rsidRDefault="00001E53" w:rsidP="00001E53">
      <w:pPr>
        <w:tabs>
          <w:tab w:val="left" w:pos="540"/>
        </w:tabs>
        <w:autoSpaceDE w:val="0"/>
        <w:autoSpaceDN w:val="0"/>
        <w:adjustRightInd w:val="0"/>
        <w:spacing w:after="0" w:line="480" w:lineRule="auto"/>
        <w:ind w:left="720" w:hanging="720"/>
        <w:rPr>
          <w:rFonts w:ascii="Times New Roman" w:hAnsi="Times New Roman" w:cs="Times New Roman"/>
          <w:b/>
          <w:sz w:val="24"/>
          <w:szCs w:val="24"/>
        </w:rPr>
      </w:pPr>
      <w:r w:rsidRPr="00C1694A">
        <w:rPr>
          <w:rFonts w:ascii="Times New Roman" w:hAnsi="Times New Roman" w:cs="Times New Roman"/>
          <w:b/>
          <w:sz w:val="24"/>
          <w:szCs w:val="24"/>
        </w:rPr>
        <w:t>V.</w:t>
      </w:r>
      <w:r w:rsidRPr="00C1694A">
        <w:rPr>
          <w:rFonts w:ascii="Times New Roman" w:hAnsi="Times New Roman" w:cs="Times New Roman"/>
          <w:b/>
          <w:sz w:val="24"/>
          <w:szCs w:val="24"/>
        </w:rPr>
        <w:tab/>
      </w:r>
      <w:r w:rsidR="003515A4" w:rsidRPr="00001E53">
        <w:rPr>
          <w:rFonts w:ascii="Times New Roman" w:hAnsi="Times New Roman" w:cs="Times New Roman"/>
          <w:b/>
          <w:sz w:val="24"/>
          <w:szCs w:val="24"/>
        </w:rPr>
        <w:t xml:space="preserve">Discussion of </w:t>
      </w:r>
      <w:r w:rsidR="00D3070A" w:rsidRPr="00001E53">
        <w:rPr>
          <w:rFonts w:ascii="Times New Roman" w:hAnsi="Times New Roman" w:cs="Times New Roman"/>
          <w:b/>
          <w:sz w:val="24"/>
          <w:szCs w:val="24"/>
        </w:rPr>
        <w:t xml:space="preserve">Section by Section </w:t>
      </w:r>
      <w:r w:rsidR="003515A4" w:rsidRPr="00001E53">
        <w:rPr>
          <w:rFonts w:ascii="Times New Roman" w:hAnsi="Times New Roman" w:cs="Times New Roman"/>
          <w:b/>
          <w:sz w:val="24"/>
          <w:szCs w:val="24"/>
        </w:rPr>
        <w:t>C</w:t>
      </w:r>
      <w:r w:rsidR="00156E56" w:rsidRPr="00001E53">
        <w:rPr>
          <w:rFonts w:ascii="Times New Roman" w:hAnsi="Times New Roman" w:cs="Times New Roman"/>
          <w:b/>
          <w:sz w:val="24"/>
          <w:szCs w:val="24"/>
        </w:rPr>
        <w:t>omments</w:t>
      </w:r>
      <w:r w:rsidR="003515A4" w:rsidRPr="00001E53">
        <w:rPr>
          <w:rFonts w:ascii="Times New Roman" w:hAnsi="Times New Roman" w:cs="Times New Roman"/>
          <w:b/>
          <w:sz w:val="24"/>
          <w:szCs w:val="24"/>
        </w:rPr>
        <w:t xml:space="preserve"> on the Final Rule</w:t>
      </w:r>
    </w:p>
    <w:p w:rsidR="00F746B7" w:rsidRPr="00C1694A" w:rsidRDefault="00F746B7" w:rsidP="009A526A">
      <w:pPr>
        <w:tabs>
          <w:tab w:val="left" w:pos="360"/>
          <w:tab w:val="left" w:pos="720"/>
        </w:tabs>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i/>
          <w:sz w:val="24"/>
          <w:szCs w:val="24"/>
        </w:rPr>
        <w:tab/>
      </w:r>
      <w:r w:rsidRPr="00C1694A">
        <w:rPr>
          <w:rFonts w:ascii="Times New Roman" w:hAnsi="Times New Roman" w:cs="Times New Roman"/>
          <w:i/>
          <w:sz w:val="24"/>
          <w:szCs w:val="24"/>
        </w:rPr>
        <w:tab/>
      </w:r>
      <w:r w:rsidRPr="00C1694A">
        <w:rPr>
          <w:rFonts w:ascii="Times New Roman" w:hAnsi="Times New Roman" w:cs="Times New Roman"/>
          <w:sz w:val="24"/>
          <w:szCs w:val="24"/>
        </w:rPr>
        <w:t xml:space="preserve">We received </w:t>
      </w:r>
      <w:r w:rsidR="00A576B9" w:rsidRPr="00C1694A">
        <w:rPr>
          <w:rFonts w:ascii="Times New Roman" w:hAnsi="Times New Roman" w:cs="Times New Roman"/>
          <w:sz w:val="24"/>
          <w:szCs w:val="24"/>
        </w:rPr>
        <w:t xml:space="preserve">many </w:t>
      </w:r>
      <w:r w:rsidRPr="00C1694A">
        <w:rPr>
          <w:rFonts w:ascii="Times New Roman" w:hAnsi="Times New Roman" w:cs="Times New Roman"/>
          <w:sz w:val="24"/>
          <w:szCs w:val="24"/>
        </w:rPr>
        <w:t>comments about changes we proposed to specific sections in the regulation.  Below, we identif</w:t>
      </w:r>
      <w:r w:rsidR="00143E3F" w:rsidRPr="00C1694A">
        <w:rPr>
          <w:rFonts w:ascii="Times New Roman" w:hAnsi="Times New Roman" w:cs="Times New Roman"/>
          <w:sz w:val="24"/>
          <w:szCs w:val="24"/>
        </w:rPr>
        <w:t>y</w:t>
      </w:r>
      <w:r w:rsidRPr="00C1694A">
        <w:rPr>
          <w:rFonts w:ascii="Times New Roman" w:hAnsi="Times New Roman" w:cs="Times New Roman"/>
          <w:sz w:val="24"/>
          <w:szCs w:val="24"/>
        </w:rPr>
        <w:t xml:space="preserve"> each section, summarize the comments, and respond to them accordingly. </w:t>
      </w:r>
    </w:p>
    <w:p w:rsidR="00F746B7" w:rsidRPr="00C1694A" w:rsidRDefault="00F746B7" w:rsidP="009A526A">
      <w:pPr>
        <w:autoSpaceDE w:val="0"/>
        <w:autoSpaceDN w:val="0"/>
        <w:adjustRightInd w:val="0"/>
        <w:spacing w:after="0" w:line="240" w:lineRule="auto"/>
        <w:rPr>
          <w:rFonts w:ascii="Times New Roman" w:hAnsi="Times New Roman" w:cs="Times New Roman"/>
          <w:b/>
          <w:sz w:val="24"/>
          <w:szCs w:val="24"/>
        </w:rPr>
      </w:pPr>
    </w:p>
    <w:p w:rsidR="001E523F" w:rsidRPr="00C1694A" w:rsidRDefault="001E523F" w:rsidP="009A526A">
      <w:pPr>
        <w:autoSpaceDE w:val="0"/>
        <w:autoSpaceDN w:val="0"/>
        <w:adjustRightInd w:val="0"/>
        <w:spacing w:after="0" w:line="240" w:lineRule="auto"/>
        <w:rPr>
          <w:rFonts w:ascii="Times New Roman" w:hAnsi="Times New Roman" w:cs="Times New Roman"/>
          <w:b/>
          <w:sz w:val="24"/>
          <w:szCs w:val="24"/>
        </w:rPr>
      </w:pPr>
    </w:p>
    <w:p w:rsidR="001F5425" w:rsidRPr="00C1694A" w:rsidRDefault="00C271B9"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PROGRAM GOVERNANCE; Part 1301</w:t>
      </w:r>
    </w:p>
    <w:p w:rsidR="00B764B1" w:rsidRPr="00C1694A" w:rsidRDefault="00B764B1" w:rsidP="009A526A">
      <w:pPr>
        <w:autoSpaceDE w:val="0"/>
        <w:autoSpaceDN w:val="0"/>
        <w:adjustRightInd w:val="0"/>
        <w:spacing w:after="0" w:line="240" w:lineRule="auto"/>
        <w:ind w:left="1080"/>
        <w:contextualSpacing/>
        <w:rPr>
          <w:rFonts w:ascii="Times New Roman" w:hAnsi="Times New Roman" w:cs="Times New Roman"/>
          <w:sz w:val="24"/>
          <w:szCs w:val="24"/>
        </w:rPr>
      </w:pP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part describes program governance requirements for Head Start agencies.  Program governance in Head Start refers to the formal structure in place “for the oversight of quality services for Head Start children and families and for making decisions related to program design and implementation” as outlined in section 642(c) of the Act.  The Act requires this structure include a governing body and a policy council, or a policy committee at the delegate level.  These groups have a critical role in oversight, design and implementation of Head Start and Early Head Start programs.  The governing body is the entity legally and fiscally responsible for the program.  The policy council is responsible for the direction of the program and must be made up primarily of parents of currently enrolled children. Parent involvement in program governance reflects the fundamental belief, present since the inception of Project Head Start in 1965, that parents must be involved in decision-making about the nature and operation of the program for Head Start to be successful in bringing about substantial change.</w:t>
      </w:r>
      <w:r w:rsidRPr="00C1694A">
        <w:rPr>
          <w:rFonts w:ascii="Times New Roman" w:hAnsi="Times New Roman" w:cs="Times New Roman"/>
          <w:sz w:val="24"/>
          <w:szCs w:val="24"/>
          <w:vertAlign w:val="superscript"/>
        </w:rPr>
        <w:footnoteReference w:id="37"/>
      </w:r>
      <w:r w:rsidRPr="00C1694A">
        <w:rPr>
          <w:rFonts w:ascii="Times New Roman" w:hAnsi="Times New Roman" w:cs="Times New Roman"/>
          <w:sz w:val="24"/>
          <w:szCs w:val="24"/>
        </w:rPr>
        <w:t xml:space="preserve"> </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revised previous program governance requirements primarily to conform to the Act.    We received many comments on part 1301.  Below we discuss these comments and our rationale for any changes to the regulatory text in this subpart.   </w:t>
      </w:r>
    </w:p>
    <w:p w:rsidR="00DA2A2F" w:rsidRPr="00C1694A" w:rsidRDefault="00DA2A2F" w:rsidP="009A526A">
      <w:pPr>
        <w:spacing w:after="0" w:line="480" w:lineRule="auto"/>
        <w:rPr>
          <w:rFonts w:ascii="Times New Roman" w:eastAsia="Times New Roman" w:hAnsi="Times New Roman" w:cs="Times New Roman"/>
          <w:i/>
          <w:sz w:val="24"/>
          <w:szCs w:val="24"/>
        </w:rPr>
      </w:pPr>
      <w:r w:rsidRPr="00C1694A">
        <w:rPr>
          <w:rFonts w:ascii="Times New Roman" w:eastAsia="Times New Roman" w:hAnsi="Times New Roman" w:cs="Times New Roman"/>
          <w:i/>
          <w:sz w:val="24"/>
          <w:szCs w:val="24"/>
        </w:rPr>
        <w:t>General Comments.</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offered reactions to part 1301. Commenters expressed general support for the requirements, indicating they reflect the statutory requirements, improve transparency, maintain the important role of parents, and increase local flexibility.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 xml:space="preserve">Other commenters stated this part was unnecessarily complicated for parents, policy council members, and staff to follow as presented in the NPRM.  Many commenters suggested all governance requirements be clearly stated in the rule rather than referenced with statutory citation in order to improve clarity and reduce burden for programs, parents, and others.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As noted previously, we maintained the approach to cross reference to the Act so that the regulations will not become obsolete if the provisions in the Act change.  However, we plan to issue a training and technical assistance document that incorporates the language from the Act with the regulatory language.</w:t>
      </w: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suggested we failed to address the role of shared governance in the Head Start program, and that we relied too heavily on the Act, which is vague and ambiguous, and leaves grantees wondering about the proper balance between the role and responsibility of the governing body and the policy council. These commenters ask that we include more specificity about shared governance in the final rule.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continue to believe the best approach is to align the governance requirements in the rule with the language and requirements specified in the Act.  The statutory language has directed the governance of Head Start programs since it was passed in 2007 and there have not been any significant problems with this approach.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asked that we include “Tribal Council” wherever the phrase “governing body” occurs.</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do not believe this is necessary, since the tribal council is acting as the governing body.</w:t>
      </w:r>
    </w:p>
    <w:p w:rsidR="00DA2A2F" w:rsidRPr="00C1694A" w:rsidRDefault="00DA2A2F" w:rsidP="009A526A">
      <w:pPr>
        <w:autoSpaceDE w:val="0"/>
        <w:autoSpaceDN w:val="0"/>
        <w:adjustRightInd w:val="0"/>
        <w:spacing w:after="0" w:line="240" w:lineRule="auto"/>
        <w:ind w:firstLine="720"/>
        <w:rPr>
          <w:rFonts w:ascii="Times New Roman" w:hAnsi="Times New Roman" w:cs="Times New Roman"/>
          <w:sz w:val="24"/>
          <w:szCs w:val="24"/>
          <w:u w:val="single"/>
        </w:rPr>
      </w:pPr>
    </w:p>
    <w:p w:rsidR="00DA2A2F" w:rsidRPr="00C1694A" w:rsidRDefault="00DA2A2F"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§1301.1 </w:t>
      </w:r>
      <w:r w:rsidR="00E45E2A">
        <w:rPr>
          <w:rFonts w:ascii="Times New Roman" w:hAnsi="Times New Roman" w:cs="Times New Roman"/>
          <w:i/>
          <w:sz w:val="24"/>
          <w:szCs w:val="24"/>
        </w:rPr>
        <w:t>Purpose</w:t>
      </w:r>
      <w:r w:rsidRPr="00C1694A">
        <w:rPr>
          <w:rFonts w:ascii="Times New Roman" w:hAnsi="Times New Roman" w:cs="Times New Roman"/>
          <w:i/>
          <w:sz w:val="24"/>
          <w:szCs w:val="24"/>
        </w:rPr>
        <w:t>.</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reiterates the requirement in section 642(c) of the Act regarding the structure and purpose of program governance. The structure as outlined in the Act includes a governing body, a policy council, and, for a delegate agency, a policy committee.  We restored the requirement from the previous performance standards that programs also have parent committees as part of the governance structure, and we discuss this requirement in more detail in §1301.4.  This section emphasizes that the governing body has legal and fiscal responsibility to administer and oversee the program, and the policy council is responsible for the direction of the program including program design and operations and long- and short-term planning goals and objectives.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i/>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recommended that we revise the language in this section to state clearly that each agency must establish a policy council.</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proposed in the NPRM to use the term “policy group” to encompass the policy council and the policy committee more concisely.  We defined “policy group” to mean “the policy council and policy committee at the delegate level.” After further consideration and in response to comments, we reverted to using “policy council and policy committee at the delegate level.” It is lengthier but clearer. Instead of introducing a new term, we are remaining consistent with the Act. </w:t>
      </w: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raised concerns with the policy council being responsible for the direction of the Head Start program.  Commenters stated it was unclear how the policy council could be effective in that role. Others said both the governing body and the policy council should be responsible for the direction of the program or that this responsibility should rest solely with the governing body.</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maintained the language proposed in the NPRM because it is the statutory requirement in the Act that the policy council is responsible for the direction of the Head Start and Early Head Start programs. </w:t>
      </w:r>
    </w:p>
    <w:p w:rsidR="00DA2A2F" w:rsidRPr="00C1694A" w:rsidRDefault="00DA2A2F" w:rsidP="009A526A">
      <w:pPr>
        <w:autoSpaceDE w:val="0"/>
        <w:autoSpaceDN w:val="0"/>
        <w:adjustRightInd w:val="0"/>
        <w:spacing w:after="0" w:line="240" w:lineRule="auto"/>
        <w:rPr>
          <w:rFonts w:ascii="Times New Roman" w:hAnsi="Times New Roman" w:cs="Times New Roman"/>
          <w:sz w:val="24"/>
          <w:szCs w:val="24"/>
        </w:rPr>
      </w:pPr>
    </w:p>
    <w:p w:rsidR="00DA2A2F" w:rsidRPr="00C1694A" w:rsidRDefault="00DA2A2F" w:rsidP="009A526A">
      <w:pPr>
        <w:autoSpaceDE w:val="0"/>
        <w:autoSpaceDN w:val="0"/>
        <w:adjustRightInd w:val="0"/>
        <w:spacing w:after="0" w:line="240" w:lineRule="auto"/>
        <w:rPr>
          <w:rFonts w:ascii="Times New Roman" w:hAnsi="Times New Roman" w:cs="Times New Roman"/>
          <w:i/>
          <w:sz w:val="24"/>
          <w:szCs w:val="24"/>
        </w:rPr>
      </w:pPr>
      <w:r w:rsidRPr="00C1694A">
        <w:rPr>
          <w:rFonts w:ascii="Times New Roman" w:hAnsi="Times New Roman" w:cs="Times New Roman"/>
          <w:i/>
          <w:sz w:val="24"/>
          <w:szCs w:val="24"/>
        </w:rPr>
        <w:t>§1301.2 Governing body.</w:t>
      </w:r>
    </w:p>
    <w:p w:rsidR="00DA2A2F" w:rsidRPr="00C1694A" w:rsidRDefault="00DA2A2F" w:rsidP="009A526A">
      <w:pPr>
        <w:autoSpaceDE w:val="0"/>
        <w:autoSpaceDN w:val="0"/>
        <w:adjustRightInd w:val="0"/>
        <w:spacing w:after="0" w:line="240" w:lineRule="auto"/>
        <w:rPr>
          <w:rFonts w:ascii="Times New Roman" w:hAnsi="Times New Roman" w:cs="Times New Roman"/>
          <w:i/>
          <w:sz w:val="24"/>
          <w:szCs w:val="24"/>
        </w:rPr>
      </w:pP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the NPRM, this section described training requirements; however, we moved training requirements to §1301.5 and this section now pertains to the governing body.</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includes requirements for the composition of the governing body and its duties and responsibilities.  It aligns with the Act’s detailed requirements for the composition and responsibilities of the governing body.  This section requires governing body members use ongoing monitoring results, data from school readiness goals, the information specified in section 642(d)(2) of the Act, and the information in §1302.102 to conduct their responsibilities.  Paragraph (c) permits a governing body, at its own discretion, to establish advisory committees to oversee key responsibilities related to program governance, consistent with section 642(c)(1)(E)(iv)(XI) of the Act.  Below we address comments and requests for clarification.</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some comments on the governing body’s duties and responsibilities that addressed the duties and responsibilities of both the governing body and the policy council together.  Some commenters requested we provide a clear illustration of the responsibilities and powers of the governing body and policy council by including a chart or diagram.  Commenters also provided specific suggestions for revisions, such as: add language from the previous performance standards on the duties and responsibilities of the governing body and policy council; remove language specific to ongoing monitoring and school readiness goals, as this is addressed in another section; and require that program goals inform the governing body and policy council.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include a diagram or chart in this rule because we believe the governance provisions in the rule and in the Act are clear. In response to comments, we added to paragraph (b)(2) a cross-reference to the requirement in §1302.102 related to establishing and achieving program goals.  By adding this cross reference, we are requiring governing bodies to use this information to conduct their responsibilities.  </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offered support and raised concerns about the governing body’s duties and responsibilities as laid out in paragraph (b). Some commenters supported the requirement that the governing body use ongoing monitoring results and school readiness goals to conducts it responsibilities, in addition to what is required in section 642(d)(2) of the Act.  Some commenters suggested we enhance or clarify language about when programs needed to report to the responsible HHS official.  Commenters also requested clarification about the governing body’s responsibility to establish, adopt, and update Standards of Conduct, including reporting any violations to the regional office and about self-reporting requirements for immediate deficiencies.</w:t>
      </w:r>
    </w:p>
    <w:p w:rsidR="00DA2A2F" w:rsidRPr="00C1694A" w:rsidRDefault="00DA2A2F"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Act specifies that the governing body is responsible for establishing, adopting, and periodically updating written standards of conduct, so we believe this is addressed because we incorporated this requirement from the Act. We revised §1302.90(a) to clarify the role of the governing body in standards of conduct, which we had inadvertently left out of that standard. We did not revise the requirement about self-reporting because it is addressed in §1302.102.</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stated the proposed rule was unclear about conflicts of interest. Commenters requested clarification about this provision and recommended adding language that mirrors the IRS Form 1023 Instructions, Appendix A, Sample Conflicts of Interest Policy.</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make changes to this language. There is guidance in the nonprofit community about the various ways to structure and apply a conflict of interest policy. If an agency wants to adopt the IRS rules, that would be one option, but it might not be the right option for all programs. Additionally, the governing body is required to develop a written conflict of interest policy, which can provide greater clarity than the overarching federal requirements.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on advisory committees described in paragraph (c). Some commenters requested additional clarification, including who the advisory board is and what groups should be included and whether the governing body may establish more than one advisory committee.  Others commenters suggested revisions to the advisory committee’s role advisory committee with respect to the governing body. For example, commenters stated that all areas of program governance, especially supervision of program management, should be left in the hands of the Board of Directors or the established governing body. Some commenters noted that advisory committees should not make decisions about program governance because that is not advisory in nature. Other commenters made specific suggestions for the language related to advisory committees, such as eliminating the composition requirements, eliminating the requirement that advisory committees be established in writing, and differentiating between advisory committees that act as sub-boards versus other advisory committees.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To improve clarity, we revised and streamlined paragraph (c). We clarified that governing bodies may establish one or more advisory committees. We removed some of the more prescriptive requirements, such as written procedures or composition requirements, and explicitly required that when the advisory committee is overseeing key responsibilities related to program governance, it is the responsibility of the governing body to establish the structure, communication and oversight in a way that assures the governing body retains its legal and fiscal responsibility for the Head Start agency. This allows the governing body flexibility to structure their advisory committee but requires that they retain legal and fiscal responsibility for the Head Start agency. We also require the governing body to notify the responsible HHS official of its intent to establish such an advisory committee.</w:t>
      </w:r>
    </w:p>
    <w:p w:rsidR="00DA2A2F" w:rsidRPr="00C1694A" w:rsidRDefault="00DA2A2F" w:rsidP="009A526A">
      <w:pPr>
        <w:autoSpaceDE w:val="0"/>
        <w:autoSpaceDN w:val="0"/>
        <w:adjustRightInd w:val="0"/>
        <w:spacing w:after="0" w:line="24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§1301.3 Policy council and policy committee.</w:t>
      </w:r>
    </w:p>
    <w:p w:rsidR="00DA2A2F" w:rsidRPr="00C1694A" w:rsidRDefault="00DA2A2F" w:rsidP="009A526A">
      <w:pPr>
        <w:autoSpaceDE w:val="0"/>
        <w:autoSpaceDN w:val="0"/>
        <w:adjustRightInd w:val="0"/>
        <w:spacing w:after="0" w:line="240" w:lineRule="auto"/>
        <w:rPr>
          <w:rFonts w:ascii="Times New Roman" w:hAnsi="Times New Roman" w:cs="Times New Roman"/>
          <w:sz w:val="24"/>
          <w:szCs w:val="24"/>
        </w:rPr>
      </w:pP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section, we retain a number of requirements from the previous program standards and included requirements to conform to the Act. In paragraph (a), we retain the requirement for agencies to establish and maintain a policy council at the agency level and a policy committee at the delegate level, consistent with section 642(c)(2) and (3) of the Act. Paragraph (b) outlines the composition of policy councils, and policy committees at the delegate level, consistent with the Act.  Paragraph (c) outlines the duties and responsibilities for the policy council and the policy committee to conform to the Act and is largely unchanged from the NPRM.  Paragraph (d) addresses the term of service for policy council and policy committee members. </w:t>
      </w:r>
    </w:p>
    <w:p w:rsidR="00DA2A2F" w:rsidRPr="00C1694A" w:rsidRDefault="00DA2A2F" w:rsidP="009A526A">
      <w:pPr>
        <w:autoSpaceDE w:val="0"/>
        <w:autoSpaceDN w:val="0"/>
        <w:adjustRightInd w:val="0"/>
        <w:spacing w:after="0" w:line="240" w:lineRule="auto"/>
        <w:ind w:firstLine="720"/>
        <w:rPr>
          <w:rFonts w:ascii="Times New Roman" w:hAnsi="Times New Roman" w:cs="Times New Roman"/>
          <w:sz w:val="24"/>
          <w:szCs w:val="24"/>
        </w:rPr>
      </w:pPr>
    </w:p>
    <w:p w:rsidR="00DA2A2F" w:rsidRPr="00C1694A" w:rsidRDefault="00DA2A2F" w:rsidP="009A526A">
      <w:pPr>
        <w:autoSpaceDE w:val="0"/>
        <w:autoSpaceDN w:val="0"/>
        <w:adjustRightInd w:val="0"/>
        <w:spacing w:after="0" w:line="480" w:lineRule="auto"/>
        <w:ind w:firstLine="720"/>
        <w:rPr>
          <w:rFonts w:ascii="Times New Roman" w:hAnsi="Times New Roman" w:cs="Times New Roman"/>
          <w:i/>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recommended we include all of the statutory language from section 642(c)(2)(A) of the Act in this section, rather than summarizing that the policy council has responsibility for the direction of the program. Another recommended the policy committee at the delegate level be renamed to “Policy Action Committee” to eliminate programs from using “PC” for both policy council and policy committee.</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revise the concise reference to the policy council having responsibility for the direction of the program, although the Act’s more expansive language is still part of the requirement. We maintain the terminology as it exists in the Act and did not rename “policy committee” at the delegate level.</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supported the standard in paragraph (b) to require proportional representation on the policy council by program option but also recommended revisions and asked for additional clarification.  For example, commenters requested clarification on what proportional representation means and how to implement it within different program types.</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Other commenters expressed support for the requirement that the majority of policy council members be parents but requested that language be added to the rule, rather than just citing the Act. Others requested clarification on how appropriate composition will be maintained and consistent with the Act when parents drop out.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(b) to clarify that parents of children currently enrolled in “each” program option must be proportionately represented on the policy council or the policy committee. We believe programs should have the flexibility to specify in their policies and procedures how the composition requirements will be maintained when parents drop out and did not make revisions to address this.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expressed disagreement with language in the preamble to the NPRM stating, “We propose to remove current §1304.50(b)(6) which excludes staff from serving on policy councils or policy committees with some exceptions…”.  Commenters expressed confusion and stated this language has been interpreted to mean staff would be allowed to participate as a policy council or policy committee member.  Though one commenter expressed support for allowing staff to serve on the policy council because they have field experience and skills to make informed decision, the commenters generally stated it is a conflict of interest and could inhibit parent driven decision-making.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 the NPRM, we proposed to remove §1304.50(b)(6), which excludes staff from serving on policy councils or policy committees with some exceptions, because it is superseded by the Act. In other words, the conflict of interest language in the Act, as well as the Act’s clarity on who can serve on the policy council, means we no longer need the prohibition on staff serving on policy council or policy committee. However, commenters noted the exception related to substitute teachers is helpful and clarifying for programs.  Therefore, we added the majority of the language on this topic from the previous performance standards back into paragraph (b)(2) to ensure clarity.</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stated the Act gives the policy council responsibilities outside its scope of authority, and that the final rule should be modified to include language from the previous regulation related to duties and responsibilities.  Commenters recommended we instead should focus the responsibilities of the policy council on program issues.  </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 the final rule, we maintained the alignment with the Act with respect to the duties and responsibilities of the policy council. We did not add the requested language from the previous regulation because it has been superseded by the Act.</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requested that we clarify in the final rule the role of the policy council in hiring and terminating staff. </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include a specific provision on the role of policy council in hiring and terminating program staff because we rely on the language in section 642(c)(2)(D)(vi) of the Act. </w:t>
      </w:r>
      <w:r w:rsidRPr="00C1694A" w:rsidDel="001C0EF8">
        <w:rPr>
          <w:rFonts w:ascii="Times New Roman" w:hAnsi="Times New Roman" w:cs="Times New Roman"/>
          <w:sz w:val="24"/>
          <w:szCs w:val="24"/>
        </w:rPr>
        <w:t xml:space="preserve"> </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supported allowing programs to establish in their bylaws five one-year terms for policy council members as opposed to three. Commenters said the change would support continuity, increase understanding of the complexities of the Head Start program and regulation, and promote investment in the policy council.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Some commenters opposed the option of extending policy council terms from three one-year terms to five.  They stated that five years is too long, that parents may not have children in the program for five years, and that a shorter term would allow for more new members. </w:t>
      </w: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revise this provision.  This rule provides programs the discretion to establish in their bylaws the number of one-year terms of policy council members up to five one-year terms. Programs have the discretion of setting a lower limit.  </w:t>
      </w: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about the term “reasonable expenses” in paragraph (e).  Commenters recommended we add a definition of “reasonable expenses,” allow that all participants on the policy council/committee be reimbursed for “reasonable expenses,” and allow agencies to develop their own policies and procedures to determine eligibility based on the need of their communities.</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clarify the definition of “reasonable” but allow programs to make a determination.   We clarified that eligibility for the reimbursement is only for low-income members. </w:t>
      </w: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§1301.4 Parent committees.</w:t>
      </w:r>
    </w:p>
    <w:p w:rsidR="00DA2A2F" w:rsidRPr="00C1694A" w:rsidRDefault="00DA2A2F" w:rsidP="003000E8">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about our proposal to remove the requirement for the parent committee. Some commenters supported the proposal to remove the parent committee requirement. They emphasized that there are more meaningful and inclusive ways to engage parents that could allow for individual program flexibility and innovation. These commenters suggested that the focus should instead be on providing opportunities for parents to learn about their children and engage them in teaching and learning and on family engagement outcomes.  </w:t>
      </w:r>
    </w:p>
    <w:p w:rsidR="00DA2A2F" w:rsidRPr="00C1694A" w:rsidRDefault="00DA2A2F" w:rsidP="003000E8">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Some commenters supported the removal of the parent committee requirement with reservations, but were concerned about the challenges it would pose for electing policy council representatives, about the loss of the benefits to parents previously derived from participation in parent committees, and about the perceived erosion of a core philosophy of Head Start.  Others asked that the revised requirement ensure a structure for representing parent views and offering parents other opportunities for engagement. </w:t>
      </w:r>
    </w:p>
    <w:p w:rsidR="00DA2A2F" w:rsidRPr="00C1694A" w:rsidRDefault="00DA2A2F" w:rsidP="003000E8">
      <w:pPr>
        <w:autoSpaceDE w:val="0"/>
        <w:autoSpaceDN w:val="0"/>
        <w:adjustRightInd w:val="0"/>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Many commenters opposed the removal of parent committees. Commenters urged that we reinstate the parent committee requirement as it existed in the previous standards. These commenters stressed that parents are foundational to Head Start and that parent committees are a long-standing cornerstone of the program.  They stated removing the requirement for parent committees would weaken Head Start parent engagement and diminish parents’ role. Commenters noted that parent committees stimulate parent participation in the program, help parents develop leadership, advocacy and other useful skills, and are critical to developing membership for policy council. Commenters disagreed with our statement in the NPRM that parent committees do not work in all models, such as Early Head Start – Child Care Partnership (EHS-CCP) grantees, and suggested we help these grantees learn how to incorporate this valuable experience for parents in order to infuse a higher level of quality into child care settings. Commenters were also concerned that the removal of parent committee would result in the loss of in-kind contributions from parent involvement.</w:t>
      </w:r>
    </w:p>
    <w:p w:rsidR="00DA2A2F" w:rsidRPr="00C1694A" w:rsidRDefault="00DA2A2F" w:rsidP="003000E8">
      <w:pPr>
        <w:autoSpaceDE w:val="0"/>
        <w:autoSpaceDN w:val="0"/>
        <w:adjustRightInd w:val="0"/>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Some commenters opposed the removal of the parent committee requirement and asked that we make modifications or recommended alternative language in the final rule if the parent committee requirement is removed. These commenters stated similar concerns to those who requested that we reinstate the requirement, but made suggestions for the final rule, such as to allow individual programs to determine the design and structure of parent committees, or to support flexibility in local design of parent committees and proposals for alternate mechanisms to engage families.  Some of these commenters believed that parent committees are not for all parents. These commenters asked that programs be required to have a process in place that ensures all parents of enrolled children have local site opportunities to actively share their ideas, that parents understand the process for elections or nominations to serve on the policy council, and that a communication system exist to share information between parents attending local sites and the policy council and governing body.</w:t>
      </w:r>
    </w:p>
    <w:p w:rsidR="00DA2A2F" w:rsidRPr="00C1694A" w:rsidRDefault="00DA2A2F" w:rsidP="00400B29">
      <w:pPr>
        <w:spacing w:after="0" w:line="480" w:lineRule="auto"/>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restored a requirement for a parent committee in this part and in a new §1301.4.  We also note that a parent committee is part of the formal governance structure in §1301.1. This section clearly outlines the requirements for a program in establishing a parent committee and the minimum requirements for parent committees, which are consistent with all of the substantive requirements from the previous performance standards.  We maintain the requirement that a program must establish a parent committee comprised exclusively of parents of currently enrolled children as early in the program year as possible and that the parent committee must be at the center level for center-based programs and at the local program level for other program options. In addition, in response to comments, we require programs to ensure parents of currently enrolled children understand the process for elections to policy council or policy committee or other leadership roles.  Also as suggested by commenters, we allow programs flexibility within the structure of parent committees to determine the best methods and strategies to engage families that are most effective in their communities as long as the parent committee carries out specific minimum responsibilities.  It requires that </w:t>
      </w:r>
      <w:r w:rsidR="00D23898" w:rsidRPr="00C1694A">
        <w:rPr>
          <w:rFonts w:ascii="Times New Roman" w:hAnsi="Times New Roman" w:cs="Times New Roman"/>
          <w:sz w:val="24"/>
          <w:szCs w:val="24"/>
        </w:rPr>
        <w:t>parent committees</w:t>
      </w:r>
      <w:r w:rsidRPr="00C1694A">
        <w:rPr>
          <w:rFonts w:ascii="Times New Roman" w:hAnsi="Times New Roman" w:cs="Times New Roman"/>
          <w:sz w:val="24"/>
          <w:szCs w:val="24"/>
        </w:rPr>
        <w:t xml:space="preserve"> </w:t>
      </w:r>
      <w:r w:rsidR="00153015">
        <w:rPr>
          <w:rFonts w:ascii="Times New Roman" w:hAnsi="Times New Roman" w:cs="Times New Roman"/>
          <w:sz w:val="24"/>
          <w:szCs w:val="24"/>
        </w:rPr>
        <w:t>(</w:t>
      </w:r>
      <w:r w:rsidR="00193826" w:rsidRPr="00C1694A">
        <w:rPr>
          <w:rFonts w:ascii="Times New Roman" w:hAnsi="Times New Roman" w:cs="Times New Roman"/>
          <w:sz w:val="24"/>
          <w:szCs w:val="24"/>
        </w:rPr>
        <w:t xml:space="preserve">1) </w:t>
      </w:r>
      <w:r w:rsidRPr="00C1694A">
        <w:rPr>
          <w:rFonts w:ascii="Times New Roman" w:hAnsi="Times New Roman" w:cs="Times New Roman"/>
          <w:sz w:val="24"/>
          <w:szCs w:val="24"/>
        </w:rPr>
        <w:t>advise staff in developing and implementing local program policies, activities</w:t>
      </w:r>
      <w:r w:rsidR="00747C23"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services to ensure they meet the needs of children and families</w:t>
      </w:r>
      <w:r w:rsidR="00503018"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w:t>
      </w:r>
      <w:r w:rsidR="00153015">
        <w:rPr>
          <w:rFonts w:ascii="Times New Roman" w:hAnsi="Times New Roman" w:cs="Times New Roman"/>
          <w:sz w:val="24"/>
          <w:szCs w:val="24"/>
        </w:rPr>
        <w:t>(</w:t>
      </w:r>
      <w:r w:rsidR="00747C23" w:rsidRPr="00C1694A">
        <w:rPr>
          <w:rFonts w:ascii="Times New Roman" w:hAnsi="Times New Roman" w:cs="Times New Roman"/>
          <w:sz w:val="24"/>
          <w:szCs w:val="24"/>
        </w:rPr>
        <w:t xml:space="preserve">2) </w:t>
      </w:r>
      <w:r w:rsidRPr="00C1694A">
        <w:rPr>
          <w:rFonts w:ascii="Times New Roman" w:hAnsi="Times New Roman" w:cs="Times New Roman"/>
          <w:sz w:val="24"/>
          <w:szCs w:val="24"/>
        </w:rPr>
        <w:t xml:space="preserve">participate in the recruitment and screening of Early Head Start and Head Start employees, both of which are retained from the previous performance standards.  In response to comments we have added a requirement that the parent committee have a process for communication with the policy council and policy committee at the delegate level.  </w:t>
      </w:r>
    </w:p>
    <w:p w:rsidR="00DA2A2F" w:rsidRPr="00C1694A" w:rsidRDefault="00DA2A2F" w:rsidP="009A526A">
      <w:pPr>
        <w:autoSpaceDE w:val="0"/>
        <w:autoSpaceDN w:val="0"/>
        <w:adjustRightInd w:val="0"/>
        <w:spacing w:after="0" w:line="240" w:lineRule="auto"/>
        <w:rPr>
          <w:rFonts w:ascii="Times New Roman" w:hAnsi="Times New Roman" w:cs="Times New Roman"/>
          <w:sz w:val="24"/>
          <w:szCs w:val="24"/>
        </w:rPr>
      </w:pP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§1301.5 Training.</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describes the training requirements for the governing body, advisory committee members, and the policy council. It reflects section 642(d)(3) of the Act that requires governing body and policy council members to have appropriate training and technical assistance to ensure they understand the information they received and can oversee and participate in the agency's programs effectively. We moved this section from §1301.2 in the NPRM to this placement in the final rule to improve overall clarity of part 1301.  We discuss comments and our responses below. </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that requested clarification or suggested ways to improve clarity.  We also received comments that expressed opposition for the requirement.  For example, commenters requested clarification on what is considered “appropriate” training and what is included in training.  One commenter requested clarification on the inclusion of advisory committee members in the training. Commenters recommended we move this section out of §1301.2, and others recommended we improve clarity by cross-referencing training requirements in another section.  Some commenters opposed our requirement that governing bodies be trained on the standards because they thought it was unrealistic to expect Boards to have knowledge of all the operating standards and it detracted from getting input from governing bodies on program outcomes.</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retained this requirement because it is required by the Act and because we believe governing bodies cannot effectively fulfill their program management responsibilities unless they have an understanding of the broader program requirements.  Since governing bodies can choose to establish advisory committees, we included advisory committee members, who may be different individuals than governing body members, in this requirement.  </w:t>
      </w:r>
    </w:p>
    <w:p w:rsidR="00DA2A2F" w:rsidRPr="00C1694A" w:rsidRDefault="00DA2A2F"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To improve clarity, we moved these standards from §1301.2 to this section so that it follows sections with the requirements for all components of an agency’s formal governance structure.  We revised the section to include a cross reference to training requirements in §1302.12. </w:t>
      </w: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§1301.6 Impasse procedures.</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on impasse procedures was found in §1301.5 in the NPRM and is now §1301.6 in the final rule. It describes procedural requirements for resolving disputes between an agency’s governing body and policy council. We received many comments on our proposed impasse procedures.  Many commenters believed our proposed impasse procedures weakened the role of parents in the Head Start program. They stated that we relegated the policy council, the majority of which is comprised of parents, to an advisory role by allowing the governing body the final decision when an impasse remained unresolved.  In response to comments, we revised the impasse procedures.  A discussion of the comments and our response is below.  </w:t>
      </w:r>
    </w:p>
    <w:p w:rsidR="00DA2A2F" w:rsidRPr="00C1694A" w:rsidRDefault="00DA2A2F"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opposed our proposal for the dispute resolution and impasse procedures. Commenters stated our impasse procedure proposal contributed to a broader weakening of the role of parents in Head Start because it tilted the power balance toward the governing body and away from the policy council. They also stated that the standards conflicted with other program performance standards in this section and requirements in the Act.  For example, they stated the proposal conflicted with the requirement for “meaningful consultation and collaboration about decisions of the governing body and policy council.”  Commenters stated that conflicts often result from issues related to the direction of the program, which is the responsibility of the policy council.  These commenters suggested that the proposed requirements amount to capitulation to the will of the governing body and are not actually impasse procedures, in contradiction with the Act’s requirement.  Others commenters noted further contradiction given the standards would require the governing body and policy council to work together yet exclude the policy council and allow the governing body to make the final decision.  Some commenters stated that they embrace shared governance and provided examples of how the voice of parents has been critical to their decision-making during, for example, sequestration or previous impasses. Commenters made recommendations, such as adding formal mediation, strengthening the language related to “meaningful consultation and collaboration about decisions of the governing body and the policy council,” referring to the impasse procedures as a consensus-building process, and establishing an independent arbitrator or third party to resolve disputes between the governing body and policy council.</w:t>
      </w:r>
    </w:p>
    <w:p w:rsidR="00DA2A2F" w:rsidRPr="00C1694A" w:rsidRDefault="00DA2A2F" w:rsidP="009A526A">
      <w:pPr>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We also received comments supporting the impasse procedures proposed in the NPRM.  Some of these commenters stated that it is appropriate for the governing body, since they bear legal and fiscal responsibility, to make the ultimate decisions on issues related to the Head Start program after taking into consideration the recommendations of the policy council and policy committee, if applicable.  Further, commenters asked for additional clarification about our proposed requirements, including the timeline for resolution.</w:t>
      </w:r>
    </w:p>
    <w:p w:rsidR="00DA2A2F" w:rsidRPr="00C1694A" w:rsidRDefault="00DA2A2F"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For clarity, we included the statutory language that requires “meaningful consultation and collaboration about decisions of the governing body and policy council,” and we maintained requirements from the previous performance standards about these bodies jointly establishing written procedures for resolving internal disputes. We revised the requirements in this section to clarify the role of policy councils in the governance of Head Start programs, including processes to resolve conflicts with the governing body in a timely manner, and we included more specificity about what impasse procedures must include in order to better articulate the balanced process. In paragraph (b), we included a new standard that requires that in the event the decision-making process does not result in a resolution of the impasse, the governing body and policy council must select a </w:t>
      </w:r>
      <w:r w:rsidR="00A47742" w:rsidRPr="00C1694A">
        <w:rPr>
          <w:rFonts w:ascii="Times New Roman" w:hAnsi="Times New Roman" w:cs="Times New Roman"/>
          <w:sz w:val="24"/>
          <w:szCs w:val="24"/>
        </w:rPr>
        <w:t xml:space="preserve">mutually agreeable </w:t>
      </w:r>
      <w:r w:rsidRPr="00C1694A">
        <w:rPr>
          <w:rFonts w:ascii="Times New Roman" w:hAnsi="Times New Roman" w:cs="Times New Roman"/>
          <w:sz w:val="24"/>
          <w:szCs w:val="24"/>
        </w:rPr>
        <w:t>third party mediator and participate in a formal process that leads to a resolution. In paragraph (c), we require the governing body and policy council to select a</w:t>
      </w:r>
      <w:r w:rsidR="00A47742" w:rsidRPr="00C1694A">
        <w:rPr>
          <w:rFonts w:ascii="Times New Roman" w:hAnsi="Times New Roman" w:cs="Times New Roman"/>
          <w:sz w:val="24"/>
          <w:szCs w:val="24"/>
        </w:rPr>
        <w:t xml:space="preserve"> mutually agreeable</w:t>
      </w:r>
      <w:r w:rsidRPr="00C1694A">
        <w:rPr>
          <w:rFonts w:ascii="Times New Roman" w:hAnsi="Times New Roman" w:cs="Times New Roman"/>
          <w:sz w:val="24"/>
          <w:szCs w:val="24"/>
        </w:rPr>
        <w:t xml:space="preserve"> arbitrator, whose decision will be final, if no resolution resulted from mediation.  Due to tribal sovereignty, we excluded American Indian and Alaska Native programs from the requirement in paragraph (c) to use an arbitrator.</w:t>
      </w:r>
    </w:p>
    <w:p w:rsidR="00B0105F" w:rsidRPr="00C1694A" w:rsidRDefault="00B0105F" w:rsidP="009A526A">
      <w:pPr>
        <w:autoSpaceDE w:val="0"/>
        <w:autoSpaceDN w:val="0"/>
        <w:adjustRightInd w:val="0"/>
        <w:spacing w:after="0" w:line="240" w:lineRule="auto"/>
        <w:rPr>
          <w:rFonts w:ascii="Times New Roman" w:hAnsi="Times New Roman" w:cs="Times New Roman"/>
          <w:b/>
          <w:sz w:val="24"/>
          <w:szCs w:val="24"/>
        </w:rPr>
      </w:pPr>
    </w:p>
    <w:p w:rsidR="00C271B9" w:rsidRDefault="00C271B9" w:rsidP="009A526A">
      <w:pPr>
        <w:autoSpaceDE w:val="0"/>
        <w:autoSpaceDN w:val="0"/>
        <w:adjustRightInd w:val="0"/>
        <w:spacing w:after="0" w:line="240" w:lineRule="auto"/>
        <w:rPr>
          <w:rFonts w:ascii="Times New Roman" w:hAnsi="Times New Roman" w:cs="Times New Roman"/>
          <w:b/>
          <w:kern w:val="36"/>
          <w:sz w:val="24"/>
        </w:rPr>
      </w:pPr>
      <w:r w:rsidRPr="00C1694A">
        <w:rPr>
          <w:rFonts w:ascii="Times New Roman" w:hAnsi="Times New Roman" w:cs="Times New Roman"/>
          <w:b/>
          <w:kern w:val="36"/>
          <w:sz w:val="24"/>
        </w:rPr>
        <w:t>PROGRAM OPERATIONS; PART 1302</w:t>
      </w:r>
    </w:p>
    <w:p w:rsidR="00E45E2A" w:rsidRDefault="00E45E2A" w:rsidP="00E45E2A">
      <w:pPr>
        <w:autoSpaceDE w:val="0"/>
        <w:autoSpaceDN w:val="0"/>
        <w:adjustRightInd w:val="0"/>
        <w:spacing w:after="0" w:line="240" w:lineRule="auto"/>
        <w:rPr>
          <w:rFonts w:ascii="Times New Roman" w:hAnsi="Times New Roman" w:cs="Times New Roman"/>
          <w:b/>
          <w:kern w:val="36"/>
          <w:sz w:val="24"/>
        </w:rPr>
      </w:pPr>
      <w:r>
        <w:rPr>
          <w:rFonts w:ascii="Times New Roman" w:hAnsi="Times New Roman" w:cs="Times New Roman"/>
          <w:b/>
          <w:kern w:val="36"/>
          <w:sz w:val="24"/>
        </w:rPr>
        <w:t>Overview</w:t>
      </w:r>
    </w:p>
    <w:p w:rsidR="00E45E2A" w:rsidRDefault="00E45E2A" w:rsidP="00E45E2A">
      <w:pPr>
        <w:autoSpaceDE w:val="0"/>
        <w:autoSpaceDN w:val="0"/>
        <w:adjustRightInd w:val="0"/>
        <w:spacing w:after="0" w:line="240" w:lineRule="auto"/>
        <w:rPr>
          <w:rFonts w:ascii="Times New Roman" w:hAnsi="Times New Roman" w:cs="Times New Roman"/>
          <w:kern w:val="36"/>
          <w:sz w:val="24"/>
        </w:rPr>
      </w:pPr>
    </w:p>
    <w:p w:rsidR="00E45E2A" w:rsidRDefault="00E45E2A" w:rsidP="00AC521C">
      <w:pPr>
        <w:autoSpaceDE w:val="0"/>
        <w:autoSpaceDN w:val="0"/>
        <w:adjustRightInd w:val="0"/>
        <w:spacing w:after="0" w:line="480" w:lineRule="auto"/>
        <w:rPr>
          <w:rFonts w:ascii="Times New Roman" w:hAnsi="Times New Roman" w:cs="Times New Roman"/>
          <w:kern w:val="36"/>
          <w:sz w:val="24"/>
        </w:rPr>
      </w:pPr>
      <w:r>
        <w:rPr>
          <w:rFonts w:ascii="Times New Roman" w:hAnsi="Times New Roman" w:cs="Times New Roman"/>
          <w:kern w:val="36"/>
          <w:sz w:val="24"/>
        </w:rPr>
        <w:tab/>
        <w:t xml:space="preserve">In </w:t>
      </w:r>
      <w:r w:rsidRPr="00C1694A">
        <w:rPr>
          <w:rFonts w:ascii="Times New Roman" w:hAnsi="Times New Roman" w:cs="Times New Roman"/>
          <w:sz w:val="24"/>
          <w:szCs w:val="24"/>
          <w:u w:color="453CCC"/>
        </w:rPr>
        <w:t>§</w:t>
      </w:r>
      <w:r>
        <w:rPr>
          <w:rFonts w:ascii="Times New Roman" w:hAnsi="Times New Roman" w:cs="Times New Roman"/>
          <w:kern w:val="36"/>
          <w:sz w:val="24"/>
        </w:rPr>
        <w:t>1302.1, we made a technical change to remove paragraph (a) because the content of this paragraph was already included in the statutory authority for this rule and for this part and is therefore unnecessary to repeat here.  Therefore what was paragraph (b) in the NPRM is an undesignated paragraph in the final rule.</w:t>
      </w:r>
    </w:p>
    <w:p w:rsidR="00E45E2A" w:rsidRPr="00C1694A" w:rsidRDefault="00E45E2A" w:rsidP="00E45E2A">
      <w:pPr>
        <w:autoSpaceDE w:val="0"/>
        <w:autoSpaceDN w:val="0"/>
        <w:adjustRightInd w:val="0"/>
        <w:spacing w:after="0" w:line="240" w:lineRule="auto"/>
        <w:rPr>
          <w:rFonts w:ascii="Times New Roman" w:hAnsi="Times New Roman" w:cs="Times New Roman"/>
          <w:b/>
          <w:sz w:val="24"/>
          <w:szCs w:val="24"/>
        </w:rPr>
      </w:pPr>
    </w:p>
    <w:p w:rsidR="00C271B9" w:rsidRPr="00C1694A" w:rsidRDefault="00C271B9"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Eligibility, Recruitment. Selection, Enrollment and Attendance; Subpart A</w:t>
      </w:r>
    </w:p>
    <w:p w:rsidR="00C271B9" w:rsidRPr="00C1694A" w:rsidRDefault="00C271B9">
      <w:pPr>
        <w:rPr>
          <w:rFonts w:ascii="Times New Roman" w:hAnsi="Times New Roman" w:cs="Times New Roman"/>
        </w:rPr>
      </w:pP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this subpart, we combined all previous requirements related to child and family eligibility, and program requirements for the recruitment, selection, and enrollment of eligible families.  We updated these standards to reflect new priorities in the Act, including a stronger focus on children experiencing homelessness and children in foster care.  We added new standards to reflect the importance of attendance </w:t>
      </w:r>
      <w:r w:rsidR="003C6895" w:rsidRPr="00C1694A">
        <w:rPr>
          <w:rFonts w:ascii="Times New Roman" w:hAnsi="Times New Roman" w:cs="Times New Roman"/>
          <w:sz w:val="24"/>
          <w:szCs w:val="24"/>
        </w:rPr>
        <w:t>for</w:t>
      </w:r>
      <w:r w:rsidRPr="00C1694A">
        <w:rPr>
          <w:rFonts w:ascii="Times New Roman" w:hAnsi="Times New Roman" w:cs="Times New Roman"/>
          <w:sz w:val="24"/>
          <w:szCs w:val="24"/>
        </w:rPr>
        <w:t xml:space="preserve"> achieving strong child outcomes.  Further, we included new standards to clarify requirements for children with persistent and disruptive behavioral issues </w:t>
      </w:r>
      <w:r w:rsidR="003C6895" w:rsidRPr="00C1694A">
        <w:rPr>
          <w:rFonts w:ascii="Times New Roman" w:hAnsi="Times New Roman" w:cs="Times New Roman"/>
          <w:sz w:val="24"/>
          <w:szCs w:val="24"/>
        </w:rPr>
        <w:t>as well as</w:t>
      </w:r>
      <w:r w:rsidRPr="00C1694A">
        <w:rPr>
          <w:rFonts w:ascii="Times New Roman" w:hAnsi="Times New Roman" w:cs="Times New Roman"/>
          <w:sz w:val="24"/>
          <w:szCs w:val="24"/>
        </w:rPr>
        <w:t xml:space="preserve"> new standards to support programs serving children from diverse economic backgrounds, when appropriate.  Commenters supported our reorganization of these requirements and our emphasis on special populations.  Commenters were particularly appreciative of the standards throughout the section that were designed to </w:t>
      </w:r>
      <w:r w:rsidR="003C6895" w:rsidRPr="00C1694A">
        <w:rPr>
          <w:rFonts w:ascii="Times New Roman" w:hAnsi="Times New Roman" w:cs="Times New Roman"/>
          <w:sz w:val="24"/>
          <w:szCs w:val="24"/>
        </w:rPr>
        <w:t>reduce</w:t>
      </w:r>
      <w:r w:rsidRPr="00C1694A">
        <w:rPr>
          <w:rFonts w:ascii="Times New Roman" w:hAnsi="Times New Roman" w:cs="Times New Roman"/>
          <w:sz w:val="24"/>
          <w:szCs w:val="24"/>
        </w:rPr>
        <w:t xml:space="preserve"> barriers to the participation of children experiencing homelessness. We made technical changes for improved clarity.  We discuss additional co</w:t>
      </w:r>
      <w:r w:rsidR="00666820" w:rsidRPr="00C1694A">
        <w:rPr>
          <w:rFonts w:ascii="Times New Roman" w:hAnsi="Times New Roman" w:cs="Times New Roman"/>
          <w:sz w:val="24"/>
          <w:szCs w:val="24"/>
        </w:rPr>
        <w:t>mments and our responses below.</w:t>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General Comment</w:t>
      </w:r>
      <w:r w:rsidR="003C6895" w:rsidRPr="00C1694A">
        <w:rPr>
          <w:rFonts w:ascii="Times New Roman" w:hAnsi="Times New Roman" w:cs="Times New Roman"/>
          <w:i/>
          <w:sz w:val="24"/>
          <w:szCs w:val="24"/>
        </w:rPr>
        <w:t>s</w:t>
      </w:r>
      <w:r w:rsidR="0078221A" w:rsidRPr="00C1694A">
        <w:rPr>
          <w:rFonts w:ascii="Times New Roman" w:hAnsi="Times New Roman" w:cs="Times New Roman"/>
          <w:i/>
          <w:sz w:val="24"/>
          <w:szCs w:val="24"/>
        </w:rPr>
        <w:t>.</w:t>
      </w:r>
    </w:p>
    <w:p w:rsidR="00A60E33" w:rsidRPr="00C1694A" w:rsidRDefault="00A60E33" w:rsidP="009A526A">
      <w:pPr>
        <w:widowControl w:val="0"/>
        <w:autoSpaceDE w:val="0"/>
        <w:autoSpaceDN w:val="0"/>
        <w:adjustRightInd w:val="0"/>
        <w:spacing w:after="0" w:line="480" w:lineRule="auto"/>
        <w:ind w:firstLine="720"/>
        <w:rPr>
          <w:rFonts w:ascii="Times New Roman" w:hAnsi="Times New Roman" w:cs="Times New Roman"/>
          <w:sz w:val="24"/>
          <w:szCs w:val="24"/>
          <w:u w:color="453CCC"/>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u w:color="453CCC"/>
        </w:rPr>
        <w:t xml:space="preserve"> </w:t>
      </w:r>
      <w:r w:rsidR="00C052DA" w:rsidRPr="00C1694A">
        <w:rPr>
          <w:rFonts w:ascii="Times New Roman" w:hAnsi="Times New Roman" w:cs="Times New Roman"/>
          <w:sz w:val="24"/>
          <w:szCs w:val="24"/>
          <w:u w:color="453CCC"/>
        </w:rPr>
        <w:t>C</w:t>
      </w:r>
      <w:r w:rsidRPr="00C1694A">
        <w:rPr>
          <w:rFonts w:ascii="Times New Roman" w:hAnsi="Times New Roman" w:cs="Times New Roman"/>
          <w:sz w:val="24"/>
          <w:szCs w:val="24"/>
          <w:u w:color="453CCC"/>
        </w:rPr>
        <w:t>ommenters recommended adding language that specifically encouraged the recruitment and enrollment of children who are culturally and linguistically diverse, and/or prioritizing linguistically diverse children for enrollment.</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3C6895" w:rsidRPr="00C1694A">
        <w:rPr>
          <w:rFonts w:ascii="Times New Roman" w:hAnsi="Times New Roman" w:cs="Times New Roman"/>
          <w:sz w:val="24"/>
          <w:szCs w:val="24"/>
        </w:rPr>
        <w:t xml:space="preserve"> W</w:t>
      </w:r>
      <w:r w:rsidRPr="00C1694A">
        <w:rPr>
          <w:rFonts w:ascii="Times New Roman" w:hAnsi="Times New Roman" w:cs="Times New Roman"/>
          <w:sz w:val="24"/>
          <w:szCs w:val="24"/>
          <w:u w:color="453CCC"/>
        </w:rPr>
        <w:t xml:space="preserve">e do not think </w:t>
      </w:r>
      <w:r w:rsidR="006417CD" w:rsidRPr="00C1694A">
        <w:rPr>
          <w:rFonts w:ascii="Times New Roman" w:hAnsi="Times New Roman" w:cs="Times New Roman"/>
          <w:sz w:val="24"/>
          <w:szCs w:val="24"/>
          <w:u w:color="453CCC"/>
        </w:rPr>
        <w:t xml:space="preserve">it is necessary </w:t>
      </w:r>
      <w:r w:rsidRPr="00C1694A">
        <w:rPr>
          <w:rFonts w:ascii="Times New Roman" w:hAnsi="Times New Roman" w:cs="Times New Roman"/>
          <w:sz w:val="24"/>
          <w:szCs w:val="24"/>
          <w:u w:color="453CCC"/>
        </w:rPr>
        <w:t xml:space="preserve">to explicitly encourage recruitment or prioritization of culturally and linguistically diverse children.  Twenty-nine percent of Head Start children come from homes where a language other than English </w:t>
      </w:r>
      <w:r w:rsidR="006417CD" w:rsidRPr="00C1694A">
        <w:rPr>
          <w:rFonts w:ascii="Times New Roman" w:hAnsi="Times New Roman" w:cs="Times New Roman"/>
          <w:sz w:val="24"/>
          <w:szCs w:val="24"/>
          <w:u w:color="453CCC"/>
        </w:rPr>
        <w:t>is the primary language</w:t>
      </w:r>
      <w:r w:rsidRPr="00C1694A">
        <w:rPr>
          <w:rFonts w:ascii="Times New Roman" w:hAnsi="Times New Roman" w:cs="Times New Roman"/>
          <w:sz w:val="24"/>
          <w:szCs w:val="24"/>
          <w:u w:color="453CCC"/>
        </w:rPr>
        <w:t>.</w:t>
      </w:r>
      <w:r w:rsidR="006417CD" w:rsidRPr="00C1694A">
        <w:rPr>
          <w:rStyle w:val="FootnoteReference"/>
          <w:rFonts w:ascii="Times New Roman" w:hAnsi="Times New Roman" w:cs="Times New Roman"/>
          <w:sz w:val="24"/>
          <w:szCs w:val="24"/>
          <w:u w:color="453CCC"/>
        </w:rPr>
        <w:footnoteReference w:id="38"/>
      </w:r>
      <w:r w:rsidRPr="00C1694A">
        <w:rPr>
          <w:rFonts w:ascii="Times New Roman" w:hAnsi="Times New Roman" w:cs="Times New Roman"/>
          <w:sz w:val="24"/>
          <w:szCs w:val="24"/>
          <w:u w:color="453CCC"/>
        </w:rPr>
        <w:t xml:space="preserve"> Additionally, as described in §1302.11(b)(1)(i), the community assessment requires programs to examine the eligible population in their service area, including race, ethnicity, and languages </w:t>
      </w:r>
      <w:r w:rsidR="006417CD" w:rsidRPr="00C1694A">
        <w:rPr>
          <w:rFonts w:ascii="Times New Roman" w:hAnsi="Times New Roman" w:cs="Times New Roman"/>
          <w:sz w:val="24"/>
          <w:szCs w:val="24"/>
          <w:u w:color="453CCC"/>
        </w:rPr>
        <w:t>spoken</w:t>
      </w:r>
      <w:r w:rsidRPr="00C1694A">
        <w:rPr>
          <w:rFonts w:ascii="Times New Roman" w:hAnsi="Times New Roman" w:cs="Times New Roman"/>
          <w:sz w:val="24"/>
          <w:szCs w:val="24"/>
          <w:u w:color="453CCC"/>
        </w:rPr>
        <w:t>.  A program must then use this information when it establishes selection criteria and prioritization of participants, as described in §1302.14(a)(1).</w:t>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§1302.10 </w:t>
      </w:r>
      <w:r w:rsidR="00E45E2A">
        <w:rPr>
          <w:rFonts w:ascii="Times New Roman" w:hAnsi="Times New Roman" w:cs="Times New Roman"/>
          <w:i/>
          <w:sz w:val="24"/>
          <w:szCs w:val="24"/>
        </w:rPr>
        <w:t>Purpose</w:t>
      </w:r>
      <w:r w:rsidRPr="00C1694A">
        <w:rPr>
          <w:rFonts w:ascii="Times New Roman" w:hAnsi="Times New Roman" w:cs="Times New Roman"/>
          <w:i/>
          <w:sz w:val="24"/>
          <w:szCs w:val="24"/>
        </w:rPr>
        <w:t>.</w:t>
      </w:r>
    </w:p>
    <w:p w:rsidR="00A60E33" w:rsidRPr="00C1694A" w:rsidRDefault="003C6895"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A60E33" w:rsidRPr="00C1694A">
        <w:rPr>
          <w:rFonts w:ascii="Times New Roman" w:hAnsi="Times New Roman" w:cs="Times New Roman"/>
          <w:sz w:val="24"/>
          <w:szCs w:val="24"/>
        </w:rPr>
        <w:t>This section provides a general overview of the content in this subpart.  We received no comments directly for this section but made changes to be consistent with revisions in §1302.11.</w:t>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§1302.11 Determining community strengths</w:t>
      </w:r>
      <w:r w:rsidR="009A5FB8" w:rsidRPr="00C1694A">
        <w:rPr>
          <w:rFonts w:ascii="Times New Roman" w:hAnsi="Times New Roman" w:cs="Times New Roman"/>
          <w:i/>
          <w:sz w:val="24"/>
          <w:szCs w:val="24"/>
        </w:rPr>
        <w:t>, needs,</w:t>
      </w:r>
      <w:r w:rsidRPr="00C1694A">
        <w:rPr>
          <w:rFonts w:ascii="Times New Roman" w:hAnsi="Times New Roman" w:cs="Times New Roman"/>
          <w:i/>
          <w:sz w:val="24"/>
          <w:szCs w:val="24"/>
        </w:rPr>
        <w:t xml:space="preserve"> and resources.</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section includes the requirements for how programs define a service area for their grant application and the requirements for a community assessment.  We streamlined </w:t>
      </w:r>
      <w:r w:rsidR="003C6895" w:rsidRPr="00C1694A">
        <w:rPr>
          <w:rFonts w:ascii="Times New Roman" w:hAnsi="Times New Roman" w:cs="Times New Roman"/>
          <w:sz w:val="24"/>
          <w:szCs w:val="24"/>
        </w:rPr>
        <w:t xml:space="preserve">the </w:t>
      </w:r>
      <w:r w:rsidRPr="00C1694A">
        <w:rPr>
          <w:rFonts w:ascii="Times New Roman" w:hAnsi="Times New Roman" w:cs="Times New Roman"/>
          <w:sz w:val="24"/>
          <w:szCs w:val="24"/>
        </w:rPr>
        <w:t xml:space="preserve">standards to improve clarity and reduce bureaucracy.  In addition, we eliminated a prohibition on overlapping service areas, added new data as required by the Act for consideration in the community assessment to ensure community needs </w:t>
      </w:r>
      <w:r w:rsidR="004028C4" w:rsidRPr="00C1694A">
        <w:rPr>
          <w:rFonts w:ascii="Times New Roman" w:hAnsi="Times New Roman" w:cs="Times New Roman"/>
          <w:sz w:val="24"/>
          <w:szCs w:val="24"/>
        </w:rPr>
        <w:t>are</w:t>
      </w:r>
      <w:r w:rsidRPr="00C1694A">
        <w:rPr>
          <w:rFonts w:ascii="Times New Roman" w:hAnsi="Times New Roman" w:cs="Times New Roman"/>
          <w:sz w:val="24"/>
          <w:szCs w:val="24"/>
        </w:rPr>
        <w:t xml:space="preserve"> met, and aligned the community assessment to a program’s </w:t>
      </w:r>
      <w:r w:rsidR="004028C4" w:rsidRPr="00C1694A">
        <w:rPr>
          <w:rFonts w:ascii="Times New Roman" w:hAnsi="Times New Roman" w:cs="Times New Roman"/>
          <w:sz w:val="24"/>
          <w:szCs w:val="24"/>
        </w:rPr>
        <w:t>five</w:t>
      </w:r>
      <w:r w:rsidR="009A5FB8" w:rsidRPr="00C1694A">
        <w:rPr>
          <w:rFonts w:ascii="Times New Roman" w:hAnsi="Times New Roman" w:cs="Times New Roman"/>
          <w:sz w:val="24"/>
          <w:szCs w:val="24"/>
        </w:rPr>
        <w:t>-</w:t>
      </w:r>
      <w:r w:rsidRPr="00C1694A">
        <w:rPr>
          <w:rFonts w:ascii="Times New Roman" w:hAnsi="Times New Roman" w:cs="Times New Roman"/>
          <w:sz w:val="24"/>
          <w:szCs w:val="24"/>
        </w:rPr>
        <w:t xml:space="preserve">year grant cycle.  We also required </w:t>
      </w:r>
      <w:r w:rsidR="004028C4" w:rsidRPr="00C1694A">
        <w:rPr>
          <w:rFonts w:ascii="Times New Roman" w:hAnsi="Times New Roman" w:cs="Times New Roman"/>
          <w:sz w:val="24"/>
          <w:szCs w:val="24"/>
        </w:rPr>
        <w:t xml:space="preserve">that </w:t>
      </w:r>
      <w:r w:rsidRPr="00C1694A">
        <w:rPr>
          <w:rFonts w:ascii="Times New Roman" w:hAnsi="Times New Roman" w:cs="Times New Roman"/>
          <w:sz w:val="24"/>
          <w:szCs w:val="24"/>
        </w:rPr>
        <w:t>programs consider whether they could serve children from diverse economic backgrounds in addition to the program’s eligible funded enrollment in order to support mixed-income service delivery, which research suggests benefits children’s early learning.</w:t>
      </w:r>
      <w:r w:rsidRPr="00C1694A">
        <w:rPr>
          <w:rStyle w:val="FootnoteReference"/>
          <w:rFonts w:ascii="Times New Roman" w:hAnsi="Times New Roman" w:cs="Times New Roman"/>
          <w:sz w:val="24"/>
          <w:szCs w:val="24"/>
        </w:rPr>
        <w:footnoteReference w:id="3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40"/>
      </w:r>
      <w:r w:rsidRPr="00C1694A">
        <w:rPr>
          <w:rFonts w:ascii="Times New Roman" w:hAnsi="Times New Roman" w:cs="Times New Roman"/>
          <w:sz w:val="24"/>
          <w:szCs w:val="24"/>
        </w:rPr>
        <w:t xml:space="preserve">  Below, we </w:t>
      </w:r>
      <w:r w:rsidR="004028C4" w:rsidRPr="00C1694A">
        <w:rPr>
          <w:rFonts w:ascii="Times New Roman" w:hAnsi="Times New Roman" w:cs="Times New Roman"/>
          <w:sz w:val="24"/>
          <w:szCs w:val="24"/>
        </w:rPr>
        <w:t>summarize and respond to the</w:t>
      </w:r>
      <w:r w:rsidR="00666820" w:rsidRPr="00C1694A">
        <w:rPr>
          <w:rFonts w:ascii="Times New Roman" w:hAnsi="Times New Roman" w:cs="Times New Roman"/>
          <w:sz w:val="24"/>
          <w:szCs w:val="24"/>
        </w:rPr>
        <w:t xml:space="preserve"> comments we received.</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opposed or expressed concern about our proposal to eliminate the prohibition on overlapping service areas.  For example, commenters stated that overlapping service areas will be confusing and will cause conflict because of competition between grantees.  Many commenters suggested we include a process for mediation when there are disputes.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ommenters supported our decision to remove the prohibition on overlapping service areas.</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removing the prohibition on overlapping service areas </w:t>
      </w:r>
      <w:r w:rsidR="004028C4" w:rsidRPr="00C1694A">
        <w:rPr>
          <w:rFonts w:ascii="Times New Roman" w:hAnsi="Times New Roman" w:cs="Times New Roman"/>
          <w:sz w:val="24"/>
          <w:szCs w:val="24"/>
        </w:rPr>
        <w:t>gives</w:t>
      </w:r>
      <w:r w:rsidRPr="00C1694A">
        <w:rPr>
          <w:rFonts w:ascii="Times New Roman" w:hAnsi="Times New Roman" w:cs="Times New Roman"/>
          <w:sz w:val="24"/>
          <w:szCs w:val="24"/>
        </w:rPr>
        <w:t xml:space="preserve"> greater flexibility to local programs in a manner that will benefit the chil</w:t>
      </w:r>
      <w:r w:rsidR="004028C4" w:rsidRPr="00C1694A">
        <w:rPr>
          <w:rFonts w:ascii="Times New Roman" w:hAnsi="Times New Roman" w:cs="Times New Roman"/>
          <w:sz w:val="24"/>
          <w:szCs w:val="24"/>
        </w:rPr>
        <w:t>dren and families they serve.  Grantees may request a</w:t>
      </w:r>
      <w:r w:rsidRPr="00C1694A">
        <w:rPr>
          <w:rFonts w:ascii="Times New Roman" w:hAnsi="Times New Roman" w:cs="Times New Roman"/>
          <w:sz w:val="24"/>
          <w:szCs w:val="24"/>
        </w:rPr>
        <w:t>dditional guidance through the system of train</w:t>
      </w:r>
      <w:r w:rsidR="004028C4" w:rsidRPr="00C1694A">
        <w:rPr>
          <w:rFonts w:ascii="Times New Roman" w:hAnsi="Times New Roman" w:cs="Times New Roman"/>
          <w:sz w:val="24"/>
          <w:szCs w:val="24"/>
        </w:rPr>
        <w:t>ing and technical assistance.  Therefore, w</w:t>
      </w:r>
      <w:r w:rsidRPr="00C1694A">
        <w:rPr>
          <w:rFonts w:ascii="Times New Roman" w:hAnsi="Times New Roman" w:cs="Times New Roman"/>
          <w:sz w:val="24"/>
          <w:szCs w:val="24"/>
        </w:rPr>
        <w:t xml:space="preserve">e </w:t>
      </w:r>
      <w:r w:rsidR="004028C4" w:rsidRPr="00C1694A">
        <w:rPr>
          <w:rFonts w:ascii="Times New Roman" w:hAnsi="Times New Roman" w:cs="Times New Roman"/>
          <w:sz w:val="24"/>
          <w:szCs w:val="24"/>
        </w:rPr>
        <w:t>did not reinstate the</w:t>
      </w:r>
      <w:r w:rsidR="009A5FB8" w:rsidRPr="00C1694A">
        <w:rPr>
          <w:rFonts w:ascii="Times New Roman" w:hAnsi="Times New Roman" w:cs="Times New Roman"/>
          <w:sz w:val="24"/>
          <w:szCs w:val="24"/>
        </w:rPr>
        <w:t xml:space="preserve"> prohibition on overlapping service areas in this rule.</w:t>
      </w:r>
      <w:r w:rsidRPr="00C1694A">
        <w:rPr>
          <w:rFonts w:ascii="Times New Roman" w:hAnsi="Times New Roman" w:cs="Times New Roman"/>
          <w:sz w:val="24"/>
          <w:szCs w:val="24"/>
        </w:rPr>
        <w:tab/>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a few different recommendations for additional criteria for defining service area.  For example, many commenters recommended we include parents’ job locations as part of the service area.</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4028C4" w:rsidRPr="00C1694A">
        <w:rPr>
          <w:rFonts w:ascii="Times New Roman" w:hAnsi="Times New Roman" w:cs="Times New Roman"/>
          <w:sz w:val="24"/>
          <w:szCs w:val="24"/>
        </w:rPr>
        <w:t xml:space="preserve"> </w:t>
      </w:r>
      <w:r w:rsidR="00193826" w:rsidRPr="00C1694A">
        <w:rPr>
          <w:rFonts w:ascii="Times New Roman" w:hAnsi="Times New Roman" w:cs="Times New Roman"/>
          <w:sz w:val="24"/>
          <w:szCs w:val="24"/>
        </w:rPr>
        <w:t>While the service area is based on children’s residence</w:t>
      </w:r>
      <w:r w:rsidRPr="00C1694A">
        <w:rPr>
          <w:rFonts w:ascii="Times New Roman" w:hAnsi="Times New Roman" w:cs="Times New Roman"/>
          <w:sz w:val="24"/>
          <w:szCs w:val="24"/>
        </w:rPr>
        <w:t>, this rule</w:t>
      </w:r>
      <w:r w:rsidR="00193826" w:rsidRPr="00C1694A">
        <w:rPr>
          <w:rFonts w:ascii="Times New Roman" w:hAnsi="Times New Roman" w:cs="Times New Roman"/>
          <w:sz w:val="24"/>
          <w:szCs w:val="24"/>
        </w:rPr>
        <w:t xml:space="preserve">, as well as the previous </w:t>
      </w:r>
      <w:r w:rsidR="006E1293" w:rsidRPr="00C1694A">
        <w:rPr>
          <w:rFonts w:ascii="Times New Roman" w:hAnsi="Times New Roman" w:cs="Times New Roman"/>
          <w:sz w:val="24"/>
          <w:szCs w:val="24"/>
        </w:rPr>
        <w:t>regulation</w:t>
      </w:r>
      <w:r w:rsidR="00193826" w:rsidRPr="00C1694A">
        <w:rPr>
          <w:rFonts w:ascii="Times New Roman" w:hAnsi="Times New Roman" w:cs="Times New Roman"/>
          <w:sz w:val="24"/>
          <w:szCs w:val="24"/>
        </w:rPr>
        <w:t>,</w:t>
      </w:r>
      <w:r w:rsidRPr="00C1694A">
        <w:rPr>
          <w:rFonts w:ascii="Times New Roman" w:hAnsi="Times New Roman" w:cs="Times New Roman"/>
          <w:sz w:val="24"/>
          <w:szCs w:val="24"/>
        </w:rPr>
        <w:t xml:space="preserve"> is silent on </w:t>
      </w:r>
      <w:r w:rsidR="00193826" w:rsidRPr="00C1694A">
        <w:rPr>
          <w:rFonts w:ascii="Times New Roman" w:hAnsi="Times New Roman" w:cs="Times New Roman"/>
          <w:sz w:val="24"/>
          <w:szCs w:val="24"/>
        </w:rPr>
        <w:t xml:space="preserve">whether a program can enroll </w:t>
      </w:r>
      <w:r w:rsidRPr="00C1694A">
        <w:rPr>
          <w:rFonts w:ascii="Times New Roman" w:hAnsi="Times New Roman" w:cs="Times New Roman"/>
          <w:sz w:val="24"/>
          <w:szCs w:val="24"/>
        </w:rPr>
        <w:t>a child</w:t>
      </w:r>
      <w:r w:rsidR="00193826" w:rsidRPr="00C1694A">
        <w:rPr>
          <w:rFonts w:ascii="Times New Roman" w:hAnsi="Times New Roman" w:cs="Times New Roman"/>
          <w:sz w:val="24"/>
          <w:szCs w:val="24"/>
        </w:rPr>
        <w:t xml:space="preserve"> that lives outside of the</w:t>
      </w:r>
      <w:r w:rsidRPr="00C1694A">
        <w:rPr>
          <w:rFonts w:ascii="Times New Roman" w:hAnsi="Times New Roman" w:cs="Times New Roman"/>
          <w:sz w:val="24"/>
          <w:szCs w:val="24"/>
        </w:rPr>
        <w:t xml:space="preserve"> service area</w:t>
      </w:r>
      <w:r w:rsidR="00193826" w:rsidRPr="00C1694A">
        <w:rPr>
          <w:rFonts w:ascii="Times New Roman" w:hAnsi="Times New Roman" w:cs="Times New Roman"/>
          <w:sz w:val="24"/>
          <w:szCs w:val="24"/>
        </w:rPr>
        <w:t xml:space="preserve"> if their parents work in that area</w:t>
      </w:r>
      <w:r w:rsidR="00D1694D" w:rsidRPr="00C1694A">
        <w:rPr>
          <w:rFonts w:ascii="Times New Roman" w:hAnsi="Times New Roman" w:cs="Times New Roman"/>
          <w:sz w:val="24"/>
          <w:szCs w:val="24"/>
        </w:rPr>
        <w:t>. We</w:t>
      </w:r>
      <w:r w:rsidRPr="00C1694A">
        <w:rPr>
          <w:rFonts w:ascii="Times New Roman" w:hAnsi="Times New Roman" w:cs="Times New Roman"/>
          <w:sz w:val="24"/>
          <w:szCs w:val="24"/>
        </w:rPr>
        <w:t xml:space="preserve"> believe programs already have the flexibility to determine whether a child should be enrolled at a program closer to a parent’s workplace</w:t>
      </w:r>
      <w:r w:rsidR="00D6427C" w:rsidRPr="00C1694A">
        <w:rPr>
          <w:rFonts w:ascii="Times New Roman" w:hAnsi="Times New Roman" w:cs="Times New Roman"/>
          <w:sz w:val="24"/>
          <w:szCs w:val="24"/>
        </w:rPr>
        <w:t xml:space="preserve"> and will clarify any existing sub-regulatory guidance to reflect this flexibility</w:t>
      </w:r>
      <w:r w:rsidRPr="00C1694A">
        <w:rPr>
          <w:rFonts w:ascii="Times New Roman" w:hAnsi="Times New Roman" w:cs="Times New Roman"/>
          <w:sz w:val="24"/>
          <w:szCs w:val="24"/>
        </w:rPr>
        <w:t xml:space="preserve">.  We made no changes to this provision. </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suggestions for paragraph (b)(1) to more explicitly address the purpose and the goal of the community needs assessment, to add additional or change criteria to the data (either on the </w:t>
      </w:r>
      <w:r w:rsidR="00602C45" w:rsidRPr="00C1694A">
        <w:rPr>
          <w:rFonts w:ascii="Times New Roman" w:hAnsi="Times New Roman" w:cs="Times New Roman"/>
          <w:sz w:val="24"/>
          <w:szCs w:val="24"/>
        </w:rPr>
        <w:t>five-</w:t>
      </w:r>
      <w:r w:rsidRPr="00C1694A">
        <w:rPr>
          <w:rFonts w:ascii="Times New Roman" w:hAnsi="Times New Roman" w:cs="Times New Roman"/>
          <w:sz w:val="24"/>
          <w:szCs w:val="24"/>
        </w:rPr>
        <w:t>year cycle or annually), and to provide more guidance on how programs should obtain data for the community needs assessment.</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made changes to the section title</w:t>
      </w:r>
      <w:r w:rsidR="00724DCB" w:rsidRPr="00C1694A">
        <w:rPr>
          <w:rFonts w:ascii="Times New Roman" w:hAnsi="Times New Roman" w:cs="Times New Roman"/>
          <w:sz w:val="24"/>
          <w:szCs w:val="24"/>
        </w:rPr>
        <w:t xml:space="preserve"> and clarified</w:t>
      </w:r>
      <w:r w:rsidRPr="00C1694A">
        <w:rPr>
          <w:rFonts w:ascii="Times New Roman" w:hAnsi="Times New Roman" w:cs="Times New Roman"/>
          <w:sz w:val="24"/>
          <w:szCs w:val="24"/>
        </w:rPr>
        <w:t xml:space="preserve"> that the community assessment should be strength</w:t>
      </w:r>
      <w:r w:rsidR="00724DCB" w:rsidRPr="00C1694A">
        <w:rPr>
          <w:rFonts w:ascii="Times New Roman" w:hAnsi="Times New Roman" w:cs="Times New Roman"/>
          <w:sz w:val="24"/>
          <w:szCs w:val="24"/>
        </w:rPr>
        <w:t>s</w:t>
      </w:r>
      <w:r w:rsidRPr="00C1694A">
        <w:rPr>
          <w:rFonts w:ascii="Times New Roman" w:hAnsi="Times New Roman" w:cs="Times New Roman"/>
          <w:sz w:val="24"/>
          <w:szCs w:val="24"/>
        </w:rPr>
        <w:t>-based. We think th</w:t>
      </w:r>
      <w:r w:rsidR="009A5FB8" w:rsidRPr="00C1694A">
        <w:rPr>
          <w:rFonts w:ascii="Times New Roman" w:hAnsi="Times New Roman" w:cs="Times New Roman"/>
          <w:sz w:val="24"/>
          <w:szCs w:val="24"/>
        </w:rPr>
        <w:t>ese changes</w:t>
      </w:r>
      <w:r w:rsidRPr="00C1694A">
        <w:rPr>
          <w:rFonts w:ascii="Times New Roman" w:hAnsi="Times New Roman" w:cs="Times New Roman"/>
          <w:sz w:val="24"/>
          <w:szCs w:val="24"/>
        </w:rPr>
        <w:t>, together with using the full name of the community assessment – “community</w:t>
      </w:r>
      <w:r w:rsidR="00724DCB"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wide strategic </w:t>
      </w:r>
      <w:r w:rsidR="00724DCB" w:rsidRPr="00C1694A">
        <w:rPr>
          <w:rFonts w:ascii="Times New Roman" w:hAnsi="Times New Roman" w:cs="Times New Roman"/>
          <w:sz w:val="24"/>
          <w:szCs w:val="24"/>
        </w:rPr>
        <w:t>planning and needs assessment” –</w:t>
      </w:r>
      <w:r w:rsidRPr="00C1694A">
        <w:rPr>
          <w:rFonts w:ascii="Times New Roman" w:hAnsi="Times New Roman" w:cs="Times New Roman"/>
          <w:sz w:val="24"/>
          <w:szCs w:val="24"/>
        </w:rPr>
        <w:t xml:space="preserve"> better reflect the purpose of the assessment. </w:t>
      </w:r>
      <w:r w:rsidR="00776041" w:rsidRPr="00C1694A">
        <w:rPr>
          <w:rFonts w:ascii="Times New Roman" w:hAnsi="Times New Roman" w:cs="Times New Roman"/>
          <w:sz w:val="24"/>
          <w:szCs w:val="24"/>
        </w:rPr>
        <w:t>We revised paragraph (b)(1) to clarify that this list is not exhaustive,</w:t>
      </w:r>
      <w:r w:rsidR="005E1272" w:rsidRPr="00C1694A">
        <w:rPr>
          <w:rFonts w:ascii="Times New Roman" w:hAnsi="Times New Roman" w:cs="Times New Roman"/>
          <w:sz w:val="24"/>
          <w:szCs w:val="24"/>
        </w:rPr>
        <w:t xml:space="preserve"> and reorganized the list to make it more logically flow. We also </w:t>
      </w:r>
      <w:r w:rsidR="00776041" w:rsidRPr="00C1694A">
        <w:rPr>
          <w:rFonts w:ascii="Times New Roman" w:hAnsi="Times New Roman" w:cs="Times New Roman"/>
          <w:sz w:val="24"/>
          <w:szCs w:val="24"/>
        </w:rPr>
        <w:t xml:space="preserve">revised paragraph (b)(1)(ii) to also include </w:t>
      </w:r>
      <w:r w:rsidR="00776041" w:rsidRPr="00C1694A">
        <w:rPr>
          <w:rFonts w:ascii="Times New Roman" w:eastAsia="Times New Roman" w:hAnsi="Times New Roman" w:cs="Times New Roman"/>
          <w:sz w:val="24"/>
          <w:szCs w:val="24"/>
        </w:rPr>
        <w:t>prevalent social or economic factors that impact their well-being</w:t>
      </w:r>
      <w:r w:rsidR="00776041"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We did not </w:t>
      </w:r>
      <w:r w:rsidR="00724DCB" w:rsidRPr="00C1694A">
        <w:rPr>
          <w:rFonts w:ascii="Times New Roman" w:hAnsi="Times New Roman" w:cs="Times New Roman"/>
          <w:sz w:val="24"/>
          <w:szCs w:val="24"/>
        </w:rPr>
        <w:t>believe</w:t>
      </w:r>
      <w:r w:rsidRPr="00C1694A">
        <w:rPr>
          <w:rFonts w:ascii="Times New Roman" w:hAnsi="Times New Roman" w:cs="Times New Roman"/>
          <w:sz w:val="24"/>
          <w:szCs w:val="24"/>
        </w:rPr>
        <w:t xml:space="preserve"> additional data requirements </w:t>
      </w:r>
      <w:r w:rsidR="00724DCB" w:rsidRPr="00C1694A">
        <w:rPr>
          <w:rFonts w:ascii="Times New Roman" w:hAnsi="Times New Roman" w:cs="Times New Roman"/>
          <w:sz w:val="24"/>
          <w:szCs w:val="24"/>
        </w:rPr>
        <w:t>were</w:t>
      </w:r>
      <w:r w:rsidRPr="00C1694A">
        <w:rPr>
          <w:rFonts w:ascii="Times New Roman" w:hAnsi="Times New Roman" w:cs="Times New Roman"/>
          <w:sz w:val="24"/>
          <w:szCs w:val="24"/>
        </w:rPr>
        <w:t xml:space="preserve"> necessary because programs already have the flexibility to include other relevant data in their community assessments.  </w:t>
      </w:r>
      <w:r w:rsidR="00602C45" w:rsidRPr="00C1694A">
        <w:rPr>
          <w:rFonts w:ascii="Times New Roman" w:hAnsi="Times New Roman" w:cs="Times New Roman"/>
          <w:sz w:val="24"/>
          <w:szCs w:val="24"/>
        </w:rPr>
        <w:t xml:space="preserve">We clarified in paragraph (b)(1)(ii) that homelessness data should be obtained in collaboration with McKinney-Vento liaisons to the extent possible, but </w:t>
      </w:r>
      <w:r w:rsidR="00907C84" w:rsidRPr="00C1694A">
        <w:rPr>
          <w:rFonts w:ascii="Times New Roman" w:hAnsi="Times New Roman" w:cs="Times New Roman"/>
          <w:sz w:val="24"/>
          <w:szCs w:val="24"/>
        </w:rPr>
        <w:t>it is important that all programs cons</w:t>
      </w:r>
      <w:r w:rsidR="00602C45" w:rsidRPr="00C1694A">
        <w:rPr>
          <w:rFonts w:ascii="Times New Roman" w:hAnsi="Times New Roman" w:cs="Times New Roman"/>
          <w:sz w:val="24"/>
          <w:szCs w:val="24"/>
        </w:rPr>
        <w:t>ider the prevalence of homelessness in their</w:t>
      </w:r>
      <w:r w:rsidR="00907C84" w:rsidRPr="00C1694A">
        <w:rPr>
          <w:rFonts w:ascii="Times New Roman" w:hAnsi="Times New Roman" w:cs="Times New Roman"/>
          <w:sz w:val="24"/>
          <w:szCs w:val="24"/>
        </w:rPr>
        <w:t xml:space="preserve"> community, however possible.  The U.S. Interagency Council on Homelessness has identified data gaps in tribal communities on young children experiencing homelessness, so we re</w:t>
      </w:r>
      <w:r w:rsidR="00602C45" w:rsidRPr="00C1694A">
        <w:rPr>
          <w:rFonts w:ascii="Times New Roman" w:hAnsi="Times New Roman" w:cs="Times New Roman"/>
          <w:sz w:val="24"/>
          <w:szCs w:val="24"/>
        </w:rPr>
        <w:t xml:space="preserve">cognize </w:t>
      </w:r>
      <w:r w:rsidR="00907C84" w:rsidRPr="00C1694A">
        <w:rPr>
          <w:rFonts w:ascii="Times New Roman" w:hAnsi="Times New Roman" w:cs="Times New Roman"/>
          <w:sz w:val="24"/>
          <w:szCs w:val="24"/>
        </w:rPr>
        <w:t xml:space="preserve">tribal programs </w:t>
      </w:r>
      <w:r w:rsidR="00602C45" w:rsidRPr="00C1694A">
        <w:rPr>
          <w:rFonts w:ascii="Times New Roman" w:hAnsi="Times New Roman" w:cs="Times New Roman"/>
          <w:sz w:val="24"/>
          <w:szCs w:val="24"/>
        </w:rPr>
        <w:t>may</w:t>
      </w:r>
      <w:r w:rsidR="00907C84" w:rsidRPr="00C1694A">
        <w:rPr>
          <w:rFonts w:ascii="Times New Roman" w:hAnsi="Times New Roman" w:cs="Times New Roman"/>
          <w:sz w:val="24"/>
          <w:szCs w:val="24"/>
        </w:rPr>
        <w:t xml:space="preserve"> need to utilize alternative methods to ensure they fully consider the prevalence of homelessness in their communities</w:t>
      </w:r>
      <w:r w:rsidR="00602C45" w:rsidRPr="00C1694A">
        <w:rPr>
          <w:rFonts w:ascii="Times New Roman" w:hAnsi="Times New Roman" w:cs="Times New Roman"/>
          <w:sz w:val="24"/>
          <w:szCs w:val="24"/>
        </w:rPr>
        <w:t>.</w:t>
      </w:r>
    </w:p>
    <w:p w:rsidR="004028C4" w:rsidRPr="00C1694A" w:rsidRDefault="004028C4"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about our proposal in paragraph (b)(1) to change the community assessment from a three-year to a five-year timeline that would align with a program’s five-year grant cycle.  </w:t>
      </w:r>
      <w:r w:rsidR="00A576B9"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supported this change because it removed unnecessary burden on programs.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ommenters expressed concern that communities change rapidly and that five years is not frequent enough to review community needs.</w:t>
      </w:r>
    </w:p>
    <w:p w:rsidR="004028C4" w:rsidRPr="00C1694A" w:rsidRDefault="004028C4"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think we strike the right balance between ensuring programs regularly assess and work to meet their community needs through an annual re-evaluation of particular criteria described in paragraph (b)(2) and §1302.20(</w:t>
      </w:r>
      <w:r w:rsidR="00A576B9" w:rsidRPr="00C1694A">
        <w:rPr>
          <w:rFonts w:ascii="Times New Roman" w:hAnsi="Times New Roman" w:cs="Times New Roman"/>
          <w:sz w:val="24"/>
          <w:szCs w:val="24"/>
        </w:rPr>
        <w:t>a</w:t>
      </w:r>
      <w:r w:rsidRPr="00C1694A">
        <w:rPr>
          <w:rFonts w:ascii="Times New Roman" w:hAnsi="Times New Roman" w:cs="Times New Roman"/>
          <w:sz w:val="24"/>
          <w:szCs w:val="24"/>
        </w:rPr>
        <w:t xml:space="preserve">)(2) and reduction of undue burden through alignment of the community assessment to the five-year grant cycle.  We made no revisions to this timeline. </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recommended we change the </w:t>
      </w:r>
      <w:r w:rsidR="00724DCB" w:rsidRPr="00C1694A">
        <w:rPr>
          <w:rFonts w:ascii="Times New Roman" w:hAnsi="Times New Roman" w:cs="Times New Roman"/>
          <w:sz w:val="24"/>
          <w:szCs w:val="24"/>
        </w:rPr>
        <w:t>requirement</w:t>
      </w:r>
      <w:r w:rsidRPr="00C1694A">
        <w:rPr>
          <w:rFonts w:ascii="Times New Roman" w:hAnsi="Times New Roman" w:cs="Times New Roman"/>
          <w:sz w:val="24"/>
          <w:szCs w:val="24"/>
        </w:rPr>
        <w:t xml:space="preserve"> in paragraph (b)(2) that programs </w:t>
      </w:r>
      <w:r w:rsidR="00724DCB" w:rsidRPr="00C1694A">
        <w:rPr>
          <w:rFonts w:ascii="Times New Roman" w:hAnsi="Times New Roman" w:cs="Times New Roman"/>
          <w:sz w:val="24"/>
          <w:szCs w:val="24"/>
        </w:rPr>
        <w:t>must</w:t>
      </w:r>
      <w:r w:rsidRPr="00C1694A">
        <w:rPr>
          <w:rFonts w:ascii="Times New Roman" w:hAnsi="Times New Roman" w:cs="Times New Roman"/>
          <w:sz w:val="24"/>
          <w:szCs w:val="24"/>
        </w:rPr>
        <w:t xml:space="preserve"> annually review and update the community assessment to reflect any significant changes to the availability of publicly-funded full-day pre-kindergarten.  </w:t>
      </w:r>
      <w:r w:rsidR="00284596" w:rsidRPr="00C1694A">
        <w:rPr>
          <w:rFonts w:ascii="Times New Roman" w:hAnsi="Times New Roman" w:cs="Times New Roman"/>
          <w:sz w:val="24"/>
          <w:szCs w:val="24"/>
        </w:rPr>
        <w:t xml:space="preserve">These commenters expressed </w:t>
      </w:r>
      <w:r w:rsidRPr="00C1694A">
        <w:rPr>
          <w:rFonts w:ascii="Times New Roman" w:hAnsi="Times New Roman" w:cs="Times New Roman"/>
          <w:sz w:val="24"/>
          <w:szCs w:val="24"/>
        </w:rPr>
        <w:t xml:space="preserve">concern that </w:t>
      </w:r>
      <w:r w:rsidR="009A5FB8" w:rsidRPr="00C1694A">
        <w:rPr>
          <w:rFonts w:ascii="Times New Roman" w:hAnsi="Times New Roman" w:cs="Times New Roman"/>
          <w:sz w:val="24"/>
          <w:szCs w:val="24"/>
        </w:rPr>
        <w:t xml:space="preserve">public pre-kindergarten </w:t>
      </w:r>
      <w:r w:rsidRPr="00C1694A">
        <w:rPr>
          <w:rFonts w:ascii="Times New Roman" w:hAnsi="Times New Roman" w:cs="Times New Roman"/>
          <w:sz w:val="24"/>
          <w:szCs w:val="24"/>
        </w:rPr>
        <w:t xml:space="preserve">programs may not meet the needs of at-risk families </w:t>
      </w:r>
      <w:r w:rsidR="009A5FB8" w:rsidRPr="00C1694A">
        <w:rPr>
          <w:rFonts w:ascii="Times New Roman" w:hAnsi="Times New Roman" w:cs="Times New Roman"/>
          <w:sz w:val="24"/>
          <w:szCs w:val="24"/>
        </w:rPr>
        <w:t>because they do not offer</w:t>
      </w:r>
      <w:r w:rsidRPr="00C1694A">
        <w:rPr>
          <w:rFonts w:ascii="Times New Roman" w:hAnsi="Times New Roman" w:cs="Times New Roman"/>
          <w:sz w:val="24"/>
          <w:szCs w:val="24"/>
        </w:rPr>
        <w:t xml:space="preserve"> a full spectrum of comprehensive services.</w:t>
      </w:r>
      <w:r w:rsidR="00284596" w:rsidRPr="00C1694A">
        <w:rPr>
          <w:rFonts w:ascii="Times New Roman" w:hAnsi="Times New Roman" w:cs="Times New Roman"/>
          <w:sz w:val="24"/>
          <w:szCs w:val="24"/>
        </w:rPr>
        <w:t xml:space="preserve">  </w:t>
      </w:r>
      <w:r w:rsidR="00C052DA" w:rsidRPr="00C1694A">
        <w:rPr>
          <w:rFonts w:ascii="Times New Roman" w:hAnsi="Times New Roman" w:cs="Times New Roman"/>
          <w:sz w:val="24"/>
          <w:szCs w:val="24"/>
        </w:rPr>
        <w:t>C</w:t>
      </w:r>
      <w:r w:rsidR="00284596" w:rsidRPr="00C1694A">
        <w:rPr>
          <w:rFonts w:ascii="Times New Roman" w:hAnsi="Times New Roman" w:cs="Times New Roman"/>
          <w:sz w:val="24"/>
          <w:szCs w:val="24"/>
        </w:rPr>
        <w:t xml:space="preserve">ommenters offered specific suggestions for other community demographics to be considered in the annual review. </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Since </w:t>
      </w:r>
      <w:r w:rsidR="009A5FB8" w:rsidRPr="00C1694A">
        <w:rPr>
          <w:rFonts w:ascii="Times New Roman" w:hAnsi="Times New Roman" w:cs="Times New Roman"/>
          <w:sz w:val="24"/>
          <w:szCs w:val="24"/>
        </w:rPr>
        <w:t xml:space="preserve">the requirement to conduct </w:t>
      </w:r>
      <w:r w:rsidRPr="00C1694A">
        <w:rPr>
          <w:rFonts w:ascii="Times New Roman" w:hAnsi="Times New Roman" w:cs="Times New Roman"/>
          <w:sz w:val="24"/>
          <w:szCs w:val="24"/>
        </w:rPr>
        <w:t xml:space="preserve">community assessments </w:t>
      </w:r>
      <w:r w:rsidR="009A5FB8" w:rsidRPr="00C1694A">
        <w:rPr>
          <w:rFonts w:ascii="Times New Roman" w:hAnsi="Times New Roman" w:cs="Times New Roman"/>
          <w:sz w:val="24"/>
          <w:szCs w:val="24"/>
        </w:rPr>
        <w:t xml:space="preserve">was </w:t>
      </w:r>
      <w:r w:rsidRPr="00C1694A">
        <w:rPr>
          <w:rFonts w:ascii="Times New Roman" w:hAnsi="Times New Roman" w:cs="Times New Roman"/>
          <w:sz w:val="24"/>
          <w:szCs w:val="24"/>
        </w:rPr>
        <w:t xml:space="preserve">changed from every three years to every five years, this provision was intended to ensure programs annually capture what may be </w:t>
      </w:r>
      <w:r w:rsidR="009A5FB8" w:rsidRPr="00C1694A">
        <w:rPr>
          <w:rFonts w:ascii="Times New Roman" w:hAnsi="Times New Roman" w:cs="Times New Roman"/>
          <w:sz w:val="24"/>
          <w:szCs w:val="24"/>
        </w:rPr>
        <w:t xml:space="preserve">quickly </w:t>
      </w:r>
      <w:r w:rsidRPr="00C1694A">
        <w:rPr>
          <w:rFonts w:ascii="Times New Roman" w:hAnsi="Times New Roman" w:cs="Times New Roman"/>
          <w:sz w:val="24"/>
          <w:szCs w:val="24"/>
        </w:rPr>
        <w:t xml:space="preserve">changing demographic and policy landscape characteristics in their community.  Emergence or expansion of publicly funded pre-kindergarten may offer new opportunities for partnerships and collaborations or it may offer new opportunities to extend the hours children receive services.  We retained the standard that programs review and update </w:t>
      </w:r>
      <w:r w:rsidR="003000E8" w:rsidRPr="00C1694A">
        <w:rPr>
          <w:rFonts w:ascii="Times New Roman" w:hAnsi="Times New Roman" w:cs="Times New Roman"/>
          <w:sz w:val="24"/>
          <w:szCs w:val="24"/>
        </w:rPr>
        <w:t xml:space="preserve">the </w:t>
      </w:r>
      <w:r w:rsidR="00944604" w:rsidRPr="00C1694A">
        <w:rPr>
          <w:rFonts w:ascii="Times New Roman" w:hAnsi="Times New Roman" w:cs="Times New Roman"/>
          <w:sz w:val="24"/>
          <w:szCs w:val="24"/>
        </w:rPr>
        <w:t xml:space="preserve">annual </w:t>
      </w:r>
      <w:r w:rsidR="003000E8" w:rsidRPr="00C1694A">
        <w:rPr>
          <w:rFonts w:ascii="Times New Roman" w:hAnsi="Times New Roman" w:cs="Times New Roman"/>
          <w:sz w:val="24"/>
          <w:szCs w:val="24"/>
        </w:rPr>
        <w:t xml:space="preserve">assessment to reflect </w:t>
      </w:r>
      <w:r w:rsidRPr="00C1694A">
        <w:rPr>
          <w:rFonts w:ascii="Times New Roman" w:hAnsi="Times New Roman" w:cs="Times New Roman"/>
          <w:sz w:val="24"/>
          <w:szCs w:val="24"/>
        </w:rPr>
        <w:t xml:space="preserve">any increase in </w:t>
      </w:r>
      <w:r w:rsidR="003000E8" w:rsidRPr="00C1694A">
        <w:rPr>
          <w:rFonts w:ascii="Times New Roman" w:hAnsi="Times New Roman" w:cs="Times New Roman"/>
          <w:sz w:val="24"/>
          <w:szCs w:val="24"/>
        </w:rPr>
        <w:t xml:space="preserve">the </w:t>
      </w:r>
      <w:r w:rsidRPr="00C1694A">
        <w:rPr>
          <w:rFonts w:ascii="Times New Roman" w:hAnsi="Times New Roman" w:cs="Times New Roman"/>
          <w:sz w:val="24"/>
          <w:szCs w:val="24"/>
        </w:rPr>
        <w:t xml:space="preserve">availability of publicly-funded pre-kindergarten </w:t>
      </w:r>
      <w:r w:rsidR="00527CCC" w:rsidRPr="00C1694A">
        <w:rPr>
          <w:rFonts w:ascii="Times New Roman" w:hAnsi="Times New Roman" w:cs="Times New Roman"/>
          <w:sz w:val="24"/>
          <w:szCs w:val="24"/>
        </w:rPr>
        <w:t xml:space="preserve">including but not limited to </w:t>
      </w:r>
      <w:r w:rsidRPr="00C1694A">
        <w:rPr>
          <w:rFonts w:ascii="Times New Roman" w:hAnsi="Times New Roman" w:cs="Times New Roman"/>
          <w:sz w:val="24"/>
          <w:szCs w:val="24"/>
        </w:rPr>
        <w:t>“full-day” programs.</w:t>
      </w:r>
      <w:r w:rsidR="00776041" w:rsidRPr="00C1694A">
        <w:rPr>
          <w:rFonts w:ascii="Times New Roman" w:hAnsi="Times New Roman" w:cs="Times New Roman"/>
          <w:sz w:val="24"/>
          <w:szCs w:val="24"/>
        </w:rPr>
        <w:t xml:space="preserve"> </w:t>
      </w:r>
      <w:r w:rsidR="003000E8" w:rsidRPr="00C1694A">
        <w:rPr>
          <w:rFonts w:ascii="Times New Roman" w:hAnsi="Times New Roman" w:cs="Times New Roman"/>
          <w:sz w:val="24"/>
          <w:szCs w:val="24"/>
        </w:rPr>
        <w:t xml:space="preserve">In addition, we clarify that this review and update should take into account whether the pre-kindergarten available meets the needs of the population of the grantee serves. </w:t>
      </w:r>
      <w:r w:rsidR="00776041" w:rsidRPr="00C1694A">
        <w:rPr>
          <w:rFonts w:ascii="Times New Roman" w:hAnsi="Times New Roman" w:cs="Times New Roman"/>
          <w:sz w:val="24"/>
          <w:szCs w:val="24"/>
        </w:rPr>
        <w:t>We revised paragraph (b)(2) to also include significant shifts in community resources, because community demographics was too narrow.</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comments in support of our proposed standard in paragraph (b)(3) for programs to consider whether characteristics of the community allow </w:t>
      </w:r>
      <w:r w:rsidR="004F070A" w:rsidRPr="00C1694A">
        <w:rPr>
          <w:rFonts w:ascii="Times New Roman" w:hAnsi="Times New Roman" w:cs="Times New Roman"/>
          <w:sz w:val="24"/>
          <w:szCs w:val="24"/>
        </w:rPr>
        <w:t>them</w:t>
      </w:r>
      <w:r w:rsidRPr="00C1694A">
        <w:rPr>
          <w:rFonts w:ascii="Times New Roman" w:hAnsi="Times New Roman" w:cs="Times New Roman"/>
          <w:sz w:val="24"/>
          <w:szCs w:val="24"/>
        </w:rPr>
        <w:t xml:space="preserve"> to operate class</w:t>
      </w:r>
      <w:r w:rsidR="002450D3" w:rsidRPr="00C1694A">
        <w:rPr>
          <w:rFonts w:ascii="Times New Roman" w:hAnsi="Times New Roman" w:cs="Times New Roman"/>
          <w:sz w:val="24"/>
          <w:szCs w:val="24"/>
        </w:rPr>
        <w:t>e</w:t>
      </w:r>
      <w:r w:rsidRPr="00C1694A">
        <w:rPr>
          <w:rFonts w:ascii="Times New Roman" w:hAnsi="Times New Roman" w:cs="Times New Roman"/>
          <w:sz w:val="24"/>
          <w:szCs w:val="24"/>
        </w:rPr>
        <w:t>s with children from diverse economic backgrounds.  These commenters noted research demonstrates</w:t>
      </w:r>
      <w:r w:rsidR="004F070A" w:rsidRPr="00C1694A">
        <w:rPr>
          <w:rFonts w:ascii="Times New Roman" w:hAnsi="Times New Roman" w:cs="Times New Roman"/>
          <w:sz w:val="24"/>
          <w:szCs w:val="24"/>
        </w:rPr>
        <w:t xml:space="preserve"> participation in</w:t>
      </w:r>
      <w:r w:rsidRPr="00C1694A">
        <w:rPr>
          <w:rFonts w:ascii="Times New Roman" w:hAnsi="Times New Roman" w:cs="Times New Roman"/>
          <w:sz w:val="24"/>
          <w:szCs w:val="24"/>
        </w:rPr>
        <w:t xml:space="preserve"> mixed-income </w:t>
      </w:r>
      <w:r w:rsidR="002450D3" w:rsidRPr="00C1694A">
        <w:rPr>
          <w:rFonts w:ascii="Times New Roman" w:hAnsi="Times New Roman" w:cs="Times New Roman"/>
          <w:sz w:val="24"/>
          <w:szCs w:val="24"/>
        </w:rPr>
        <w:t>classes</w:t>
      </w:r>
      <w:r w:rsidRPr="00C1694A">
        <w:rPr>
          <w:rFonts w:ascii="Times New Roman" w:hAnsi="Times New Roman" w:cs="Times New Roman"/>
          <w:sz w:val="24"/>
          <w:szCs w:val="24"/>
        </w:rPr>
        <w:t xml:space="preserve"> </w:t>
      </w:r>
      <w:r w:rsidR="004F070A" w:rsidRPr="00C1694A">
        <w:rPr>
          <w:rFonts w:ascii="Times New Roman" w:hAnsi="Times New Roman" w:cs="Times New Roman"/>
          <w:sz w:val="24"/>
          <w:szCs w:val="24"/>
        </w:rPr>
        <w:t>is</w:t>
      </w:r>
      <w:r w:rsidR="009A5FB8" w:rsidRPr="00C1694A">
        <w:rPr>
          <w:rFonts w:ascii="Times New Roman" w:hAnsi="Times New Roman" w:cs="Times New Roman"/>
          <w:sz w:val="24"/>
          <w:szCs w:val="24"/>
        </w:rPr>
        <w:t xml:space="preserve"> </w:t>
      </w:r>
      <w:r w:rsidRPr="00C1694A">
        <w:rPr>
          <w:rFonts w:ascii="Times New Roman" w:hAnsi="Times New Roman" w:cs="Times New Roman"/>
          <w:sz w:val="24"/>
          <w:szCs w:val="24"/>
        </w:rPr>
        <w:t>beneficial to children from low</w:t>
      </w:r>
      <w:r w:rsidR="009A5FB8" w:rsidRPr="00C1694A">
        <w:rPr>
          <w:rFonts w:ascii="Times New Roman" w:hAnsi="Times New Roman" w:cs="Times New Roman"/>
          <w:sz w:val="24"/>
          <w:szCs w:val="24"/>
        </w:rPr>
        <w:t>-</w:t>
      </w:r>
      <w:r w:rsidRPr="00C1694A">
        <w:rPr>
          <w:rFonts w:ascii="Times New Roman" w:hAnsi="Times New Roman" w:cs="Times New Roman"/>
          <w:sz w:val="24"/>
          <w:szCs w:val="24"/>
        </w:rPr>
        <w:t xml:space="preserve">income families and stated the standard would support a broader notion of innovative funding models.  We also received many comments requesting additional guidance to ensure this standard did not result in fewer services for income eligible children.   </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intent of this </w:t>
      </w:r>
      <w:r w:rsidR="004F070A" w:rsidRPr="00C1694A">
        <w:rPr>
          <w:rFonts w:ascii="Times New Roman" w:hAnsi="Times New Roman" w:cs="Times New Roman"/>
          <w:sz w:val="24"/>
          <w:szCs w:val="24"/>
        </w:rPr>
        <w:t>requirement is for</w:t>
      </w:r>
      <w:r w:rsidRPr="00C1694A">
        <w:rPr>
          <w:rFonts w:ascii="Times New Roman" w:hAnsi="Times New Roman" w:cs="Times New Roman"/>
          <w:sz w:val="24"/>
          <w:szCs w:val="24"/>
        </w:rPr>
        <w:t xml:space="preserve"> Head Start programs to consider whether it is feasible to implement a mixed-income delivery model.  Research finds such models to be beneficial to the educational outcomes of children from low</w:t>
      </w:r>
      <w:r w:rsidR="00331588" w:rsidRPr="00C1694A">
        <w:rPr>
          <w:rFonts w:ascii="Times New Roman" w:hAnsi="Times New Roman" w:cs="Times New Roman"/>
          <w:sz w:val="24"/>
          <w:szCs w:val="24"/>
        </w:rPr>
        <w:t>-</w:t>
      </w:r>
      <w:r w:rsidRPr="00C1694A">
        <w:rPr>
          <w:rFonts w:ascii="Times New Roman" w:hAnsi="Times New Roman" w:cs="Times New Roman"/>
          <w:sz w:val="24"/>
          <w:szCs w:val="24"/>
        </w:rPr>
        <w:t>income families.</w:t>
      </w:r>
      <w:r w:rsidR="00140105" w:rsidRPr="00C1694A">
        <w:rPr>
          <w:rStyle w:val="FootnoteReference"/>
          <w:rFonts w:ascii="Times New Roman" w:hAnsi="Times New Roman" w:cs="Times New Roman"/>
          <w:sz w:val="24"/>
          <w:szCs w:val="24"/>
        </w:rPr>
        <w:footnoteReference w:id="41"/>
      </w:r>
      <w:r w:rsidR="00150A23" w:rsidRPr="00C1694A">
        <w:rPr>
          <w:rFonts w:ascii="Times New Roman" w:hAnsi="Times New Roman" w:cs="Times New Roman"/>
          <w:sz w:val="24"/>
          <w:szCs w:val="24"/>
          <w:vertAlign w:val="superscript"/>
        </w:rPr>
        <w:t>,</w:t>
      </w:r>
      <w:r w:rsidR="007B034E" w:rsidRPr="00C1694A">
        <w:rPr>
          <w:rFonts w:ascii="Times New Roman" w:hAnsi="Times New Roman" w:cs="Times New Roman"/>
          <w:sz w:val="24"/>
          <w:szCs w:val="24"/>
          <w:vertAlign w:val="superscript"/>
        </w:rPr>
        <w:t xml:space="preserve"> </w:t>
      </w:r>
      <w:r w:rsidR="00150A23" w:rsidRPr="00C1694A">
        <w:rPr>
          <w:rStyle w:val="FootnoteReference"/>
          <w:rFonts w:ascii="Times New Roman" w:hAnsi="Times New Roman" w:cs="Times New Roman"/>
          <w:sz w:val="24"/>
          <w:szCs w:val="24"/>
        </w:rPr>
        <w:footnoteReference w:id="42"/>
      </w:r>
      <w:r w:rsidRPr="00C1694A">
        <w:rPr>
          <w:rFonts w:ascii="Times New Roman" w:hAnsi="Times New Roman" w:cs="Times New Roman"/>
          <w:sz w:val="24"/>
          <w:szCs w:val="24"/>
        </w:rPr>
        <w:t xml:space="preserve">  However,</w:t>
      </w:r>
      <w:r w:rsidR="004F070A" w:rsidRPr="00C1694A">
        <w:rPr>
          <w:rFonts w:ascii="Times New Roman" w:hAnsi="Times New Roman" w:cs="Times New Roman"/>
          <w:sz w:val="24"/>
          <w:szCs w:val="24"/>
        </w:rPr>
        <w:t xml:space="preserve"> we revised this paragraph to clarify</w:t>
      </w:r>
      <w:r w:rsidRPr="00C1694A">
        <w:rPr>
          <w:rFonts w:ascii="Times New Roman" w:hAnsi="Times New Roman" w:cs="Times New Roman"/>
          <w:sz w:val="24"/>
          <w:szCs w:val="24"/>
        </w:rPr>
        <w:t xml:space="preserve"> </w:t>
      </w:r>
      <w:r w:rsidR="004F070A" w:rsidRPr="00C1694A">
        <w:rPr>
          <w:rFonts w:ascii="Times New Roman" w:hAnsi="Times New Roman" w:cs="Times New Roman"/>
          <w:sz w:val="24"/>
          <w:szCs w:val="24"/>
        </w:rPr>
        <w:t>programs must not enroll children from diverse economic backgrounds if it would result in them serving less than their eligible funded enrollment.  In addition, t</w:t>
      </w:r>
      <w:r w:rsidRPr="00C1694A">
        <w:rPr>
          <w:rFonts w:ascii="Times New Roman" w:hAnsi="Times New Roman" w:cs="Times New Roman"/>
          <w:sz w:val="24"/>
          <w:szCs w:val="24"/>
        </w:rPr>
        <w:t xml:space="preserve">o both support consideration of innovative funding models and clarify our intent that children funded through other sources </w:t>
      </w:r>
      <w:r w:rsidR="009A5FB8" w:rsidRPr="00C1694A">
        <w:rPr>
          <w:rFonts w:ascii="Times New Roman" w:hAnsi="Times New Roman" w:cs="Times New Roman"/>
          <w:sz w:val="24"/>
          <w:szCs w:val="24"/>
        </w:rPr>
        <w:t xml:space="preserve">must </w:t>
      </w:r>
      <w:r w:rsidRPr="00C1694A">
        <w:rPr>
          <w:rFonts w:ascii="Times New Roman" w:hAnsi="Times New Roman" w:cs="Times New Roman"/>
          <w:sz w:val="24"/>
          <w:szCs w:val="24"/>
        </w:rPr>
        <w:t xml:space="preserve">not receive services instead of children eligible for Head Start, we </w:t>
      </w:r>
      <w:r w:rsidR="00331588" w:rsidRPr="00C1694A">
        <w:rPr>
          <w:rFonts w:ascii="Times New Roman" w:hAnsi="Times New Roman" w:cs="Times New Roman"/>
          <w:sz w:val="24"/>
          <w:szCs w:val="24"/>
        </w:rPr>
        <w:t>revised</w:t>
      </w:r>
      <w:r w:rsidRPr="00C1694A">
        <w:rPr>
          <w:rFonts w:ascii="Times New Roman" w:hAnsi="Times New Roman" w:cs="Times New Roman"/>
          <w:sz w:val="24"/>
          <w:szCs w:val="24"/>
        </w:rPr>
        <w:t xml:space="preserve"> </w:t>
      </w:r>
      <w:r w:rsidR="00586C78"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(b)(3), and §§1302.15(d) and 130</w:t>
      </w:r>
      <w:r w:rsidR="00666820" w:rsidRPr="00C1694A">
        <w:rPr>
          <w:rFonts w:ascii="Times New Roman" w:hAnsi="Times New Roman" w:cs="Times New Roman"/>
          <w:sz w:val="24"/>
          <w:szCs w:val="24"/>
        </w:rPr>
        <w:t xml:space="preserve">2.18(b)(2).  </w:t>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§1302.12 Determining, verifying, and documenting eligibility.</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includes the process for programs to determine, verify, and document child and family eligibility for Head Start programs.  </w:t>
      </w:r>
      <w:r w:rsidR="004F070A" w:rsidRPr="00C1694A">
        <w:rPr>
          <w:rFonts w:ascii="Times New Roman" w:hAnsi="Times New Roman" w:cs="Times New Roman"/>
          <w:sz w:val="24"/>
          <w:szCs w:val="24"/>
        </w:rPr>
        <w:t xml:space="preserve">We reorganized these requirements to clarify and better </w:t>
      </w:r>
      <w:r w:rsidRPr="00C1694A">
        <w:rPr>
          <w:rFonts w:ascii="Times New Roman" w:hAnsi="Times New Roman" w:cs="Times New Roman"/>
          <w:sz w:val="24"/>
          <w:szCs w:val="24"/>
        </w:rPr>
        <w:t>reflect best practices in the field.  We also made technical and structural changes to standards that caused confusion in the field after publication in February 2015 of the final rule</w:t>
      </w:r>
      <w:r w:rsidR="004F070A" w:rsidRPr="00C1694A">
        <w:rPr>
          <w:rFonts w:ascii="Times New Roman" w:hAnsi="Times New Roman" w:cs="Times New Roman"/>
          <w:sz w:val="24"/>
          <w:szCs w:val="24"/>
        </w:rPr>
        <w:t xml:space="preserve"> on eligibility</w:t>
      </w:r>
      <w:r w:rsidR="00A10564" w:rsidRPr="00C1694A">
        <w:rPr>
          <w:rFonts w:ascii="Times New Roman" w:hAnsi="Times New Roman" w:cs="Times New Roman"/>
          <w:sz w:val="24"/>
          <w:szCs w:val="24"/>
        </w:rPr>
        <w:t>, to eliminate duplication, and to update terms such as replacing “land-base” with “service area</w:t>
      </w:r>
      <w:r w:rsidRPr="00C1694A">
        <w:rPr>
          <w:rFonts w:ascii="Times New Roman" w:hAnsi="Times New Roman" w:cs="Times New Roman"/>
          <w:sz w:val="24"/>
          <w:szCs w:val="24"/>
        </w:rPr>
        <w:t>.</w:t>
      </w:r>
      <w:r w:rsidR="00A10564" w:rsidRPr="00C1694A">
        <w:rPr>
          <w:rFonts w:ascii="Times New Roman" w:hAnsi="Times New Roman" w:cs="Times New Roman"/>
          <w:sz w:val="24"/>
          <w:szCs w:val="24"/>
        </w:rPr>
        <w:t>”</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suggested changes to paragraph (a), </w:t>
      </w:r>
      <w:r w:rsidR="004F070A" w:rsidRPr="00C1694A">
        <w:rPr>
          <w:rFonts w:ascii="Times New Roman" w:hAnsi="Times New Roman" w:cs="Times New Roman"/>
          <w:sz w:val="24"/>
          <w:szCs w:val="24"/>
        </w:rPr>
        <w:t>which provides an overview of the process to determine, verify, and document eligibility.  Suggestions included</w:t>
      </w:r>
      <w:r w:rsidRPr="00C1694A">
        <w:rPr>
          <w:rFonts w:ascii="Times New Roman" w:hAnsi="Times New Roman" w:cs="Times New Roman"/>
          <w:sz w:val="24"/>
          <w:szCs w:val="24"/>
        </w:rPr>
        <w:t xml:space="preserve"> a recommendation to delineate more specific conditions under which alternative methods for eligibility determination would be approved</w:t>
      </w:r>
      <w:r w:rsidR="00527CCC" w:rsidRPr="00C1694A">
        <w:rPr>
          <w:rFonts w:ascii="Times New Roman" w:hAnsi="Times New Roman" w:cs="Times New Roman"/>
          <w:sz w:val="24"/>
          <w:szCs w:val="24"/>
        </w:rPr>
        <w:t xml:space="preserve"> and when in-person interviews </w:t>
      </w:r>
      <w:r w:rsidR="004C498B" w:rsidRPr="00C1694A">
        <w:rPr>
          <w:rFonts w:ascii="Times New Roman" w:hAnsi="Times New Roman" w:cs="Times New Roman"/>
          <w:sz w:val="24"/>
          <w:szCs w:val="24"/>
        </w:rPr>
        <w:t xml:space="preserve">would </w:t>
      </w:r>
      <w:r w:rsidR="00527CCC" w:rsidRPr="00C1694A">
        <w:rPr>
          <w:rFonts w:ascii="Times New Roman" w:hAnsi="Times New Roman" w:cs="Times New Roman"/>
          <w:sz w:val="24"/>
          <w:szCs w:val="24"/>
        </w:rPr>
        <w:t>always be required</w:t>
      </w:r>
      <w:r w:rsidRPr="00C1694A">
        <w:rPr>
          <w:rFonts w:ascii="Times New Roman" w:hAnsi="Times New Roman" w:cs="Times New Roman"/>
          <w:sz w:val="24"/>
          <w:szCs w:val="24"/>
        </w:rPr>
        <w:t>.</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made</w:t>
      </w:r>
      <w:r w:rsidR="00527CCC" w:rsidRPr="00C1694A">
        <w:rPr>
          <w:rFonts w:ascii="Times New Roman" w:hAnsi="Times New Roman" w:cs="Times New Roman"/>
          <w:sz w:val="24"/>
          <w:szCs w:val="24"/>
        </w:rPr>
        <w:t xml:space="preserve"> one</w:t>
      </w:r>
      <w:r w:rsidR="004C498B"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revision to paragraph (a). </w:t>
      </w:r>
      <w:r w:rsidR="00527CCC" w:rsidRPr="00C1694A">
        <w:rPr>
          <w:rFonts w:ascii="Times New Roman" w:hAnsi="Times New Roman" w:cs="Times New Roman"/>
          <w:sz w:val="24"/>
          <w:szCs w:val="24"/>
        </w:rPr>
        <w:t xml:space="preserve"> We noted that telephone interviews could be permitted when it was more convenient for the family and eliminated the need to document the reason. Otherwise we made no revisions as</w:t>
      </w:r>
      <w:r w:rsidR="004C498B" w:rsidRPr="00C1694A">
        <w:rPr>
          <w:rFonts w:ascii="Times New Roman" w:hAnsi="Times New Roman" w:cs="Times New Roman"/>
          <w:sz w:val="24"/>
          <w:szCs w:val="24"/>
        </w:rPr>
        <w:t xml:space="preserve"> </w:t>
      </w:r>
      <w:r w:rsidR="00527CCC" w:rsidRPr="00C1694A">
        <w:rPr>
          <w:rFonts w:ascii="Times New Roman" w:hAnsi="Times New Roman" w:cs="Times New Roman"/>
          <w:sz w:val="24"/>
          <w:szCs w:val="24"/>
        </w:rPr>
        <w:t>w</w:t>
      </w:r>
      <w:r w:rsidRPr="00C1694A">
        <w:rPr>
          <w:rFonts w:ascii="Times New Roman" w:hAnsi="Times New Roman" w:cs="Times New Roman"/>
          <w:sz w:val="24"/>
          <w:szCs w:val="24"/>
        </w:rPr>
        <w:t xml:space="preserve">e think paragraph (a)(3) </w:t>
      </w:r>
      <w:r w:rsidR="004F070A" w:rsidRPr="00C1694A">
        <w:rPr>
          <w:rFonts w:ascii="Times New Roman" w:hAnsi="Times New Roman" w:cs="Times New Roman"/>
          <w:sz w:val="24"/>
          <w:szCs w:val="24"/>
        </w:rPr>
        <w:t>is</w:t>
      </w:r>
      <w:r w:rsidRPr="00C1694A">
        <w:rPr>
          <w:rFonts w:ascii="Times New Roman" w:hAnsi="Times New Roman" w:cs="Times New Roman"/>
          <w:sz w:val="24"/>
          <w:szCs w:val="24"/>
        </w:rPr>
        <w:t xml:space="preserve"> broad enough to provide flexibility and</w:t>
      </w:r>
      <w:r w:rsidR="004C498B" w:rsidRPr="00C1694A">
        <w:rPr>
          <w:rFonts w:ascii="Times New Roman" w:hAnsi="Times New Roman" w:cs="Times New Roman"/>
          <w:sz w:val="24"/>
          <w:szCs w:val="24"/>
        </w:rPr>
        <w:t xml:space="preserve"> </w:t>
      </w:r>
      <w:r w:rsidR="00D1694D" w:rsidRPr="00C1694A">
        <w:rPr>
          <w:rFonts w:ascii="Times New Roman" w:hAnsi="Times New Roman" w:cs="Times New Roman"/>
          <w:sz w:val="24"/>
          <w:szCs w:val="24"/>
        </w:rPr>
        <w:t>encourage</w:t>
      </w:r>
      <w:r w:rsidRPr="00C1694A">
        <w:rPr>
          <w:rFonts w:ascii="Times New Roman" w:hAnsi="Times New Roman" w:cs="Times New Roman"/>
          <w:sz w:val="24"/>
          <w:szCs w:val="24"/>
        </w:rPr>
        <w:t xml:space="preserve"> innovation at the local level.</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expressed concern about the age provisions in paragraph (b).  For example, some supported children transition</w:t>
      </w:r>
      <w:r w:rsidR="004F070A" w:rsidRPr="00C1694A">
        <w:rPr>
          <w:rFonts w:ascii="Times New Roman" w:hAnsi="Times New Roman" w:cs="Times New Roman"/>
          <w:sz w:val="24"/>
          <w:szCs w:val="24"/>
        </w:rPr>
        <w:t>ing</w:t>
      </w:r>
      <w:r w:rsidRPr="00C1694A">
        <w:rPr>
          <w:rFonts w:ascii="Times New Roman" w:hAnsi="Times New Roman" w:cs="Times New Roman"/>
          <w:sz w:val="24"/>
          <w:szCs w:val="24"/>
        </w:rPr>
        <w:t xml:space="preserve"> to Head Start as soon as they turn three years old, whereas others suggested children stay in Early Head Start until the next program year.  Others suggested that transitions should be based on developmental needs rather than birthdays.  Many commenters were concerned about how the standards in this paragraph and paragraph (j) interacted with the allocation of funds for Early Head Start-Child Care Partnerships (EHS-CC</w:t>
      </w:r>
      <w:r w:rsidR="00A133C5" w:rsidRPr="00C1694A">
        <w:rPr>
          <w:rFonts w:ascii="Times New Roman" w:hAnsi="Times New Roman" w:cs="Times New Roman"/>
          <w:sz w:val="24"/>
          <w:szCs w:val="24"/>
        </w:rPr>
        <w:t xml:space="preserve"> Partnerships</w:t>
      </w:r>
      <w:r w:rsidRPr="00C1694A">
        <w:rPr>
          <w:rFonts w:ascii="Times New Roman" w:hAnsi="Times New Roman" w:cs="Times New Roman"/>
          <w:sz w:val="24"/>
          <w:szCs w:val="24"/>
        </w:rPr>
        <w:t>).  Specifically, commenters were concerned that EHS-CC</w:t>
      </w:r>
      <w:r w:rsidR="00A133C5" w:rsidRPr="00C1694A">
        <w:rPr>
          <w:rFonts w:ascii="Times New Roman" w:hAnsi="Times New Roman" w:cs="Times New Roman"/>
          <w:sz w:val="24"/>
          <w:szCs w:val="24"/>
        </w:rPr>
        <w:t xml:space="preserve"> Partnerships</w:t>
      </w:r>
      <w:r w:rsidRPr="00C1694A">
        <w:rPr>
          <w:rFonts w:ascii="Times New Roman" w:hAnsi="Times New Roman" w:cs="Times New Roman"/>
          <w:sz w:val="24"/>
          <w:szCs w:val="24"/>
        </w:rPr>
        <w:t xml:space="preserve"> can serve children up to 48 months of age</w:t>
      </w:r>
      <w:r w:rsidR="00A133C5" w:rsidRPr="00C1694A">
        <w:rPr>
          <w:rFonts w:ascii="Times New Roman" w:hAnsi="Times New Roman" w:cs="Times New Roman"/>
          <w:sz w:val="24"/>
          <w:szCs w:val="24"/>
        </w:rPr>
        <w:t xml:space="preserve"> for family child care</w:t>
      </w:r>
      <w:r w:rsidRPr="00C1694A">
        <w:rPr>
          <w:rFonts w:ascii="Times New Roman" w:hAnsi="Times New Roman" w:cs="Times New Roman"/>
          <w:sz w:val="24"/>
          <w:szCs w:val="24"/>
        </w:rPr>
        <w:t>, and paragraph (b)(1) states a “child must be an infant or a toddler younger than three years old.”</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ages children are eligible for Early Head Start are defined by the Act and not subject to regulatory change.  The rule sets forth reasonable flexibility for transitioning children to Head Start or other early learning programs when they turn three</w:t>
      </w:r>
      <w:r w:rsidR="00331588" w:rsidRPr="00C1694A">
        <w:rPr>
          <w:rFonts w:ascii="Times New Roman" w:hAnsi="Times New Roman" w:cs="Times New Roman"/>
          <w:sz w:val="24"/>
          <w:szCs w:val="24"/>
        </w:rPr>
        <w:t xml:space="preserve"> years of age</w:t>
      </w:r>
      <w:r w:rsidRPr="00C1694A">
        <w:rPr>
          <w:rFonts w:ascii="Times New Roman" w:hAnsi="Times New Roman" w:cs="Times New Roman"/>
          <w:sz w:val="24"/>
          <w:szCs w:val="24"/>
        </w:rPr>
        <w:t xml:space="preserve">.  Additional standards for this transition are in subpart G.  Thus, we made no changes to provisions in this section regarding children turning three years of age. </w:t>
      </w:r>
      <w:r w:rsidR="00B0105F" w:rsidRPr="00C1694A">
        <w:rPr>
          <w:rFonts w:ascii="Times New Roman" w:hAnsi="Times New Roman" w:cs="Times New Roman"/>
          <w:sz w:val="24"/>
          <w:szCs w:val="24"/>
        </w:rPr>
        <w:t xml:space="preserve">Further, the EHS-CC Partnerships appropriation explicitly allowed serving children up to 48 months old for family child care, </w:t>
      </w:r>
      <w:r w:rsidR="00CD09F0" w:rsidRPr="00C1694A">
        <w:rPr>
          <w:rFonts w:ascii="Times New Roman" w:hAnsi="Times New Roman" w:cs="Times New Roman"/>
          <w:sz w:val="24"/>
          <w:szCs w:val="24"/>
        </w:rPr>
        <w:t xml:space="preserve">which </w:t>
      </w:r>
      <w:r w:rsidR="007B034E" w:rsidRPr="00C1694A">
        <w:rPr>
          <w:rFonts w:ascii="Times New Roman" w:hAnsi="Times New Roman" w:cs="Times New Roman"/>
          <w:sz w:val="24"/>
          <w:szCs w:val="24"/>
        </w:rPr>
        <w:t>supersedes</w:t>
      </w:r>
      <w:r w:rsidR="00B0105F" w:rsidRPr="00C1694A">
        <w:rPr>
          <w:rFonts w:ascii="Times New Roman" w:hAnsi="Times New Roman" w:cs="Times New Roman"/>
          <w:sz w:val="24"/>
          <w:szCs w:val="24"/>
        </w:rPr>
        <w:t xml:space="preserve"> regulatory language. </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noted Head Start eligibility in paragraph (b) should not be tied to compulsory school attendance because in some states that would mean Head Start would have to serve children up to age </w:t>
      </w:r>
      <w:r w:rsidR="00331588" w:rsidRPr="00C1694A">
        <w:rPr>
          <w:rFonts w:ascii="Times New Roman" w:hAnsi="Times New Roman" w:cs="Times New Roman"/>
          <w:sz w:val="24"/>
          <w:szCs w:val="24"/>
        </w:rPr>
        <w:t>six</w:t>
      </w:r>
      <w:r w:rsidRPr="00C1694A">
        <w:rPr>
          <w:rFonts w:ascii="Times New Roman" w:hAnsi="Times New Roman" w:cs="Times New Roman"/>
          <w:sz w:val="24"/>
          <w:szCs w:val="24"/>
        </w:rPr>
        <w:t xml:space="preserve"> or </w:t>
      </w:r>
      <w:r w:rsidR="00331588" w:rsidRPr="00C1694A">
        <w:rPr>
          <w:rFonts w:ascii="Times New Roman" w:hAnsi="Times New Roman" w:cs="Times New Roman"/>
          <w:sz w:val="24"/>
          <w:szCs w:val="24"/>
        </w:rPr>
        <w:t>seven</w:t>
      </w:r>
      <w:r w:rsidRPr="00C1694A">
        <w:rPr>
          <w:rFonts w:ascii="Times New Roman" w:hAnsi="Times New Roman" w:cs="Times New Roman"/>
          <w:sz w:val="24"/>
          <w:szCs w:val="24"/>
        </w:rPr>
        <w:t>.</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It is clear from program data that standard practice is that Head Start programs serve children until they are eligible for kindergarten.  However, the Act explicitly references eligibility up to compulsory school age.  In addition, we think the final rule allows flexibility in the very rare circumstances it is needed.  We made no revisions to these provisions.</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on eligibility requirements in paragraph</w:t>
      </w:r>
      <w:r w:rsidR="00A133C5" w:rsidRPr="00C1694A">
        <w:rPr>
          <w:rFonts w:ascii="Times New Roman" w:hAnsi="Times New Roman" w:cs="Times New Roman"/>
          <w:sz w:val="24"/>
          <w:szCs w:val="24"/>
        </w:rPr>
        <w:t>s</w:t>
      </w:r>
      <w:r w:rsidRPr="00C1694A">
        <w:rPr>
          <w:rFonts w:ascii="Times New Roman" w:hAnsi="Times New Roman" w:cs="Times New Roman"/>
          <w:sz w:val="24"/>
          <w:szCs w:val="24"/>
        </w:rPr>
        <w:t xml:space="preserve"> (c), (d), (e), (f), and (g). For example, commenters recommended changes for income eligibility, continuous eligibility between Early Head Start and Head Start programs, new groups for categorical eligibility, and flexibility to reallocate funds at program discretion between Early Head Start and Head Start programs.  </w:t>
      </w:r>
      <w:r w:rsidR="00586C78"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also recommended changes in paragraph (j) of this section to address continuous eligibility.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ommenters recommended we change prioritization</w:t>
      </w:r>
      <w:r w:rsidR="00DD0AE8" w:rsidRPr="00C1694A">
        <w:rPr>
          <w:rFonts w:ascii="Times New Roman" w:hAnsi="Times New Roman" w:cs="Times New Roman"/>
          <w:sz w:val="24"/>
          <w:szCs w:val="24"/>
        </w:rPr>
        <w:t xml:space="preserve"> requirements</w:t>
      </w:r>
      <w:r w:rsidRPr="00C1694A">
        <w:rPr>
          <w:rFonts w:ascii="Times New Roman" w:hAnsi="Times New Roman" w:cs="Times New Roman"/>
          <w:sz w:val="24"/>
          <w:szCs w:val="24"/>
        </w:rPr>
        <w:t>.  Commenters also requested additional clarification for some of the proposed criteria, including on the definition of public assistance and absence of child care.</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Most suggestions for amendments to eligibility would require </w:t>
      </w:r>
      <w:r w:rsidR="00331588" w:rsidRPr="00C1694A">
        <w:rPr>
          <w:rFonts w:ascii="Times New Roman" w:hAnsi="Times New Roman" w:cs="Times New Roman"/>
          <w:sz w:val="24"/>
          <w:szCs w:val="24"/>
        </w:rPr>
        <w:t xml:space="preserve">legislative </w:t>
      </w:r>
      <w:r w:rsidRPr="00C1694A">
        <w:rPr>
          <w:rFonts w:ascii="Times New Roman" w:hAnsi="Times New Roman" w:cs="Times New Roman"/>
          <w:sz w:val="24"/>
          <w:szCs w:val="24"/>
        </w:rPr>
        <w:t xml:space="preserve">action by Congress and cannot be changed through regulation.  For other suggestions, we want to allow local programs the flexibility in their selection process to determine </w:t>
      </w:r>
      <w:r w:rsidR="00CD09F0" w:rsidRPr="00C1694A">
        <w:rPr>
          <w:rFonts w:ascii="Times New Roman" w:hAnsi="Times New Roman" w:cs="Times New Roman"/>
          <w:sz w:val="24"/>
          <w:szCs w:val="24"/>
        </w:rPr>
        <w:t xml:space="preserve">which children and families are </w:t>
      </w:r>
      <w:r w:rsidRPr="00C1694A">
        <w:rPr>
          <w:rFonts w:ascii="Times New Roman" w:hAnsi="Times New Roman" w:cs="Times New Roman"/>
          <w:sz w:val="24"/>
          <w:szCs w:val="24"/>
        </w:rPr>
        <w:t>most in need.  Therefore, we made no revisions to income eligibility, groups for categorical eligibility</w:t>
      </w:r>
      <w:r w:rsidR="00DD0AE8" w:rsidRPr="00C1694A">
        <w:rPr>
          <w:rFonts w:ascii="Times New Roman" w:hAnsi="Times New Roman" w:cs="Times New Roman"/>
          <w:sz w:val="24"/>
          <w:szCs w:val="24"/>
        </w:rPr>
        <w:t>,</w:t>
      </w:r>
      <w:r w:rsidRPr="00C1694A">
        <w:rPr>
          <w:rFonts w:ascii="Times New Roman" w:hAnsi="Times New Roman" w:cs="Times New Roman"/>
          <w:sz w:val="24"/>
          <w:szCs w:val="24"/>
        </w:rPr>
        <w:t xml:space="preserve"> or prioritization</w:t>
      </w:r>
      <w:r w:rsidR="00DD0AE8" w:rsidRPr="00C1694A">
        <w:rPr>
          <w:rFonts w:ascii="Times New Roman" w:hAnsi="Times New Roman" w:cs="Times New Roman"/>
          <w:sz w:val="24"/>
          <w:szCs w:val="24"/>
        </w:rPr>
        <w:t xml:space="preserve"> requirements</w:t>
      </w:r>
      <w:r w:rsidRPr="00C1694A">
        <w:rPr>
          <w:rFonts w:ascii="Times New Roman" w:hAnsi="Times New Roman" w:cs="Times New Roman"/>
          <w:sz w:val="24"/>
          <w:szCs w:val="24"/>
        </w:rPr>
        <w:t xml:space="preserve">. We made technical changes in this section to clarify that categorical eligibility is not a separate term used for eligibility.  In addition, we made changes in paragraph (c)(1)(ii) to clarify that families are eligible if the child is receiving a </w:t>
      </w:r>
      <w:r w:rsidR="00331588" w:rsidRPr="00C1694A">
        <w:rPr>
          <w:rFonts w:ascii="Times New Roman" w:hAnsi="Times New Roman" w:cs="Times New Roman"/>
          <w:sz w:val="24"/>
          <w:szCs w:val="24"/>
        </w:rPr>
        <w:t>Temporary Assistance for Needy Families (</w:t>
      </w:r>
      <w:r w:rsidRPr="00C1694A">
        <w:rPr>
          <w:rFonts w:ascii="Times New Roman" w:hAnsi="Times New Roman" w:cs="Times New Roman"/>
          <w:sz w:val="24"/>
          <w:szCs w:val="24"/>
        </w:rPr>
        <w:t>TANF</w:t>
      </w:r>
      <w:r w:rsidR="00331588" w:rsidRPr="00C1694A">
        <w:rPr>
          <w:rFonts w:ascii="Times New Roman" w:hAnsi="Times New Roman" w:cs="Times New Roman"/>
          <w:sz w:val="24"/>
          <w:szCs w:val="24"/>
        </w:rPr>
        <w:t>)</w:t>
      </w:r>
      <w:r w:rsidRPr="00C1694A">
        <w:rPr>
          <w:rFonts w:ascii="Times New Roman" w:hAnsi="Times New Roman" w:cs="Times New Roman"/>
          <w:sz w:val="24"/>
          <w:szCs w:val="24"/>
        </w:rPr>
        <w:t xml:space="preserve"> child-only payment.  </w:t>
      </w:r>
      <w:r w:rsidR="002966AB" w:rsidRPr="00C1694A">
        <w:rPr>
          <w:rFonts w:ascii="Times New Roman" w:hAnsi="Times New Roman" w:cs="Times New Roman"/>
          <w:sz w:val="24"/>
          <w:szCs w:val="24"/>
        </w:rPr>
        <w:t xml:space="preserve">Finally we made technical changes in paragraph (d)(1) to correct the wording that implied individuals were ineligible at 100-130% of poverty. </w:t>
      </w:r>
      <w:r w:rsidR="00CD09F0" w:rsidRPr="00C1694A">
        <w:rPr>
          <w:rFonts w:ascii="Times New Roman" w:hAnsi="Times New Roman" w:cs="Times New Roman"/>
          <w:sz w:val="24"/>
          <w:szCs w:val="24"/>
        </w:rPr>
        <w:t>Programs may request</w:t>
      </w:r>
      <w:r w:rsidRPr="00C1694A">
        <w:rPr>
          <w:rFonts w:ascii="Times New Roman" w:hAnsi="Times New Roman" w:cs="Times New Roman"/>
          <w:sz w:val="24"/>
          <w:szCs w:val="24"/>
        </w:rPr>
        <w:t xml:space="preserve"> additional guidance through the system of training and technical assistance.</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ommenters recommended modifying standards to allow programs to participate in a c</w:t>
      </w:r>
      <w:r w:rsidR="00CD09F0" w:rsidRPr="00C1694A">
        <w:rPr>
          <w:rFonts w:ascii="Times New Roman" w:hAnsi="Times New Roman" w:cs="Times New Roman"/>
          <w:sz w:val="24"/>
          <w:szCs w:val="24"/>
        </w:rPr>
        <w:t xml:space="preserve">ommunity </w:t>
      </w:r>
      <w:r w:rsidRPr="00C1694A">
        <w:rPr>
          <w:rFonts w:ascii="Times New Roman" w:hAnsi="Times New Roman" w:cs="Times New Roman"/>
          <w:sz w:val="24"/>
          <w:szCs w:val="24"/>
        </w:rPr>
        <w:t>wide and/or statewide recruitment and intake processes.</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Programs already have the flexibility to participate in such systems and are expected to collaborate with community partners to ensure they are serving the children most in need.  No revisions were made regarding this issue.</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w:t>
      </w:r>
      <w:r w:rsidR="00586C7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comments about verification standards for public assistance described in paragraph (i).  </w:t>
      </w:r>
      <w:r w:rsidR="00E3062E" w:rsidRPr="00C1694A">
        <w:rPr>
          <w:rFonts w:ascii="Times New Roman" w:hAnsi="Times New Roman" w:cs="Times New Roman"/>
          <w:sz w:val="24"/>
          <w:szCs w:val="24"/>
        </w:rPr>
        <w:t>Some c</w:t>
      </w:r>
      <w:r w:rsidRPr="00C1694A">
        <w:rPr>
          <w:rFonts w:ascii="Times New Roman" w:hAnsi="Times New Roman" w:cs="Times New Roman"/>
          <w:sz w:val="24"/>
          <w:szCs w:val="24"/>
        </w:rPr>
        <w:t xml:space="preserve">ommenters supported the standards, noting they would ensure uniform practices across programs.  </w:t>
      </w:r>
      <w:r w:rsidR="00E3062E" w:rsidRPr="00C1694A">
        <w:rPr>
          <w:rFonts w:ascii="Times New Roman" w:hAnsi="Times New Roman" w:cs="Times New Roman"/>
          <w:sz w:val="24"/>
          <w:szCs w:val="24"/>
        </w:rPr>
        <w:t xml:space="preserve">Others </w:t>
      </w:r>
      <w:r w:rsidRPr="00C1694A">
        <w:rPr>
          <w:rFonts w:ascii="Times New Roman" w:hAnsi="Times New Roman" w:cs="Times New Roman"/>
          <w:sz w:val="24"/>
          <w:szCs w:val="24"/>
        </w:rPr>
        <w:t xml:space="preserve">opposed them or expressed concerns, with some stating they would be costly, </w:t>
      </w:r>
      <w:r w:rsidR="00CD09F0" w:rsidRPr="00C1694A">
        <w:rPr>
          <w:rFonts w:ascii="Times New Roman" w:hAnsi="Times New Roman" w:cs="Times New Roman"/>
          <w:sz w:val="24"/>
          <w:szCs w:val="24"/>
        </w:rPr>
        <w:t xml:space="preserve">and </w:t>
      </w:r>
      <w:r w:rsidRPr="00C1694A">
        <w:rPr>
          <w:rFonts w:ascii="Times New Roman" w:hAnsi="Times New Roman" w:cs="Times New Roman"/>
          <w:sz w:val="24"/>
          <w:szCs w:val="24"/>
        </w:rPr>
        <w:t xml:space="preserve">would delay enrollment.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ommenters requested additional clarification for standards in this paragraph</w:t>
      </w:r>
      <w:r w:rsidR="002966AB" w:rsidRPr="00C1694A">
        <w:rPr>
          <w:rFonts w:ascii="Times New Roman" w:hAnsi="Times New Roman" w:cs="Times New Roman"/>
          <w:sz w:val="24"/>
          <w:szCs w:val="24"/>
        </w:rPr>
        <w:t>, including what was meant by “all” tax forms</w:t>
      </w:r>
      <w:r w:rsidR="004C498B" w:rsidRPr="00C1694A">
        <w:rPr>
          <w:rFonts w:ascii="Times New Roman" w:hAnsi="Times New Roman" w:cs="Times New Roman"/>
          <w:sz w:val="24"/>
          <w:szCs w:val="24"/>
        </w:rPr>
        <w:t>.</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A05C46" w:rsidRPr="00C1694A">
        <w:rPr>
          <w:rFonts w:ascii="Times New Roman" w:hAnsi="Times New Roman" w:cs="Times New Roman"/>
          <w:sz w:val="24"/>
          <w:szCs w:val="24"/>
        </w:rPr>
        <w:t xml:space="preserve">We agree that the verification standards for public assistance will ensure uniform practices across programs and believe this is important to program integrity even if it may cause some delays, so we have not changed this language. </w:t>
      </w:r>
      <w:r w:rsidRPr="00C1694A">
        <w:rPr>
          <w:rFonts w:ascii="Times New Roman" w:hAnsi="Times New Roman" w:cs="Times New Roman"/>
          <w:sz w:val="24"/>
          <w:szCs w:val="24"/>
        </w:rPr>
        <w:t xml:space="preserve">We added language to the standard in paragraph (i)(1)(i) to include proof of income from individuals who are self-employed.  This is meant to clarify that income sources from informal work, such as day laborers, should be included for income eligibility.  </w:t>
      </w:r>
      <w:r w:rsidR="002966AB" w:rsidRPr="00C1694A">
        <w:rPr>
          <w:rFonts w:ascii="Times New Roman" w:hAnsi="Times New Roman" w:cs="Times New Roman"/>
          <w:sz w:val="24"/>
          <w:szCs w:val="24"/>
        </w:rPr>
        <w:t xml:space="preserve">Additionally we removed “all” before tax forms. </w:t>
      </w:r>
      <w:r w:rsidRPr="00C1694A">
        <w:rPr>
          <w:rFonts w:ascii="Times New Roman" w:hAnsi="Times New Roman" w:cs="Times New Roman"/>
          <w:sz w:val="24"/>
          <w:szCs w:val="24"/>
        </w:rPr>
        <w:t>We realize that programs want to be conscientious about proper eligibility verification so we will continue to provide guidance and support about the implementation of these standards</w:t>
      </w:r>
      <w:r w:rsidR="001F5EF8" w:rsidRPr="00C1694A">
        <w:rPr>
          <w:rFonts w:ascii="Times New Roman" w:hAnsi="Times New Roman" w:cs="Times New Roman"/>
          <w:sz w:val="24"/>
          <w:szCs w:val="24"/>
        </w:rPr>
        <w:t xml:space="preserve"> as requested</w:t>
      </w:r>
      <w:r w:rsidRPr="00C1694A">
        <w:rPr>
          <w:rFonts w:ascii="Times New Roman" w:hAnsi="Times New Roman" w:cs="Times New Roman"/>
          <w:sz w:val="24"/>
          <w:szCs w:val="24"/>
        </w:rPr>
        <w:t>.</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As noted previously, </w:t>
      </w:r>
      <w:r w:rsidR="00331588" w:rsidRPr="00C1694A">
        <w:rPr>
          <w:rFonts w:ascii="Times New Roman" w:hAnsi="Times New Roman" w:cs="Times New Roman"/>
          <w:sz w:val="24"/>
          <w:szCs w:val="24"/>
        </w:rPr>
        <w:t>s</w:t>
      </w:r>
      <w:r w:rsidR="00ED7C06" w:rsidRPr="00C1694A">
        <w:rPr>
          <w:rFonts w:ascii="Times New Roman" w:hAnsi="Times New Roman" w:cs="Times New Roman"/>
          <w:sz w:val="24"/>
          <w:szCs w:val="24"/>
        </w:rPr>
        <w:t>ome</w:t>
      </w:r>
      <w:r w:rsidRPr="00C1694A">
        <w:rPr>
          <w:rFonts w:ascii="Times New Roman" w:hAnsi="Times New Roman" w:cs="Times New Roman"/>
          <w:sz w:val="24"/>
          <w:szCs w:val="24"/>
        </w:rPr>
        <w:t xml:space="preserve"> commenters submitted suggestions about eligibility duration standards in paragraph (j).  </w:t>
      </w:r>
      <w:r w:rsidR="00ED7C0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changes that would facilitate eligibility from Early Head Start to Head Start.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ommenters noted that the standard in paragraph (j)(4) can complicate a program’s enrollment of over-income slots if an eligible family becomes more self-sufficient during their time in Head Start.</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Act sets forth the requirements for the re-determination of eligibility for Head Start after Early Head Start so </w:t>
      </w:r>
      <w:r w:rsidR="001F5EF8" w:rsidRPr="00C1694A">
        <w:rPr>
          <w:rFonts w:ascii="Times New Roman" w:hAnsi="Times New Roman" w:cs="Times New Roman"/>
          <w:sz w:val="24"/>
          <w:szCs w:val="24"/>
        </w:rPr>
        <w:t>we do not have authority</w:t>
      </w:r>
      <w:r w:rsidRPr="00C1694A">
        <w:rPr>
          <w:rFonts w:ascii="Times New Roman" w:hAnsi="Times New Roman" w:cs="Times New Roman"/>
          <w:sz w:val="24"/>
          <w:szCs w:val="24"/>
        </w:rPr>
        <w:t xml:space="preserve"> to change these standards.  We believe programs have enough flexibility in their prioritization criteria </w:t>
      </w:r>
      <w:r w:rsidR="001F5EF8" w:rsidRPr="00C1694A">
        <w:rPr>
          <w:rFonts w:ascii="Times New Roman" w:hAnsi="Times New Roman" w:cs="Times New Roman"/>
          <w:sz w:val="24"/>
          <w:szCs w:val="24"/>
        </w:rPr>
        <w:t>in</w:t>
      </w:r>
      <w:r w:rsidRPr="00C1694A">
        <w:rPr>
          <w:rFonts w:ascii="Times New Roman" w:hAnsi="Times New Roman" w:cs="Times New Roman"/>
          <w:sz w:val="24"/>
          <w:szCs w:val="24"/>
        </w:rPr>
        <w:t xml:space="preserve"> paragraph (j)(4)</w:t>
      </w:r>
      <w:r w:rsidR="00DD0AE8" w:rsidRPr="00C1694A">
        <w:rPr>
          <w:rFonts w:ascii="Times New Roman" w:hAnsi="Times New Roman" w:cs="Times New Roman"/>
          <w:sz w:val="24"/>
          <w:szCs w:val="24"/>
        </w:rPr>
        <w:t>,</w:t>
      </w:r>
      <w:r w:rsidRPr="00C1694A">
        <w:rPr>
          <w:rFonts w:ascii="Times New Roman" w:hAnsi="Times New Roman" w:cs="Times New Roman"/>
          <w:sz w:val="24"/>
          <w:szCs w:val="24"/>
        </w:rPr>
        <w:t xml:space="preserve"> so we did not make changes.</w:t>
      </w:r>
    </w:p>
    <w:p w:rsidR="001F5EF8"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C052DA" w:rsidRPr="00C1694A">
        <w:rPr>
          <w:rFonts w:ascii="Times New Roman" w:hAnsi="Times New Roman" w:cs="Times New Roman"/>
          <w:sz w:val="24"/>
          <w:szCs w:val="24"/>
        </w:rPr>
        <w:t>C</w:t>
      </w:r>
      <w:r w:rsidRPr="00C1694A">
        <w:rPr>
          <w:rFonts w:ascii="Times New Roman" w:hAnsi="Times New Roman" w:cs="Times New Roman"/>
          <w:sz w:val="24"/>
          <w:szCs w:val="24"/>
        </w:rPr>
        <w:t>ommenters requested clarification of the standards in paragraph (m)</w:t>
      </w:r>
      <w:r w:rsidR="001F5EF8" w:rsidRPr="00C1694A">
        <w:rPr>
          <w:rFonts w:ascii="Times New Roman" w:hAnsi="Times New Roman" w:cs="Times New Roman"/>
          <w:sz w:val="24"/>
          <w:szCs w:val="24"/>
        </w:rPr>
        <w:t xml:space="preserve"> about eligibility training</w:t>
      </w:r>
      <w:r w:rsidRPr="00C1694A">
        <w:rPr>
          <w:rFonts w:ascii="Times New Roman" w:hAnsi="Times New Roman" w:cs="Times New Roman"/>
          <w:sz w:val="24"/>
          <w:szCs w:val="24"/>
        </w:rPr>
        <w:t>.</w:t>
      </w:r>
      <w:r w:rsidR="001F5EF8" w:rsidRPr="00C1694A">
        <w:rPr>
          <w:rFonts w:ascii="Times New Roman" w:hAnsi="Times New Roman" w:cs="Times New Roman"/>
          <w:sz w:val="24"/>
          <w:szCs w:val="24"/>
        </w:rPr>
        <w:t xml:space="preserve">  For example, commenters were confused by outdated language in paragraph (m)(3).</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To improve clarity of this paragraph, technical changes were made to eliminate language in paragraph (m)(3)</w:t>
      </w:r>
      <w:r w:rsidR="00DD0AE8" w:rsidRPr="00C1694A">
        <w:rPr>
          <w:rFonts w:ascii="Times New Roman" w:hAnsi="Times New Roman" w:cs="Times New Roman"/>
          <w:sz w:val="24"/>
          <w:szCs w:val="24"/>
        </w:rPr>
        <w:t>, which</w:t>
      </w:r>
      <w:r w:rsidRPr="00C1694A">
        <w:rPr>
          <w:rFonts w:ascii="Times New Roman" w:hAnsi="Times New Roman" w:cs="Times New Roman"/>
          <w:sz w:val="24"/>
          <w:szCs w:val="24"/>
        </w:rPr>
        <w:t xml:space="preserve"> was unnecessary and confusing because it noted a</w:t>
      </w:r>
      <w:r w:rsidR="001F5EF8" w:rsidRPr="00C1694A">
        <w:rPr>
          <w:rFonts w:ascii="Times New Roman" w:hAnsi="Times New Roman" w:cs="Times New Roman"/>
          <w:sz w:val="24"/>
          <w:szCs w:val="24"/>
        </w:rPr>
        <w:t>n</w:t>
      </w:r>
      <w:r w:rsidRPr="00C1694A">
        <w:rPr>
          <w:rFonts w:ascii="Times New Roman" w:hAnsi="Times New Roman" w:cs="Times New Roman"/>
          <w:sz w:val="24"/>
          <w:szCs w:val="24"/>
        </w:rPr>
        <w:t xml:space="preserve"> </w:t>
      </w:r>
      <w:r w:rsidR="001F5EF8" w:rsidRPr="00C1694A">
        <w:rPr>
          <w:rFonts w:ascii="Times New Roman" w:hAnsi="Times New Roman" w:cs="Times New Roman"/>
          <w:sz w:val="24"/>
          <w:szCs w:val="24"/>
        </w:rPr>
        <w:t>outdated</w:t>
      </w:r>
      <w:r w:rsidRPr="00C1694A">
        <w:rPr>
          <w:rFonts w:ascii="Times New Roman" w:hAnsi="Times New Roman" w:cs="Times New Roman"/>
          <w:sz w:val="24"/>
          <w:szCs w:val="24"/>
        </w:rPr>
        <w:t xml:space="preserve"> timeline tied to the final eligibility r</w:t>
      </w:r>
      <w:r w:rsidR="00666820" w:rsidRPr="00C1694A">
        <w:rPr>
          <w:rFonts w:ascii="Times New Roman" w:hAnsi="Times New Roman" w:cs="Times New Roman"/>
          <w:sz w:val="24"/>
          <w:szCs w:val="24"/>
        </w:rPr>
        <w:t>ule published in February 2015.</w:t>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§1302.13 Recruitment of children.</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maintained and streamlined standards from the previous rule about the goal of recruitment efforts and some specific efforts a program must make.</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comments on this section, including requests for clarification and recommendations for additional emphasis on recruitment of certain populations.</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A05C46" w:rsidRPr="00C1694A">
        <w:rPr>
          <w:rFonts w:ascii="Times New Roman" w:hAnsi="Times New Roman" w:cs="Times New Roman"/>
          <w:sz w:val="24"/>
          <w:szCs w:val="24"/>
        </w:rPr>
        <w:t>Programs are required to serve children with disabilities as at least 10 percent of their funded enrollment.  Therefore, requiring active recruitment for this specific population is appropriate.  We added that programs should also actively recruit other vulnerable populations</w:t>
      </w:r>
      <w:r w:rsidR="002966AB" w:rsidRPr="00C1694A">
        <w:rPr>
          <w:rFonts w:ascii="Times New Roman" w:hAnsi="Times New Roman" w:cs="Times New Roman"/>
          <w:sz w:val="24"/>
          <w:szCs w:val="24"/>
        </w:rPr>
        <w:t>, including homeless children and children in foster care</w:t>
      </w:r>
      <w:r w:rsidR="004C498B" w:rsidRPr="00C1694A">
        <w:rPr>
          <w:rFonts w:ascii="Times New Roman" w:hAnsi="Times New Roman" w:cs="Times New Roman"/>
          <w:sz w:val="24"/>
          <w:szCs w:val="24"/>
        </w:rPr>
        <w:t>,</w:t>
      </w:r>
      <w:r w:rsidR="00331588" w:rsidRPr="00C1694A">
        <w:rPr>
          <w:rFonts w:ascii="Times New Roman" w:hAnsi="Times New Roman" w:cs="Times New Roman"/>
          <w:sz w:val="24"/>
          <w:szCs w:val="24"/>
        </w:rPr>
        <w:t xml:space="preserve"> and provided</w:t>
      </w:r>
      <w:r w:rsidR="00A05C46" w:rsidRPr="00C1694A">
        <w:rPr>
          <w:rFonts w:ascii="Times New Roman" w:hAnsi="Times New Roman" w:cs="Times New Roman"/>
          <w:sz w:val="24"/>
          <w:szCs w:val="24"/>
        </w:rPr>
        <w:t xml:space="preserve"> programs </w:t>
      </w:r>
      <w:r w:rsidR="00331588" w:rsidRPr="00C1694A">
        <w:rPr>
          <w:rFonts w:ascii="Times New Roman" w:hAnsi="Times New Roman" w:cs="Times New Roman"/>
          <w:sz w:val="24"/>
          <w:szCs w:val="24"/>
        </w:rPr>
        <w:t>with</w:t>
      </w:r>
      <w:r w:rsidR="00A05C46" w:rsidRPr="00C1694A">
        <w:rPr>
          <w:rFonts w:ascii="Times New Roman" w:hAnsi="Times New Roman" w:cs="Times New Roman"/>
          <w:sz w:val="24"/>
          <w:szCs w:val="24"/>
        </w:rPr>
        <w:t xml:space="preserve"> the flexibility to define these populations based on their community assessment.  </w:t>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§1302.14 Selection process.</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describes the selection process and specific criteria programs must use to weigh the selection of </w:t>
      </w:r>
      <w:r w:rsidR="001F5EF8" w:rsidRPr="00C1694A">
        <w:rPr>
          <w:rFonts w:ascii="Times New Roman" w:hAnsi="Times New Roman" w:cs="Times New Roman"/>
          <w:sz w:val="24"/>
          <w:szCs w:val="24"/>
        </w:rPr>
        <w:t>eligible children</w:t>
      </w:r>
      <w:r w:rsidRPr="00C1694A">
        <w:rPr>
          <w:rFonts w:ascii="Times New Roman" w:hAnsi="Times New Roman" w:cs="Times New Roman"/>
          <w:sz w:val="24"/>
          <w:szCs w:val="24"/>
        </w:rPr>
        <w:t xml:space="preserve">.  </w:t>
      </w:r>
      <w:r w:rsidR="001F5EF8" w:rsidRPr="00C1694A">
        <w:rPr>
          <w:rFonts w:ascii="Times New Roman" w:hAnsi="Times New Roman" w:cs="Times New Roman"/>
          <w:sz w:val="24"/>
          <w:szCs w:val="24"/>
        </w:rPr>
        <w:t>It includes a</w:t>
      </w:r>
      <w:r w:rsidRPr="00C1694A">
        <w:rPr>
          <w:rFonts w:ascii="Times New Roman" w:hAnsi="Times New Roman" w:cs="Times New Roman"/>
          <w:sz w:val="24"/>
          <w:szCs w:val="24"/>
        </w:rPr>
        <w:t xml:space="preserve"> new </w:t>
      </w:r>
      <w:r w:rsidR="001F5EF8" w:rsidRPr="00C1694A">
        <w:rPr>
          <w:rFonts w:ascii="Times New Roman" w:hAnsi="Times New Roman" w:cs="Times New Roman"/>
          <w:sz w:val="24"/>
          <w:szCs w:val="24"/>
        </w:rPr>
        <w:t>requirement for programs to prioritize</w:t>
      </w:r>
      <w:r w:rsidRPr="00C1694A">
        <w:rPr>
          <w:rFonts w:ascii="Times New Roman" w:hAnsi="Times New Roman" w:cs="Times New Roman"/>
          <w:sz w:val="24"/>
          <w:szCs w:val="24"/>
        </w:rPr>
        <w:t xml:space="preserve"> serving younger children if they operate in a service area with high-quality publicly funded pre-kindergarten.  This section also included standards to conf</w:t>
      </w:r>
      <w:r w:rsidR="003E1603" w:rsidRPr="00C1694A">
        <w:rPr>
          <w:rFonts w:ascii="Times New Roman" w:hAnsi="Times New Roman" w:cs="Times New Roman"/>
          <w:sz w:val="24"/>
          <w:szCs w:val="24"/>
        </w:rPr>
        <w:t>o</w:t>
      </w:r>
      <w:r w:rsidRPr="00C1694A">
        <w:rPr>
          <w:rFonts w:ascii="Times New Roman" w:hAnsi="Times New Roman" w:cs="Times New Roman"/>
          <w:sz w:val="24"/>
          <w:szCs w:val="24"/>
        </w:rPr>
        <w:t xml:space="preserve">rm with provisions from the Act that require at least 10 percent of a program’s total enrollment </w:t>
      </w:r>
      <w:r w:rsidR="003E1603" w:rsidRPr="00C1694A">
        <w:rPr>
          <w:rFonts w:ascii="Times New Roman" w:hAnsi="Times New Roman" w:cs="Times New Roman"/>
          <w:sz w:val="24"/>
          <w:szCs w:val="24"/>
        </w:rPr>
        <w:t xml:space="preserve">to be </w:t>
      </w:r>
      <w:r w:rsidRPr="00C1694A">
        <w:rPr>
          <w:rFonts w:ascii="Times New Roman" w:hAnsi="Times New Roman" w:cs="Times New Roman"/>
          <w:sz w:val="24"/>
          <w:szCs w:val="24"/>
        </w:rPr>
        <w:t xml:space="preserve">children eligible for services under </w:t>
      </w:r>
      <w:r w:rsidR="004D425C" w:rsidRPr="00C1694A">
        <w:rPr>
          <w:rFonts w:ascii="Times New Roman" w:hAnsi="Times New Roman" w:cs="Times New Roman"/>
          <w:sz w:val="24"/>
          <w:szCs w:val="24"/>
        </w:rPr>
        <w:t>the Individuals with Disabilities Education Act (</w:t>
      </w:r>
      <w:r w:rsidRPr="00C1694A">
        <w:rPr>
          <w:rFonts w:ascii="Times New Roman" w:hAnsi="Times New Roman" w:cs="Times New Roman"/>
          <w:sz w:val="24"/>
          <w:szCs w:val="24"/>
        </w:rPr>
        <w:t>IDEA</w:t>
      </w:r>
      <w:r w:rsidR="004D425C" w:rsidRPr="00C1694A">
        <w:rPr>
          <w:rFonts w:ascii="Times New Roman" w:hAnsi="Times New Roman" w:cs="Times New Roman"/>
          <w:sz w:val="24"/>
          <w:szCs w:val="24"/>
        </w:rPr>
        <w:t>)</w:t>
      </w:r>
      <w:r w:rsidRPr="00C1694A">
        <w:rPr>
          <w:rFonts w:ascii="Times New Roman" w:hAnsi="Times New Roman" w:cs="Times New Roman"/>
          <w:sz w:val="24"/>
          <w:szCs w:val="24"/>
        </w:rPr>
        <w:t xml:space="preserve">.  Commenters appreciated the emphasis on a priority for children experiencing homelessness and children in foster care.  We address </w:t>
      </w:r>
      <w:r w:rsidR="003E1603" w:rsidRPr="00C1694A">
        <w:rPr>
          <w:rFonts w:ascii="Times New Roman" w:hAnsi="Times New Roman" w:cs="Times New Roman"/>
          <w:sz w:val="24"/>
          <w:szCs w:val="24"/>
        </w:rPr>
        <w:t xml:space="preserve">these and </w:t>
      </w:r>
      <w:r w:rsidRPr="00C1694A">
        <w:rPr>
          <w:rFonts w:ascii="Times New Roman" w:hAnsi="Times New Roman" w:cs="Times New Roman"/>
          <w:sz w:val="24"/>
          <w:szCs w:val="24"/>
        </w:rPr>
        <w:t>other suggestions below.</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For a number of reasons, many commenters opposed the standard in</w:t>
      </w:r>
      <w:r w:rsidR="003E1603" w:rsidRPr="00C1694A">
        <w:rPr>
          <w:rFonts w:ascii="Times New Roman" w:hAnsi="Times New Roman" w:cs="Times New Roman"/>
          <w:sz w:val="24"/>
          <w:szCs w:val="24"/>
        </w:rPr>
        <w:t xml:space="preserve"> paragraph</w:t>
      </w:r>
      <w:r w:rsidRPr="00C1694A">
        <w:rPr>
          <w:rFonts w:ascii="Times New Roman" w:hAnsi="Times New Roman" w:cs="Times New Roman"/>
          <w:sz w:val="24"/>
          <w:szCs w:val="24"/>
        </w:rPr>
        <w:t xml:space="preserve"> (a)(3) that </w:t>
      </w:r>
      <w:r w:rsidR="00044E00" w:rsidRPr="00C1694A">
        <w:rPr>
          <w:rFonts w:ascii="Times New Roman" w:hAnsi="Times New Roman" w:cs="Times New Roman"/>
          <w:sz w:val="24"/>
          <w:szCs w:val="24"/>
        </w:rPr>
        <w:t xml:space="preserve">would </w:t>
      </w:r>
      <w:r w:rsidRPr="00C1694A">
        <w:rPr>
          <w:rFonts w:ascii="Times New Roman" w:hAnsi="Times New Roman" w:cs="Times New Roman"/>
          <w:sz w:val="24"/>
          <w:szCs w:val="24"/>
        </w:rPr>
        <w:t xml:space="preserve">require programs to prioritize serving younger children if publicly-funded pre-kindergarten is available for a full school day.  For example, commenters were concerned this </w:t>
      </w:r>
      <w:r w:rsidR="003E1603" w:rsidRPr="00C1694A">
        <w:rPr>
          <w:rFonts w:ascii="Times New Roman" w:hAnsi="Times New Roman" w:cs="Times New Roman"/>
          <w:sz w:val="24"/>
          <w:szCs w:val="24"/>
        </w:rPr>
        <w:t xml:space="preserve">requirement </w:t>
      </w:r>
      <w:r w:rsidRPr="00C1694A">
        <w:rPr>
          <w:rFonts w:ascii="Times New Roman" w:hAnsi="Times New Roman" w:cs="Times New Roman"/>
          <w:sz w:val="24"/>
          <w:szCs w:val="24"/>
        </w:rPr>
        <w:t>would limit families with 4-year</w:t>
      </w:r>
      <w:r w:rsidR="003E1603" w:rsidRPr="00C1694A">
        <w:rPr>
          <w:rFonts w:ascii="Times New Roman" w:hAnsi="Times New Roman" w:cs="Times New Roman"/>
          <w:sz w:val="24"/>
          <w:szCs w:val="24"/>
        </w:rPr>
        <w:t>-</w:t>
      </w:r>
      <w:r w:rsidRPr="00C1694A">
        <w:rPr>
          <w:rFonts w:ascii="Times New Roman" w:hAnsi="Times New Roman" w:cs="Times New Roman"/>
          <w:sz w:val="24"/>
          <w:szCs w:val="24"/>
        </w:rPr>
        <w:t xml:space="preserve">olds from receiving </w:t>
      </w:r>
      <w:r w:rsidR="003E1603" w:rsidRPr="00C1694A">
        <w:rPr>
          <w:rFonts w:ascii="Times New Roman" w:hAnsi="Times New Roman" w:cs="Times New Roman"/>
          <w:sz w:val="24"/>
          <w:szCs w:val="24"/>
        </w:rPr>
        <w:t>the</w:t>
      </w:r>
      <w:r w:rsidRPr="00C1694A">
        <w:rPr>
          <w:rFonts w:ascii="Times New Roman" w:hAnsi="Times New Roman" w:cs="Times New Roman"/>
          <w:sz w:val="24"/>
          <w:szCs w:val="24"/>
        </w:rPr>
        <w:t xml:space="preserve"> full range of comprehensive services and supports offered by Head Start.  They were also concerned it would interfere with or even unravel partnerships with publicly-funded pre-kindergarten programs. </w:t>
      </w:r>
      <w:r w:rsidR="00B576E0" w:rsidRPr="00C1694A">
        <w:rPr>
          <w:rFonts w:ascii="Times New Roman" w:hAnsi="Times New Roman" w:cs="Times New Roman"/>
          <w:sz w:val="24"/>
          <w:szCs w:val="24"/>
        </w:rPr>
        <w:t xml:space="preserve"> </w:t>
      </w:r>
      <w:r w:rsidR="00C052DA" w:rsidRPr="00C1694A">
        <w:rPr>
          <w:rFonts w:ascii="Times New Roman" w:hAnsi="Times New Roman" w:cs="Times New Roman"/>
          <w:sz w:val="24"/>
          <w:szCs w:val="24"/>
        </w:rPr>
        <w:t xml:space="preserve">Some </w:t>
      </w:r>
      <w:r w:rsidR="00B576E0" w:rsidRPr="00C1694A">
        <w:rPr>
          <w:rFonts w:ascii="Times New Roman" w:hAnsi="Times New Roman" w:cs="Times New Roman"/>
          <w:sz w:val="24"/>
          <w:szCs w:val="24"/>
        </w:rPr>
        <w:t xml:space="preserve">commenters stated this provision interfered with tribal sovereignty. </w:t>
      </w:r>
      <w:r w:rsidRPr="00C1694A">
        <w:rPr>
          <w:rFonts w:ascii="Times New Roman" w:hAnsi="Times New Roman" w:cs="Times New Roman"/>
          <w:sz w:val="24"/>
          <w:szCs w:val="24"/>
        </w:rPr>
        <w:t xml:space="preserve">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supported greater priority for younger children and some recommended we include additional standards to further this goal.  </w:t>
      </w:r>
      <w:r w:rsidR="005F4B74" w:rsidRPr="00C1694A">
        <w:rPr>
          <w:rFonts w:ascii="Times New Roman" w:hAnsi="Times New Roman" w:cs="Times New Roman"/>
          <w:sz w:val="24"/>
          <w:szCs w:val="24"/>
        </w:rPr>
        <w:t xml:space="preserve">Commenters also recommended </w:t>
      </w:r>
      <w:r w:rsidR="00331588" w:rsidRPr="00C1694A">
        <w:rPr>
          <w:rFonts w:ascii="Times New Roman" w:hAnsi="Times New Roman" w:cs="Times New Roman"/>
          <w:sz w:val="24"/>
          <w:szCs w:val="24"/>
        </w:rPr>
        <w:t xml:space="preserve">that </w:t>
      </w:r>
      <w:r w:rsidR="005F4B74" w:rsidRPr="00C1694A">
        <w:rPr>
          <w:rFonts w:ascii="Times New Roman" w:hAnsi="Times New Roman" w:cs="Times New Roman"/>
          <w:sz w:val="24"/>
          <w:szCs w:val="24"/>
        </w:rPr>
        <w:t>American Indian and Alaska Native programs be exempt from this requirement.</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2E0142" w:rsidRPr="00C1694A">
        <w:rPr>
          <w:rFonts w:ascii="Times New Roman" w:hAnsi="Times New Roman" w:cs="Times New Roman"/>
          <w:sz w:val="24"/>
          <w:szCs w:val="24"/>
        </w:rPr>
        <w:t xml:space="preserve"> </w:t>
      </w:r>
      <w:r w:rsidR="00A27E69" w:rsidRPr="00C1694A">
        <w:rPr>
          <w:rFonts w:ascii="Times New Roman" w:hAnsi="Times New Roman" w:cs="Times New Roman"/>
          <w:sz w:val="24"/>
          <w:szCs w:val="24"/>
        </w:rPr>
        <w:t xml:space="preserve">We have maintained this requirement because we believe programs should be serving more 3-year-olds and infants and toddlers in areas where there is high-quality, accessible pre-kindergarten for 4-year-olds.  </w:t>
      </w:r>
      <w:r w:rsidRPr="00C1694A">
        <w:rPr>
          <w:rFonts w:ascii="Times New Roman" w:hAnsi="Times New Roman" w:cs="Times New Roman"/>
          <w:sz w:val="24"/>
          <w:szCs w:val="24"/>
        </w:rPr>
        <w:t xml:space="preserve">We revised this standard to reflect that the high-quality publicly funded pre-kindergarten </w:t>
      </w:r>
      <w:r w:rsidR="001F5EF8" w:rsidRPr="00C1694A">
        <w:rPr>
          <w:rFonts w:ascii="Times New Roman" w:hAnsi="Times New Roman" w:cs="Times New Roman"/>
          <w:sz w:val="24"/>
          <w:szCs w:val="24"/>
        </w:rPr>
        <w:t xml:space="preserve">must </w:t>
      </w:r>
      <w:r w:rsidRPr="00C1694A">
        <w:rPr>
          <w:rFonts w:ascii="Times New Roman" w:hAnsi="Times New Roman" w:cs="Times New Roman"/>
          <w:sz w:val="24"/>
          <w:szCs w:val="24"/>
        </w:rPr>
        <w:t>be accessible</w:t>
      </w:r>
      <w:r w:rsidR="00EF0F10" w:rsidRPr="00C1694A">
        <w:rPr>
          <w:rFonts w:ascii="Times New Roman" w:hAnsi="Times New Roman" w:cs="Times New Roman"/>
          <w:sz w:val="24"/>
          <w:szCs w:val="24"/>
        </w:rPr>
        <w:t xml:space="preserve"> for the requirement to apply</w:t>
      </w:r>
      <w:r w:rsidR="00A27E69" w:rsidRPr="00C1694A">
        <w:rPr>
          <w:rFonts w:ascii="Times New Roman" w:hAnsi="Times New Roman" w:cs="Times New Roman"/>
          <w:sz w:val="24"/>
          <w:szCs w:val="24"/>
        </w:rPr>
        <w:t xml:space="preserve"> and clarified that this priority is part of the selection criteria programs establish as described in paragraph (a)(1)</w:t>
      </w:r>
      <w:r w:rsidRPr="00C1694A">
        <w:rPr>
          <w:rFonts w:ascii="Times New Roman" w:hAnsi="Times New Roman" w:cs="Times New Roman"/>
          <w:sz w:val="24"/>
          <w:szCs w:val="24"/>
        </w:rPr>
        <w:t xml:space="preserve">.  </w:t>
      </w:r>
      <w:r w:rsidR="00A27E69" w:rsidRPr="00C1694A">
        <w:rPr>
          <w:rFonts w:ascii="Times New Roman" w:hAnsi="Times New Roman" w:cs="Times New Roman"/>
          <w:sz w:val="24"/>
          <w:szCs w:val="24"/>
        </w:rPr>
        <w:t xml:space="preserve">This, for example, would give programs flexibility to weigh other criteria that would not disrupt programs serving siblings or a child with a disability if it was determined this was the best placement.  </w:t>
      </w:r>
      <w:r w:rsidRPr="00C1694A">
        <w:rPr>
          <w:rFonts w:ascii="Times New Roman" w:hAnsi="Times New Roman" w:cs="Times New Roman"/>
          <w:sz w:val="24"/>
          <w:szCs w:val="24"/>
        </w:rPr>
        <w:t xml:space="preserve">We also </w:t>
      </w:r>
      <w:r w:rsidR="00EF0F10" w:rsidRPr="00C1694A">
        <w:rPr>
          <w:rFonts w:ascii="Times New Roman" w:hAnsi="Times New Roman" w:cs="Times New Roman"/>
          <w:sz w:val="24"/>
          <w:szCs w:val="24"/>
        </w:rPr>
        <w:t>clarified</w:t>
      </w:r>
      <w:r w:rsidRPr="00C1694A">
        <w:rPr>
          <w:rFonts w:ascii="Times New Roman" w:hAnsi="Times New Roman" w:cs="Times New Roman"/>
          <w:sz w:val="24"/>
          <w:szCs w:val="24"/>
        </w:rPr>
        <w:t xml:space="preserve"> </w:t>
      </w:r>
      <w:r w:rsidR="00EF0F10" w:rsidRPr="00C1694A">
        <w:rPr>
          <w:rFonts w:ascii="Times New Roman" w:hAnsi="Times New Roman" w:cs="Times New Roman"/>
          <w:sz w:val="24"/>
          <w:szCs w:val="24"/>
        </w:rPr>
        <w:t>that</w:t>
      </w:r>
      <w:r w:rsidRPr="00C1694A">
        <w:rPr>
          <w:rFonts w:ascii="Times New Roman" w:hAnsi="Times New Roman" w:cs="Times New Roman"/>
          <w:sz w:val="24"/>
          <w:szCs w:val="24"/>
        </w:rPr>
        <w:t xml:space="preserve"> </w:t>
      </w:r>
      <w:r w:rsidR="003E1603" w:rsidRPr="00C1694A">
        <w:rPr>
          <w:rFonts w:ascii="Times New Roman" w:hAnsi="Times New Roman" w:cs="Times New Roman"/>
          <w:sz w:val="24"/>
          <w:szCs w:val="24"/>
        </w:rPr>
        <w:t xml:space="preserve">this prioritization </w:t>
      </w:r>
      <w:r w:rsidRPr="00C1694A">
        <w:rPr>
          <w:rFonts w:ascii="Times New Roman" w:hAnsi="Times New Roman" w:cs="Times New Roman"/>
          <w:sz w:val="24"/>
          <w:szCs w:val="24"/>
        </w:rPr>
        <w:t>would not be required if it interfered with partnerships with local educational agencies.</w:t>
      </w:r>
      <w:r w:rsidR="00EF0F10" w:rsidRPr="00C1694A">
        <w:rPr>
          <w:rFonts w:ascii="Times New Roman" w:hAnsi="Times New Roman" w:cs="Times New Roman"/>
          <w:sz w:val="24"/>
          <w:szCs w:val="24"/>
        </w:rPr>
        <w:t xml:space="preserve">  Finally, we </w:t>
      </w:r>
      <w:r w:rsidR="00B576E0" w:rsidRPr="00C1694A">
        <w:rPr>
          <w:rFonts w:ascii="Times New Roman" w:hAnsi="Times New Roman" w:cs="Times New Roman"/>
          <w:sz w:val="24"/>
          <w:szCs w:val="24"/>
        </w:rPr>
        <w:t xml:space="preserve">revised </w:t>
      </w:r>
      <w:r w:rsidR="008A477F" w:rsidRPr="00C1694A">
        <w:rPr>
          <w:rFonts w:ascii="Times New Roman" w:hAnsi="Times New Roman" w:cs="Times New Roman"/>
          <w:sz w:val="24"/>
          <w:szCs w:val="24"/>
        </w:rPr>
        <w:t>this requirement to clarify that American Indian and Alaska Native and Migrant and Seasonal Head Start programs must only consider this prioritization.</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w:t>
      </w:r>
      <w:r w:rsidR="00586C78"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comments about the </w:t>
      </w:r>
      <w:r w:rsidR="00EF0F10" w:rsidRPr="00C1694A">
        <w:rPr>
          <w:rFonts w:ascii="Times New Roman" w:hAnsi="Times New Roman" w:cs="Times New Roman"/>
          <w:sz w:val="24"/>
          <w:szCs w:val="24"/>
        </w:rPr>
        <w:t>requirement</w:t>
      </w:r>
      <w:r w:rsidRPr="00C1694A">
        <w:rPr>
          <w:rFonts w:ascii="Times New Roman" w:hAnsi="Times New Roman" w:cs="Times New Roman"/>
          <w:sz w:val="24"/>
          <w:szCs w:val="24"/>
        </w:rPr>
        <w:t xml:space="preserve"> in paragraph (b) </w:t>
      </w:r>
      <w:r w:rsidR="00EF0F10" w:rsidRPr="00C1694A">
        <w:rPr>
          <w:rFonts w:ascii="Times New Roman" w:hAnsi="Times New Roman" w:cs="Times New Roman"/>
          <w:sz w:val="24"/>
          <w:szCs w:val="24"/>
        </w:rPr>
        <w:t>for</w:t>
      </w:r>
      <w:r w:rsidRPr="00C1694A">
        <w:rPr>
          <w:rFonts w:ascii="Times New Roman" w:hAnsi="Times New Roman" w:cs="Times New Roman"/>
          <w:sz w:val="24"/>
          <w:szCs w:val="24"/>
        </w:rPr>
        <w:t xml:space="preserve"> 10 percent of a program’s funded enrollment </w:t>
      </w:r>
      <w:r w:rsidR="00EF0F10" w:rsidRPr="00C1694A">
        <w:rPr>
          <w:rFonts w:ascii="Times New Roman" w:hAnsi="Times New Roman" w:cs="Times New Roman"/>
          <w:sz w:val="24"/>
          <w:szCs w:val="24"/>
        </w:rPr>
        <w:t xml:space="preserve">to </w:t>
      </w:r>
      <w:r w:rsidRPr="00C1694A">
        <w:rPr>
          <w:rFonts w:ascii="Times New Roman" w:hAnsi="Times New Roman" w:cs="Times New Roman"/>
          <w:sz w:val="24"/>
          <w:szCs w:val="24"/>
        </w:rPr>
        <w:t xml:space="preserve">be composed of children eligible for </w:t>
      </w:r>
      <w:r w:rsidR="003E1603" w:rsidRPr="00C1694A">
        <w:rPr>
          <w:rFonts w:ascii="Times New Roman" w:hAnsi="Times New Roman" w:cs="Times New Roman"/>
          <w:sz w:val="24"/>
          <w:szCs w:val="24"/>
        </w:rPr>
        <w:t xml:space="preserve">services under </w:t>
      </w:r>
      <w:r w:rsidRPr="00C1694A">
        <w:rPr>
          <w:rFonts w:ascii="Times New Roman" w:hAnsi="Times New Roman" w:cs="Times New Roman"/>
          <w:sz w:val="24"/>
          <w:szCs w:val="24"/>
        </w:rPr>
        <w:t xml:space="preserve">IDEA.  </w:t>
      </w:r>
      <w:r w:rsidR="00586C78"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supported this standard.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stated it was a difficult standard to meet in rural communities, and others recommended it be calculated across a grantee’s Early Head Start and Head Start enrollment.  </w:t>
      </w:r>
      <w:r w:rsidR="00C052DA"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additional clarific</w:t>
      </w:r>
      <w:r w:rsidR="00EF0F10" w:rsidRPr="00C1694A">
        <w:rPr>
          <w:rFonts w:ascii="Times New Roman" w:hAnsi="Times New Roman" w:cs="Times New Roman"/>
          <w:sz w:val="24"/>
          <w:szCs w:val="24"/>
        </w:rPr>
        <w:t xml:space="preserve">ation, and </w:t>
      </w:r>
      <w:r w:rsidR="00C052DA" w:rsidRPr="00C1694A">
        <w:rPr>
          <w:rFonts w:ascii="Times New Roman" w:hAnsi="Times New Roman" w:cs="Times New Roman"/>
          <w:sz w:val="24"/>
          <w:szCs w:val="24"/>
        </w:rPr>
        <w:t xml:space="preserve">some </w:t>
      </w:r>
      <w:r w:rsidR="00EF0F10" w:rsidRPr="00C1694A">
        <w:rPr>
          <w:rFonts w:ascii="Times New Roman" w:hAnsi="Times New Roman" w:cs="Times New Roman"/>
          <w:sz w:val="24"/>
          <w:szCs w:val="24"/>
        </w:rPr>
        <w:t xml:space="preserve">commenters </w:t>
      </w:r>
      <w:r w:rsidRPr="00C1694A">
        <w:rPr>
          <w:rFonts w:ascii="Times New Roman" w:hAnsi="Times New Roman" w:cs="Times New Roman"/>
          <w:sz w:val="24"/>
          <w:szCs w:val="24"/>
        </w:rPr>
        <w:t>requested we add specific criteria for the waiver for this</w:t>
      </w:r>
      <w:r w:rsidR="00586C78" w:rsidRPr="00C1694A">
        <w:rPr>
          <w:rFonts w:ascii="Times New Roman" w:hAnsi="Times New Roman" w:cs="Times New Roman"/>
          <w:sz w:val="24"/>
          <w:szCs w:val="24"/>
        </w:rPr>
        <w:t xml:space="preserve"> </w:t>
      </w:r>
      <w:r w:rsidRPr="00C1694A">
        <w:rPr>
          <w:rFonts w:ascii="Times New Roman" w:hAnsi="Times New Roman" w:cs="Times New Roman"/>
          <w:sz w:val="24"/>
          <w:szCs w:val="24"/>
        </w:rPr>
        <w:t>standard and requested children with disabilities be given the first priority on any waiting list until the 10 percent requirement is met.</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E90182" w:rsidRPr="00C1694A">
        <w:rPr>
          <w:rFonts w:ascii="Times New Roman" w:hAnsi="Times New Roman" w:cs="Times New Roman"/>
          <w:sz w:val="24"/>
          <w:szCs w:val="24"/>
        </w:rPr>
        <w:t>This standard</w:t>
      </w:r>
      <w:r w:rsidRPr="00C1694A">
        <w:rPr>
          <w:rFonts w:ascii="Times New Roman" w:hAnsi="Times New Roman" w:cs="Times New Roman"/>
          <w:sz w:val="24"/>
          <w:szCs w:val="24"/>
        </w:rPr>
        <w:t xml:space="preserve"> is required by the Act.  Therefore, we cannot </w:t>
      </w:r>
      <w:r w:rsidR="00331588" w:rsidRPr="00C1694A">
        <w:rPr>
          <w:rFonts w:ascii="Times New Roman" w:hAnsi="Times New Roman" w:cs="Times New Roman"/>
          <w:sz w:val="24"/>
          <w:szCs w:val="24"/>
        </w:rPr>
        <w:t xml:space="preserve">revise </w:t>
      </w:r>
      <w:r w:rsidRPr="00C1694A">
        <w:rPr>
          <w:rFonts w:ascii="Times New Roman" w:hAnsi="Times New Roman" w:cs="Times New Roman"/>
          <w:sz w:val="24"/>
          <w:szCs w:val="24"/>
        </w:rPr>
        <w:t xml:space="preserve">its calculation.  We slightly revised the language in paragraph (b)(1) to better clarify the 10 percent is calculated from a program’s total funded enrollment.   </w:t>
      </w:r>
      <w:r w:rsidR="00C848D1" w:rsidRPr="00C1694A">
        <w:rPr>
          <w:rFonts w:ascii="Times New Roman" w:hAnsi="Times New Roman" w:cs="Times New Roman"/>
          <w:sz w:val="24"/>
          <w:szCs w:val="24"/>
        </w:rPr>
        <w:t>Our current waiver process evaluates whether programs are making reasonable efforts to comply with the 10 percent requirement.  Nationally, more than 1</w:t>
      </w:r>
      <w:r w:rsidR="00AC23AE" w:rsidRPr="00C1694A">
        <w:rPr>
          <w:rFonts w:ascii="Times New Roman" w:hAnsi="Times New Roman" w:cs="Times New Roman"/>
          <w:sz w:val="24"/>
          <w:szCs w:val="24"/>
        </w:rPr>
        <w:t>2</w:t>
      </w:r>
      <w:r w:rsidR="00C848D1" w:rsidRPr="00C1694A">
        <w:rPr>
          <w:rFonts w:ascii="Times New Roman" w:hAnsi="Times New Roman" w:cs="Times New Roman"/>
          <w:sz w:val="24"/>
          <w:szCs w:val="24"/>
        </w:rPr>
        <w:t xml:space="preserve"> percent of Head Start enrollment is comprised of children with disabilities, so we do not believe a change is necessary.</w:t>
      </w:r>
      <w:r w:rsidR="00331588" w:rsidRPr="00C1694A">
        <w:rPr>
          <w:rStyle w:val="FootnoteReference"/>
          <w:rFonts w:ascii="Times New Roman" w:hAnsi="Times New Roman" w:cs="Times New Roman"/>
          <w:sz w:val="24"/>
          <w:szCs w:val="24"/>
        </w:rPr>
        <w:footnoteReference w:id="43"/>
      </w:r>
      <w:r w:rsidR="00C848D1" w:rsidRPr="00C1694A">
        <w:rPr>
          <w:rFonts w:ascii="Times New Roman" w:hAnsi="Times New Roman" w:cs="Times New Roman"/>
          <w:sz w:val="24"/>
          <w:szCs w:val="24"/>
        </w:rPr>
        <w:t xml:space="preserve">  </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changes to </w:t>
      </w:r>
      <w:r w:rsidR="00EF0F10" w:rsidRPr="00C1694A">
        <w:rPr>
          <w:rFonts w:ascii="Times New Roman" w:hAnsi="Times New Roman" w:cs="Times New Roman"/>
          <w:sz w:val="24"/>
          <w:szCs w:val="24"/>
        </w:rPr>
        <w:t xml:space="preserve">waiting list requirements in </w:t>
      </w:r>
      <w:r w:rsidRPr="00C1694A">
        <w:rPr>
          <w:rFonts w:ascii="Times New Roman" w:hAnsi="Times New Roman" w:cs="Times New Roman"/>
          <w:sz w:val="24"/>
          <w:szCs w:val="24"/>
        </w:rPr>
        <w:t>paragraph (c).  Some recommended less focus on a waitlist and some recommended more focus and specificity.</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the standard in paragraph (c) is appropriate to ensure any openings during the program year get filled promptly</w:t>
      </w:r>
      <w:r w:rsidR="00666820" w:rsidRPr="00C1694A">
        <w:rPr>
          <w:rFonts w:ascii="Times New Roman" w:hAnsi="Times New Roman" w:cs="Times New Roman"/>
          <w:sz w:val="24"/>
          <w:szCs w:val="24"/>
        </w:rPr>
        <w:t>.  We made no revisions.</w:t>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§1302.15 Enrollment.</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reorganized and revised previous standard</w:t>
      </w:r>
      <w:r w:rsidR="00111D81" w:rsidRPr="00C1694A">
        <w:rPr>
          <w:rFonts w:ascii="Times New Roman" w:hAnsi="Times New Roman" w:cs="Times New Roman"/>
          <w:sz w:val="24"/>
          <w:szCs w:val="24"/>
        </w:rPr>
        <w:t>s</w:t>
      </w:r>
      <w:r w:rsidRPr="00C1694A">
        <w:rPr>
          <w:rFonts w:ascii="Times New Roman" w:hAnsi="Times New Roman" w:cs="Times New Roman"/>
          <w:sz w:val="24"/>
          <w:szCs w:val="24"/>
        </w:rPr>
        <w:t xml:space="preserve"> about enrollment.  It include</w:t>
      </w:r>
      <w:r w:rsidR="00586C78" w:rsidRPr="00C1694A">
        <w:rPr>
          <w:rFonts w:ascii="Times New Roman" w:hAnsi="Times New Roman" w:cs="Times New Roman"/>
          <w:sz w:val="24"/>
          <w:szCs w:val="24"/>
        </w:rPr>
        <w:t xml:space="preserve">s </w:t>
      </w:r>
      <w:r w:rsidRPr="00C1694A">
        <w:rPr>
          <w:rFonts w:ascii="Times New Roman" w:hAnsi="Times New Roman" w:cs="Times New Roman"/>
          <w:sz w:val="24"/>
          <w:szCs w:val="24"/>
        </w:rPr>
        <w:t xml:space="preserve">requirements about how quickly programs must fill vacancies and efforts </w:t>
      </w:r>
      <w:r w:rsidR="00EF0F10" w:rsidRPr="00C1694A">
        <w:rPr>
          <w:rFonts w:ascii="Times New Roman" w:hAnsi="Times New Roman" w:cs="Times New Roman"/>
          <w:sz w:val="24"/>
          <w:szCs w:val="24"/>
        </w:rPr>
        <w:t>they</w:t>
      </w:r>
      <w:r w:rsidRPr="00C1694A">
        <w:rPr>
          <w:rFonts w:ascii="Times New Roman" w:hAnsi="Times New Roman" w:cs="Times New Roman"/>
          <w:sz w:val="24"/>
          <w:szCs w:val="24"/>
        </w:rPr>
        <w:t xml:space="preserve"> must undertake to maintain enrollment of eligible children for subsequent years.  It </w:t>
      </w:r>
      <w:r w:rsidR="00586C78" w:rsidRPr="00C1694A">
        <w:rPr>
          <w:rFonts w:ascii="Times New Roman" w:hAnsi="Times New Roman" w:cs="Times New Roman"/>
          <w:sz w:val="24"/>
          <w:szCs w:val="24"/>
        </w:rPr>
        <w:t>includes</w:t>
      </w:r>
      <w:r w:rsidRPr="00C1694A">
        <w:rPr>
          <w:rFonts w:ascii="Times New Roman" w:hAnsi="Times New Roman" w:cs="Times New Roman"/>
          <w:sz w:val="24"/>
          <w:szCs w:val="24"/>
        </w:rPr>
        <w:t xml:space="preserve"> standards to reduce barriers to enroll children experiencing homelessness.  This</w:t>
      </w:r>
      <w:r w:rsidR="00111D81" w:rsidRPr="00C1694A">
        <w:rPr>
          <w:rFonts w:ascii="Times New Roman" w:hAnsi="Times New Roman" w:cs="Times New Roman"/>
          <w:sz w:val="24"/>
          <w:szCs w:val="24"/>
        </w:rPr>
        <w:t xml:space="preserve"> section</w:t>
      </w:r>
      <w:r w:rsidRPr="00C1694A">
        <w:rPr>
          <w:rFonts w:ascii="Times New Roman" w:hAnsi="Times New Roman" w:cs="Times New Roman"/>
          <w:sz w:val="24"/>
          <w:szCs w:val="24"/>
        </w:rPr>
        <w:t xml:space="preserve"> include</w:t>
      </w:r>
      <w:r w:rsidR="00EF0F10" w:rsidRPr="00C1694A">
        <w:rPr>
          <w:rFonts w:ascii="Times New Roman" w:hAnsi="Times New Roman" w:cs="Times New Roman"/>
          <w:sz w:val="24"/>
          <w:szCs w:val="24"/>
        </w:rPr>
        <w:t>s</w:t>
      </w:r>
      <w:r w:rsidRPr="00C1694A">
        <w:rPr>
          <w:rFonts w:ascii="Times New Roman" w:hAnsi="Times New Roman" w:cs="Times New Roman"/>
          <w:sz w:val="24"/>
          <w:szCs w:val="24"/>
        </w:rPr>
        <w:t xml:space="preserve"> new standards about reserving slots for pregnant women, children experiencing homelessness</w:t>
      </w:r>
      <w:r w:rsidR="00331588"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children in foster care. This section also </w:t>
      </w:r>
      <w:r w:rsidR="00586C78" w:rsidRPr="00C1694A">
        <w:rPr>
          <w:rFonts w:ascii="Times New Roman" w:hAnsi="Times New Roman" w:cs="Times New Roman"/>
          <w:sz w:val="24"/>
          <w:szCs w:val="24"/>
        </w:rPr>
        <w:t>includes</w:t>
      </w:r>
      <w:r w:rsidRPr="00C1694A">
        <w:rPr>
          <w:rFonts w:ascii="Times New Roman" w:hAnsi="Times New Roman" w:cs="Times New Roman"/>
          <w:sz w:val="24"/>
          <w:szCs w:val="24"/>
        </w:rPr>
        <w:t xml:space="preserve"> a </w:t>
      </w:r>
      <w:r w:rsidR="00586C78" w:rsidRPr="00C1694A">
        <w:rPr>
          <w:rFonts w:ascii="Times New Roman" w:hAnsi="Times New Roman" w:cs="Times New Roman"/>
          <w:sz w:val="24"/>
          <w:szCs w:val="24"/>
        </w:rPr>
        <w:t xml:space="preserve">new </w:t>
      </w:r>
      <w:r w:rsidRPr="00C1694A">
        <w:rPr>
          <w:rFonts w:ascii="Times New Roman" w:hAnsi="Times New Roman" w:cs="Times New Roman"/>
          <w:sz w:val="24"/>
          <w:szCs w:val="24"/>
        </w:rPr>
        <w:t xml:space="preserve">standard to allow the enrollment of children who are funded through non-Head Start sources, including private pay.  Further, </w:t>
      </w:r>
      <w:r w:rsidR="002C0874" w:rsidRPr="00C1694A">
        <w:rPr>
          <w:rFonts w:ascii="Times New Roman" w:hAnsi="Times New Roman" w:cs="Times New Roman"/>
          <w:sz w:val="24"/>
          <w:szCs w:val="24"/>
        </w:rPr>
        <w:t>this section includes</w:t>
      </w:r>
      <w:r w:rsidRPr="00C1694A">
        <w:rPr>
          <w:rFonts w:ascii="Times New Roman" w:hAnsi="Times New Roman" w:cs="Times New Roman"/>
          <w:sz w:val="24"/>
          <w:szCs w:val="24"/>
        </w:rPr>
        <w:t xml:space="preserve"> a standard that clarified current policy that required programs to follow their state immunization enrollment and attendance requirements.</w:t>
      </w:r>
      <w:r w:rsidR="002C0874" w:rsidRPr="00C1694A">
        <w:rPr>
          <w:rFonts w:ascii="Times New Roman" w:hAnsi="Times New Roman" w:cs="Times New Roman"/>
          <w:sz w:val="24"/>
          <w:szCs w:val="24"/>
        </w:rPr>
        <w:t xml:space="preserve">  We moved the standard from </w:t>
      </w:r>
      <w:r w:rsidR="002C0874" w:rsidRPr="00C1694A">
        <w:rPr>
          <w:rFonts w:ascii="Times New Roman" w:eastAsia="MS Mincho" w:hAnsi="Times New Roman" w:cs="Times New Roman"/>
          <w:sz w:val="24"/>
          <w:szCs w:val="24"/>
        </w:rPr>
        <w:t>§</w:t>
      </w:r>
      <w:r w:rsidR="002C0874" w:rsidRPr="00C1694A">
        <w:rPr>
          <w:rFonts w:ascii="Times New Roman" w:hAnsi="Times New Roman" w:cs="Times New Roman"/>
          <w:sz w:val="24"/>
          <w:szCs w:val="24"/>
        </w:rPr>
        <w:t>1302.17(c) in the NPRM to paragraph (f) to improve clarity.</w:t>
      </w:r>
      <w:r w:rsidRPr="00C1694A">
        <w:rPr>
          <w:rFonts w:ascii="Times New Roman" w:hAnsi="Times New Roman" w:cs="Times New Roman"/>
          <w:sz w:val="24"/>
          <w:szCs w:val="24"/>
        </w:rPr>
        <w:t xml:space="preserve"> We received many comments on this section</w:t>
      </w:r>
      <w:r w:rsidR="00111D81" w:rsidRPr="00C1694A">
        <w:rPr>
          <w:rFonts w:ascii="Times New Roman" w:hAnsi="Times New Roman" w:cs="Times New Roman"/>
          <w:sz w:val="24"/>
          <w:szCs w:val="24"/>
        </w:rPr>
        <w:t>, which w</w:t>
      </w:r>
      <w:r w:rsidRPr="00C1694A">
        <w:rPr>
          <w:rFonts w:ascii="Times New Roman" w:hAnsi="Times New Roman" w:cs="Times New Roman"/>
          <w:sz w:val="24"/>
          <w:szCs w:val="24"/>
        </w:rPr>
        <w:t>e discuss below.</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opposed to our proposal in paragraph (a) that programs must fill any vacancy within 30 days</w:t>
      </w:r>
      <w:r w:rsidR="00EF0F10" w:rsidRPr="00C1694A">
        <w:rPr>
          <w:rFonts w:ascii="Times New Roman" w:hAnsi="Times New Roman" w:cs="Times New Roman"/>
          <w:sz w:val="24"/>
          <w:szCs w:val="24"/>
        </w:rPr>
        <w:t xml:space="preserve"> because</w:t>
      </w:r>
      <w:r w:rsidRPr="00C1694A">
        <w:rPr>
          <w:rFonts w:ascii="Times New Roman" w:hAnsi="Times New Roman" w:cs="Times New Roman"/>
          <w:sz w:val="24"/>
          <w:szCs w:val="24"/>
        </w:rPr>
        <w:t xml:space="preserve"> the previous </w:t>
      </w:r>
      <w:r w:rsidR="00EF0F10" w:rsidRPr="00C1694A">
        <w:rPr>
          <w:rFonts w:ascii="Times New Roman" w:hAnsi="Times New Roman" w:cs="Times New Roman"/>
          <w:sz w:val="24"/>
          <w:szCs w:val="24"/>
        </w:rPr>
        <w:t>performance standards</w:t>
      </w:r>
      <w:r w:rsidR="000F76D3" w:rsidRPr="00C1694A">
        <w:rPr>
          <w:rFonts w:ascii="Times New Roman" w:hAnsi="Times New Roman" w:cs="Times New Roman"/>
          <w:sz w:val="24"/>
          <w:szCs w:val="24"/>
        </w:rPr>
        <w:t xml:space="preserve"> did not require programs to fill a vacancy within 60 days of</w:t>
      </w:r>
      <w:r w:rsidRPr="00C1694A">
        <w:rPr>
          <w:rFonts w:ascii="Times New Roman" w:hAnsi="Times New Roman" w:cs="Times New Roman"/>
          <w:sz w:val="24"/>
          <w:szCs w:val="24"/>
        </w:rPr>
        <w:t xml:space="preserve"> the end of the program year.  Commenters expressed a variety of reasons for their opposition, such as </w:t>
      </w:r>
      <w:r w:rsidR="000F76D3" w:rsidRPr="00C1694A">
        <w:rPr>
          <w:rFonts w:ascii="Times New Roman" w:hAnsi="Times New Roman" w:cs="Times New Roman"/>
          <w:sz w:val="24"/>
          <w:szCs w:val="24"/>
        </w:rPr>
        <w:t>difficulty meeting</w:t>
      </w:r>
      <w:r w:rsidRPr="00C1694A">
        <w:rPr>
          <w:rFonts w:ascii="Times New Roman" w:hAnsi="Times New Roman" w:cs="Times New Roman"/>
          <w:sz w:val="24"/>
          <w:szCs w:val="24"/>
        </w:rPr>
        <w:t xml:space="preserve"> all of the comprehensive service requirements in the allotted time period.</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retained this provision </w:t>
      </w:r>
      <w:r w:rsidR="000F76D3" w:rsidRPr="00C1694A">
        <w:rPr>
          <w:rFonts w:ascii="Times New Roman" w:hAnsi="Times New Roman" w:cs="Times New Roman"/>
          <w:sz w:val="24"/>
          <w:szCs w:val="24"/>
        </w:rPr>
        <w:t>with minor technical changes because w</w:t>
      </w:r>
      <w:r w:rsidRPr="00C1694A">
        <w:rPr>
          <w:rFonts w:ascii="Times New Roman" w:hAnsi="Times New Roman" w:cs="Times New Roman"/>
          <w:sz w:val="24"/>
          <w:szCs w:val="24"/>
        </w:rPr>
        <w:t>e believe the provision of comprehensive services is beneficial to children – even during</w:t>
      </w:r>
      <w:r w:rsidR="000F76D3" w:rsidRPr="00C1694A">
        <w:rPr>
          <w:rFonts w:ascii="Times New Roman" w:hAnsi="Times New Roman" w:cs="Times New Roman"/>
          <w:sz w:val="24"/>
          <w:szCs w:val="24"/>
        </w:rPr>
        <w:t xml:space="preserve"> a period of 60 days or less.  In addition, </w:t>
      </w:r>
      <w:r w:rsidRPr="00C1694A">
        <w:rPr>
          <w:rFonts w:ascii="Times New Roman" w:hAnsi="Times New Roman" w:cs="Times New Roman"/>
          <w:sz w:val="24"/>
          <w:szCs w:val="24"/>
        </w:rPr>
        <w:t>in some programs, 60 days</w:t>
      </w:r>
      <w:r w:rsidR="000F76D3" w:rsidRPr="00C1694A">
        <w:rPr>
          <w:rFonts w:ascii="Times New Roman" w:hAnsi="Times New Roman" w:cs="Times New Roman"/>
          <w:sz w:val="24"/>
          <w:szCs w:val="24"/>
        </w:rPr>
        <w:t xml:space="preserve"> represents one-quarter of the</w:t>
      </w:r>
      <w:r w:rsidRPr="00C1694A">
        <w:rPr>
          <w:rFonts w:ascii="Times New Roman" w:hAnsi="Times New Roman" w:cs="Times New Roman"/>
          <w:sz w:val="24"/>
          <w:szCs w:val="24"/>
        </w:rPr>
        <w:t xml:space="preserve"> program year and allowing such a long </w:t>
      </w:r>
      <w:r w:rsidR="000F76D3" w:rsidRPr="00C1694A">
        <w:rPr>
          <w:rFonts w:ascii="Times New Roman" w:hAnsi="Times New Roman" w:cs="Times New Roman"/>
          <w:sz w:val="24"/>
          <w:szCs w:val="24"/>
        </w:rPr>
        <w:t xml:space="preserve">period of </w:t>
      </w:r>
      <w:r w:rsidR="00111D81" w:rsidRPr="00C1694A">
        <w:rPr>
          <w:rFonts w:ascii="Times New Roman" w:hAnsi="Times New Roman" w:cs="Times New Roman"/>
          <w:sz w:val="24"/>
          <w:szCs w:val="24"/>
        </w:rPr>
        <w:t xml:space="preserve">vacancy </w:t>
      </w:r>
      <w:r w:rsidRPr="00C1694A">
        <w:rPr>
          <w:rFonts w:ascii="Times New Roman" w:hAnsi="Times New Roman" w:cs="Times New Roman"/>
          <w:sz w:val="24"/>
          <w:szCs w:val="24"/>
        </w:rPr>
        <w:t xml:space="preserve">represents lost opportunity and wasted funds.  Furthermore, enrollment within the last 60 days of the program year </w:t>
      </w:r>
      <w:r w:rsidR="000F76D3" w:rsidRPr="00C1694A">
        <w:rPr>
          <w:rFonts w:ascii="Times New Roman" w:hAnsi="Times New Roman" w:cs="Times New Roman"/>
          <w:sz w:val="24"/>
          <w:szCs w:val="24"/>
        </w:rPr>
        <w:t xml:space="preserve">will facilitate service delivery for the following program year. </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that the standard </w:t>
      </w:r>
      <w:r w:rsidR="000F76D3" w:rsidRPr="00C1694A">
        <w:rPr>
          <w:rFonts w:ascii="Times New Roman" w:hAnsi="Times New Roman" w:cs="Times New Roman"/>
          <w:sz w:val="24"/>
          <w:szCs w:val="24"/>
        </w:rPr>
        <w:t xml:space="preserve">proposed on eligibility duration that appeared </w:t>
      </w:r>
      <w:r w:rsidRPr="00C1694A">
        <w:rPr>
          <w:rFonts w:ascii="Times New Roman" w:hAnsi="Times New Roman" w:cs="Times New Roman"/>
          <w:sz w:val="24"/>
          <w:szCs w:val="24"/>
        </w:rPr>
        <w:t>in par</w:t>
      </w:r>
      <w:r w:rsidR="000F76D3" w:rsidRPr="00C1694A">
        <w:rPr>
          <w:rFonts w:ascii="Times New Roman" w:hAnsi="Times New Roman" w:cs="Times New Roman"/>
          <w:sz w:val="24"/>
          <w:szCs w:val="24"/>
        </w:rPr>
        <w:t xml:space="preserve">agraph (b)(2) of the NPRM </w:t>
      </w:r>
      <w:r w:rsidRPr="00C1694A">
        <w:rPr>
          <w:rFonts w:ascii="Times New Roman" w:hAnsi="Times New Roman" w:cs="Times New Roman"/>
          <w:sz w:val="24"/>
          <w:szCs w:val="24"/>
        </w:rPr>
        <w:t>was redundant and unnecessary because of standards in §1302.12(j)(2) and (3).</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and have struck the provision</w:t>
      </w:r>
      <w:r w:rsidR="00586C78" w:rsidRPr="00C1694A">
        <w:rPr>
          <w:rFonts w:ascii="Times New Roman" w:hAnsi="Times New Roman" w:cs="Times New Roman"/>
          <w:sz w:val="24"/>
          <w:szCs w:val="24"/>
        </w:rPr>
        <w:t xml:space="preserve"> that was</w:t>
      </w:r>
      <w:r w:rsidR="000F76D3" w:rsidRPr="00C1694A">
        <w:rPr>
          <w:rFonts w:ascii="Times New Roman" w:hAnsi="Times New Roman" w:cs="Times New Roman"/>
          <w:sz w:val="24"/>
          <w:szCs w:val="24"/>
        </w:rPr>
        <w:t xml:space="preserve"> paragraph (b)(2) </w:t>
      </w:r>
      <w:r w:rsidR="00586C78" w:rsidRPr="00C1694A">
        <w:rPr>
          <w:rFonts w:ascii="Times New Roman" w:hAnsi="Times New Roman" w:cs="Times New Roman"/>
          <w:sz w:val="24"/>
          <w:szCs w:val="24"/>
        </w:rPr>
        <w:t>in the NPRM</w:t>
      </w:r>
      <w:r w:rsidRPr="00C1694A">
        <w:rPr>
          <w:rFonts w:ascii="Times New Roman" w:hAnsi="Times New Roman" w:cs="Times New Roman"/>
          <w:sz w:val="24"/>
          <w:szCs w:val="24"/>
        </w:rPr>
        <w:t>.</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recommending changes to the standard in paragraph (b)(</w:t>
      </w:r>
      <w:r w:rsidR="000F76D3" w:rsidRPr="00C1694A">
        <w:rPr>
          <w:rFonts w:ascii="Times New Roman" w:hAnsi="Times New Roman" w:cs="Times New Roman"/>
          <w:sz w:val="24"/>
          <w:szCs w:val="24"/>
        </w:rPr>
        <w:t>2) (formerly paragraph (b)(3) of the NPRM) that allows</w:t>
      </w:r>
      <w:r w:rsidRPr="00C1694A">
        <w:rPr>
          <w:rFonts w:ascii="Times New Roman" w:hAnsi="Times New Roman" w:cs="Times New Roman"/>
          <w:sz w:val="24"/>
          <w:szCs w:val="24"/>
        </w:rPr>
        <w:t xml:space="preserve"> a program to maintain a child’s enrollment for a third year under exceptional circumstances </w:t>
      </w:r>
      <w:r w:rsidR="000F76D3" w:rsidRPr="00C1694A">
        <w:rPr>
          <w:rFonts w:ascii="Times New Roman" w:hAnsi="Times New Roman" w:cs="Times New Roman"/>
          <w:sz w:val="24"/>
          <w:szCs w:val="24"/>
        </w:rPr>
        <w:t>as long as</w:t>
      </w:r>
      <w:r w:rsidRPr="00C1694A">
        <w:rPr>
          <w:rFonts w:ascii="Times New Roman" w:hAnsi="Times New Roman" w:cs="Times New Roman"/>
          <w:sz w:val="24"/>
          <w:szCs w:val="24"/>
        </w:rPr>
        <w:t xml:space="preserve"> family income is re-verified.  For example,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we strike this provision because it was inconsistent with §1302.12(b)(2) and the Act. Other commenters requested we define “exceptional circumstances” for better clarity.  Many commenters recommended the standard be clarified to apply specifically to Head Start and include services for </w:t>
      </w:r>
      <w:r w:rsidR="008E6400" w:rsidRPr="00C1694A">
        <w:rPr>
          <w:rFonts w:ascii="Times New Roman" w:hAnsi="Times New Roman" w:cs="Times New Roman"/>
          <w:sz w:val="24"/>
          <w:szCs w:val="24"/>
        </w:rPr>
        <w:t>five</w:t>
      </w:r>
      <w:r w:rsidRPr="00C1694A">
        <w:rPr>
          <w:rFonts w:ascii="Times New Roman" w:hAnsi="Times New Roman" w:cs="Times New Roman"/>
          <w:sz w:val="24"/>
          <w:szCs w:val="24"/>
        </w:rPr>
        <w:t>-year</w:t>
      </w:r>
      <w:r w:rsidR="00111D81" w:rsidRPr="00C1694A">
        <w:rPr>
          <w:rFonts w:ascii="Times New Roman" w:hAnsi="Times New Roman" w:cs="Times New Roman"/>
          <w:sz w:val="24"/>
          <w:szCs w:val="24"/>
        </w:rPr>
        <w:t>-</w:t>
      </w:r>
      <w:r w:rsidRPr="00C1694A">
        <w:rPr>
          <w:rFonts w:ascii="Times New Roman" w:hAnsi="Times New Roman" w:cs="Times New Roman"/>
          <w:sz w:val="24"/>
          <w:szCs w:val="24"/>
        </w:rPr>
        <w:t>olds in states where compulsory education does not begin until age six.</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This standard is not new and we do not believe it has caused significant confusion in the past.  </w:t>
      </w:r>
      <w:r w:rsidR="000045D0" w:rsidRPr="00C1694A">
        <w:rPr>
          <w:rFonts w:ascii="Times New Roman" w:hAnsi="Times New Roman" w:cs="Times New Roman"/>
          <w:sz w:val="24"/>
          <w:szCs w:val="24"/>
        </w:rPr>
        <w:t xml:space="preserve">However, we made revisions to clarify this requirement is specific to Head Start. </w:t>
      </w:r>
      <w:r w:rsidRPr="00C1694A">
        <w:rPr>
          <w:rFonts w:ascii="Times New Roman" w:hAnsi="Times New Roman" w:cs="Times New Roman"/>
          <w:sz w:val="24"/>
          <w:szCs w:val="24"/>
        </w:rPr>
        <w:t xml:space="preserve">Programs </w:t>
      </w:r>
      <w:r w:rsidR="000F76D3" w:rsidRPr="00C1694A">
        <w:rPr>
          <w:rFonts w:ascii="Times New Roman" w:hAnsi="Times New Roman" w:cs="Times New Roman"/>
          <w:sz w:val="24"/>
          <w:szCs w:val="24"/>
        </w:rPr>
        <w:t>may request additional guidance</w:t>
      </w:r>
      <w:r w:rsidR="00F97957" w:rsidRPr="00C1694A">
        <w:rPr>
          <w:rFonts w:ascii="Times New Roman" w:hAnsi="Times New Roman" w:cs="Times New Roman"/>
          <w:sz w:val="24"/>
          <w:szCs w:val="24"/>
        </w:rPr>
        <w:t>, if needed</w:t>
      </w:r>
      <w:r w:rsidRPr="00C1694A">
        <w:rPr>
          <w:rFonts w:ascii="Times New Roman" w:hAnsi="Times New Roman" w:cs="Times New Roman"/>
          <w:sz w:val="24"/>
          <w:szCs w:val="24"/>
        </w:rPr>
        <w:t>.</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recommended we revise paragraph (b) to establish continuous eligibility for children from the time they enroll in Early Head Start until they enter kindergarten.</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As previously noted, </w:t>
      </w:r>
      <w:r w:rsidR="00F97957" w:rsidRPr="00C1694A">
        <w:rPr>
          <w:rFonts w:ascii="Times New Roman" w:hAnsi="Times New Roman" w:cs="Times New Roman"/>
          <w:sz w:val="24"/>
          <w:szCs w:val="24"/>
        </w:rPr>
        <w:t>eligibility is set by statute.  S</w:t>
      </w:r>
      <w:r w:rsidRPr="00C1694A">
        <w:rPr>
          <w:rFonts w:ascii="Times New Roman" w:hAnsi="Times New Roman" w:cs="Times New Roman"/>
          <w:sz w:val="24"/>
          <w:szCs w:val="24"/>
        </w:rPr>
        <w:t>uch a change is outside the scope of this rule.</w:t>
      </w:r>
      <w:r w:rsidR="00F97957" w:rsidRPr="00C1694A">
        <w:rPr>
          <w:rFonts w:ascii="Times New Roman" w:hAnsi="Times New Roman" w:cs="Times New Roman"/>
          <w:sz w:val="24"/>
          <w:szCs w:val="24"/>
        </w:rPr>
        <w:t xml:space="preserve"> </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w:t>
      </w:r>
      <w:r w:rsidR="00F97957" w:rsidRPr="00C1694A">
        <w:rPr>
          <w:rFonts w:ascii="Times New Roman" w:hAnsi="Times New Roman" w:cs="Times New Roman"/>
          <w:sz w:val="24"/>
          <w:szCs w:val="24"/>
        </w:rPr>
        <w:t>that supported</w:t>
      </w:r>
      <w:r w:rsidRPr="00C1694A">
        <w:rPr>
          <w:rFonts w:ascii="Times New Roman" w:hAnsi="Times New Roman" w:cs="Times New Roman"/>
          <w:sz w:val="24"/>
          <w:szCs w:val="24"/>
        </w:rPr>
        <w:t xml:space="preserve"> the provision in paragraph (b)(</w:t>
      </w:r>
      <w:r w:rsidR="00F97957" w:rsidRPr="00C1694A">
        <w:rPr>
          <w:rFonts w:ascii="Times New Roman" w:hAnsi="Times New Roman" w:cs="Times New Roman"/>
          <w:sz w:val="24"/>
          <w:szCs w:val="24"/>
        </w:rPr>
        <w:t>3</w:t>
      </w:r>
      <w:r w:rsidRPr="00C1694A">
        <w:rPr>
          <w:rFonts w:ascii="Times New Roman" w:hAnsi="Times New Roman" w:cs="Times New Roman"/>
          <w:sz w:val="24"/>
          <w:szCs w:val="24"/>
        </w:rPr>
        <w:t xml:space="preserve">) </w:t>
      </w:r>
      <w:r w:rsidR="00F97957" w:rsidRPr="00C1694A">
        <w:rPr>
          <w:rFonts w:ascii="Times New Roman" w:hAnsi="Times New Roman" w:cs="Times New Roman"/>
          <w:sz w:val="24"/>
          <w:szCs w:val="24"/>
        </w:rPr>
        <w:t xml:space="preserve">(formerly paragraph (b)(4) in the NPRM) that programs maintain enrollment for children who are homeless or in foster care.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w:t>
      </w:r>
      <w:r w:rsidR="00F97957" w:rsidRPr="00C1694A">
        <w:rPr>
          <w:rFonts w:ascii="Times New Roman" w:hAnsi="Times New Roman" w:cs="Times New Roman"/>
          <w:sz w:val="24"/>
          <w:szCs w:val="24"/>
        </w:rPr>
        <w:t>er</w:t>
      </w:r>
      <w:r w:rsidRPr="00C1694A">
        <w:rPr>
          <w:rFonts w:ascii="Times New Roman" w:hAnsi="Times New Roman" w:cs="Times New Roman"/>
          <w:sz w:val="24"/>
          <w:szCs w:val="24"/>
        </w:rPr>
        <w:t>s express</w:t>
      </w:r>
      <w:r w:rsidR="00F97957" w:rsidRPr="00C1694A">
        <w:rPr>
          <w:rFonts w:ascii="Times New Roman" w:hAnsi="Times New Roman" w:cs="Times New Roman"/>
          <w:sz w:val="24"/>
          <w:szCs w:val="24"/>
        </w:rPr>
        <w:t>ed</w:t>
      </w:r>
      <w:r w:rsidRPr="00C1694A">
        <w:rPr>
          <w:rFonts w:ascii="Times New Roman" w:hAnsi="Times New Roman" w:cs="Times New Roman"/>
          <w:sz w:val="24"/>
          <w:szCs w:val="24"/>
        </w:rPr>
        <w:t xml:space="preserve"> concern about the proposed standard.  Commenters supporting the provision note</w:t>
      </w:r>
      <w:r w:rsidR="00F97957" w:rsidRPr="00C1694A">
        <w:rPr>
          <w:rFonts w:ascii="Times New Roman" w:hAnsi="Times New Roman" w:cs="Times New Roman"/>
          <w:sz w:val="24"/>
          <w:szCs w:val="24"/>
        </w:rPr>
        <w:t>d</w:t>
      </w:r>
      <w:r w:rsidRPr="00C1694A">
        <w:rPr>
          <w:rFonts w:ascii="Times New Roman" w:hAnsi="Times New Roman" w:cs="Times New Roman"/>
          <w:sz w:val="24"/>
          <w:szCs w:val="24"/>
        </w:rPr>
        <w:t xml:space="preserve"> its importance to support stability and continuity for children experiencing homelessness and children in foster care.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stated the standard should be made stronger.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were concerned about the provision and recommended it be struck because maintaining enrollment would be too costly.</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retained </w:t>
      </w:r>
      <w:r w:rsidR="00E90182" w:rsidRPr="00C1694A">
        <w:rPr>
          <w:rFonts w:ascii="Times New Roman" w:hAnsi="Times New Roman" w:cs="Times New Roman"/>
          <w:sz w:val="24"/>
          <w:szCs w:val="24"/>
        </w:rPr>
        <w:t>this provision</w:t>
      </w:r>
      <w:r w:rsidRPr="00C1694A">
        <w:rPr>
          <w:rFonts w:ascii="Times New Roman" w:hAnsi="Times New Roman" w:cs="Times New Roman"/>
          <w:sz w:val="24"/>
          <w:szCs w:val="24"/>
        </w:rPr>
        <w:t xml:space="preserve"> with no revisions.  </w:t>
      </w:r>
      <w:r w:rsidR="00F97957" w:rsidRPr="00C1694A">
        <w:rPr>
          <w:rFonts w:ascii="Times New Roman" w:hAnsi="Times New Roman" w:cs="Times New Roman"/>
          <w:sz w:val="24"/>
          <w:szCs w:val="24"/>
        </w:rPr>
        <w:t>Programs may request t</w:t>
      </w:r>
      <w:r w:rsidRPr="00C1694A">
        <w:rPr>
          <w:rFonts w:ascii="Times New Roman" w:hAnsi="Times New Roman" w:cs="Times New Roman"/>
          <w:sz w:val="24"/>
          <w:szCs w:val="24"/>
        </w:rPr>
        <w:t>echnical assistance to support their efforts to maintain enrollment</w:t>
      </w:r>
      <w:r w:rsidR="002C654D" w:rsidRPr="00C1694A">
        <w:rPr>
          <w:rFonts w:ascii="Times New Roman" w:hAnsi="Times New Roman" w:cs="Times New Roman"/>
          <w:sz w:val="24"/>
          <w:szCs w:val="24"/>
        </w:rPr>
        <w:t xml:space="preserve"> for these children</w:t>
      </w:r>
      <w:r w:rsidRPr="00C1694A">
        <w:rPr>
          <w:rFonts w:ascii="Times New Roman" w:hAnsi="Times New Roman" w:cs="Times New Roman"/>
          <w:sz w:val="24"/>
          <w:szCs w:val="24"/>
        </w:rPr>
        <w:t>.</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w:t>
      </w:r>
      <w:r w:rsidR="00F97957" w:rsidRPr="00C1694A">
        <w:rPr>
          <w:rFonts w:ascii="Times New Roman" w:hAnsi="Times New Roman" w:cs="Times New Roman"/>
          <w:sz w:val="24"/>
          <w:szCs w:val="24"/>
        </w:rPr>
        <w:t>that supported</w:t>
      </w:r>
      <w:r w:rsidRPr="00C1694A">
        <w:rPr>
          <w:rFonts w:ascii="Times New Roman" w:hAnsi="Times New Roman" w:cs="Times New Roman"/>
          <w:sz w:val="24"/>
          <w:szCs w:val="24"/>
        </w:rPr>
        <w:t xml:space="preserve"> </w:t>
      </w:r>
      <w:r w:rsidR="0095075C" w:rsidRPr="00C1694A">
        <w:rPr>
          <w:rFonts w:ascii="Times New Roman" w:hAnsi="Times New Roman" w:cs="Times New Roman"/>
          <w:sz w:val="24"/>
          <w:szCs w:val="24"/>
        </w:rPr>
        <w:t>the provision</w:t>
      </w:r>
      <w:r w:rsidRPr="00C1694A">
        <w:rPr>
          <w:rFonts w:ascii="Times New Roman" w:hAnsi="Times New Roman" w:cs="Times New Roman"/>
          <w:sz w:val="24"/>
          <w:szCs w:val="24"/>
        </w:rPr>
        <w:t xml:space="preserve"> in paragraph (c) </w:t>
      </w:r>
      <w:r w:rsidR="0095075C" w:rsidRPr="00C1694A">
        <w:rPr>
          <w:rFonts w:ascii="Times New Roman" w:hAnsi="Times New Roman" w:cs="Times New Roman"/>
          <w:sz w:val="24"/>
          <w:szCs w:val="24"/>
        </w:rPr>
        <w:t>to require</w:t>
      </w:r>
      <w:r w:rsidRPr="00C1694A">
        <w:rPr>
          <w:rFonts w:ascii="Times New Roman" w:hAnsi="Times New Roman" w:cs="Times New Roman"/>
          <w:sz w:val="24"/>
          <w:szCs w:val="24"/>
        </w:rPr>
        <w:t xml:space="preserve"> a program to use their community assessment to determine if there are families experiencing homelessness or children in foster care in the area who could benefit from services and allowing programs flexibility to reserve up to </w:t>
      </w:r>
      <w:r w:rsidR="00F97957" w:rsidRPr="00C1694A">
        <w:rPr>
          <w:rFonts w:ascii="Times New Roman" w:hAnsi="Times New Roman" w:cs="Times New Roman"/>
          <w:sz w:val="24"/>
          <w:szCs w:val="24"/>
        </w:rPr>
        <w:t>three</w:t>
      </w:r>
      <w:r w:rsidRPr="00C1694A">
        <w:rPr>
          <w:rFonts w:ascii="Times New Roman" w:hAnsi="Times New Roman" w:cs="Times New Roman"/>
          <w:sz w:val="24"/>
          <w:szCs w:val="24"/>
        </w:rPr>
        <w:t xml:space="preserve"> percent of slots for special populations. </w:t>
      </w:r>
      <w:r w:rsidR="002C654D" w:rsidRPr="00C1694A">
        <w:rPr>
          <w:rFonts w:ascii="Times New Roman" w:hAnsi="Times New Roman" w:cs="Times New Roman"/>
          <w:sz w:val="24"/>
          <w:szCs w:val="24"/>
        </w:rPr>
        <w:t xml:space="preserve">Commenters </w:t>
      </w:r>
      <w:r w:rsidRPr="00C1694A">
        <w:rPr>
          <w:rFonts w:ascii="Times New Roman" w:hAnsi="Times New Roman" w:cs="Times New Roman"/>
          <w:sz w:val="24"/>
          <w:szCs w:val="24"/>
        </w:rPr>
        <w:t xml:space="preserve">noted its importance in Head Start serving vulnerable children.  Others supported the standard but recommended we expand it in a variety of ways. </w:t>
      </w:r>
      <w:r w:rsidR="00F97957"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Others recommended changes, such as making the slot reservation a requirement instead of an allowance, adding additional subgroups for whom slots could be reserved, or allowing up to six percent of slots be reserved.  </w:t>
      </w:r>
      <w:r w:rsidR="00C052DA"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requested additional guidance on implementation.</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we have achieved an appropriate balance between reserving slots for particularly vulnerable children while maintaining availability for other eligible children who need Head Start services.  Reserved enrollment slots will not be counted as under-enrollment.  </w:t>
      </w:r>
      <w:r w:rsidR="00F97957" w:rsidRPr="00C1694A">
        <w:rPr>
          <w:rFonts w:ascii="Times New Roman" w:hAnsi="Times New Roman" w:cs="Times New Roman"/>
          <w:sz w:val="24"/>
          <w:szCs w:val="24"/>
        </w:rPr>
        <w:t>Programs may request</w:t>
      </w:r>
      <w:r w:rsidRPr="00C1694A">
        <w:rPr>
          <w:rFonts w:ascii="Times New Roman" w:hAnsi="Times New Roman" w:cs="Times New Roman"/>
          <w:sz w:val="24"/>
          <w:szCs w:val="24"/>
        </w:rPr>
        <w:t xml:space="preserve"> additional guidance on implementation</w:t>
      </w:r>
      <w:r w:rsidR="002C654D" w:rsidRPr="00C1694A">
        <w:rPr>
          <w:rFonts w:ascii="Times New Roman" w:hAnsi="Times New Roman" w:cs="Times New Roman"/>
          <w:sz w:val="24"/>
          <w:szCs w:val="24"/>
        </w:rPr>
        <w:t xml:space="preserve"> </w:t>
      </w:r>
      <w:r w:rsidR="00F97957" w:rsidRPr="00C1694A">
        <w:rPr>
          <w:rFonts w:ascii="Times New Roman" w:hAnsi="Times New Roman" w:cs="Times New Roman"/>
          <w:sz w:val="24"/>
          <w:szCs w:val="24"/>
        </w:rPr>
        <w:t>as necessary</w:t>
      </w:r>
      <w:r w:rsidRPr="00C1694A">
        <w:rPr>
          <w:rFonts w:ascii="Times New Roman" w:hAnsi="Times New Roman" w:cs="Times New Roman"/>
          <w:sz w:val="24"/>
          <w:szCs w:val="24"/>
        </w:rPr>
        <w:t>. We made no revisions to this standard.</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7B034E"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expressed concern about the flexibility to reserve slots for the specified populations and concerns about the timeline allowed for such reservation, as described in paragraph (c).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were concerned the slots would remain unused throughout the year and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were concerned that it was unrealistic to fill the slo</w:t>
      </w:r>
      <w:r w:rsidR="00F97957" w:rsidRPr="00C1694A">
        <w:rPr>
          <w:rFonts w:ascii="Times New Roman" w:hAnsi="Times New Roman" w:cs="Times New Roman"/>
          <w:sz w:val="24"/>
          <w:szCs w:val="24"/>
        </w:rPr>
        <w:t xml:space="preserve">ts within 30 days.  </w:t>
      </w:r>
      <w:r w:rsidR="00AC4618" w:rsidRPr="00C1694A">
        <w:rPr>
          <w:rFonts w:ascii="Times New Roman" w:hAnsi="Times New Roman" w:cs="Times New Roman"/>
          <w:sz w:val="24"/>
          <w:szCs w:val="24"/>
        </w:rPr>
        <w:t>O</w:t>
      </w:r>
      <w:r w:rsidR="00F97957" w:rsidRPr="00C1694A">
        <w:rPr>
          <w:rFonts w:ascii="Times New Roman" w:hAnsi="Times New Roman" w:cs="Times New Roman"/>
          <w:sz w:val="24"/>
          <w:szCs w:val="24"/>
        </w:rPr>
        <w:t xml:space="preserve">thers </w:t>
      </w:r>
      <w:r w:rsidRPr="00C1694A">
        <w:rPr>
          <w:rFonts w:ascii="Times New Roman" w:hAnsi="Times New Roman" w:cs="Times New Roman"/>
          <w:sz w:val="24"/>
          <w:szCs w:val="24"/>
        </w:rPr>
        <w:t>were concerned that the record keeping would be too burdensome.</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rule is clear that if the reserved enrollment slot is not filled within 30 days, the slot becomes vacant and then must be filled within </w:t>
      </w:r>
      <w:r w:rsidR="00F97957" w:rsidRPr="00C1694A">
        <w:rPr>
          <w:rFonts w:ascii="Times New Roman" w:hAnsi="Times New Roman" w:cs="Times New Roman"/>
          <w:sz w:val="24"/>
          <w:szCs w:val="24"/>
        </w:rPr>
        <w:t xml:space="preserve">an additional </w:t>
      </w:r>
      <w:r w:rsidRPr="00C1694A">
        <w:rPr>
          <w:rFonts w:ascii="Times New Roman" w:hAnsi="Times New Roman" w:cs="Times New Roman"/>
          <w:sz w:val="24"/>
          <w:szCs w:val="24"/>
        </w:rPr>
        <w:t xml:space="preserve">30 days.  We believe we have achieved an appropriate balance between reserving slots for particularly vulnerable children for an appropriate length of time while maintaining availability for other eligible children.  We believe this provision will foster enrollment of particularly vulnerable children and do not agree that it is too burdensome.  We note that programs are allowed but not </w:t>
      </w:r>
      <w:r w:rsidR="00666820" w:rsidRPr="00C1694A">
        <w:rPr>
          <w:rFonts w:ascii="Times New Roman" w:hAnsi="Times New Roman" w:cs="Times New Roman"/>
          <w:sz w:val="24"/>
          <w:szCs w:val="24"/>
        </w:rPr>
        <w:t>required to reserve such slots.</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in support of and oppos</w:t>
      </w:r>
      <w:r w:rsidR="00F97957" w:rsidRPr="00C1694A">
        <w:rPr>
          <w:rFonts w:ascii="Times New Roman" w:hAnsi="Times New Roman" w:cs="Times New Roman"/>
          <w:sz w:val="24"/>
          <w:szCs w:val="24"/>
        </w:rPr>
        <w:t>ed</w:t>
      </w:r>
      <w:r w:rsidRPr="00C1694A">
        <w:rPr>
          <w:rFonts w:ascii="Times New Roman" w:hAnsi="Times New Roman" w:cs="Times New Roman"/>
          <w:sz w:val="24"/>
          <w:szCs w:val="24"/>
        </w:rPr>
        <w:t xml:space="preserve"> to the standard proposed in paragraph (d) for programs to consider the feasibility to enroll children from diverse economic backgrounds who would be funded from other sources.</w:t>
      </w:r>
      <w:r w:rsidR="0095075C" w:rsidRPr="00C1694A">
        <w:rPr>
          <w:rFonts w:ascii="Times New Roman" w:hAnsi="Times New Roman" w:cs="Times New Roman"/>
          <w:sz w:val="24"/>
          <w:szCs w:val="24"/>
        </w:rPr>
        <w:t xml:space="preserve">  Commenters were concerned this standard could lead to serving fewer Head Start eligible children.</w:t>
      </w:r>
      <w:r w:rsidRPr="00C1694A">
        <w:rPr>
          <w:rFonts w:ascii="Times New Roman" w:hAnsi="Times New Roman" w:cs="Times New Roman"/>
          <w:sz w:val="24"/>
          <w:szCs w:val="24"/>
        </w:rPr>
        <w:t xml:space="preserve">  Other commenters requested clarifications.</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As noted previously, we revised a related standard in §1302.11(b)(3) to better clarify that programs must consider the feasibility of operating mixed-income programs but that they must not enroll children from diverse economic backgrounds if it would result in a program serving less than their eligible funded enrollment.  We believe this additional clarification addresses commenters’ concerns that the proposed standard would mean fewer eligible Head Start children would be served. To further clarify our intent, we revised the standard in paragraph (d) to </w:t>
      </w:r>
      <w:r w:rsidR="00DF6FF7" w:rsidRPr="00C1694A">
        <w:rPr>
          <w:rFonts w:ascii="Times New Roman" w:hAnsi="Times New Roman" w:cs="Times New Roman"/>
          <w:sz w:val="24"/>
          <w:szCs w:val="24"/>
        </w:rPr>
        <w:t>reduce</w:t>
      </w:r>
      <w:r w:rsidR="002C654D" w:rsidRPr="00C1694A">
        <w:rPr>
          <w:rFonts w:ascii="Times New Roman" w:hAnsi="Times New Roman" w:cs="Times New Roman"/>
          <w:sz w:val="24"/>
          <w:szCs w:val="24"/>
        </w:rPr>
        <w:t xml:space="preserve"> redundancy and </w:t>
      </w:r>
      <w:r w:rsidRPr="00C1694A">
        <w:rPr>
          <w:rFonts w:ascii="Times New Roman" w:hAnsi="Times New Roman" w:cs="Times New Roman"/>
          <w:sz w:val="24"/>
          <w:szCs w:val="24"/>
        </w:rPr>
        <w:t xml:space="preserve">make </w:t>
      </w:r>
      <w:r w:rsidR="00F97957" w:rsidRPr="00C1694A">
        <w:rPr>
          <w:rFonts w:ascii="Times New Roman" w:hAnsi="Times New Roman" w:cs="Times New Roman"/>
          <w:sz w:val="24"/>
          <w:szCs w:val="24"/>
        </w:rPr>
        <w:t xml:space="preserve">it </w:t>
      </w:r>
      <w:r w:rsidRPr="00C1694A">
        <w:rPr>
          <w:rFonts w:ascii="Times New Roman" w:hAnsi="Times New Roman" w:cs="Times New Roman"/>
          <w:sz w:val="24"/>
          <w:szCs w:val="24"/>
        </w:rPr>
        <w:t>clear that children from diverse economic backgrounds who are funded with other sources are not considered part of a program’s eligible funded enrollment. We think §1302.11, which addressed how a program should consider their community assessment</w:t>
      </w:r>
      <w:r w:rsidR="002C654D" w:rsidRPr="00C1694A">
        <w:rPr>
          <w:rFonts w:ascii="Times New Roman" w:hAnsi="Times New Roman" w:cs="Times New Roman"/>
          <w:sz w:val="24"/>
          <w:szCs w:val="24"/>
        </w:rPr>
        <w:t>,</w:t>
      </w:r>
      <w:r w:rsidRPr="00C1694A">
        <w:rPr>
          <w:rFonts w:ascii="Times New Roman" w:hAnsi="Times New Roman" w:cs="Times New Roman"/>
          <w:sz w:val="24"/>
          <w:szCs w:val="24"/>
        </w:rPr>
        <w:t xml:space="preserve"> is the more appropriate</w:t>
      </w:r>
      <w:r w:rsidR="00666820" w:rsidRPr="00C1694A">
        <w:rPr>
          <w:rFonts w:ascii="Times New Roman" w:hAnsi="Times New Roman" w:cs="Times New Roman"/>
          <w:sz w:val="24"/>
          <w:szCs w:val="24"/>
        </w:rPr>
        <w:t xml:space="preserve"> placement for </w:t>
      </w:r>
      <w:r w:rsidR="00DF6FF7" w:rsidRPr="00C1694A">
        <w:rPr>
          <w:rFonts w:ascii="Times New Roman" w:hAnsi="Times New Roman" w:cs="Times New Roman"/>
          <w:sz w:val="24"/>
          <w:szCs w:val="24"/>
        </w:rPr>
        <w:t>consideration of</w:t>
      </w:r>
      <w:r w:rsidR="00203BE8" w:rsidRPr="00C1694A">
        <w:rPr>
          <w:rFonts w:ascii="Times New Roman" w:hAnsi="Times New Roman" w:cs="Times New Roman"/>
          <w:sz w:val="24"/>
          <w:szCs w:val="24"/>
        </w:rPr>
        <w:t xml:space="preserve"> the feasibility of mixed-income </w:t>
      </w:r>
      <w:r w:rsidR="00DF6FF7" w:rsidRPr="00C1694A">
        <w:rPr>
          <w:rFonts w:ascii="Times New Roman" w:hAnsi="Times New Roman" w:cs="Times New Roman"/>
          <w:sz w:val="24"/>
          <w:szCs w:val="24"/>
        </w:rPr>
        <w:t>groups</w:t>
      </w:r>
      <w:r w:rsidR="00666820" w:rsidRPr="00C1694A">
        <w:rPr>
          <w:rFonts w:ascii="Times New Roman" w:hAnsi="Times New Roman" w:cs="Times New Roman"/>
          <w:sz w:val="24"/>
          <w:szCs w:val="24"/>
        </w:rPr>
        <w:t>.</w:t>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§1302.16 Attendance.</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included provisions to support attendance.  Research finds that attendance is essential for </w:t>
      </w:r>
      <w:r w:rsidR="00523540" w:rsidRPr="00C1694A">
        <w:rPr>
          <w:rFonts w:ascii="Times New Roman" w:hAnsi="Times New Roman" w:cs="Times New Roman"/>
          <w:sz w:val="24"/>
          <w:szCs w:val="24"/>
        </w:rPr>
        <w:t xml:space="preserve">children to benefit from program experiences that promote </w:t>
      </w:r>
      <w:r w:rsidRPr="00C1694A">
        <w:rPr>
          <w:rFonts w:ascii="Times New Roman" w:hAnsi="Times New Roman" w:cs="Times New Roman"/>
          <w:sz w:val="24"/>
          <w:szCs w:val="24"/>
        </w:rPr>
        <w:t>success in preschool and beyond</w:t>
      </w:r>
      <w:r w:rsidR="007B034E" w:rsidRPr="00C1694A">
        <w:rPr>
          <w:rFonts w:ascii="Times New Roman" w:hAnsi="Times New Roman" w:cs="Times New Roman"/>
          <w:sz w:val="24"/>
          <w:szCs w:val="24"/>
        </w:rPr>
        <w:t>.</w:t>
      </w:r>
      <w:r w:rsidR="00C82F87" w:rsidRPr="00C1694A">
        <w:rPr>
          <w:rStyle w:val="FootnoteReference"/>
          <w:rFonts w:ascii="Times New Roman" w:hAnsi="Times New Roman" w:cs="Times New Roman"/>
          <w:sz w:val="24"/>
          <w:szCs w:val="24"/>
        </w:rPr>
        <w:footnoteReference w:id="44"/>
      </w:r>
      <w:r w:rsidR="007B034E" w:rsidRPr="00C1694A">
        <w:rPr>
          <w:rFonts w:ascii="Times New Roman" w:hAnsi="Times New Roman" w:cs="Times New Roman"/>
          <w:sz w:val="24"/>
          <w:szCs w:val="24"/>
          <w:vertAlign w:val="superscript"/>
        </w:rPr>
        <w:t xml:space="preserve">, </w:t>
      </w:r>
      <w:r w:rsidR="007B034E" w:rsidRPr="00C1694A">
        <w:rPr>
          <w:rStyle w:val="FootnoteReference"/>
          <w:rFonts w:ascii="Times New Roman" w:hAnsi="Times New Roman" w:cs="Times New Roman"/>
          <w:sz w:val="24"/>
          <w:szCs w:val="24"/>
        </w:rPr>
        <w:footnoteReference w:id="45"/>
      </w:r>
      <w:r w:rsidR="007B034E" w:rsidRPr="00C1694A">
        <w:rPr>
          <w:rFonts w:ascii="Times New Roman" w:hAnsi="Times New Roman" w:cs="Times New Roman"/>
          <w:sz w:val="24"/>
          <w:szCs w:val="24"/>
          <w:vertAlign w:val="superscript"/>
        </w:rPr>
        <w:t xml:space="preserve">, </w:t>
      </w:r>
      <w:r w:rsidR="007B034E" w:rsidRPr="00C1694A">
        <w:rPr>
          <w:rStyle w:val="FootnoteReference"/>
          <w:rFonts w:ascii="Times New Roman" w:hAnsi="Times New Roman" w:cs="Times New Roman"/>
          <w:sz w:val="24"/>
          <w:szCs w:val="24"/>
        </w:rPr>
        <w:footnoteReference w:id="46"/>
      </w:r>
      <w:r w:rsidRPr="00C1694A">
        <w:rPr>
          <w:rFonts w:ascii="Times New Roman" w:hAnsi="Times New Roman" w:cs="Times New Roman"/>
          <w:sz w:val="24"/>
          <w:szCs w:val="24"/>
        </w:rPr>
        <w:t xml:space="preserve">  Therefore, in addition to provisions from the Act to address systemic issues of a program’s low monthly average daily attendance, we included new proposals to emphasize the importance of regular attendance for each child.  Commenters generally supported the new emphasis and some commenters noted it would help programs identify family needs.   However, many commenters opposed or expressed concern about the specific proposals and offered alternative suggestions.  We discuss these comments below.</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4C51A5" w:rsidRPr="00C1694A">
        <w:rPr>
          <w:rFonts w:ascii="Times New Roman" w:hAnsi="Times New Roman" w:cs="Times New Roman"/>
          <w:sz w:val="24"/>
          <w:szCs w:val="24"/>
        </w:rPr>
        <w:t xml:space="preserve"> We received many comments about the requirement in paragraph (a)(1) that programs contact parents if a child is unexpectedly absent</w:t>
      </w:r>
      <w:r w:rsidR="00354A00" w:rsidRPr="00C1694A">
        <w:rPr>
          <w:rFonts w:ascii="Times New Roman" w:hAnsi="Times New Roman" w:cs="Times New Roman"/>
          <w:sz w:val="24"/>
          <w:szCs w:val="24"/>
        </w:rPr>
        <w:t xml:space="preserve"> and the parent has not contacted the program within one hour</w:t>
      </w:r>
      <w:r w:rsidR="004C51A5" w:rsidRPr="00C1694A">
        <w:rPr>
          <w:rFonts w:ascii="Times New Roman" w:hAnsi="Times New Roman" w:cs="Times New Roman"/>
          <w:sz w:val="24"/>
          <w:szCs w:val="24"/>
        </w:rPr>
        <w:t xml:space="preserve">. Many commenters opposed the </w:t>
      </w:r>
      <w:r w:rsidR="00354A00" w:rsidRPr="00C1694A">
        <w:rPr>
          <w:rFonts w:ascii="Times New Roman" w:hAnsi="Times New Roman" w:cs="Times New Roman"/>
          <w:sz w:val="24"/>
          <w:szCs w:val="24"/>
        </w:rPr>
        <w:t>requirement</w:t>
      </w:r>
      <w:r w:rsidR="004C51A5" w:rsidRPr="00C1694A">
        <w:rPr>
          <w:rFonts w:ascii="Times New Roman" w:hAnsi="Times New Roman" w:cs="Times New Roman"/>
          <w:sz w:val="24"/>
          <w:szCs w:val="24"/>
        </w:rPr>
        <w:t xml:space="preserve">, and stated it was </w:t>
      </w:r>
      <w:r w:rsidR="00354A00" w:rsidRPr="00C1694A">
        <w:rPr>
          <w:rFonts w:ascii="Times New Roman" w:hAnsi="Times New Roman" w:cs="Times New Roman"/>
          <w:sz w:val="24"/>
          <w:szCs w:val="24"/>
        </w:rPr>
        <w:t xml:space="preserve">too prescriptive and </w:t>
      </w:r>
      <w:r w:rsidR="002112BB" w:rsidRPr="00C1694A">
        <w:rPr>
          <w:rFonts w:ascii="Times New Roman" w:hAnsi="Times New Roman" w:cs="Times New Roman"/>
          <w:sz w:val="24"/>
          <w:szCs w:val="24"/>
        </w:rPr>
        <w:t>cumbersome</w:t>
      </w:r>
      <w:r w:rsidR="00DF6FF7" w:rsidRPr="00C1694A">
        <w:rPr>
          <w:rFonts w:ascii="Times New Roman" w:hAnsi="Times New Roman" w:cs="Times New Roman"/>
          <w:sz w:val="24"/>
          <w:szCs w:val="24"/>
        </w:rPr>
        <w:t xml:space="preserve">.  </w:t>
      </w:r>
      <w:r w:rsidR="002112BB"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also found the provision unclear</w:t>
      </w:r>
      <w:r w:rsidR="00354A00" w:rsidRPr="00C1694A">
        <w:rPr>
          <w:rFonts w:ascii="Times New Roman" w:hAnsi="Times New Roman" w:cs="Times New Roman"/>
          <w:sz w:val="24"/>
          <w:szCs w:val="24"/>
        </w:rPr>
        <w:t xml:space="preserve"> and objected to the one-hour timeline</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supported the one-hour timeline because it promoted child safety and reduced the risk of a child being left in a car or on a bus.  </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340CBD" w:rsidRPr="00C1694A">
        <w:rPr>
          <w:rFonts w:ascii="Times New Roman" w:hAnsi="Times New Roman" w:cs="Times New Roman"/>
          <w:sz w:val="24"/>
          <w:szCs w:val="24"/>
        </w:rPr>
        <w:t xml:space="preserve">We believe it is critically important that programs contact parents in a very timely manner to ensure </w:t>
      </w:r>
      <w:r w:rsidR="0095075C" w:rsidRPr="00C1694A">
        <w:rPr>
          <w:rFonts w:ascii="Times New Roman" w:hAnsi="Times New Roman" w:cs="Times New Roman"/>
          <w:sz w:val="24"/>
          <w:szCs w:val="24"/>
        </w:rPr>
        <w:t>children’s</w:t>
      </w:r>
      <w:r w:rsidR="00340CBD" w:rsidRPr="00C1694A">
        <w:rPr>
          <w:rFonts w:ascii="Times New Roman" w:hAnsi="Times New Roman" w:cs="Times New Roman"/>
          <w:sz w:val="24"/>
          <w:szCs w:val="24"/>
        </w:rPr>
        <w:t xml:space="preserve"> well-being.  We </w:t>
      </w:r>
      <w:r w:rsidRPr="00C1694A">
        <w:rPr>
          <w:rFonts w:ascii="Times New Roman" w:hAnsi="Times New Roman" w:cs="Times New Roman"/>
          <w:sz w:val="24"/>
          <w:szCs w:val="24"/>
        </w:rPr>
        <w:t>revised the requirement</w:t>
      </w:r>
      <w:r w:rsidR="0095075C" w:rsidRPr="00C1694A">
        <w:rPr>
          <w:rFonts w:ascii="Times New Roman" w:hAnsi="Times New Roman" w:cs="Times New Roman"/>
          <w:sz w:val="24"/>
          <w:szCs w:val="24"/>
        </w:rPr>
        <w:t>s</w:t>
      </w:r>
      <w:r w:rsidRPr="00C1694A">
        <w:rPr>
          <w:rFonts w:ascii="Times New Roman" w:hAnsi="Times New Roman" w:cs="Times New Roman"/>
          <w:sz w:val="24"/>
          <w:szCs w:val="24"/>
        </w:rPr>
        <w:t xml:space="preserve"> in </w:t>
      </w:r>
      <w:r w:rsidR="004C51A5" w:rsidRPr="00C1694A">
        <w:rPr>
          <w:rFonts w:ascii="Times New Roman" w:hAnsi="Times New Roman" w:cs="Times New Roman"/>
          <w:sz w:val="24"/>
          <w:szCs w:val="24"/>
        </w:rPr>
        <w:t>paragraph</w:t>
      </w:r>
      <w:r w:rsidR="0095075C" w:rsidRPr="00C1694A">
        <w:rPr>
          <w:rFonts w:ascii="Times New Roman" w:hAnsi="Times New Roman" w:cs="Times New Roman"/>
          <w:sz w:val="24"/>
          <w:szCs w:val="24"/>
        </w:rPr>
        <w:t>s</w:t>
      </w:r>
      <w:r w:rsidR="004C51A5"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(a)(1) </w:t>
      </w:r>
      <w:r w:rsidR="00354A00" w:rsidRPr="00C1694A">
        <w:rPr>
          <w:rFonts w:ascii="Times New Roman" w:hAnsi="Times New Roman" w:cs="Times New Roman"/>
          <w:sz w:val="24"/>
          <w:szCs w:val="24"/>
        </w:rPr>
        <w:t xml:space="preserve">and (2) </w:t>
      </w:r>
      <w:r w:rsidRPr="00C1694A">
        <w:rPr>
          <w:rFonts w:ascii="Times New Roman" w:hAnsi="Times New Roman" w:cs="Times New Roman"/>
          <w:sz w:val="24"/>
          <w:szCs w:val="24"/>
        </w:rPr>
        <w:t xml:space="preserve">to be </w:t>
      </w:r>
      <w:r w:rsidR="00340CBD" w:rsidRPr="00C1694A">
        <w:rPr>
          <w:rFonts w:ascii="Times New Roman" w:hAnsi="Times New Roman" w:cs="Times New Roman"/>
          <w:sz w:val="24"/>
          <w:szCs w:val="24"/>
        </w:rPr>
        <w:t xml:space="preserve">more </w:t>
      </w:r>
      <w:r w:rsidR="00354A00" w:rsidRPr="00C1694A">
        <w:rPr>
          <w:rFonts w:ascii="Times New Roman" w:hAnsi="Times New Roman" w:cs="Times New Roman"/>
          <w:sz w:val="24"/>
          <w:szCs w:val="24"/>
        </w:rPr>
        <w:t>systems-focused</w:t>
      </w:r>
      <w:r w:rsidR="00340CBD" w:rsidRPr="00C1694A">
        <w:rPr>
          <w:rFonts w:ascii="Times New Roman" w:hAnsi="Times New Roman" w:cs="Times New Roman"/>
          <w:sz w:val="24"/>
          <w:szCs w:val="24"/>
        </w:rPr>
        <w:t xml:space="preserve"> </w:t>
      </w:r>
      <w:r w:rsidR="00BB7A28" w:rsidRPr="00C1694A">
        <w:rPr>
          <w:rFonts w:ascii="Times New Roman" w:hAnsi="Times New Roman" w:cs="Times New Roman"/>
          <w:sz w:val="24"/>
          <w:szCs w:val="24"/>
        </w:rPr>
        <w:t>and have clarified that the program must “attempt to” contact the parent because it may not always be possible to reach the parent</w:t>
      </w:r>
      <w:r w:rsidRPr="00C1694A">
        <w:rPr>
          <w:rFonts w:ascii="Times New Roman" w:hAnsi="Times New Roman" w:cs="Times New Roman"/>
          <w:sz w:val="24"/>
          <w:szCs w:val="24"/>
        </w:rPr>
        <w:t>.</w:t>
      </w:r>
      <w:r w:rsidR="00354A00" w:rsidRPr="00C1694A">
        <w:rPr>
          <w:rFonts w:ascii="Times New Roman" w:hAnsi="Times New Roman" w:cs="Times New Roman"/>
          <w:sz w:val="24"/>
          <w:szCs w:val="24"/>
        </w:rPr>
        <w:t xml:space="preserve"> </w:t>
      </w:r>
      <w:r w:rsidR="00BB7A28" w:rsidRPr="00C1694A">
        <w:rPr>
          <w:rFonts w:ascii="Times New Roman" w:hAnsi="Times New Roman" w:cs="Times New Roman"/>
          <w:sz w:val="24"/>
          <w:szCs w:val="24"/>
        </w:rPr>
        <w:t xml:space="preserve"> However, </w:t>
      </w:r>
      <w:r w:rsidR="0051032C" w:rsidRPr="00C1694A">
        <w:rPr>
          <w:rFonts w:ascii="Times New Roman" w:hAnsi="Times New Roman" w:cs="Times New Roman"/>
          <w:sz w:val="24"/>
          <w:szCs w:val="24"/>
        </w:rPr>
        <w:t xml:space="preserve">we believe it is important for programs to ensure children’s well-being by contacting parents when </w:t>
      </w:r>
      <w:r w:rsidR="00BB7A28" w:rsidRPr="00C1694A">
        <w:rPr>
          <w:rFonts w:ascii="Times New Roman" w:hAnsi="Times New Roman" w:cs="Times New Roman"/>
          <w:sz w:val="24"/>
          <w:szCs w:val="24"/>
        </w:rPr>
        <w:t>children are unexpectedly absent and parents have not contact</w:t>
      </w:r>
      <w:r w:rsidR="0051032C" w:rsidRPr="00C1694A">
        <w:rPr>
          <w:rFonts w:ascii="Times New Roman" w:hAnsi="Times New Roman" w:cs="Times New Roman"/>
          <w:sz w:val="24"/>
          <w:szCs w:val="24"/>
        </w:rPr>
        <w:t>ed</w:t>
      </w:r>
      <w:r w:rsidR="00BB7A28" w:rsidRPr="00C1694A">
        <w:rPr>
          <w:rFonts w:ascii="Times New Roman" w:hAnsi="Times New Roman" w:cs="Times New Roman"/>
          <w:sz w:val="24"/>
          <w:szCs w:val="24"/>
        </w:rPr>
        <w:t xml:space="preserve"> the program within one hour of program start time</w:t>
      </w:r>
      <w:r w:rsidR="0051032C" w:rsidRPr="00C1694A">
        <w:rPr>
          <w:rFonts w:ascii="Times New Roman" w:hAnsi="Times New Roman" w:cs="Times New Roman"/>
          <w:sz w:val="24"/>
          <w:szCs w:val="24"/>
        </w:rPr>
        <w:t>, so we have maintained this requirement.</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w:t>
      </w:r>
      <w:r w:rsidR="002112BB" w:rsidRPr="00C1694A">
        <w:rPr>
          <w:rFonts w:ascii="Times New Roman" w:hAnsi="Times New Roman" w:cs="Times New Roman"/>
          <w:sz w:val="24"/>
          <w:szCs w:val="24"/>
        </w:rPr>
        <w:t>on</w:t>
      </w:r>
      <w:r w:rsidRPr="00C1694A">
        <w:rPr>
          <w:rFonts w:ascii="Times New Roman" w:hAnsi="Times New Roman" w:cs="Times New Roman"/>
          <w:sz w:val="24"/>
          <w:szCs w:val="24"/>
        </w:rPr>
        <w:t xml:space="preserve"> the provision in paragraph (a)(2) about steps a program must take to improve attendance for children who have four or more consecutive unexcused absences or are frequently absent. Some commenters were generally supportive of this provision.  Many commenters expressed concerns that the requirements were too prescriptive or too costly for programs.  Some commenters were concerned that since low attendance was often linked to family crises, home visits would pose significant challenges.  Many commenters stated the emphasis on attendance should be more systems-focused.  Commenters </w:t>
      </w:r>
      <w:r w:rsidR="002112BB" w:rsidRPr="00C1694A">
        <w:rPr>
          <w:rFonts w:ascii="Times New Roman" w:hAnsi="Times New Roman" w:cs="Times New Roman"/>
          <w:sz w:val="24"/>
          <w:szCs w:val="24"/>
        </w:rPr>
        <w:t>recommended</w:t>
      </w:r>
      <w:r w:rsidRPr="00C1694A">
        <w:rPr>
          <w:rFonts w:ascii="Times New Roman" w:hAnsi="Times New Roman" w:cs="Times New Roman"/>
          <w:sz w:val="24"/>
          <w:szCs w:val="24"/>
        </w:rPr>
        <w:t xml:space="preserve"> alternative language.  Some commenters requested additional guidance for implementation.</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regular and consistent attendance is essential </w:t>
      </w:r>
      <w:r w:rsidR="002112BB" w:rsidRPr="00C1694A">
        <w:rPr>
          <w:rFonts w:ascii="Times New Roman" w:hAnsi="Times New Roman" w:cs="Times New Roman"/>
          <w:sz w:val="24"/>
          <w:szCs w:val="24"/>
        </w:rPr>
        <w:t>for</w:t>
      </w:r>
      <w:r w:rsidRPr="00C1694A">
        <w:rPr>
          <w:rFonts w:ascii="Times New Roman" w:hAnsi="Times New Roman" w:cs="Times New Roman"/>
          <w:sz w:val="24"/>
          <w:szCs w:val="24"/>
        </w:rPr>
        <w:t xml:space="preserve"> programs </w:t>
      </w:r>
      <w:r w:rsidR="002112BB" w:rsidRPr="00C1694A">
        <w:rPr>
          <w:rFonts w:ascii="Times New Roman" w:hAnsi="Times New Roman" w:cs="Times New Roman"/>
          <w:sz w:val="24"/>
          <w:szCs w:val="24"/>
        </w:rPr>
        <w:t xml:space="preserve">to support </w:t>
      </w:r>
      <w:r w:rsidRPr="00C1694A">
        <w:rPr>
          <w:rFonts w:ascii="Times New Roman" w:hAnsi="Times New Roman" w:cs="Times New Roman"/>
          <w:sz w:val="24"/>
          <w:szCs w:val="24"/>
        </w:rPr>
        <w:t xml:space="preserve">children’s early learning.  We also think that inconsistent attendance often indicates a program </w:t>
      </w:r>
      <w:r w:rsidR="00203BE8" w:rsidRPr="00C1694A">
        <w:rPr>
          <w:rFonts w:ascii="Times New Roman" w:hAnsi="Times New Roman" w:cs="Times New Roman"/>
          <w:sz w:val="24"/>
          <w:szCs w:val="24"/>
        </w:rPr>
        <w:t>needs to make</w:t>
      </w:r>
      <w:r w:rsidRPr="00C1694A">
        <w:rPr>
          <w:rFonts w:ascii="Times New Roman" w:hAnsi="Times New Roman" w:cs="Times New Roman"/>
          <w:sz w:val="24"/>
          <w:szCs w:val="24"/>
        </w:rPr>
        <w:t xml:space="preserve"> more efforts to engage with and support families.  We think it is very important for programs to realize the importance of regular attendance and work with families when appropriate to foster regular attendance. Therefore, we </w:t>
      </w:r>
      <w:r w:rsidR="0095075C" w:rsidRPr="00C1694A">
        <w:rPr>
          <w:rFonts w:ascii="Times New Roman" w:hAnsi="Times New Roman" w:cs="Times New Roman"/>
          <w:sz w:val="24"/>
          <w:szCs w:val="24"/>
        </w:rPr>
        <w:t>retained</w:t>
      </w:r>
      <w:r w:rsidRPr="00C1694A">
        <w:rPr>
          <w:rFonts w:ascii="Times New Roman" w:hAnsi="Times New Roman" w:cs="Times New Roman"/>
          <w:sz w:val="24"/>
          <w:szCs w:val="24"/>
        </w:rPr>
        <w:t xml:space="preserve"> a strong focus on supporting attendance in the final rule.  </w:t>
      </w:r>
      <w:r w:rsidR="00BF2F86" w:rsidRPr="00C1694A">
        <w:rPr>
          <w:rFonts w:ascii="Times New Roman" w:hAnsi="Times New Roman" w:cs="Times New Roman"/>
          <w:sz w:val="24"/>
          <w:szCs w:val="24"/>
        </w:rPr>
        <w:t>To further strengthen this requirement and clarify when frequent absences must be addressed, we revised paragraph (a)(2)(</w:t>
      </w:r>
      <w:r w:rsidR="00C757F4" w:rsidRPr="00C1694A">
        <w:rPr>
          <w:rFonts w:ascii="Times New Roman" w:hAnsi="Times New Roman" w:cs="Times New Roman"/>
          <w:sz w:val="24"/>
          <w:szCs w:val="24"/>
        </w:rPr>
        <w:t>iii</w:t>
      </w:r>
      <w:r w:rsidR="00BF2F86" w:rsidRPr="00C1694A">
        <w:rPr>
          <w:rFonts w:ascii="Times New Roman" w:hAnsi="Times New Roman" w:cs="Times New Roman"/>
          <w:sz w:val="24"/>
          <w:szCs w:val="24"/>
        </w:rPr>
        <w:t>) to reflect that program</w:t>
      </w:r>
      <w:r w:rsidR="00E3062E" w:rsidRPr="00C1694A">
        <w:rPr>
          <w:rFonts w:ascii="Times New Roman" w:hAnsi="Times New Roman" w:cs="Times New Roman"/>
          <w:sz w:val="24"/>
          <w:szCs w:val="24"/>
        </w:rPr>
        <w:t>s</w:t>
      </w:r>
      <w:r w:rsidR="00BF2F86" w:rsidRPr="00C1694A">
        <w:rPr>
          <w:rFonts w:ascii="Times New Roman" w:hAnsi="Times New Roman" w:cs="Times New Roman"/>
          <w:sz w:val="24"/>
          <w:szCs w:val="24"/>
        </w:rPr>
        <w:t xml:space="preserve"> must conduct a home visit or other direct contact with parents </w:t>
      </w:r>
      <w:r w:rsidR="00D1694D" w:rsidRPr="00C1694A">
        <w:rPr>
          <w:rFonts w:ascii="Times New Roman" w:hAnsi="Times New Roman" w:cs="Times New Roman"/>
          <w:sz w:val="24"/>
          <w:szCs w:val="24"/>
        </w:rPr>
        <w:t xml:space="preserve">if children experience </w:t>
      </w:r>
      <w:r w:rsidR="006E4951" w:rsidRPr="00C1694A">
        <w:rPr>
          <w:rFonts w:ascii="Times New Roman" w:hAnsi="Times New Roman" w:cs="Times New Roman"/>
          <w:sz w:val="24"/>
          <w:szCs w:val="24"/>
        </w:rPr>
        <w:t>multiple</w:t>
      </w:r>
      <w:r w:rsidR="00D1694D" w:rsidRPr="00C1694A">
        <w:rPr>
          <w:rFonts w:ascii="Times New Roman" w:hAnsi="Times New Roman" w:cs="Times New Roman"/>
          <w:sz w:val="24"/>
          <w:szCs w:val="24"/>
        </w:rPr>
        <w:t xml:space="preserve"> unexplained absences, such as two or more consecutive unexplained absences</w:t>
      </w:r>
      <w:r w:rsidR="00BF2F86" w:rsidRPr="00C1694A">
        <w:rPr>
          <w:rFonts w:ascii="Times New Roman" w:hAnsi="Times New Roman" w:cs="Times New Roman"/>
          <w:sz w:val="24"/>
          <w:szCs w:val="24"/>
        </w:rPr>
        <w:t xml:space="preserve">.  </w:t>
      </w:r>
      <w:r w:rsidR="00D1694D" w:rsidRPr="00C1694A">
        <w:rPr>
          <w:rFonts w:ascii="Times New Roman" w:hAnsi="Times New Roman" w:cs="Times New Roman"/>
          <w:sz w:val="24"/>
          <w:szCs w:val="24"/>
        </w:rPr>
        <w:t xml:space="preserve">Unexplained absences would not include days a child is sick if the parent let the program know that the child was out because of an illness. </w:t>
      </w:r>
      <w:r w:rsidR="00BF2F86" w:rsidRPr="00C1694A">
        <w:rPr>
          <w:rFonts w:ascii="Times New Roman" w:hAnsi="Times New Roman" w:cs="Times New Roman"/>
          <w:sz w:val="24"/>
          <w:szCs w:val="24"/>
        </w:rPr>
        <w:t>We also added paragraph (a)(2)(</w:t>
      </w:r>
      <w:r w:rsidR="00C757F4" w:rsidRPr="00C1694A">
        <w:rPr>
          <w:rFonts w:ascii="Times New Roman" w:hAnsi="Times New Roman" w:cs="Times New Roman"/>
          <w:sz w:val="24"/>
          <w:szCs w:val="24"/>
        </w:rPr>
        <w:t>iv</w:t>
      </w:r>
      <w:r w:rsidR="00BF2F86" w:rsidRPr="00C1694A">
        <w:rPr>
          <w:rFonts w:ascii="Times New Roman" w:hAnsi="Times New Roman" w:cs="Times New Roman"/>
          <w:sz w:val="24"/>
          <w:szCs w:val="24"/>
        </w:rPr>
        <w:t xml:space="preserve">) to require programs </w:t>
      </w:r>
      <w:r w:rsidR="00E3062E" w:rsidRPr="00C1694A">
        <w:rPr>
          <w:rFonts w:ascii="Times New Roman" w:hAnsi="Times New Roman" w:cs="Times New Roman"/>
          <w:sz w:val="24"/>
          <w:szCs w:val="24"/>
        </w:rPr>
        <w:t xml:space="preserve">to </w:t>
      </w:r>
      <w:r w:rsidR="00BF2F86" w:rsidRPr="00C1694A">
        <w:rPr>
          <w:rFonts w:ascii="Times New Roman" w:eastAsia="Times New Roman" w:hAnsi="Times New Roman" w:cs="Times New Roman"/>
          <w:sz w:val="24"/>
          <w:szCs w:val="24"/>
        </w:rPr>
        <w:t>use individual child attendance data to identify children with patterns of absence that put them at risk of missing ten percent of program days per year and develop appropriate strategies to improve individual attendance among identified children, such as direct contact with parents or intensive case management as necessary.</w:t>
      </w:r>
      <w:r w:rsidR="00BF2F86" w:rsidRPr="00C1694A">
        <w:rPr>
          <w:rFonts w:ascii="Times New Roman" w:hAnsi="Times New Roman" w:cs="Times New Roman"/>
          <w:sz w:val="24"/>
          <w:szCs w:val="24"/>
        </w:rPr>
        <w:t xml:space="preserve"> </w:t>
      </w:r>
      <w:r w:rsidR="002112BB" w:rsidRPr="00C1694A">
        <w:rPr>
          <w:rFonts w:ascii="Times New Roman" w:hAnsi="Times New Roman" w:cs="Times New Roman"/>
          <w:sz w:val="24"/>
          <w:szCs w:val="24"/>
        </w:rPr>
        <w:t>Programs may request t</w:t>
      </w:r>
      <w:r w:rsidRPr="00C1694A">
        <w:rPr>
          <w:rFonts w:ascii="Times New Roman" w:hAnsi="Times New Roman" w:cs="Times New Roman"/>
          <w:sz w:val="24"/>
          <w:szCs w:val="24"/>
        </w:rPr>
        <w:t xml:space="preserve">echnical assistance </w:t>
      </w:r>
      <w:r w:rsidR="002112BB" w:rsidRPr="00C1694A">
        <w:rPr>
          <w:rFonts w:ascii="Times New Roman" w:hAnsi="Times New Roman" w:cs="Times New Roman"/>
          <w:sz w:val="24"/>
          <w:szCs w:val="24"/>
        </w:rPr>
        <w:t>to address</w:t>
      </w:r>
      <w:r w:rsidRPr="00C1694A">
        <w:rPr>
          <w:rFonts w:ascii="Times New Roman" w:hAnsi="Times New Roman" w:cs="Times New Roman"/>
          <w:sz w:val="24"/>
          <w:szCs w:val="24"/>
        </w:rPr>
        <w:t xml:space="preserve"> the causes of absenteeism.</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stated the requirement </w:t>
      </w:r>
      <w:r w:rsidR="002112BB" w:rsidRPr="00C1694A">
        <w:rPr>
          <w:rFonts w:ascii="Times New Roman" w:hAnsi="Times New Roman" w:cs="Times New Roman"/>
          <w:sz w:val="24"/>
          <w:szCs w:val="24"/>
        </w:rPr>
        <w:t xml:space="preserve">about program-wide attendance </w:t>
      </w:r>
      <w:r w:rsidRPr="00C1694A">
        <w:rPr>
          <w:rFonts w:ascii="Times New Roman" w:hAnsi="Times New Roman" w:cs="Times New Roman"/>
          <w:sz w:val="24"/>
          <w:szCs w:val="24"/>
        </w:rPr>
        <w:t>in paragraph (b) should be triggered at a lower percentage for infants and toddlers.</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w:t>
      </w:r>
      <w:r w:rsidR="002112BB" w:rsidRPr="00C1694A">
        <w:rPr>
          <w:rFonts w:ascii="Times New Roman" w:hAnsi="Times New Roman" w:cs="Times New Roman"/>
          <w:sz w:val="24"/>
          <w:szCs w:val="24"/>
        </w:rPr>
        <w:t>believe the 85 percent threshold is appropriate for Early Head Start and Head Start programs</w:t>
      </w:r>
      <w:r w:rsidR="00523540" w:rsidRPr="00C1694A">
        <w:rPr>
          <w:rFonts w:ascii="Times New Roman" w:hAnsi="Times New Roman" w:cs="Times New Roman"/>
          <w:sz w:val="24"/>
          <w:szCs w:val="24"/>
        </w:rPr>
        <w:t xml:space="preserve"> and has been the long-standing threshold in the previous Head Start regulation</w:t>
      </w:r>
      <w:r w:rsidR="002112BB" w:rsidRPr="00C1694A">
        <w:rPr>
          <w:rFonts w:ascii="Times New Roman" w:hAnsi="Times New Roman" w:cs="Times New Roman"/>
          <w:sz w:val="24"/>
          <w:szCs w:val="24"/>
        </w:rPr>
        <w:t xml:space="preserve">.  </w:t>
      </w:r>
      <w:r w:rsidR="004D425C" w:rsidRPr="00C1694A">
        <w:rPr>
          <w:rFonts w:ascii="Times New Roman" w:hAnsi="Times New Roman" w:cs="Times New Roman"/>
          <w:sz w:val="24"/>
          <w:szCs w:val="24"/>
        </w:rPr>
        <w:t xml:space="preserve">  </w:t>
      </w:r>
      <w:r w:rsidRPr="00C1694A">
        <w:rPr>
          <w:rFonts w:ascii="Times New Roman" w:hAnsi="Times New Roman" w:cs="Times New Roman"/>
          <w:sz w:val="24"/>
          <w:szCs w:val="24"/>
        </w:rPr>
        <w:t>We retained this provision as proposed.</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about the provision in paragraph (c)</w:t>
      </w:r>
      <w:r w:rsidR="00B92D7B" w:rsidRPr="00C1694A">
        <w:rPr>
          <w:rFonts w:ascii="Times New Roman" w:hAnsi="Times New Roman" w:cs="Times New Roman"/>
          <w:sz w:val="24"/>
          <w:szCs w:val="24"/>
        </w:rPr>
        <w:t>(1)</w:t>
      </w:r>
      <w:r w:rsidRPr="00C1694A">
        <w:rPr>
          <w:rFonts w:ascii="Times New Roman" w:hAnsi="Times New Roman" w:cs="Times New Roman"/>
          <w:sz w:val="24"/>
          <w:szCs w:val="24"/>
        </w:rPr>
        <w:t>, which provides flexibility to support the attendance of children experiencing homelessness.  Many commenters w</w:t>
      </w:r>
      <w:r w:rsidR="0095075C" w:rsidRPr="00C1694A">
        <w:rPr>
          <w:rFonts w:ascii="Times New Roman" w:hAnsi="Times New Roman" w:cs="Times New Roman"/>
          <w:sz w:val="24"/>
          <w:szCs w:val="24"/>
        </w:rPr>
        <w:t xml:space="preserve">ere concerned about the reference to </w:t>
      </w:r>
      <w:r w:rsidRPr="00C1694A">
        <w:rPr>
          <w:rFonts w:ascii="Times New Roman" w:hAnsi="Times New Roman" w:cs="Times New Roman"/>
          <w:sz w:val="24"/>
          <w:szCs w:val="24"/>
        </w:rPr>
        <w:t>bi</w:t>
      </w:r>
      <w:r w:rsidR="0095075C" w:rsidRPr="00C1694A">
        <w:rPr>
          <w:rFonts w:ascii="Times New Roman" w:hAnsi="Times New Roman" w:cs="Times New Roman"/>
          <w:sz w:val="24"/>
          <w:szCs w:val="24"/>
        </w:rPr>
        <w:t>rth certificates</w:t>
      </w:r>
      <w:r w:rsidRPr="00C1694A">
        <w:rPr>
          <w:rFonts w:ascii="Times New Roman" w:hAnsi="Times New Roman" w:cs="Times New Roman"/>
          <w:sz w:val="24"/>
          <w:szCs w:val="24"/>
        </w:rPr>
        <w:t xml:space="preserve"> in </w:t>
      </w:r>
      <w:r w:rsidR="0095075C" w:rsidRPr="00C1694A">
        <w:rPr>
          <w:rFonts w:ascii="Times New Roman" w:hAnsi="Times New Roman" w:cs="Times New Roman"/>
          <w:sz w:val="24"/>
          <w:szCs w:val="24"/>
        </w:rPr>
        <w:t>our proposal</w:t>
      </w:r>
      <w:r w:rsidRPr="00C1694A">
        <w:rPr>
          <w:rFonts w:ascii="Times New Roman" w:hAnsi="Times New Roman" w:cs="Times New Roman"/>
          <w:sz w:val="24"/>
          <w:szCs w:val="24"/>
        </w:rPr>
        <w:t xml:space="preserve"> for fear it implied programs can require birth certificates for enrollment.  Many commenters supported the flexibility but were concerned about how to satisfy </w:t>
      </w:r>
      <w:r w:rsidR="00203BE8" w:rsidRPr="00C1694A">
        <w:rPr>
          <w:rFonts w:ascii="Times New Roman" w:hAnsi="Times New Roman" w:cs="Times New Roman"/>
          <w:sz w:val="24"/>
          <w:szCs w:val="24"/>
        </w:rPr>
        <w:t>f</w:t>
      </w:r>
      <w:r w:rsidRPr="00C1694A">
        <w:rPr>
          <w:rFonts w:ascii="Times New Roman" w:hAnsi="Times New Roman" w:cs="Times New Roman"/>
          <w:sz w:val="24"/>
          <w:szCs w:val="24"/>
        </w:rPr>
        <w:t xml:space="preserve">ederal and state requirements when they are in conflict.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were concerned this standard would pose a public health concern.</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3F5EE4" w:rsidRPr="00C1694A">
        <w:rPr>
          <w:rFonts w:ascii="Times New Roman" w:hAnsi="Times New Roman" w:cs="Times New Roman"/>
          <w:sz w:val="24"/>
          <w:szCs w:val="24"/>
        </w:rPr>
        <w:t xml:space="preserve"> Birth certificates are not required for enrollment.  We have revised paragraph (c) to eliminate confusion.  </w:t>
      </w:r>
      <w:r w:rsidR="00B2491B" w:rsidRPr="00C1694A">
        <w:rPr>
          <w:rFonts w:ascii="Times New Roman" w:hAnsi="Times New Roman" w:cs="Times New Roman"/>
          <w:sz w:val="24"/>
          <w:szCs w:val="24"/>
        </w:rPr>
        <w:t>Additionally, in</w:t>
      </w:r>
      <w:r w:rsidR="003F5EE4" w:rsidRPr="00C1694A">
        <w:rPr>
          <w:rFonts w:ascii="Times New Roman" w:hAnsi="Times New Roman" w:cs="Times New Roman"/>
          <w:sz w:val="24"/>
          <w:szCs w:val="24"/>
        </w:rPr>
        <w:t xml:space="preserve"> order to address the conflict between the</w:t>
      </w:r>
      <w:r w:rsidRPr="00C1694A">
        <w:rPr>
          <w:rFonts w:ascii="Times New Roman" w:hAnsi="Times New Roman" w:cs="Times New Roman"/>
          <w:sz w:val="24"/>
          <w:szCs w:val="24"/>
        </w:rPr>
        <w:t xml:space="preserve"> program performance standards </w:t>
      </w:r>
      <w:r w:rsidR="003F5EE4" w:rsidRPr="00C1694A">
        <w:rPr>
          <w:rFonts w:ascii="Times New Roman" w:hAnsi="Times New Roman" w:cs="Times New Roman"/>
          <w:sz w:val="24"/>
          <w:szCs w:val="24"/>
        </w:rPr>
        <w:t>and</w:t>
      </w:r>
      <w:r w:rsidRPr="00C1694A">
        <w:rPr>
          <w:rFonts w:ascii="Times New Roman" w:hAnsi="Times New Roman" w:cs="Times New Roman"/>
          <w:sz w:val="24"/>
          <w:szCs w:val="24"/>
        </w:rPr>
        <w:t xml:space="preserve"> state licensing requirements</w:t>
      </w:r>
      <w:r w:rsidR="003F5EE4" w:rsidRPr="00C1694A">
        <w:rPr>
          <w:rFonts w:ascii="Times New Roman" w:hAnsi="Times New Roman" w:cs="Times New Roman"/>
          <w:sz w:val="24"/>
          <w:szCs w:val="24"/>
        </w:rPr>
        <w:t xml:space="preserve"> and any public health concerns</w:t>
      </w:r>
      <w:r w:rsidRPr="00C1694A">
        <w:rPr>
          <w:rFonts w:ascii="Times New Roman" w:hAnsi="Times New Roman" w:cs="Times New Roman"/>
          <w:sz w:val="24"/>
          <w:szCs w:val="24"/>
        </w:rPr>
        <w:t>,</w:t>
      </w:r>
      <w:r w:rsidR="003F5EE4" w:rsidRPr="00C1694A">
        <w:rPr>
          <w:rFonts w:ascii="Times New Roman" w:hAnsi="Times New Roman" w:cs="Times New Roman"/>
          <w:sz w:val="24"/>
          <w:szCs w:val="24"/>
        </w:rPr>
        <w:t xml:space="preserve"> we have clarified that</w:t>
      </w:r>
      <w:r w:rsidRPr="00C1694A">
        <w:rPr>
          <w:rFonts w:ascii="Times New Roman" w:hAnsi="Times New Roman" w:cs="Times New Roman"/>
          <w:sz w:val="24"/>
          <w:szCs w:val="24"/>
        </w:rPr>
        <w:t xml:space="preserve"> programs must defer to state licensing requirements.  However, since it is important that children without proper immunizations get up to date and attend Head Start as soon as possible, we also strengthened the standard to require programs to work with families to get children immunized</w:t>
      </w:r>
      <w:r w:rsidR="003F5EE4" w:rsidRPr="00C1694A">
        <w:rPr>
          <w:rFonts w:ascii="Times New Roman" w:hAnsi="Times New Roman" w:cs="Times New Roman"/>
          <w:sz w:val="24"/>
          <w:szCs w:val="24"/>
        </w:rPr>
        <w:t xml:space="preserve"> as soon as possible</w:t>
      </w:r>
      <w:r w:rsidRPr="00C1694A">
        <w:rPr>
          <w:rFonts w:ascii="Times New Roman" w:hAnsi="Times New Roman" w:cs="Times New Roman"/>
          <w:sz w:val="24"/>
          <w:szCs w:val="24"/>
        </w:rPr>
        <w:t xml:space="preserve">. </w:t>
      </w:r>
      <w:r w:rsidR="003F5EE4" w:rsidRPr="00C1694A">
        <w:rPr>
          <w:rFonts w:ascii="Times New Roman" w:hAnsi="Times New Roman" w:cs="Times New Roman"/>
          <w:sz w:val="24"/>
          <w:szCs w:val="24"/>
        </w:rPr>
        <w:t xml:space="preserve"> </w:t>
      </w:r>
    </w:p>
    <w:p w:rsidR="00A60E33" w:rsidRPr="00C1694A" w:rsidRDefault="00A60E33"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stated the provision in paragraph (c)(2) about providing transportation for children experiencing homelessness where possible was too stringent</w:t>
      </w:r>
      <w:r w:rsidR="0095075C"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stated it was not strong enough</w:t>
      </w:r>
      <w:r w:rsidR="00B2491B" w:rsidRPr="00C1694A">
        <w:rPr>
          <w:rFonts w:ascii="Times New Roman" w:hAnsi="Times New Roman" w:cs="Times New Roman"/>
          <w:sz w:val="24"/>
          <w:szCs w:val="24"/>
        </w:rPr>
        <w:t xml:space="preserve"> and recommended requirements</w:t>
      </w:r>
      <w:r w:rsidR="00284596" w:rsidRPr="00C1694A">
        <w:rPr>
          <w:rFonts w:ascii="Times New Roman" w:hAnsi="Times New Roman" w:cs="Times New Roman"/>
          <w:sz w:val="24"/>
          <w:szCs w:val="24"/>
        </w:rPr>
        <w:t xml:space="preserve"> that mirror those in the McKinney-Vento Act.  </w:t>
      </w:r>
      <w:r w:rsidR="00AC4618" w:rsidRPr="00C1694A">
        <w:rPr>
          <w:rFonts w:ascii="Times New Roman" w:hAnsi="Times New Roman" w:cs="Times New Roman"/>
          <w:sz w:val="24"/>
          <w:szCs w:val="24"/>
        </w:rPr>
        <w:t xml:space="preserve">Some </w:t>
      </w:r>
      <w:r w:rsidR="00284596" w:rsidRPr="00C1694A">
        <w:rPr>
          <w:rFonts w:ascii="Times New Roman" w:hAnsi="Times New Roman" w:cs="Times New Roman"/>
          <w:sz w:val="24"/>
          <w:szCs w:val="24"/>
        </w:rPr>
        <w:t xml:space="preserve">commenters </w:t>
      </w:r>
      <w:r w:rsidRPr="00C1694A">
        <w:rPr>
          <w:rFonts w:ascii="Times New Roman" w:hAnsi="Times New Roman" w:cs="Times New Roman"/>
          <w:sz w:val="24"/>
          <w:szCs w:val="24"/>
        </w:rPr>
        <w:t>requested additional clarification about using program funds if community resources are unavailable.</w:t>
      </w:r>
    </w:p>
    <w:p w:rsidR="00A60E33" w:rsidRPr="00C1694A" w:rsidRDefault="00A60E33"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B2491B" w:rsidRPr="00C1694A">
        <w:rPr>
          <w:rFonts w:ascii="Times New Roman" w:hAnsi="Times New Roman" w:cs="Times New Roman"/>
          <w:sz w:val="24"/>
          <w:szCs w:val="24"/>
        </w:rPr>
        <w:t xml:space="preserve">A program may use program funds to provide transportation to all children in the program or to a subset, such as homeless children.  However, approximately </w:t>
      </w:r>
      <w:r w:rsidR="00AC23AE" w:rsidRPr="00C1694A">
        <w:rPr>
          <w:rFonts w:ascii="Times New Roman" w:hAnsi="Times New Roman" w:cs="Times New Roman"/>
          <w:sz w:val="24"/>
          <w:szCs w:val="24"/>
        </w:rPr>
        <w:t xml:space="preserve">40 percent </w:t>
      </w:r>
      <w:r w:rsidR="00B2491B" w:rsidRPr="00C1694A">
        <w:rPr>
          <w:rFonts w:ascii="Times New Roman" w:hAnsi="Times New Roman" w:cs="Times New Roman"/>
          <w:sz w:val="24"/>
          <w:szCs w:val="24"/>
        </w:rPr>
        <w:t>of programs provide transportation services.  We believe the requirement for programs to use community resources if available to transport homeless children while allowing but not requiring the use of program funds to do so is the appropriate approach, and have not changed this provision.</w:t>
      </w:r>
    </w:p>
    <w:p w:rsidR="00C219FC" w:rsidRPr="00C1694A" w:rsidRDefault="00C219FC"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§1302.17 Suspension and expulsion.</w:t>
      </w:r>
    </w:p>
    <w:p w:rsidR="00343EB8" w:rsidRPr="00C1694A" w:rsidRDefault="00343EB8" w:rsidP="00343EB8">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rPr>
        <w:t>This section outlines the program performance standards pertaining to the suspension and expulsion of Head Start children. These standards codify long-standing practice to prohibit expulsion of Head Start children. However, given recent research that indicates suspensions and expulsions occur at high rates in preschool settings,</w:t>
      </w:r>
      <w:r w:rsidRPr="00C1694A">
        <w:rPr>
          <w:rFonts w:ascii="Times New Roman" w:eastAsia="MS Mincho" w:hAnsi="Times New Roman" w:cs="Times New Roman"/>
          <w:sz w:val="24"/>
          <w:szCs w:val="24"/>
          <w:vertAlign w:val="superscript"/>
        </w:rPr>
        <w:footnoteReference w:id="47"/>
      </w:r>
      <w:r w:rsidRPr="00C1694A">
        <w:rPr>
          <w:rFonts w:ascii="Times New Roman" w:eastAsia="MS Mincho" w:hAnsi="Times New Roman" w:cs="Times New Roman"/>
          <w:sz w:val="24"/>
          <w:szCs w:val="24"/>
          <w:vertAlign w:val="superscript"/>
        </w:rPr>
        <w:t>,</w:t>
      </w:r>
      <w:r w:rsidRPr="00C1694A">
        <w:rPr>
          <w:rFonts w:ascii="Times New Roman" w:eastAsia="MS Mincho" w:hAnsi="Times New Roman" w:cs="Times New Roman"/>
          <w:sz w:val="24"/>
          <w:szCs w:val="24"/>
          <w:vertAlign w:val="superscript"/>
        </w:rPr>
        <w:footnoteReference w:id="48"/>
      </w:r>
      <w:r w:rsidRPr="00C1694A">
        <w:rPr>
          <w:rFonts w:ascii="Times New Roman" w:eastAsia="MS Mincho" w:hAnsi="Times New Roman" w:cs="Times New Roman"/>
          <w:sz w:val="24"/>
          <w:szCs w:val="24"/>
          <w:vertAlign w:val="superscript"/>
        </w:rPr>
        <w:t>,</w:t>
      </w:r>
      <w:r w:rsidRPr="00C1694A">
        <w:rPr>
          <w:rFonts w:ascii="Times New Roman" w:eastAsia="MS Mincho" w:hAnsi="Times New Roman" w:cs="Times New Roman"/>
          <w:sz w:val="24"/>
          <w:szCs w:val="24"/>
          <w:vertAlign w:val="superscript"/>
        </w:rPr>
        <w:footnoteReference w:id="49"/>
      </w:r>
      <w:r w:rsidRPr="00C1694A">
        <w:rPr>
          <w:rFonts w:ascii="Times New Roman" w:eastAsia="MS Mincho" w:hAnsi="Times New Roman" w:cs="Times New Roman"/>
          <w:sz w:val="24"/>
          <w:szCs w:val="24"/>
        </w:rPr>
        <w:t xml:space="preserve"> we explicitly require all programs to prohibit expulsion and limit suspension in Head Start and Early Head Start settings and further require programs to take steps, based on best practices, to support the social, emotional and other development of children who demonstrate serious behavioral issues. </w:t>
      </w:r>
    </w:p>
    <w:p w:rsidR="00C219FC"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rPr>
        <w:t xml:space="preserve">In general, many commenters were supportive of the standards described in this section. However, some commenters expressed concern about the implementation of these standards if, for example, parents refuse mental health consultation, programs lack specialized staff, and alternative placements for children are not available.  Below, we summarize and respond to these and other comments on this section. </w:t>
      </w:r>
    </w:p>
    <w:p w:rsidR="008A55FA" w:rsidRPr="00C1694A" w:rsidRDefault="008A55FA"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u w:val="single"/>
        </w:rPr>
        <w:t>Comment:</w:t>
      </w:r>
      <w:r w:rsidRPr="00C1694A">
        <w:rPr>
          <w:rFonts w:ascii="Times New Roman" w:eastAsia="MS Mincho" w:hAnsi="Times New Roman" w:cs="Times New Roman"/>
          <w:sz w:val="24"/>
          <w:szCs w:val="24"/>
        </w:rPr>
        <w:t xml:space="preserve">  Commenters recommended we define “suspension” and “expulsion.” </w:t>
      </w:r>
    </w:p>
    <w:p w:rsidR="008A55FA" w:rsidRPr="00C1694A" w:rsidRDefault="008A55FA" w:rsidP="008A55F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u w:val="single"/>
        </w:rPr>
        <w:t>Response:</w:t>
      </w:r>
      <w:r w:rsidRPr="00C1694A">
        <w:rPr>
          <w:rFonts w:ascii="Times New Roman" w:eastAsia="MS Mincho" w:hAnsi="Times New Roman" w:cs="Times New Roman"/>
          <w:sz w:val="24"/>
          <w:szCs w:val="24"/>
        </w:rPr>
        <w:t xml:space="preserve"> We did not add definitions for these terms.  We note that other Federal laws contain requirements and safeguards when children with disabilities are suspended or expelled. IDEA’s discipline procedures apply to children with disabilities as defined in section 602(3) of IDEA in Head Start Programs. See IDEA section 615(k), 20 U.S.C. 1415(k) and 34 CFR 300.530 through 300.536.</w:t>
      </w:r>
    </w:p>
    <w:p w:rsidR="008A55FA" w:rsidRPr="00C1694A" w:rsidRDefault="008A55FA" w:rsidP="008A55F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rPr>
        <w:t xml:space="preserve">There are other safeguards for children who are not served under IDEA but who are protected under Section 504 of the Rehabilitation Act of 1973 (Section 504), 29 U.S.C. 794, and Title II of the Americans with Disabilities Act (Title II), 42 U.S.C. 12131 </w:t>
      </w:r>
      <w:r w:rsidRPr="00AC521C">
        <w:rPr>
          <w:rFonts w:ascii="Times New Roman" w:eastAsia="MS Mincho" w:hAnsi="Times New Roman" w:cs="Times New Roman"/>
          <w:i/>
          <w:sz w:val="24"/>
          <w:szCs w:val="24"/>
        </w:rPr>
        <w:t>et seq</w:t>
      </w:r>
      <w:r w:rsidR="00356263">
        <w:rPr>
          <w:rFonts w:ascii="Times New Roman" w:eastAsia="MS Mincho" w:hAnsi="Times New Roman" w:cs="Times New Roman"/>
          <w:sz w:val="24"/>
          <w:szCs w:val="24"/>
        </w:rPr>
        <w:t>.</w:t>
      </w:r>
      <w:r w:rsidRPr="00C1694A">
        <w:rPr>
          <w:rFonts w:ascii="Times New Roman" w:eastAsia="MS Mincho" w:hAnsi="Times New Roman" w:cs="Times New Roman"/>
          <w:sz w:val="24"/>
          <w:szCs w:val="24"/>
        </w:rPr>
        <w:t>, because they satisfy the definition of disability in those Acts.  Those statutes, IDEA, Section 504, and Title II also do not contain definitions for the terms “suspension” or “expulsion.” We expect programs to consider their ordinary and customary meanings.  However, we think this section makes clear our expectations about supporting children instead of suspending and expelling them.</w:t>
      </w:r>
    </w:p>
    <w:p w:rsidR="00C219FC"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u w:val="single"/>
        </w:rPr>
        <w:t>Comment:</w:t>
      </w:r>
      <w:r w:rsidRPr="00C1694A">
        <w:rPr>
          <w:rFonts w:ascii="Times New Roman" w:eastAsia="MS Mincho" w:hAnsi="Times New Roman" w:cs="Times New Roman"/>
          <w:sz w:val="24"/>
          <w:szCs w:val="24"/>
        </w:rPr>
        <w:t xml:space="preserve"> </w:t>
      </w:r>
      <w:r w:rsidR="00AC4618" w:rsidRPr="00C1694A">
        <w:rPr>
          <w:rFonts w:ascii="Times New Roman" w:eastAsia="MS Mincho" w:hAnsi="Times New Roman" w:cs="Times New Roman"/>
          <w:sz w:val="24"/>
          <w:szCs w:val="24"/>
        </w:rPr>
        <w:t xml:space="preserve">Some </w:t>
      </w:r>
      <w:r w:rsidRPr="00C1694A">
        <w:rPr>
          <w:rFonts w:ascii="Times New Roman" w:eastAsia="MS Mincho" w:hAnsi="Times New Roman" w:cs="Times New Roman"/>
          <w:sz w:val="24"/>
          <w:szCs w:val="24"/>
        </w:rPr>
        <w:t>commenters suggested we revise the suspension requirements in paragraph (a) to provide more support for children who may be temporarily suspended for challenging behavior.  Others recommended we completely prohibit suspension instead of requir</w:t>
      </w:r>
      <w:r w:rsidR="00B92D7B" w:rsidRPr="00C1694A">
        <w:rPr>
          <w:rFonts w:ascii="Times New Roman" w:eastAsia="MS Mincho" w:hAnsi="Times New Roman" w:cs="Times New Roman"/>
          <w:sz w:val="24"/>
          <w:szCs w:val="24"/>
        </w:rPr>
        <w:t>ing</w:t>
      </w:r>
      <w:r w:rsidRPr="00C1694A">
        <w:rPr>
          <w:rFonts w:ascii="Times New Roman" w:eastAsia="MS Mincho" w:hAnsi="Times New Roman" w:cs="Times New Roman"/>
          <w:sz w:val="24"/>
          <w:szCs w:val="24"/>
        </w:rPr>
        <w:t xml:space="preserve"> programs </w:t>
      </w:r>
      <w:r w:rsidR="00B92D7B" w:rsidRPr="00C1694A">
        <w:rPr>
          <w:rFonts w:ascii="Times New Roman" w:eastAsia="MS Mincho" w:hAnsi="Times New Roman" w:cs="Times New Roman"/>
          <w:sz w:val="24"/>
          <w:szCs w:val="24"/>
        </w:rPr>
        <w:t xml:space="preserve">to </w:t>
      </w:r>
      <w:r w:rsidRPr="00C1694A">
        <w:rPr>
          <w:rFonts w:ascii="Times New Roman" w:eastAsia="MS Mincho" w:hAnsi="Times New Roman" w:cs="Times New Roman"/>
          <w:sz w:val="24"/>
          <w:szCs w:val="24"/>
        </w:rPr>
        <w:t xml:space="preserve">severely limit the use of suspension.  </w:t>
      </w:r>
      <w:r w:rsidR="00AC4618" w:rsidRPr="00C1694A">
        <w:rPr>
          <w:rFonts w:ascii="Times New Roman" w:eastAsia="MS Mincho" w:hAnsi="Times New Roman" w:cs="Times New Roman"/>
          <w:sz w:val="24"/>
          <w:szCs w:val="24"/>
        </w:rPr>
        <w:t xml:space="preserve">Some </w:t>
      </w:r>
      <w:r w:rsidRPr="00C1694A">
        <w:rPr>
          <w:rFonts w:ascii="Times New Roman" w:eastAsia="MS Mincho" w:hAnsi="Times New Roman" w:cs="Times New Roman"/>
          <w:sz w:val="24"/>
          <w:szCs w:val="24"/>
        </w:rPr>
        <w:t>commenters suggested we require programs document the support services provided to each child during a temporary suspension and upon their return.  Commenters also recommended we require programs to conduct home visits during any temporary suspension.  Other commenters requested we require specific interventions, such as early childhood mental health consultation before a temporary suspension is permitted.</w:t>
      </w:r>
    </w:p>
    <w:p w:rsidR="00C219FC" w:rsidRPr="00C1694A" w:rsidRDefault="00C219FC" w:rsidP="009A526A">
      <w:pPr>
        <w:spacing w:after="0" w:line="480" w:lineRule="auto"/>
        <w:rPr>
          <w:rFonts w:ascii="Times New Roman" w:eastAsia="MS Mincho" w:hAnsi="Times New Roman" w:cs="Times New Roman"/>
          <w:sz w:val="24"/>
          <w:szCs w:val="24"/>
        </w:rPr>
      </w:pPr>
      <w:r w:rsidRPr="00C1694A">
        <w:rPr>
          <w:rFonts w:ascii="Times New Roman" w:eastAsia="MS Mincho" w:hAnsi="Times New Roman" w:cs="Times New Roman"/>
          <w:sz w:val="24"/>
          <w:szCs w:val="24"/>
        </w:rPr>
        <w:tab/>
      </w:r>
      <w:r w:rsidRPr="00C1694A">
        <w:rPr>
          <w:rFonts w:ascii="Times New Roman" w:eastAsia="MS Mincho" w:hAnsi="Times New Roman" w:cs="Times New Roman"/>
          <w:sz w:val="24"/>
          <w:szCs w:val="24"/>
          <w:u w:val="single"/>
        </w:rPr>
        <w:t>Response:</w:t>
      </w:r>
      <w:r w:rsidRPr="00C1694A">
        <w:rPr>
          <w:rFonts w:ascii="Times New Roman" w:eastAsia="MS Mincho" w:hAnsi="Times New Roman" w:cs="Times New Roman"/>
          <w:sz w:val="24"/>
          <w:szCs w:val="24"/>
        </w:rPr>
        <w:t xml:space="preserve">  We agree that instances where temporary suspensions are appropriate should be considered extremely rare.  Young children with challenging behaviors should be supported and not excluded.  Therefore, the provision in paragraph (a)(1) requires </w:t>
      </w:r>
      <w:r w:rsidR="00B92D7B" w:rsidRPr="00C1694A">
        <w:rPr>
          <w:rFonts w:ascii="Times New Roman" w:eastAsia="MS Mincho" w:hAnsi="Times New Roman" w:cs="Times New Roman"/>
          <w:sz w:val="24"/>
          <w:szCs w:val="24"/>
        </w:rPr>
        <w:t xml:space="preserve">the </w:t>
      </w:r>
      <w:r w:rsidRPr="00C1694A">
        <w:rPr>
          <w:rFonts w:ascii="Times New Roman" w:eastAsia="MS Mincho" w:hAnsi="Times New Roman" w:cs="Times New Roman"/>
          <w:sz w:val="24"/>
          <w:szCs w:val="24"/>
        </w:rPr>
        <w:t xml:space="preserve">program to prohibit or severely limit the use of suspension. We agree that our requirements for limitation on suspension did not appropriately focus enough on preventive and support services.  We revised paragraphs (a)(3) and (4) to ensure appropriate support services in the extremely rare circumstances where programs consider suspension for the safety of children or staff. We revised paragraph (a)(3) to require programs </w:t>
      </w:r>
      <w:r w:rsidR="00B92D7B" w:rsidRPr="00C1694A">
        <w:rPr>
          <w:rFonts w:ascii="Times New Roman" w:eastAsia="MS Mincho" w:hAnsi="Times New Roman" w:cs="Times New Roman"/>
          <w:sz w:val="24"/>
          <w:szCs w:val="24"/>
        </w:rPr>
        <w:t xml:space="preserve">to </w:t>
      </w:r>
      <w:r w:rsidRPr="00C1694A">
        <w:rPr>
          <w:rFonts w:ascii="Times New Roman" w:eastAsia="MS Mincho" w:hAnsi="Times New Roman" w:cs="Times New Roman"/>
          <w:sz w:val="24"/>
          <w:szCs w:val="24"/>
        </w:rPr>
        <w:t>engage with mental health consultants and parents before a program decides on a temporary suspension.  In addition, we revised paragraph (a)(4) to engage with a mental health consultant</w:t>
      </w:r>
      <w:r w:rsidR="00994F81" w:rsidRPr="00C1694A">
        <w:rPr>
          <w:rFonts w:ascii="Times New Roman" w:eastAsia="MS Mincho" w:hAnsi="Times New Roman" w:cs="Times New Roman"/>
          <w:sz w:val="24"/>
          <w:szCs w:val="24"/>
        </w:rPr>
        <w:t xml:space="preserve"> and parents</w:t>
      </w:r>
      <w:r w:rsidRPr="00C1694A">
        <w:rPr>
          <w:rFonts w:ascii="Times New Roman" w:eastAsia="MS Mincho" w:hAnsi="Times New Roman" w:cs="Times New Roman"/>
          <w:sz w:val="24"/>
          <w:szCs w:val="24"/>
        </w:rPr>
        <w:t xml:space="preserve"> and provide supportive services such as home visits, and written plans of action, to support a child during a temporary suspension to facilitate their full participation in all program activities.  </w:t>
      </w:r>
    </w:p>
    <w:p w:rsidR="00C219FC" w:rsidRPr="00C1694A" w:rsidRDefault="00C219FC" w:rsidP="009A526A">
      <w:pPr>
        <w:spacing w:after="0" w:line="480" w:lineRule="auto"/>
        <w:rPr>
          <w:rFonts w:ascii="Times New Roman" w:eastAsia="MS Mincho" w:hAnsi="Times New Roman" w:cs="Times New Roman"/>
          <w:sz w:val="24"/>
          <w:szCs w:val="24"/>
        </w:rPr>
      </w:pPr>
      <w:r w:rsidRPr="00C1694A">
        <w:rPr>
          <w:rFonts w:ascii="Times New Roman" w:eastAsia="MS Mincho" w:hAnsi="Times New Roman" w:cs="Times New Roman"/>
          <w:sz w:val="24"/>
          <w:szCs w:val="24"/>
        </w:rPr>
        <w:tab/>
      </w:r>
      <w:r w:rsidRPr="00C1694A">
        <w:rPr>
          <w:rFonts w:ascii="Times New Roman" w:eastAsia="MS Mincho" w:hAnsi="Times New Roman" w:cs="Times New Roman"/>
          <w:sz w:val="24"/>
          <w:szCs w:val="24"/>
          <w:u w:val="single"/>
        </w:rPr>
        <w:t>Comment:</w:t>
      </w:r>
      <w:r w:rsidRPr="00C1694A">
        <w:rPr>
          <w:rFonts w:ascii="Times New Roman" w:eastAsia="MS Mincho" w:hAnsi="Times New Roman" w:cs="Times New Roman"/>
          <w:sz w:val="24"/>
          <w:szCs w:val="24"/>
        </w:rPr>
        <w:t xml:space="preserve"> Many commenters generally supported our requirements, described in paragrap</w:t>
      </w:r>
      <w:r w:rsidR="009B38FE" w:rsidRPr="00C1694A">
        <w:rPr>
          <w:rFonts w:ascii="Times New Roman" w:eastAsia="MS Mincho" w:hAnsi="Times New Roman" w:cs="Times New Roman"/>
          <w:sz w:val="24"/>
          <w:szCs w:val="24"/>
        </w:rPr>
        <w:t>h (b), to prohibit expulsion.  Many c</w:t>
      </w:r>
      <w:r w:rsidRPr="00C1694A">
        <w:rPr>
          <w:rFonts w:ascii="Times New Roman" w:eastAsia="MS Mincho" w:hAnsi="Times New Roman" w:cs="Times New Roman"/>
          <w:sz w:val="24"/>
          <w:szCs w:val="24"/>
        </w:rPr>
        <w:t xml:space="preserve">ommenters appreciated our focus on positive interventions instead of punishment, indicated that they already prohibit expulsion in their programs, </w:t>
      </w:r>
      <w:r w:rsidR="009B38FE" w:rsidRPr="00C1694A">
        <w:rPr>
          <w:rFonts w:ascii="Times New Roman" w:eastAsia="MS Mincho" w:hAnsi="Times New Roman" w:cs="Times New Roman"/>
          <w:sz w:val="24"/>
          <w:szCs w:val="24"/>
        </w:rPr>
        <w:t>or</w:t>
      </w:r>
      <w:r w:rsidRPr="00C1694A">
        <w:rPr>
          <w:rFonts w:ascii="Times New Roman" w:eastAsia="MS Mincho" w:hAnsi="Times New Roman" w:cs="Times New Roman"/>
          <w:sz w:val="24"/>
          <w:szCs w:val="24"/>
        </w:rPr>
        <w:t xml:space="preserve"> wanted clarification that expulsion would not be permitted under any circumstances. </w:t>
      </w:r>
      <w:r w:rsidR="009B38FE" w:rsidRPr="00C1694A">
        <w:rPr>
          <w:rFonts w:ascii="Times New Roman" w:eastAsia="MS Mincho" w:hAnsi="Times New Roman" w:cs="Times New Roman"/>
          <w:sz w:val="24"/>
          <w:szCs w:val="24"/>
        </w:rPr>
        <w:t xml:space="preserve"> </w:t>
      </w:r>
      <w:r w:rsidR="00AC4618" w:rsidRPr="00C1694A">
        <w:rPr>
          <w:rFonts w:ascii="Times New Roman" w:eastAsia="MS Mincho" w:hAnsi="Times New Roman" w:cs="Times New Roman"/>
          <w:sz w:val="24"/>
          <w:szCs w:val="24"/>
        </w:rPr>
        <w:t xml:space="preserve">Some </w:t>
      </w:r>
      <w:r w:rsidRPr="00C1694A">
        <w:rPr>
          <w:rFonts w:ascii="Times New Roman" w:eastAsia="MS Mincho" w:hAnsi="Times New Roman" w:cs="Times New Roman"/>
          <w:sz w:val="24"/>
          <w:szCs w:val="24"/>
        </w:rPr>
        <w:t xml:space="preserve">commenters suggested that Head Start programs do not suspend or expel children often enough to warrant federal requirements, and questioned why such requirements were necessary. </w:t>
      </w:r>
    </w:p>
    <w:p w:rsidR="00AF73A6"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rPr>
        <w:t>Some commenters</w:t>
      </w:r>
      <w:r w:rsidR="009B38FE" w:rsidRPr="00C1694A">
        <w:rPr>
          <w:rFonts w:ascii="Times New Roman" w:eastAsia="MS Mincho" w:hAnsi="Times New Roman" w:cs="Times New Roman"/>
          <w:sz w:val="24"/>
          <w:szCs w:val="24"/>
        </w:rPr>
        <w:t xml:space="preserve"> were concerned about an outright prohibition on expulsion in paragraph (b).  Commenters were worried it limited their options and raised concerns about how to effectively and safely implement this in their programs. </w:t>
      </w:r>
      <w:r w:rsidRPr="00C1694A">
        <w:rPr>
          <w:rFonts w:ascii="Times New Roman" w:eastAsia="MS Mincho" w:hAnsi="Times New Roman" w:cs="Times New Roman"/>
          <w:sz w:val="24"/>
          <w:szCs w:val="24"/>
        </w:rPr>
        <w:t xml:space="preserve"> Commenters </w:t>
      </w:r>
      <w:r w:rsidR="009B38FE" w:rsidRPr="00C1694A">
        <w:rPr>
          <w:rFonts w:ascii="Times New Roman" w:eastAsia="MS Mincho" w:hAnsi="Times New Roman" w:cs="Times New Roman"/>
          <w:sz w:val="24"/>
          <w:szCs w:val="24"/>
        </w:rPr>
        <w:t>raised</w:t>
      </w:r>
      <w:r w:rsidRPr="00C1694A">
        <w:rPr>
          <w:rFonts w:ascii="Times New Roman" w:eastAsia="MS Mincho" w:hAnsi="Times New Roman" w:cs="Times New Roman"/>
          <w:sz w:val="24"/>
          <w:szCs w:val="24"/>
        </w:rPr>
        <w:t xml:space="preserve"> a number of different</w:t>
      </w:r>
      <w:r w:rsidR="009B38FE" w:rsidRPr="00C1694A">
        <w:rPr>
          <w:rFonts w:ascii="Times New Roman" w:eastAsia="MS Mincho" w:hAnsi="Times New Roman" w:cs="Times New Roman"/>
          <w:sz w:val="24"/>
          <w:szCs w:val="24"/>
        </w:rPr>
        <w:t xml:space="preserve"> issues, including parents refusing</w:t>
      </w:r>
      <w:r w:rsidRPr="00C1694A">
        <w:rPr>
          <w:rFonts w:ascii="Times New Roman" w:eastAsia="MS Mincho" w:hAnsi="Times New Roman" w:cs="Times New Roman"/>
          <w:sz w:val="24"/>
          <w:szCs w:val="24"/>
        </w:rPr>
        <w:t xml:space="preserve"> menta</w:t>
      </w:r>
      <w:r w:rsidR="009B38FE" w:rsidRPr="00C1694A">
        <w:rPr>
          <w:rFonts w:ascii="Times New Roman" w:eastAsia="MS Mincho" w:hAnsi="Times New Roman" w:cs="Times New Roman"/>
          <w:sz w:val="24"/>
          <w:szCs w:val="24"/>
        </w:rPr>
        <w:t xml:space="preserve">l health consultation or </w:t>
      </w:r>
      <w:r w:rsidR="0095075C" w:rsidRPr="00C1694A">
        <w:rPr>
          <w:rFonts w:ascii="Times New Roman" w:eastAsia="MS Mincho" w:hAnsi="Times New Roman" w:cs="Times New Roman"/>
          <w:sz w:val="24"/>
          <w:szCs w:val="24"/>
        </w:rPr>
        <w:t>disagreeing</w:t>
      </w:r>
      <w:r w:rsidRPr="00C1694A">
        <w:rPr>
          <w:rFonts w:ascii="Times New Roman" w:eastAsia="MS Mincho" w:hAnsi="Times New Roman" w:cs="Times New Roman"/>
          <w:sz w:val="24"/>
          <w:szCs w:val="24"/>
        </w:rPr>
        <w:t xml:space="preserve"> that their child needs additional services; danger to other children and staff; liabilities to programs; programs not hav</w:t>
      </w:r>
      <w:r w:rsidR="009B38FE" w:rsidRPr="00C1694A">
        <w:rPr>
          <w:rFonts w:ascii="Times New Roman" w:eastAsia="MS Mincho" w:hAnsi="Times New Roman" w:cs="Times New Roman"/>
          <w:sz w:val="24"/>
          <w:szCs w:val="24"/>
        </w:rPr>
        <w:t>ing</w:t>
      </w:r>
      <w:r w:rsidRPr="00C1694A">
        <w:rPr>
          <w:rFonts w:ascii="Times New Roman" w:eastAsia="MS Mincho" w:hAnsi="Times New Roman" w:cs="Times New Roman"/>
          <w:sz w:val="24"/>
          <w:szCs w:val="24"/>
        </w:rPr>
        <w:t xml:space="preserve"> the specialized staff or access to appropriate services; and </w:t>
      </w:r>
      <w:r w:rsidR="009B38FE" w:rsidRPr="00C1694A">
        <w:rPr>
          <w:rFonts w:ascii="Times New Roman" w:eastAsia="MS Mincho" w:hAnsi="Times New Roman" w:cs="Times New Roman"/>
          <w:sz w:val="24"/>
          <w:szCs w:val="24"/>
        </w:rPr>
        <w:t>potential</w:t>
      </w:r>
      <w:r w:rsidRPr="00C1694A">
        <w:rPr>
          <w:rFonts w:ascii="Times New Roman" w:eastAsia="MS Mincho" w:hAnsi="Times New Roman" w:cs="Times New Roman"/>
          <w:sz w:val="24"/>
          <w:szCs w:val="24"/>
        </w:rPr>
        <w:t xml:space="preserve"> conflict</w:t>
      </w:r>
      <w:r w:rsidR="009B38FE" w:rsidRPr="00C1694A">
        <w:rPr>
          <w:rFonts w:ascii="Times New Roman" w:eastAsia="MS Mincho" w:hAnsi="Times New Roman" w:cs="Times New Roman"/>
          <w:sz w:val="24"/>
          <w:szCs w:val="24"/>
        </w:rPr>
        <w:t>s</w:t>
      </w:r>
      <w:r w:rsidRPr="00C1694A">
        <w:rPr>
          <w:rFonts w:ascii="Times New Roman" w:eastAsia="MS Mincho" w:hAnsi="Times New Roman" w:cs="Times New Roman"/>
          <w:sz w:val="24"/>
          <w:szCs w:val="24"/>
        </w:rPr>
        <w:t xml:space="preserve"> with state licensing</w:t>
      </w:r>
      <w:r w:rsidR="009B38FE" w:rsidRPr="00C1694A">
        <w:rPr>
          <w:rFonts w:ascii="Times New Roman" w:eastAsia="MS Mincho" w:hAnsi="Times New Roman" w:cs="Times New Roman"/>
          <w:sz w:val="24"/>
          <w:szCs w:val="24"/>
        </w:rPr>
        <w:t>.</w:t>
      </w:r>
      <w:r w:rsidRPr="00C1694A">
        <w:rPr>
          <w:rFonts w:ascii="Times New Roman" w:eastAsia="MS Mincho" w:hAnsi="Times New Roman" w:cs="Times New Roman"/>
          <w:sz w:val="24"/>
          <w:szCs w:val="24"/>
        </w:rPr>
        <w:t xml:space="preserve">  </w:t>
      </w:r>
      <w:r w:rsidR="009B38FE" w:rsidRPr="00C1694A">
        <w:rPr>
          <w:rFonts w:ascii="Times New Roman" w:eastAsia="MS Mincho" w:hAnsi="Times New Roman" w:cs="Times New Roman"/>
          <w:sz w:val="24"/>
          <w:szCs w:val="24"/>
        </w:rPr>
        <w:t xml:space="preserve">Some commenters suggested that expulsion should be allowed as a last resort for programs, that in some instances the threat of expulsion prevents parents from being disruptive to programs, and suggested that keeping children in the program may not be in their best interest.  </w:t>
      </w:r>
      <w:r w:rsidRPr="00C1694A">
        <w:rPr>
          <w:rFonts w:ascii="Times New Roman" w:eastAsia="MS Mincho" w:hAnsi="Times New Roman" w:cs="Times New Roman"/>
          <w:sz w:val="24"/>
          <w:szCs w:val="24"/>
        </w:rPr>
        <w:t xml:space="preserve">Finally, </w:t>
      </w:r>
      <w:r w:rsidR="00AC4618" w:rsidRPr="00C1694A">
        <w:rPr>
          <w:rFonts w:ascii="Times New Roman" w:eastAsia="MS Mincho" w:hAnsi="Times New Roman" w:cs="Times New Roman"/>
          <w:sz w:val="24"/>
          <w:szCs w:val="24"/>
        </w:rPr>
        <w:t xml:space="preserve">some </w:t>
      </w:r>
      <w:r w:rsidRPr="00C1694A">
        <w:rPr>
          <w:rFonts w:ascii="Times New Roman" w:eastAsia="MS Mincho" w:hAnsi="Times New Roman" w:cs="Times New Roman"/>
          <w:sz w:val="24"/>
          <w:szCs w:val="24"/>
        </w:rPr>
        <w:t xml:space="preserve">commenters requested additional guidance on how to effectively and appropriately implement these requirements, some expressing concern about losing funding if programs are “forced” to suspend a child. </w:t>
      </w:r>
    </w:p>
    <w:p w:rsidR="00C219FC"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rPr>
        <w:t xml:space="preserve">Commenters also offered recommendations they felt made the requirement stronger, including requiring programs to provide staff with access to in-service training to prevent child suspension and expulsion, </w:t>
      </w:r>
      <w:r w:rsidR="00AF73A6" w:rsidRPr="00C1694A">
        <w:rPr>
          <w:rFonts w:ascii="Times New Roman" w:eastAsia="MS Mincho" w:hAnsi="Times New Roman" w:cs="Times New Roman"/>
          <w:sz w:val="24"/>
          <w:szCs w:val="24"/>
        </w:rPr>
        <w:t xml:space="preserve">implementing specific strategies to address challenging behaviors such as trauma assessments, </w:t>
      </w:r>
      <w:r w:rsidRPr="00C1694A">
        <w:rPr>
          <w:rFonts w:ascii="Times New Roman" w:eastAsia="MS Mincho" w:hAnsi="Times New Roman" w:cs="Times New Roman"/>
          <w:sz w:val="24"/>
          <w:szCs w:val="24"/>
        </w:rPr>
        <w:t xml:space="preserve">and providing extra funding to hire additional trained staff.  </w:t>
      </w:r>
      <w:r w:rsidR="00AC4618" w:rsidRPr="00C1694A">
        <w:rPr>
          <w:rFonts w:ascii="Times New Roman" w:eastAsia="MS Mincho" w:hAnsi="Times New Roman" w:cs="Times New Roman"/>
          <w:sz w:val="24"/>
          <w:szCs w:val="24"/>
        </w:rPr>
        <w:t xml:space="preserve">Some </w:t>
      </w:r>
      <w:r w:rsidRPr="00C1694A">
        <w:rPr>
          <w:rFonts w:ascii="Times New Roman" w:eastAsia="MS Mincho" w:hAnsi="Times New Roman" w:cs="Times New Roman"/>
          <w:sz w:val="24"/>
          <w:szCs w:val="24"/>
        </w:rPr>
        <w:t xml:space="preserve">commenters suggested we add a requirement for parents to consent to mental health consultation to address their concern. </w:t>
      </w:r>
    </w:p>
    <w:p w:rsidR="008679DD" w:rsidRPr="00C1694A" w:rsidRDefault="00C219FC" w:rsidP="009A526A">
      <w:pPr>
        <w:spacing w:after="0" w:line="480" w:lineRule="auto"/>
        <w:rPr>
          <w:rFonts w:ascii="Times New Roman" w:eastAsia="Times New Roman" w:hAnsi="Times New Roman" w:cs="Times New Roman"/>
          <w:sz w:val="24"/>
          <w:szCs w:val="24"/>
        </w:rPr>
      </w:pPr>
      <w:r w:rsidRPr="00C1694A">
        <w:rPr>
          <w:rFonts w:ascii="Times New Roman" w:eastAsia="MS Mincho" w:hAnsi="Times New Roman" w:cs="Times New Roman"/>
          <w:sz w:val="24"/>
          <w:szCs w:val="24"/>
        </w:rPr>
        <w:tab/>
      </w:r>
      <w:r w:rsidRPr="00C1694A">
        <w:rPr>
          <w:rFonts w:ascii="Times New Roman" w:eastAsia="MS Mincho" w:hAnsi="Times New Roman" w:cs="Times New Roman"/>
          <w:sz w:val="24"/>
          <w:szCs w:val="24"/>
          <w:u w:val="single"/>
        </w:rPr>
        <w:t>Response:</w:t>
      </w:r>
      <w:r w:rsidRPr="00C1694A">
        <w:rPr>
          <w:rFonts w:ascii="Times New Roman" w:eastAsia="MS Mincho" w:hAnsi="Times New Roman" w:cs="Times New Roman"/>
          <w:sz w:val="24"/>
          <w:szCs w:val="24"/>
        </w:rPr>
        <w:t xml:space="preserve">  We do not think young children should be expelled from Head Start because of their behavior.  Though we do not believe it to be a widespread problem in Head Start, recent research finds that preschool children are being expelled at alarming rates nationwide.</w:t>
      </w:r>
      <w:r w:rsidR="00140105" w:rsidRPr="00C1694A">
        <w:rPr>
          <w:rStyle w:val="FootnoteReference"/>
          <w:rFonts w:ascii="Times New Roman" w:eastAsia="MS Mincho" w:hAnsi="Times New Roman" w:cs="Times New Roman"/>
          <w:sz w:val="24"/>
          <w:szCs w:val="24"/>
        </w:rPr>
        <w:footnoteReference w:id="50"/>
      </w:r>
      <w:r w:rsidRPr="00C1694A">
        <w:rPr>
          <w:rFonts w:ascii="Times New Roman" w:eastAsia="MS Mincho" w:hAnsi="Times New Roman" w:cs="Times New Roman"/>
          <w:sz w:val="24"/>
          <w:szCs w:val="24"/>
        </w:rPr>
        <w:t xml:space="preserve">  </w:t>
      </w:r>
      <w:r w:rsidRPr="00C1694A">
        <w:rPr>
          <w:rFonts w:ascii="Times New Roman" w:eastAsia="Times New Roman" w:hAnsi="Times New Roman" w:cs="Times New Roman"/>
          <w:sz w:val="24"/>
          <w:szCs w:val="24"/>
        </w:rPr>
        <w:t>Stark racial and gender disparities exist in these practices.  Young boys of color are suspended and</w:t>
      </w:r>
    </w:p>
    <w:p w:rsidR="00C219FC" w:rsidRPr="00C1694A" w:rsidRDefault="00C219FC" w:rsidP="009A526A">
      <w:pPr>
        <w:spacing w:after="0" w:line="480" w:lineRule="auto"/>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expelled at much higher rates than other children in early learning programs</w:t>
      </w:r>
      <w:r w:rsidR="006A2AA8" w:rsidRPr="00C1694A">
        <w:rPr>
          <w:rFonts w:ascii="Times New Roman" w:eastAsia="Times New Roman" w:hAnsi="Times New Roman" w:cs="Times New Roman"/>
          <w:sz w:val="24"/>
          <w:szCs w:val="24"/>
        </w:rPr>
        <w:t xml:space="preserve"> and African American girls are suspended at much higher rates than other girls</w:t>
      </w:r>
      <w:r w:rsidRPr="00C1694A">
        <w:rPr>
          <w:rFonts w:ascii="Times New Roman" w:eastAsia="Times New Roman" w:hAnsi="Times New Roman" w:cs="Times New Roman"/>
          <w:sz w:val="24"/>
          <w:szCs w:val="24"/>
        </w:rPr>
        <w:t>.</w:t>
      </w:r>
      <w:r w:rsidR="006A2AA8" w:rsidRPr="00C1694A">
        <w:rPr>
          <w:rStyle w:val="FootnoteReference"/>
          <w:rFonts w:ascii="Times New Roman" w:eastAsia="Times New Roman" w:hAnsi="Times New Roman" w:cs="Times New Roman"/>
          <w:sz w:val="24"/>
          <w:szCs w:val="24"/>
        </w:rPr>
        <w:footnoteReference w:id="51"/>
      </w:r>
      <w:r w:rsidRPr="00C1694A">
        <w:rPr>
          <w:rFonts w:ascii="Times New Roman" w:eastAsia="Times New Roman" w:hAnsi="Times New Roman" w:cs="Times New Roman"/>
          <w:sz w:val="24"/>
          <w:szCs w:val="24"/>
        </w:rPr>
        <w:t xml:space="preserve"> Suspension and expulsion in the preschool </w:t>
      </w:r>
      <w:r w:rsidR="006A2AA8" w:rsidRPr="00C1694A">
        <w:rPr>
          <w:rFonts w:ascii="Times New Roman" w:eastAsia="Times New Roman" w:hAnsi="Times New Roman" w:cs="Times New Roman"/>
          <w:sz w:val="24"/>
          <w:szCs w:val="24"/>
        </w:rPr>
        <w:t xml:space="preserve">early </w:t>
      </w:r>
      <w:r w:rsidRPr="00C1694A">
        <w:rPr>
          <w:rFonts w:ascii="Times New Roman" w:eastAsia="Times New Roman" w:hAnsi="Times New Roman" w:cs="Times New Roman"/>
          <w:sz w:val="24"/>
          <w:szCs w:val="24"/>
        </w:rPr>
        <w:t>years is related to less educational achievement later and negative long-term outcomes.</w:t>
      </w:r>
      <w:r w:rsidRPr="00C1694A">
        <w:rPr>
          <w:rStyle w:val="FootnoteReference"/>
          <w:rFonts w:ascii="Times New Roman" w:eastAsia="MS Mincho" w:hAnsi="Times New Roman" w:cs="Times New Roman"/>
          <w:sz w:val="24"/>
          <w:szCs w:val="24"/>
        </w:rPr>
        <w:t xml:space="preserve"> </w:t>
      </w:r>
      <w:r w:rsidRPr="00C1694A">
        <w:rPr>
          <w:rStyle w:val="FootnoteReference"/>
          <w:rFonts w:ascii="Times New Roman" w:eastAsia="MS Mincho" w:hAnsi="Times New Roman" w:cs="Times New Roman"/>
          <w:sz w:val="24"/>
          <w:szCs w:val="24"/>
        </w:rPr>
        <w:footnoteReference w:id="52"/>
      </w:r>
      <w:r w:rsidRPr="00C1694A">
        <w:rPr>
          <w:rFonts w:ascii="Times New Roman" w:eastAsia="MS Mincho" w:hAnsi="Times New Roman" w:cs="Times New Roman"/>
          <w:sz w:val="24"/>
          <w:szCs w:val="24"/>
          <w:vertAlign w:val="superscript"/>
        </w:rPr>
        <w:t>,</w:t>
      </w:r>
      <w:r w:rsidRPr="00C1694A">
        <w:rPr>
          <w:rStyle w:val="FootnoteReference"/>
          <w:rFonts w:ascii="Times New Roman" w:eastAsia="MS Mincho" w:hAnsi="Times New Roman" w:cs="Times New Roman"/>
          <w:sz w:val="24"/>
          <w:szCs w:val="24"/>
        </w:rPr>
        <w:footnoteReference w:id="53"/>
      </w:r>
      <w:r w:rsidRPr="00C1694A">
        <w:rPr>
          <w:rFonts w:ascii="Times New Roman" w:eastAsia="MS Mincho" w:hAnsi="Times New Roman" w:cs="Times New Roman"/>
          <w:sz w:val="24"/>
          <w:szCs w:val="24"/>
        </w:rPr>
        <w:t xml:space="preserve">  </w:t>
      </w:r>
      <w:r w:rsidRPr="00C1694A">
        <w:rPr>
          <w:rFonts w:ascii="Times New Roman" w:eastAsia="Times New Roman" w:hAnsi="Times New Roman" w:cs="Times New Roman"/>
          <w:sz w:val="24"/>
          <w:szCs w:val="24"/>
        </w:rPr>
        <w:t>For these reasons, HHS has recommended this problem receive immediate attention from the early childhood and education fields.</w:t>
      </w:r>
      <w:r w:rsidRPr="00C1694A">
        <w:rPr>
          <w:rStyle w:val="FootnoteReference"/>
          <w:rFonts w:ascii="Times New Roman" w:eastAsia="Times New Roman" w:hAnsi="Times New Roman" w:cs="Times New Roman"/>
          <w:sz w:val="24"/>
          <w:szCs w:val="24"/>
        </w:rPr>
        <w:footnoteReference w:id="54"/>
      </w:r>
      <w:r w:rsidRPr="00C1694A">
        <w:rPr>
          <w:rStyle w:val="apple-converted-space"/>
          <w:rFonts w:ascii="Times New Roman" w:eastAsia="Times New Roman" w:hAnsi="Times New Roman" w:cs="Times New Roman"/>
          <w:sz w:val="24"/>
          <w:szCs w:val="24"/>
        </w:rPr>
        <w:t> </w:t>
      </w:r>
      <w:r w:rsidRPr="00C1694A">
        <w:rPr>
          <w:rFonts w:ascii="Times New Roman" w:eastAsia="MS Mincho" w:hAnsi="Times New Roman" w:cs="Times New Roman"/>
          <w:sz w:val="24"/>
          <w:szCs w:val="24"/>
        </w:rPr>
        <w:t xml:space="preserve">It is Head Start’s mission to provide high-quality early education to vulnerable children and therefore, it is especially critical that Head Start ensure children with challenging behaviors are supported, rather than expelled.  </w:t>
      </w:r>
      <w:r w:rsidRPr="00C1694A">
        <w:rPr>
          <w:rFonts w:ascii="Times New Roman" w:eastAsia="MS Mincho" w:hAnsi="Times New Roman" w:cs="Times New Roman"/>
          <w:sz w:val="24"/>
          <w:szCs w:val="24"/>
        </w:rPr>
        <w:tab/>
      </w:r>
    </w:p>
    <w:p w:rsidR="00C219FC"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rPr>
        <w:t xml:space="preserve">We understand commenters’ concerns but believe we struck the appropriate balance.  Children and staff will be best supported by our firm stance against expulsion; our requirements for best practice for prevention and intervention for children’s mental health and social and emotional well-being in §1302.45; requirements in paragraph (a)(2) that permit a program to temporarily suspend a child if there is a serious safety threat that cannot be addressed through the provision of reasonable modifications; and our requirements </w:t>
      </w:r>
      <w:r w:rsidR="0095075C" w:rsidRPr="00C1694A">
        <w:rPr>
          <w:rFonts w:ascii="Times New Roman" w:eastAsia="MS Mincho" w:hAnsi="Times New Roman" w:cs="Times New Roman"/>
          <w:sz w:val="24"/>
          <w:szCs w:val="24"/>
        </w:rPr>
        <w:t xml:space="preserve">in paragraph (b)(2) </w:t>
      </w:r>
      <w:r w:rsidRPr="00C1694A">
        <w:rPr>
          <w:rFonts w:ascii="Times New Roman" w:eastAsia="MS Mincho" w:hAnsi="Times New Roman" w:cs="Times New Roman"/>
          <w:sz w:val="24"/>
          <w:szCs w:val="24"/>
        </w:rPr>
        <w:t>for supportive best practices when a child exhibits persistent and serious challenging behaviors.  As a last resort, as described in paragraph (b)(3), a program may transition a child directly to a more appropriate placement if it has explored and documented all possible steps and collaborated with all parties involved in the child’s care.  Programs should provide children with the accommodations they need based on screenings and evaluations while they are awaiting a more appropriate placement.</w:t>
      </w:r>
    </w:p>
    <w:p w:rsidR="00C219FC" w:rsidRPr="00C1694A" w:rsidRDefault="00C219FC" w:rsidP="009A526A">
      <w:pPr>
        <w:spacing w:after="0" w:line="480" w:lineRule="auto"/>
        <w:rPr>
          <w:rFonts w:ascii="Times New Roman" w:eastAsia="MS Mincho" w:hAnsi="Times New Roman" w:cs="Times New Roman"/>
          <w:bCs/>
          <w:sz w:val="24"/>
          <w:szCs w:val="24"/>
        </w:rPr>
      </w:pPr>
      <w:r w:rsidRPr="00C1694A">
        <w:rPr>
          <w:rFonts w:ascii="Times New Roman" w:eastAsia="MS Mincho" w:hAnsi="Times New Roman" w:cs="Times New Roman"/>
          <w:sz w:val="24"/>
          <w:szCs w:val="24"/>
        </w:rPr>
        <w:tab/>
        <w:t xml:space="preserve">We believe it is critical to support parents from the time their children enroll in Head Start and to partner with them to address challenging behaviors.  We understand that some parents may </w:t>
      </w:r>
      <w:r w:rsidR="00B92D7B" w:rsidRPr="00C1694A">
        <w:rPr>
          <w:rFonts w:ascii="Times New Roman" w:eastAsia="MS Mincho" w:hAnsi="Times New Roman" w:cs="Times New Roman"/>
          <w:sz w:val="24"/>
          <w:szCs w:val="24"/>
        </w:rPr>
        <w:t xml:space="preserve">be </w:t>
      </w:r>
      <w:r w:rsidRPr="00C1694A">
        <w:rPr>
          <w:rFonts w:ascii="Times New Roman" w:eastAsia="MS Mincho" w:hAnsi="Times New Roman" w:cs="Times New Roman"/>
          <w:sz w:val="24"/>
          <w:szCs w:val="24"/>
        </w:rPr>
        <w:t xml:space="preserve">reluctant to engage in mental health consultations.  Programs must work to support a program-wide culture that promotes child mental health and social and emotional well-being as described in §1302.45 and as part of that process, take steps to normalize the mental health consultation process.  We revised §1302.45(a)(3) to require programs </w:t>
      </w:r>
      <w:r w:rsidRPr="00C1694A">
        <w:rPr>
          <w:rFonts w:ascii="Times New Roman" w:eastAsia="MS Mincho" w:hAnsi="Times New Roman" w:cs="Times New Roman"/>
          <w:bCs/>
          <w:sz w:val="24"/>
          <w:szCs w:val="24"/>
        </w:rPr>
        <w:t>obtain parental consent for mental health consultation services when they enroll children in the program. This should facilitate mental health consultation and help remove stigma around behavioral supports.</w:t>
      </w:r>
    </w:p>
    <w:p w:rsidR="00C219FC"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rPr>
        <w:t>Finally, we agree it is important for programs to have the tools necessary to address behavioral problems in children without the use of suspension and expulsion.   Programs are required under §1302.92(c)(</w:t>
      </w:r>
      <w:r w:rsidR="0095075C" w:rsidRPr="00C1694A">
        <w:rPr>
          <w:rFonts w:ascii="Times New Roman" w:eastAsia="MS Mincho" w:hAnsi="Times New Roman" w:cs="Times New Roman"/>
          <w:sz w:val="24"/>
          <w:szCs w:val="24"/>
        </w:rPr>
        <w:t>4</w:t>
      </w:r>
      <w:r w:rsidRPr="00C1694A">
        <w:rPr>
          <w:rFonts w:ascii="Times New Roman" w:eastAsia="MS Mincho" w:hAnsi="Times New Roman" w:cs="Times New Roman"/>
          <w:sz w:val="24"/>
          <w:szCs w:val="24"/>
        </w:rPr>
        <w:t>) to implement a system of professional development that supports teachers’ ability to address challenging behaviors.  Finally, Head Start has a long-standing history of preventing suspension and expulsion practices, and as such, programs should be able to budget accordingly.</w:t>
      </w:r>
    </w:p>
    <w:p w:rsidR="00C219FC" w:rsidRPr="00C1694A" w:rsidRDefault="00C219FC" w:rsidP="009A526A">
      <w:pPr>
        <w:spacing w:after="0" w:line="480" w:lineRule="auto"/>
        <w:rPr>
          <w:rFonts w:ascii="Times New Roman" w:eastAsia="MS Mincho" w:hAnsi="Times New Roman" w:cs="Times New Roman"/>
          <w:strike/>
          <w:sz w:val="24"/>
          <w:szCs w:val="24"/>
        </w:rPr>
      </w:pPr>
      <w:r w:rsidRPr="00C1694A">
        <w:rPr>
          <w:rFonts w:ascii="Times New Roman" w:eastAsia="MS Mincho" w:hAnsi="Times New Roman" w:cs="Times New Roman"/>
          <w:sz w:val="24"/>
          <w:szCs w:val="24"/>
        </w:rPr>
        <w:tab/>
      </w:r>
      <w:r w:rsidRPr="00C1694A">
        <w:rPr>
          <w:rFonts w:ascii="Times New Roman" w:eastAsia="MS Mincho" w:hAnsi="Times New Roman" w:cs="Times New Roman"/>
          <w:sz w:val="24"/>
          <w:szCs w:val="24"/>
          <w:u w:val="single"/>
        </w:rPr>
        <w:t>Comment:</w:t>
      </w:r>
      <w:r w:rsidRPr="00C1694A">
        <w:rPr>
          <w:rFonts w:ascii="Times New Roman" w:eastAsia="MS Mincho" w:hAnsi="Times New Roman" w:cs="Times New Roman"/>
          <w:sz w:val="24"/>
          <w:szCs w:val="24"/>
        </w:rPr>
        <w:t xml:space="preserve">  </w:t>
      </w:r>
      <w:r w:rsidR="00AC4618" w:rsidRPr="00C1694A">
        <w:rPr>
          <w:rFonts w:ascii="Times New Roman" w:eastAsia="MS Mincho" w:hAnsi="Times New Roman" w:cs="Times New Roman"/>
          <w:sz w:val="24"/>
          <w:szCs w:val="24"/>
        </w:rPr>
        <w:t xml:space="preserve">Some </w:t>
      </w:r>
      <w:r w:rsidRPr="00C1694A">
        <w:rPr>
          <w:rFonts w:ascii="Times New Roman" w:eastAsia="MS Mincho" w:hAnsi="Times New Roman" w:cs="Times New Roman"/>
          <w:sz w:val="24"/>
          <w:szCs w:val="24"/>
        </w:rPr>
        <w:t xml:space="preserve">commenters suggested revisions to the requirements in paragraphs (b)(2) and (3) that detailed specific steps programs must take to support a child when they exhibit persistent and serious challenging behaviors.  For example, commenters stated it was unrealistic to require programs consult with a child’s physician since programs cannot compel physicians to participate in a consultation process.  </w:t>
      </w:r>
      <w:r w:rsidR="00AC4618" w:rsidRPr="00C1694A">
        <w:rPr>
          <w:rFonts w:ascii="Times New Roman" w:eastAsia="MS Mincho" w:hAnsi="Times New Roman" w:cs="Times New Roman"/>
          <w:sz w:val="24"/>
          <w:szCs w:val="24"/>
        </w:rPr>
        <w:t xml:space="preserve">Some </w:t>
      </w:r>
      <w:r w:rsidRPr="00C1694A">
        <w:rPr>
          <w:rFonts w:ascii="Times New Roman" w:eastAsia="MS Mincho" w:hAnsi="Times New Roman" w:cs="Times New Roman"/>
          <w:sz w:val="24"/>
          <w:szCs w:val="24"/>
        </w:rPr>
        <w:t xml:space="preserve">commenters also stated the phrase “exhaustive steps” was too subjective and requested clarification. </w:t>
      </w:r>
    </w:p>
    <w:p w:rsidR="008A55FA" w:rsidRPr="00C1694A" w:rsidRDefault="00C219FC" w:rsidP="00343EB8">
      <w:pPr>
        <w:spacing w:after="0" w:line="480" w:lineRule="auto"/>
        <w:rPr>
          <w:rFonts w:ascii="Times New Roman" w:hAnsi="Times New Roman" w:cs="Times New Roman"/>
        </w:rPr>
      </w:pPr>
      <w:r w:rsidRPr="00C1694A">
        <w:rPr>
          <w:rFonts w:ascii="Times New Roman" w:eastAsia="MS Mincho" w:hAnsi="Times New Roman" w:cs="Times New Roman"/>
          <w:sz w:val="24"/>
          <w:szCs w:val="24"/>
        </w:rPr>
        <w:tab/>
      </w:r>
      <w:r w:rsidR="008A55FA" w:rsidRPr="00C1694A">
        <w:rPr>
          <w:rFonts w:ascii="Times New Roman" w:eastAsia="MS Mincho" w:hAnsi="Times New Roman" w:cs="Times New Roman"/>
          <w:sz w:val="24"/>
          <w:szCs w:val="24"/>
          <w:u w:val="single"/>
        </w:rPr>
        <w:t>Response:</w:t>
      </w:r>
      <w:r w:rsidR="008A55FA" w:rsidRPr="00C1694A">
        <w:rPr>
          <w:rFonts w:ascii="Times New Roman" w:eastAsia="MS Mincho" w:hAnsi="Times New Roman" w:cs="Times New Roman"/>
          <w:sz w:val="24"/>
          <w:szCs w:val="24"/>
        </w:rPr>
        <w:t xml:space="preserve">  We agree and made revisions accordingly.  We revised both paragraphs to require consultation with a child’s teacher instead of their physician</w:t>
      </w:r>
      <w:r w:rsidR="00BB1DE9" w:rsidRPr="00C1694A">
        <w:rPr>
          <w:rFonts w:ascii="Times New Roman" w:eastAsia="MS Mincho" w:hAnsi="Times New Roman" w:cs="Times New Roman"/>
          <w:sz w:val="24"/>
          <w:szCs w:val="24"/>
        </w:rPr>
        <w:t>, and</w:t>
      </w:r>
      <w:r w:rsidR="008A55FA" w:rsidRPr="00C1694A">
        <w:rPr>
          <w:rFonts w:ascii="Times New Roman" w:eastAsia="MS Mincho" w:hAnsi="Times New Roman" w:cs="Times New Roman"/>
          <w:sz w:val="24"/>
          <w:szCs w:val="24"/>
        </w:rPr>
        <w:t xml:space="preserve"> revised paragraph (b)(2) to include consideration of the appropriateness of providing needed services and supports under Section 504 of the Rehabilitation Act. We also revised both paragraphs to replace “exhaustive steps” with “explore all possible steps and document all steps taken.” We think this reflects best practice, clarifies our intent, and gives programs appropriate flexibility to implement best practices that are most appropriate for a particular child.</w:t>
      </w:r>
    </w:p>
    <w:p w:rsidR="00C219FC" w:rsidRPr="00C1694A" w:rsidRDefault="00343EB8" w:rsidP="00343EB8">
      <w:pPr>
        <w:spacing w:after="0" w:line="480" w:lineRule="auto"/>
        <w:rPr>
          <w:rFonts w:ascii="Times New Roman" w:eastAsia="MS Mincho" w:hAnsi="Times New Roman" w:cs="Times New Roman"/>
          <w:sz w:val="24"/>
          <w:szCs w:val="24"/>
        </w:rPr>
      </w:pPr>
      <w:r w:rsidRPr="00C1694A">
        <w:rPr>
          <w:rFonts w:ascii="Times New Roman" w:eastAsia="MS Mincho" w:hAnsi="Times New Roman" w:cs="Times New Roman"/>
          <w:sz w:val="24"/>
          <w:szCs w:val="24"/>
        </w:rPr>
        <w:tab/>
      </w:r>
      <w:r w:rsidR="00C219FC" w:rsidRPr="00C1694A">
        <w:rPr>
          <w:rFonts w:ascii="Times New Roman" w:eastAsia="MS Mincho" w:hAnsi="Times New Roman" w:cs="Times New Roman"/>
          <w:sz w:val="24"/>
          <w:szCs w:val="24"/>
          <w:u w:val="single"/>
        </w:rPr>
        <w:t>Comment:</w:t>
      </w:r>
      <w:r w:rsidR="00C219FC" w:rsidRPr="00C1694A">
        <w:rPr>
          <w:rFonts w:ascii="Times New Roman" w:eastAsia="MS Mincho" w:hAnsi="Times New Roman" w:cs="Times New Roman"/>
          <w:sz w:val="24"/>
          <w:szCs w:val="24"/>
        </w:rPr>
        <w:t xml:space="preserve"> </w:t>
      </w:r>
      <w:r w:rsidR="00B92D7B" w:rsidRPr="00C1694A">
        <w:rPr>
          <w:rFonts w:ascii="Times New Roman" w:eastAsia="MS Mincho" w:hAnsi="Times New Roman" w:cs="Times New Roman"/>
          <w:sz w:val="24"/>
          <w:szCs w:val="24"/>
        </w:rPr>
        <w:t xml:space="preserve"> </w:t>
      </w:r>
      <w:r w:rsidR="00C219FC" w:rsidRPr="00C1694A">
        <w:rPr>
          <w:rFonts w:ascii="Times New Roman" w:eastAsia="MS Mincho" w:hAnsi="Times New Roman" w:cs="Times New Roman"/>
          <w:sz w:val="24"/>
          <w:szCs w:val="24"/>
        </w:rPr>
        <w:t xml:space="preserve">Many commenters stated we needed to revise our expulsion requirements to allow programs to transfer children with behavioral problems to the home-based option.  Some commenters stated a classroom setting was not developmentally appropriate for some children. </w:t>
      </w:r>
    </w:p>
    <w:p w:rsidR="00343EB8" w:rsidRPr="00985699" w:rsidRDefault="008A55FA" w:rsidP="00985699">
      <w:pPr>
        <w:spacing w:after="0" w:line="480" w:lineRule="auto"/>
      </w:pPr>
      <w:r w:rsidRPr="00C1694A">
        <w:rPr>
          <w:rFonts w:ascii="Times New Roman" w:eastAsia="MS Mincho" w:hAnsi="Times New Roman" w:cs="Times New Roman"/>
          <w:sz w:val="24"/>
          <w:szCs w:val="24"/>
        </w:rPr>
        <w:tab/>
      </w:r>
      <w:r w:rsidR="00343EB8" w:rsidRPr="00C1694A">
        <w:rPr>
          <w:rFonts w:ascii="Times New Roman" w:eastAsia="MS Mincho" w:hAnsi="Times New Roman" w:cs="Times New Roman"/>
          <w:sz w:val="24"/>
          <w:szCs w:val="24"/>
          <w:u w:val="single"/>
        </w:rPr>
        <w:t>Response:</w:t>
      </w:r>
      <w:r w:rsidR="00343EB8" w:rsidRPr="00C1694A">
        <w:rPr>
          <w:rFonts w:ascii="Times New Roman" w:eastAsia="MS Mincho" w:hAnsi="Times New Roman" w:cs="Times New Roman"/>
          <w:sz w:val="24"/>
          <w:szCs w:val="24"/>
        </w:rPr>
        <w:t xml:space="preserve"> We believe programs must make significant efforts to support the full integration of all children into every program option. Effective implementation of the requirements to support children’s mental health and social and emotional well-being, described in §1302.45 will support positive learning environments, integrate preventive efforts to address problem behaviors, and engage mental health consultants to support families and staff when challenging behaviors arise.  These types of comprehensive services are foundational to Head Start.   </w:t>
      </w:r>
      <w:r w:rsidR="00985699" w:rsidRPr="00C1694A">
        <w:rPr>
          <w:rFonts w:ascii="Times New Roman" w:eastAsia="MS Mincho" w:hAnsi="Times New Roman" w:cs="Times New Roman"/>
          <w:sz w:val="24"/>
          <w:szCs w:val="24"/>
        </w:rPr>
        <w:t>If a child exhibits problem behaviors in the classroom, the child may be eligible for appropriate special education and related services, to be included in an Individualized Education Program (IEP) developed in accordance with section 614(d) of the IDEA</w:t>
      </w:r>
      <w:r w:rsidR="00985699">
        <w:rPr>
          <w:rFonts w:ascii="Times New Roman" w:eastAsia="MS Mincho" w:hAnsi="Times New Roman" w:cs="Times New Roman"/>
          <w:sz w:val="24"/>
          <w:szCs w:val="24"/>
        </w:rPr>
        <w:t xml:space="preserve"> or an Individualized Family Service Plan (IFSP) developed in accordance with section 635 of the IDEA</w:t>
      </w:r>
      <w:r w:rsidR="00985699" w:rsidRPr="00C1694A">
        <w:rPr>
          <w:rFonts w:ascii="Times New Roman" w:eastAsia="MS Mincho" w:hAnsi="Times New Roman" w:cs="Times New Roman"/>
          <w:sz w:val="24"/>
          <w:szCs w:val="24"/>
        </w:rPr>
        <w:t>,</w:t>
      </w:r>
      <w:r w:rsidR="00985699">
        <w:rPr>
          <w:rFonts w:ascii="Times New Roman" w:eastAsia="MS Mincho" w:hAnsi="Times New Roman" w:cs="Times New Roman"/>
          <w:sz w:val="24"/>
          <w:szCs w:val="24"/>
        </w:rPr>
        <w:t xml:space="preserve"> </w:t>
      </w:r>
      <w:r w:rsidRPr="00C1694A">
        <w:rPr>
          <w:rFonts w:ascii="Times New Roman" w:eastAsia="MS Mincho" w:hAnsi="Times New Roman" w:cs="Times New Roman"/>
          <w:sz w:val="24"/>
          <w:szCs w:val="24"/>
        </w:rPr>
        <w:t xml:space="preserve">or it may be </w:t>
      </w:r>
      <w:r w:rsidRPr="003F2178">
        <w:rPr>
          <w:rFonts w:ascii="Times New Roman" w:eastAsia="MS Mincho" w:hAnsi="Times New Roman" w:cs="Times New Roman"/>
          <w:sz w:val="24"/>
          <w:szCs w:val="24"/>
        </w:rPr>
        <w:t>appropriate to provide the child needed supports under Section 504 if the child satisfies the definition of disability in section 705(9)(b) of the Rehabilitation Act</w:t>
      </w:r>
      <w:r w:rsidRPr="00C1694A">
        <w:rPr>
          <w:rFonts w:ascii="Times New Roman" w:eastAsia="MS Mincho" w:hAnsi="Times New Roman" w:cs="Times New Roman"/>
          <w:sz w:val="24"/>
          <w:szCs w:val="24"/>
        </w:rPr>
        <w:t xml:space="preserve">.  </w:t>
      </w:r>
      <w:r w:rsidR="00343EB8" w:rsidRPr="00C1694A">
        <w:rPr>
          <w:rFonts w:ascii="Times New Roman" w:eastAsia="MS Mincho" w:hAnsi="Times New Roman" w:cs="Times New Roman"/>
          <w:sz w:val="24"/>
          <w:szCs w:val="24"/>
        </w:rPr>
        <w:t xml:space="preserve">We think moving a child to a home-based option without first exploring all the possible steps described in paragraph (b)(2) is a form of expulsion.  </w:t>
      </w:r>
      <w:r w:rsidR="00343EB8" w:rsidRPr="00C1694A">
        <w:rPr>
          <w:rFonts w:ascii="Times New Roman" w:eastAsia="Times New Roman" w:hAnsi="Times New Roman" w:cs="Times New Roman"/>
          <w:sz w:val="24"/>
          <w:szCs w:val="24"/>
        </w:rPr>
        <w:t xml:space="preserve">If a child is exhibiting persistent and serious challenging behaviors in the classroom setting, </w:t>
      </w:r>
      <w:r w:rsidR="00343EB8" w:rsidRPr="00C1694A">
        <w:rPr>
          <w:rFonts w:ascii="Times New Roman" w:eastAsia="MS Mincho" w:hAnsi="Times New Roman" w:cs="Times New Roman"/>
          <w:sz w:val="24"/>
          <w:szCs w:val="24"/>
        </w:rPr>
        <w:t xml:space="preserve">programs must implement the process described in paragraphs (b)(2) and (3) to facilitate the child’s safe participation in the program.  Only as a last resort, and after exploring all possible steps and documenting all steps taken, programs may determine if a child needs an alternate placement such as on-going participation in a home-based program model. </w:t>
      </w:r>
    </w:p>
    <w:p w:rsidR="00C219FC"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u w:val="single"/>
        </w:rPr>
        <w:t>Comment:</w:t>
      </w:r>
      <w:r w:rsidRPr="00C1694A">
        <w:rPr>
          <w:rFonts w:ascii="Times New Roman" w:eastAsia="MS Mincho" w:hAnsi="Times New Roman" w:cs="Times New Roman"/>
          <w:sz w:val="24"/>
          <w:szCs w:val="24"/>
        </w:rPr>
        <w:t xml:space="preserve"> </w:t>
      </w:r>
      <w:r w:rsidR="00AC4618" w:rsidRPr="00C1694A">
        <w:rPr>
          <w:rFonts w:ascii="Times New Roman" w:eastAsia="MS Mincho" w:hAnsi="Times New Roman" w:cs="Times New Roman"/>
          <w:sz w:val="24"/>
          <w:szCs w:val="24"/>
        </w:rPr>
        <w:t xml:space="preserve">Some </w:t>
      </w:r>
      <w:r w:rsidRPr="00C1694A">
        <w:rPr>
          <w:rFonts w:ascii="Times New Roman" w:eastAsia="MS Mincho" w:hAnsi="Times New Roman" w:cs="Times New Roman"/>
          <w:sz w:val="24"/>
          <w:szCs w:val="24"/>
        </w:rPr>
        <w:t xml:space="preserve">commenters recommended we explicitly prohibit suspension or expulsion of children for poor attendance or because they are picked up late from the program. </w:t>
      </w:r>
    </w:p>
    <w:p w:rsidR="00C219FC" w:rsidRPr="00C1694A" w:rsidRDefault="00C219FC" w:rsidP="009A526A">
      <w:pPr>
        <w:spacing w:after="0" w:line="480" w:lineRule="auto"/>
        <w:rPr>
          <w:rFonts w:ascii="Times New Roman" w:eastAsia="MS Mincho" w:hAnsi="Times New Roman" w:cs="Times New Roman"/>
          <w:sz w:val="24"/>
          <w:szCs w:val="24"/>
        </w:rPr>
      </w:pPr>
      <w:r w:rsidRPr="00C1694A">
        <w:rPr>
          <w:rFonts w:ascii="Times New Roman" w:eastAsia="MS Mincho" w:hAnsi="Times New Roman" w:cs="Times New Roman"/>
          <w:sz w:val="24"/>
          <w:szCs w:val="24"/>
        </w:rPr>
        <w:tab/>
      </w:r>
      <w:r w:rsidRPr="00C1694A">
        <w:rPr>
          <w:rFonts w:ascii="Times New Roman" w:eastAsia="MS Mincho" w:hAnsi="Times New Roman" w:cs="Times New Roman"/>
          <w:sz w:val="24"/>
          <w:szCs w:val="24"/>
          <w:u w:val="single"/>
        </w:rPr>
        <w:t>Response:</w:t>
      </w:r>
      <w:r w:rsidRPr="00C1694A">
        <w:rPr>
          <w:rFonts w:ascii="Times New Roman" w:eastAsia="MS Mincho" w:hAnsi="Times New Roman" w:cs="Times New Roman"/>
          <w:sz w:val="24"/>
          <w:szCs w:val="24"/>
        </w:rPr>
        <w:t xml:space="preserve"> We agree children should not be suspended or expelled for poor attendance or parental tardiness.  In §1302.16(a)(1) and (2), we already describe steps programs must take if a child is unexpectedly absent, has multiple consecutive unexpected absences, or is frequently absent.    </w:t>
      </w:r>
    </w:p>
    <w:p w:rsidR="00C219FC"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u w:val="single"/>
        </w:rPr>
        <w:t>Comment:</w:t>
      </w:r>
      <w:r w:rsidRPr="00C1694A">
        <w:rPr>
          <w:rFonts w:ascii="Times New Roman" w:eastAsia="MS Mincho" w:hAnsi="Times New Roman" w:cs="Times New Roman"/>
          <w:sz w:val="24"/>
          <w:szCs w:val="24"/>
        </w:rPr>
        <w:t xml:space="preserve"> Many commenters stated our requirement in paragraph (c) that states parent participation is voluntary and not required as a condition of a child’s enrollment was too vague.</w:t>
      </w:r>
    </w:p>
    <w:p w:rsidR="00A60E33" w:rsidRPr="00C1694A" w:rsidRDefault="00C219FC" w:rsidP="009A526A">
      <w:pPr>
        <w:spacing w:after="0" w:line="480" w:lineRule="auto"/>
        <w:ind w:firstLine="720"/>
        <w:rPr>
          <w:rFonts w:ascii="Times New Roman" w:eastAsia="MS Mincho" w:hAnsi="Times New Roman" w:cs="Times New Roman"/>
          <w:sz w:val="24"/>
          <w:szCs w:val="24"/>
        </w:rPr>
      </w:pPr>
      <w:r w:rsidRPr="00C1694A">
        <w:rPr>
          <w:rFonts w:ascii="Times New Roman" w:eastAsia="MS Mincho" w:hAnsi="Times New Roman" w:cs="Times New Roman"/>
          <w:sz w:val="24"/>
          <w:szCs w:val="24"/>
          <w:u w:val="single"/>
        </w:rPr>
        <w:t>Response:</w:t>
      </w:r>
      <w:r w:rsidRPr="00C1694A">
        <w:rPr>
          <w:rFonts w:ascii="Times New Roman" w:eastAsia="MS Mincho" w:hAnsi="Times New Roman" w:cs="Times New Roman"/>
          <w:sz w:val="24"/>
          <w:szCs w:val="24"/>
        </w:rPr>
        <w:t xml:space="preserve"> This requirement was also in the previous Head Start Program Performance Standards.  </w:t>
      </w:r>
      <w:r w:rsidR="002C0874" w:rsidRPr="00C1694A">
        <w:rPr>
          <w:rFonts w:ascii="Times New Roman" w:eastAsia="MS Mincho" w:hAnsi="Times New Roman" w:cs="Times New Roman"/>
          <w:sz w:val="24"/>
          <w:szCs w:val="24"/>
        </w:rPr>
        <w:t>We moved this provision to §1302.15(f) to improve clarity</w:t>
      </w:r>
      <w:r w:rsidR="00AF73A6" w:rsidRPr="00C1694A">
        <w:rPr>
          <w:rFonts w:ascii="Times New Roman" w:eastAsia="MS Mincho" w:hAnsi="Times New Roman" w:cs="Times New Roman"/>
          <w:sz w:val="24"/>
          <w:szCs w:val="24"/>
        </w:rPr>
        <w:t>.</w:t>
      </w:r>
      <w:r w:rsidR="00405B4B" w:rsidRPr="00C1694A">
        <w:rPr>
          <w:rFonts w:ascii="Times New Roman" w:eastAsia="MS Mincho" w:hAnsi="Times New Roman" w:cs="Times New Roman"/>
          <w:sz w:val="24"/>
          <w:szCs w:val="24"/>
        </w:rPr>
        <w:tab/>
      </w:r>
    </w:p>
    <w:p w:rsidR="00A60E33" w:rsidRPr="00C1694A" w:rsidRDefault="00A60E33"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§1302.18 Fees.</w:t>
      </w:r>
    </w:p>
    <w:p w:rsidR="005B47E6" w:rsidRPr="00C1694A" w:rsidRDefault="005B47E6"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This section describes our policy on fees. We maintain the overarching policy that programs are prohibited from charging parents of eligible children a fee for their child’s participation in a Head Start program.  We made revisions to improve clarity.</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requested clarification of the requirement in paragraph (b)(1). For example,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requested clarity on how long the program day could be, and how long the additional funded hours could be.  Additionally,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expressed concern about whether they would be able to assess fees for the pre-k funded portion of the day. </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Hours per day, and thereby additional funded hours, depend on the length of the day the program is operating Head Start.  Programs may assess fees only for additional hours beyond the Head Start day.  The ability to assess fees for hours beyond the Head Start day is subject to state and local requirements.  </w:t>
      </w:r>
      <w:r w:rsidR="002C0874" w:rsidRPr="00C1694A">
        <w:rPr>
          <w:rFonts w:ascii="Times New Roman" w:hAnsi="Times New Roman" w:cs="Times New Roman"/>
          <w:sz w:val="24"/>
          <w:szCs w:val="24"/>
        </w:rPr>
        <w:t>We revised this provision to improve clarity.</w:t>
      </w:r>
    </w:p>
    <w:p w:rsidR="005B47E6" w:rsidRPr="00C1694A" w:rsidRDefault="005B47E6" w:rsidP="00985699">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requested clarity about the impact that paragraph (b)(2) would have on cost allocation.  Specifically,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expressed concern that programs should not be able to "double dip" in funding, stating that we would need to ensure additional funds go to additional services. Other commenters asked whether collected fees would supplant current funding.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requested clarity about whether private pay children would be considered Head Start children or would be counted as part of enrollment. </w:t>
      </w:r>
    </w:p>
    <w:p w:rsidR="005B47E6" w:rsidRPr="00985699" w:rsidRDefault="005B47E6" w:rsidP="00985699">
      <w:pPr>
        <w:spacing w:after="0" w:line="480" w:lineRule="auto"/>
        <w:ind w:firstLine="720"/>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All grantees receiving Head Start funds are required to comply with the provisions of 45 CFR part 75, Uniform Administrative Requirements, Cost Principles, and Audit Requirements.  Part 75 includes regulations requiring that all costs be allocated among multiple funding sources in accordance with relative benefits received. These regulations assure that programs cannot “double dip” or charge the same expense to more than one funding source.  </w:t>
      </w:r>
      <w:r w:rsidR="006102F3" w:rsidRPr="00C1694A">
        <w:rPr>
          <w:rFonts w:ascii="Times New Roman" w:hAnsi="Times New Roman" w:cs="Times New Roman"/>
          <w:sz w:val="24"/>
          <w:szCs w:val="24"/>
        </w:rPr>
        <w:t>Head Start is designed to increase the number of low-income children receiving high-quality, comprehensive early education services that help facilitate healthy development, including physical and social and emotional development, and prepare them for school success. To meet this goal, it is critical that Head Start funds do not supplant existing services.</w:t>
      </w:r>
      <w:r w:rsidRPr="00C1694A">
        <w:rPr>
          <w:rFonts w:ascii="Times New Roman" w:hAnsi="Times New Roman" w:cs="Times New Roman"/>
          <w:sz w:val="24"/>
          <w:szCs w:val="24"/>
        </w:rPr>
        <w:t xml:space="preserve">   Existing laws and regulations addressing cost allocation </w:t>
      </w:r>
      <w:r w:rsidR="00985699" w:rsidRPr="00C1694A">
        <w:rPr>
          <w:rFonts w:ascii="Times New Roman" w:hAnsi="Times New Roman" w:cs="Times New Roman"/>
          <w:sz w:val="24"/>
          <w:szCs w:val="24"/>
        </w:rPr>
        <w:t xml:space="preserve">and </w:t>
      </w:r>
      <w:r w:rsidR="001D072E">
        <w:rPr>
          <w:rFonts w:ascii="Times New Roman" w:hAnsi="Times New Roman" w:cs="Times New Roman"/>
          <w:sz w:val="24"/>
          <w:szCs w:val="24"/>
        </w:rPr>
        <w:t>non-</w:t>
      </w:r>
      <w:r w:rsidR="00985699" w:rsidRPr="00C1694A">
        <w:rPr>
          <w:rFonts w:ascii="Times New Roman" w:hAnsi="Times New Roman" w:cs="Times New Roman"/>
          <w:sz w:val="24"/>
          <w:szCs w:val="24"/>
        </w:rPr>
        <w:t xml:space="preserve">supplantation </w:t>
      </w:r>
      <w:r w:rsidRPr="00C1694A">
        <w:rPr>
          <w:rFonts w:ascii="Times New Roman" w:hAnsi="Times New Roman" w:cs="Times New Roman"/>
          <w:sz w:val="24"/>
          <w:szCs w:val="24"/>
        </w:rPr>
        <w:t xml:space="preserve">are not re-stated in the proposed regulation.  However, to improve clarity, we revised paragraphs (b)(1) and (2) to better articulate when fees may be charged to enrolled and non-enrolled families. </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ED7C0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supported the standard in paragraph (b)(2) to encourage mixed income settings and the ability of Head Start programs to charge a fee to private pay or otherwise funded children. </w:t>
      </w:r>
      <w:r w:rsidR="00ED7C06" w:rsidRPr="00C1694A">
        <w:rPr>
          <w:rFonts w:ascii="Times New Roman" w:hAnsi="Times New Roman" w:cs="Times New Roman"/>
          <w:sz w:val="24"/>
          <w:szCs w:val="24"/>
        </w:rPr>
        <w:t xml:space="preserve"> O</w:t>
      </w:r>
      <w:r w:rsidRPr="00C1694A">
        <w:rPr>
          <w:rFonts w:ascii="Times New Roman" w:hAnsi="Times New Roman" w:cs="Times New Roman"/>
          <w:sz w:val="24"/>
          <w:szCs w:val="24"/>
        </w:rPr>
        <w:t xml:space="preserve">ther commenters expressed concern about these provisions or explicitly opposed the requirement in paragraph (b)(2) that allowed programs to charge fees to children who are not Head Start eligible to encourage mixed-income settings.  For example,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were concerned this would put Head Start in competition with other private pay providers in the community or were concerned about unintended consequences for eligible children in terms of access.  </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Research on peer influences suggests that low-income children achieve better learning outcomes in mixed-income settings</w:t>
      </w:r>
      <w:r w:rsidR="00EB1ECA" w:rsidRPr="00C1694A">
        <w:rPr>
          <w:rFonts w:ascii="Times New Roman" w:hAnsi="Times New Roman" w:cs="Times New Roman"/>
          <w:sz w:val="24"/>
          <w:szCs w:val="24"/>
        </w:rPr>
        <w:t>.</w:t>
      </w:r>
      <w:r w:rsidRPr="00C1694A">
        <w:rPr>
          <w:rStyle w:val="FootnoteReference"/>
          <w:rFonts w:ascii="Times New Roman" w:hAnsi="Times New Roman" w:cs="Times New Roman"/>
          <w:sz w:val="24"/>
          <w:szCs w:val="24"/>
        </w:rPr>
        <w:footnoteReference w:id="55"/>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56"/>
      </w:r>
      <w:r w:rsidRPr="00C1694A">
        <w:rPr>
          <w:rFonts w:ascii="Times New Roman" w:hAnsi="Times New Roman" w:cs="Times New Roman"/>
          <w:sz w:val="24"/>
          <w:szCs w:val="24"/>
        </w:rPr>
        <w:t xml:space="preserve">  We do not believe that allowing Head Start programs to operate mixed-income class</w:t>
      </w:r>
      <w:r w:rsidR="002450D3" w:rsidRPr="00C1694A">
        <w:rPr>
          <w:rFonts w:ascii="Times New Roman" w:hAnsi="Times New Roman" w:cs="Times New Roman"/>
          <w:sz w:val="24"/>
          <w:szCs w:val="24"/>
        </w:rPr>
        <w:t>e</w:t>
      </w:r>
      <w:r w:rsidRPr="00C1694A">
        <w:rPr>
          <w:rFonts w:ascii="Times New Roman" w:hAnsi="Times New Roman" w:cs="Times New Roman"/>
          <w:sz w:val="24"/>
          <w:szCs w:val="24"/>
        </w:rPr>
        <w:t xml:space="preserve">s will have a negative impact on other private pay providers in a community.  This requirement does not allow programs to serve fewer eligible children than their Head Start funded enrollment.  However, to further clarify our intent mixed-income settings must in no way displace Head Start eligible children, we revised </w:t>
      </w:r>
      <w:r w:rsidR="00405B4B" w:rsidRPr="00C1694A">
        <w:rPr>
          <w:rFonts w:ascii="Times New Roman" w:hAnsi="Times New Roman" w:cs="Times New Roman"/>
          <w:sz w:val="24"/>
          <w:szCs w:val="24"/>
        </w:rPr>
        <w:t>§§</w:t>
      </w:r>
      <w:r w:rsidR="002C0874" w:rsidRPr="00C1694A">
        <w:rPr>
          <w:rFonts w:ascii="Times New Roman" w:hAnsi="Times New Roman" w:cs="Times New Roman"/>
          <w:sz w:val="24"/>
          <w:szCs w:val="24"/>
        </w:rPr>
        <w:t xml:space="preserve">1302.11(b)(3), </w:t>
      </w:r>
      <w:r w:rsidRPr="00C1694A">
        <w:rPr>
          <w:rFonts w:ascii="Times New Roman" w:hAnsi="Times New Roman" w:cs="Times New Roman"/>
          <w:sz w:val="24"/>
          <w:szCs w:val="24"/>
        </w:rPr>
        <w:t>1302.15(d)</w:t>
      </w:r>
      <w:r w:rsidR="002C0874" w:rsidRPr="00C1694A">
        <w:rPr>
          <w:rFonts w:ascii="Times New Roman" w:hAnsi="Times New Roman" w:cs="Times New Roman"/>
          <w:sz w:val="24"/>
          <w:szCs w:val="24"/>
        </w:rPr>
        <w:t>, and paragraph (b)(2) in this section</w:t>
      </w:r>
      <w:r w:rsidRPr="00C1694A">
        <w:rPr>
          <w:rFonts w:ascii="Times New Roman" w:hAnsi="Times New Roman" w:cs="Times New Roman"/>
          <w:sz w:val="24"/>
          <w:szCs w:val="24"/>
        </w:rPr>
        <w:t>.</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asked for clarification or suggested revisions for additional specificity in paragraph (b)(2).  For example, commenters requested clarity about the definition of “diverse economic backgrounds” and whether over-income tuition could be applied to non-federal match requirements.  Some commenters asked for clarity about whether paragraph (b)(2) allows programs to charge fees to Head Start eligible children during the non-Head Start portion of the day. Additionally, commenters requested clarity about whether Head Start children can be expelled if their parents do not pay the fees for non-Head Start hours.  Some commenters suggested that expulsion should be possible, because otherwise it would be impossible to hold parents accountable for paying fees.  Other commenters suggested that we ensure Head Start children cannot be turned away if the portion of day funded by child subsidies requires fee and the parents cannot pay. </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that it is important for programs to have local flexibility to define what economic diversity means in their own communities so did not include a definition.  Any non-federal match must support services to Head Start eligible children during the Head Start day.  Programs can charge fees to Head Start eligible children during the non-Head Start portion of the day.  However, programs cannot predicate a child’s participation in the Head Start portion of the day on enrollment in the non-Head Start portion of the day or payment of any fees.  </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requested clarification about the proposed regulations covering fees for services under Part C of IDEA in paragraph (b)(3). Commenters noted the provision referenced Part B of IDEA, not Part C. </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with commenters that the reference to IDEA in paragraph (b)(3) was incorrect and unnecessary. We removed this requirement.</w:t>
      </w:r>
    </w:p>
    <w:p w:rsidR="005B47E6" w:rsidRPr="00C1694A" w:rsidRDefault="005B47E6"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2966AB" w:rsidRPr="00C1694A">
        <w:rPr>
          <w:rFonts w:ascii="Times New Roman" w:hAnsi="Times New Roman" w:cs="Times New Roman"/>
          <w:sz w:val="24"/>
          <w:szCs w:val="24"/>
        </w:rPr>
        <w:t>C</w:t>
      </w:r>
      <w:r w:rsidRPr="00C1694A">
        <w:rPr>
          <w:rFonts w:ascii="Times New Roman" w:hAnsi="Times New Roman" w:cs="Times New Roman"/>
          <w:sz w:val="24"/>
          <w:szCs w:val="24"/>
        </w:rPr>
        <w:t>ommenter</w:t>
      </w:r>
      <w:r w:rsidR="004C498B" w:rsidRPr="00C1694A">
        <w:rPr>
          <w:rFonts w:ascii="Times New Roman" w:hAnsi="Times New Roman" w:cs="Times New Roman"/>
          <w:sz w:val="24"/>
          <w:szCs w:val="24"/>
        </w:rPr>
        <w:t>s</w:t>
      </w:r>
      <w:r w:rsidRPr="00C1694A">
        <w:rPr>
          <w:rFonts w:ascii="Times New Roman" w:hAnsi="Times New Roman" w:cs="Times New Roman"/>
          <w:sz w:val="24"/>
          <w:szCs w:val="24"/>
        </w:rPr>
        <w:t xml:space="preserve"> noted that both standard fees and “de facto fees” should be prohibited, including requiring parents to provide diapers, formula, or food</w:t>
      </w:r>
      <w:r w:rsidR="002966AB" w:rsidRPr="00C1694A">
        <w:rPr>
          <w:rFonts w:ascii="Times New Roman" w:hAnsi="Times New Roman" w:cs="Times New Roman"/>
          <w:sz w:val="24"/>
          <w:szCs w:val="24"/>
        </w:rPr>
        <w:t xml:space="preserve"> and asked whether fees for special events like field trips were included</w:t>
      </w:r>
      <w:r w:rsidRPr="00C1694A">
        <w:rPr>
          <w:rFonts w:ascii="Times New Roman" w:hAnsi="Times New Roman" w:cs="Times New Roman"/>
          <w:sz w:val="24"/>
          <w:szCs w:val="24"/>
        </w:rPr>
        <w:t>.</w:t>
      </w:r>
      <w:r w:rsidR="002966AB" w:rsidRPr="00C1694A">
        <w:rPr>
          <w:rFonts w:ascii="Times New Roman" w:hAnsi="Times New Roman" w:cs="Times New Roman"/>
          <w:sz w:val="24"/>
          <w:szCs w:val="24"/>
        </w:rPr>
        <w:t xml:space="preserve"> </w:t>
      </w:r>
    </w:p>
    <w:p w:rsidR="00D118C5" w:rsidRPr="00C1694A" w:rsidRDefault="00D118C5"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have codified the requirement to provide diapers and formula in Head Start programs in §1302.42(e)(1) of the standards</w:t>
      </w:r>
      <w:r w:rsidR="002966AB" w:rsidRPr="00C1694A">
        <w:rPr>
          <w:rFonts w:ascii="Times New Roman" w:hAnsi="Times New Roman" w:cs="Times New Roman"/>
          <w:sz w:val="24"/>
          <w:szCs w:val="24"/>
        </w:rPr>
        <w:t xml:space="preserve"> and clarified here that fees are not allowed for activities, such as field trips, that are part of the Head Start day</w:t>
      </w:r>
      <w:r w:rsidRPr="00C1694A">
        <w:rPr>
          <w:rFonts w:ascii="Times New Roman" w:hAnsi="Times New Roman" w:cs="Times New Roman"/>
          <w:sz w:val="24"/>
          <w:szCs w:val="24"/>
        </w:rPr>
        <w:t>.</w:t>
      </w:r>
    </w:p>
    <w:p w:rsidR="00A60E33" w:rsidRPr="00C1694A" w:rsidRDefault="00A60E33" w:rsidP="009A526A">
      <w:pPr>
        <w:tabs>
          <w:tab w:val="left" w:pos="103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b/>
      </w:r>
    </w:p>
    <w:p w:rsidR="009D7EB0" w:rsidRPr="00C1694A" w:rsidRDefault="009D7EB0"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Program Structure</w:t>
      </w:r>
      <w:r w:rsidR="00044E00" w:rsidRPr="00C1694A">
        <w:rPr>
          <w:rFonts w:ascii="Times New Roman" w:hAnsi="Times New Roman" w:cs="Times New Roman"/>
          <w:b/>
          <w:sz w:val="24"/>
          <w:szCs w:val="24"/>
        </w:rPr>
        <w:t>; Subpart B</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this subpart, we combined all previous performance standards related to program options into one coherent section and indicated different requirements for Head Start and Early Head Start when necessary.  We set standards for how programs should choose a program option; defined the requirements for ratios, group size, and service duration for each of the program options; and outlined the waiver requirements to operate locally designed program options.  The majority of the comments submitted on the NPRM provided input on this subpart.  In particular, most commenters raised concerns with the proposal to increase the service duration for Head Start children to a full school day and full school year.  We discuss the comments and our rationale for any changes</w:t>
      </w:r>
      <w:r w:rsidR="00307F0B" w:rsidRPr="00C1694A">
        <w:rPr>
          <w:rFonts w:ascii="Times New Roman" w:hAnsi="Times New Roman" w:cs="Times New Roman"/>
          <w:sz w:val="24"/>
          <w:szCs w:val="24"/>
        </w:rPr>
        <w:t xml:space="preserve"> other than technical changes</w:t>
      </w:r>
      <w:r w:rsidRPr="00C1694A">
        <w:rPr>
          <w:rFonts w:ascii="Times New Roman" w:hAnsi="Times New Roman" w:cs="Times New Roman"/>
          <w:sz w:val="24"/>
          <w:szCs w:val="24"/>
        </w:rPr>
        <w:t xml:space="preserve"> to the regulatory text below.  </w:t>
      </w:r>
    </w:p>
    <w:p w:rsidR="009D7EB0" w:rsidRPr="00C1694A" w:rsidRDefault="009D7EB0"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§1302.20 </w:t>
      </w:r>
      <w:r w:rsidR="00E45E2A">
        <w:rPr>
          <w:rFonts w:ascii="Times New Roman" w:hAnsi="Times New Roman" w:cs="Times New Roman"/>
          <w:i/>
          <w:sz w:val="24"/>
          <w:szCs w:val="24"/>
        </w:rPr>
        <w:t>Determining program structure</w:t>
      </w:r>
      <w:r w:rsidRPr="00C1694A">
        <w:rPr>
          <w:rFonts w:ascii="Times New Roman" w:hAnsi="Times New Roman" w:cs="Times New Roman"/>
          <w:i/>
          <w:sz w:val="24"/>
          <w:szCs w:val="24"/>
        </w:rPr>
        <w:t xml:space="preserve">.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w:t>
      </w:r>
      <w:r w:rsidR="00265BE9" w:rsidRPr="00C1694A">
        <w:rPr>
          <w:rFonts w:ascii="Times New Roman" w:hAnsi="Times New Roman" w:cs="Times New Roman"/>
          <w:sz w:val="24"/>
          <w:szCs w:val="24"/>
        </w:rPr>
        <w:t xml:space="preserve">describes </w:t>
      </w:r>
      <w:r w:rsidRPr="00C1694A">
        <w:rPr>
          <w:rFonts w:ascii="Times New Roman" w:hAnsi="Times New Roman" w:cs="Times New Roman"/>
          <w:sz w:val="24"/>
          <w:szCs w:val="24"/>
        </w:rPr>
        <w:t xml:space="preserve">how </w:t>
      </w:r>
      <w:r w:rsidR="00265BE9" w:rsidRPr="00C1694A">
        <w:rPr>
          <w:rFonts w:ascii="Times New Roman" w:hAnsi="Times New Roman" w:cs="Times New Roman"/>
          <w:sz w:val="24"/>
          <w:szCs w:val="24"/>
        </w:rPr>
        <w:t xml:space="preserve">programs must </w:t>
      </w:r>
      <w:r w:rsidRPr="00C1694A">
        <w:rPr>
          <w:rFonts w:ascii="Times New Roman" w:hAnsi="Times New Roman" w:cs="Times New Roman"/>
          <w:sz w:val="24"/>
          <w:szCs w:val="24"/>
        </w:rPr>
        <w:t>select a program option</w:t>
      </w:r>
      <w:r w:rsidR="00265BE9" w:rsidRPr="00C1694A">
        <w:rPr>
          <w:rFonts w:ascii="Times New Roman" w:hAnsi="Times New Roman" w:cs="Times New Roman"/>
          <w:sz w:val="24"/>
          <w:szCs w:val="24"/>
        </w:rPr>
        <w:t xml:space="preserve"> and develop a program calendar.  The provisions in this section also require</w:t>
      </w:r>
      <w:r w:rsidRPr="00C1694A">
        <w:rPr>
          <w:rFonts w:ascii="Times New Roman" w:hAnsi="Times New Roman" w:cs="Times New Roman"/>
          <w:sz w:val="24"/>
          <w:szCs w:val="24"/>
        </w:rPr>
        <w:t xml:space="preserve"> that all program options provide </w:t>
      </w:r>
      <w:r w:rsidR="00265BE9" w:rsidRPr="00C1694A">
        <w:rPr>
          <w:rFonts w:ascii="Times New Roman" w:hAnsi="Times New Roman" w:cs="Times New Roman"/>
          <w:sz w:val="24"/>
          <w:szCs w:val="24"/>
        </w:rPr>
        <w:t>comprehensive services, outline</w:t>
      </w:r>
      <w:r w:rsidRPr="00C1694A">
        <w:rPr>
          <w:rFonts w:ascii="Times New Roman" w:hAnsi="Times New Roman" w:cs="Times New Roman"/>
          <w:sz w:val="24"/>
          <w:szCs w:val="24"/>
        </w:rPr>
        <w:t xml:space="preserve"> the process for conversion of Head Start slots to Early Head Star</w:t>
      </w:r>
      <w:r w:rsidR="00265BE9" w:rsidRPr="00C1694A">
        <w:rPr>
          <w:rFonts w:ascii="Times New Roman" w:hAnsi="Times New Roman" w:cs="Times New Roman"/>
          <w:sz w:val="24"/>
          <w:szCs w:val="24"/>
        </w:rPr>
        <w:t>t slots, allow</w:t>
      </w:r>
      <w:r w:rsidRPr="00C1694A">
        <w:rPr>
          <w:rFonts w:ascii="Times New Roman" w:hAnsi="Times New Roman" w:cs="Times New Roman"/>
          <w:sz w:val="24"/>
          <w:szCs w:val="24"/>
        </w:rPr>
        <w:t xml:space="preserve"> American Indian and Alaska Native programs to r</w:t>
      </w:r>
      <w:r w:rsidR="00265BE9" w:rsidRPr="00C1694A">
        <w:rPr>
          <w:rFonts w:ascii="Times New Roman" w:hAnsi="Times New Roman" w:cs="Times New Roman"/>
          <w:sz w:val="24"/>
          <w:szCs w:val="24"/>
        </w:rPr>
        <w:t>eallocate funding, and clarify</w:t>
      </w:r>
      <w:r w:rsidRPr="00C1694A">
        <w:rPr>
          <w:rFonts w:ascii="Times New Roman" w:hAnsi="Times New Roman" w:cs="Times New Roman"/>
          <w:sz w:val="24"/>
          <w:szCs w:val="24"/>
        </w:rPr>
        <w:t xml:space="preserve"> what are considered Head Start and Early Head Start hours of service.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expressed some concerns about the </w:t>
      </w:r>
      <w:r w:rsidR="002C0874" w:rsidRPr="00C1694A">
        <w:rPr>
          <w:rFonts w:ascii="Times New Roman" w:hAnsi="Times New Roman" w:cs="Times New Roman"/>
          <w:sz w:val="24"/>
          <w:szCs w:val="24"/>
        </w:rPr>
        <w:t xml:space="preserve">proposed </w:t>
      </w:r>
      <w:r w:rsidRPr="00C1694A">
        <w:rPr>
          <w:rFonts w:ascii="Times New Roman" w:hAnsi="Times New Roman" w:cs="Times New Roman"/>
          <w:sz w:val="24"/>
          <w:szCs w:val="24"/>
        </w:rPr>
        <w:t xml:space="preserve">provision in </w:t>
      </w:r>
      <w:r w:rsidR="002C0874"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(a)(1) that programs annually consider whether local needs would be better met through conversion of existing part-day to full-day slots or full-day to full working day slots.  Some stated that annual consideration was too often and too burdensome and suggested less frequent alternatives.  In addition, the proposals in </w:t>
      </w:r>
      <w:r w:rsidR="00265BE9" w:rsidRPr="00C1694A">
        <w:rPr>
          <w:rFonts w:ascii="Times New Roman" w:hAnsi="Times New Roman" w:cs="Times New Roman"/>
          <w:sz w:val="24"/>
          <w:szCs w:val="24"/>
        </w:rPr>
        <w:t xml:space="preserve">paragraphs </w:t>
      </w:r>
      <w:r w:rsidR="00535E9D" w:rsidRPr="00C1694A">
        <w:rPr>
          <w:rFonts w:ascii="Times New Roman" w:hAnsi="Times New Roman" w:cs="Times New Roman"/>
          <w:sz w:val="24"/>
          <w:szCs w:val="24"/>
        </w:rPr>
        <w:t xml:space="preserve">(a)(2) and </w:t>
      </w:r>
      <w:r w:rsidRPr="00C1694A">
        <w:rPr>
          <w:rFonts w:ascii="Times New Roman" w:hAnsi="Times New Roman" w:cs="Times New Roman"/>
          <w:sz w:val="24"/>
          <w:szCs w:val="24"/>
        </w:rPr>
        <w:t xml:space="preserve">(3) created some confusion.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opposed the provision that programs consider conversion to a full year program and others found the language unclear in regards to whether this conversion was mandatory and whether full year meant calendar or academic year.  Commenters </w:t>
      </w:r>
      <w:r w:rsidR="00265BE9" w:rsidRPr="00C1694A">
        <w:rPr>
          <w:rFonts w:ascii="Times New Roman" w:hAnsi="Times New Roman" w:cs="Times New Roman"/>
          <w:sz w:val="24"/>
          <w:szCs w:val="24"/>
        </w:rPr>
        <w:t>requested</w:t>
      </w:r>
      <w:r w:rsidRPr="00C1694A">
        <w:rPr>
          <w:rFonts w:ascii="Times New Roman" w:hAnsi="Times New Roman" w:cs="Times New Roman"/>
          <w:sz w:val="24"/>
          <w:szCs w:val="24"/>
        </w:rPr>
        <w:t xml:space="preserve"> clarification on the proposal in </w:t>
      </w:r>
      <w:r w:rsidR="00265BE9"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(a)(3) that </w:t>
      </w:r>
      <w:r w:rsidR="00265BE9" w:rsidRPr="00C1694A">
        <w:rPr>
          <w:rFonts w:ascii="Times New Roman" w:hAnsi="Times New Roman" w:cs="Times New Roman"/>
          <w:sz w:val="24"/>
          <w:szCs w:val="24"/>
        </w:rPr>
        <w:t xml:space="preserve">requires </w:t>
      </w:r>
      <w:r w:rsidRPr="00C1694A">
        <w:rPr>
          <w:rFonts w:ascii="Times New Roman" w:hAnsi="Times New Roman" w:cs="Times New Roman"/>
          <w:sz w:val="24"/>
          <w:szCs w:val="24"/>
        </w:rPr>
        <w:t xml:space="preserve">programs to </w:t>
      </w:r>
      <w:r w:rsidR="00265BE9" w:rsidRPr="00C1694A">
        <w:rPr>
          <w:rFonts w:ascii="Times New Roman" w:hAnsi="Times New Roman" w:cs="Times New Roman"/>
          <w:sz w:val="24"/>
          <w:szCs w:val="24"/>
        </w:rPr>
        <w:t xml:space="preserve">try to </w:t>
      </w:r>
      <w:r w:rsidRPr="00C1694A">
        <w:rPr>
          <w:rFonts w:ascii="Times New Roman" w:hAnsi="Times New Roman" w:cs="Times New Roman"/>
          <w:sz w:val="24"/>
          <w:szCs w:val="24"/>
        </w:rPr>
        <w:t xml:space="preserve">identify alternate funding sources before using program resources to cover extended hours because they found the term “extended hours” </w:t>
      </w:r>
      <w:r w:rsidR="00DA16B4" w:rsidRPr="00C1694A">
        <w:rPr>
          <w:rFonts w:ascii="Times New Roman" w:hAnsi="Times New Roman" w:cs="Times New Roman"/>
          <w:sz w:val="24"/>
          <w:szCs w:val="24"/>
        </w:rPr>
        <w:t>confusing</w:t>
      </w:r>
      <w:r w:rsidRPr="00C1694A">
        <w:rPr>
          <w:rFonts w:ascii="Times New Roman" w:hAnsi="Times New Roman" w:cs="Times New Roman"/>
          <w:sz w:val="24"/>
          <w:szCs w:val="24"/>
        </w:rPr>
        <w:t xml:space="preserve"> and were unsure how </w:t>
      </w:r>
      <w:r w:rsidR="00265BE9" w:rsidRPr="00C1694A">
        <w:rPr>
          <w:rFonts w:ascii="Times New Roman" w:hAnsi="Times New Roman" w:cs="Times New Roman"/>
          <w:sz w:val="24"/>
          <w:szCs w:val="24"/>
        </w:rPr>
        <w:t xml:space="preserve">meeting </w:t>
      </w:r>
      <w:r w:rsidRPr="00C1694A">
        <w:rPr>
          <w:rFonts w:ascii="Times New Roman" w:hAnsi="Times New Roman" w:cs="Times New Roman"/>
          <w:sz w:val="24"/>
          <w:szCs w:val="24"/>
        </w:rPr>
        <w:t xml:space="preserve">this </w:t>
      </w:r>
      <w:r w:rsidR="00265BE9" w:rsidRPr="00C1694A">
        <w:rPr>
          <w:rFonts w:ascii="Times New Roman" w:hAnsi="Times New Roman" w:cs="Times New Roman"/>
          <w:sz w:val="24"/>
          <w:szCs w:val="24"/>
        </w:rPr>
        <w:t xml:space="preserve">requirement </w:t>
      </w:r>
      <w:r w:rsidRPr="00C1694A">
        <w:rPr>
          <w:rFonts w:ascii="Times New Roman" w:hAnsi="Times New Roman" w:cs="Times New Roman"/>
          <w:sz w:val="24"/>
          <w:szCs w:val="24"/>
        </w:rPr>
        <w:t xml:space="preserve">would be evaluated.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We </w:t>
      </w:r>
      <w:r w:rsidR="002C0874" w:rsidRPr="00C1694A">
        <w:rPr>
          <w:rFonts w:ascii="Times New Roman" w:hAnsi="Times New Roman" w:cs="Times New Roman"/>
          <w:sz w:val="24"/>
          <w:szCs w:val="24"/>
        </w:rPr>
        <w:t>revised</w:t>
      </w:r>
      <w:r w:rsidRPr="00C1694A">
        <w:rPr>
          <w:rFonts w:ascii="Times New Roman" w:hAnsi="Times New Roman" w:cs="Times New Roman"/>
          <w:sz w:val="24"/>
          <w:szCs w:val="24"/>
        </w:rPr>
        <w:t xml:space="preserve"> </w:t>
      </w:r>
      <w:r w:rsidR="006504B5" w:rsidRPr="00C1694A">
        <w:rPr>
          <w:rFonts w:ascii="Times New Roman" w:hAnsi="Times New Roman" w:cs="Times New Roman"/>
          <w:sz w:val="24"/>
          <w:szCs w:val="24"/>
        </w:rPr>
        <w:t xml:space="preserve">paragraphs </w:t>
      </w:r>
      <w:r w:rsidR="00535E9D" w:rsidRPr="00C1694A">
        <w:rPr>
          <w:rFonts w:ascii="Times New Roman" w:hAnsi="Times New Roman" w:cs="Times New Roman"/>
          <w:sz w:val="24"/>
          <w:szCs w:val="24"/>
        </w:rPr>
        <w:t xml:space="preserve">(a)(1) and </w:t>
      </w:r>
      <w:r w:rsidRPr="00C1694A">
        <w:rPr>
          <w:rFonts w:ascii="Times New Roman" w:hAnsi="Times New Roman" w:cs="Times New Roman"/>
          <w:sz w:val="24"/>
          <w:szCs w:val="24"/>
        </w:rPr>
        <w:t xml:space="preserve">(2) </w:t>
      </w:r>
      <w:r w:rsidR="002C0874" w:rsidRPr="00C1694A">
        <w:rPr>
          <w:rFonts w:ascii="Times New Roman" w:hAnsi="Times New Roman" w:cs="Times New Roman"/>
          <w:sz w:val="24"/>
          <w:szCs w:val="24"/>
        </w:rPr>
        <w:t xml:space="preserve">and struck paragraph (a)(3) from the NPRM </w:t>
      </w:r>
      <w:r w:rsidRPr="00C1694A">
        <w:rPr>
          <w:rFonts w:ascii="Times New Roman" w:hAnsi="Times New Roman" w:cs="Times New Roman"/>
          <w:sz w:val="24"/>
          <w:szCs w:val="24"/>
        </w:rPr>
        <w:t xml:space="preserve">to improve clarity of what is required of programs.  The </w:t>
      </w:r>
      <w:r w:rsidR="00DB46EA" w:rsidRPr="00C1694A">
        <w:rPr>
          <w:rFonts w:ascii="Times New Roman" w:hAnsi="Times New Roman" w:cs="Times New Roman"/>
          <w:sz w:val="24"/>
          <w:szCs w:val="24"/>
        </w:rPr>
        <w:t>requirement</w:t>
      </w:r>
      <w:r w:rsidRPr="00C1694A">
        <w:rPr>
          <w:rFonts w:ascii="Times New Roman" w:hAnsi="Times New Roman" w:cs="Times New Roman"/>
          <w:sz w:val="24"/>
          <w:szCs w:val="24"/>
        </w:rPr>
        <w:t xml:space="preserve"> for programs to annually consider whether they should convert to a full year program was not meant to require actual conversion but rather for programs to annually consider whether such a conversion would better meet the needs of their community.  Paragraph (a)(2) now makes clear that consideration of conversion and ways to promote continuity of care should </w:t>
      </w:r>
      <w:r w:rsidR="00DB46EA" w:rsidRPr="00C1694A">
        <w:rPr>
          <w:rFonts w:ascii="Times New Roman" w:hAnsi="Times New Roman" w:cs="Times New Roman"/>
          <w:sz w:val="24"/>
          <w:szCs w:val="24"/>
        </w:rPr>
        <w:t xml:space="preserve">take place </w:t>
      </w:r>
      <w:r w:rsidRPr="00C1694A">
        <w:rPr>
          <w:rFonts w:ascii="Times New Roman" w:hAnsi="Times New Roman" w:cs="Times New Roman"/>
          <w:sz w:val="24"/>
          <w:szCs w:val="24"/>
        </w:rPr>
        <w:t xml:space="preserve">as part of the annual review of the community assessment described in §1302.11(b)(2).   In addition, </w:t>
      </w:r>
      <w:r w:rsidR="00DB46EA" w:rsidRPr="00C1694A">
        <w:rPr>
          <w:rFonts w:ascii="Times New Roman" w:hAnsi="Times New Roman" w:cs="Times New Roman"/>
          <w:sz w:val="24"/>
          <w:szCs w:val="24"/>
        </w:rPr>
        <w:t xml:space="preserve">we replaced </w:t>
      </w:r>
      <w:r w:rsidRPr="00C1694A">
        <w:rPr>
          <w:rFonts w:ascii="Times New Roman" w:hAnsi="Times New Roman" w:cs="Times New Roman"/>
          <w:sz w:val="24"/>
          <w:szCs w:val="24"/>
        </w:rPr>
        <w:t xml:space="preserve">the term “extended hours” in what was paragraph (a)(3) </w:t>
      </w:r>
      <w:r w:rsidR="00DB46EA" w:rsidRPr="00C1694A">
        <w:rPr>
          <w:rFonts w:ascii="Times New Roman" w:hAnsi="Times New Roman" w:cs="Times New Roman"/>
          <w:sz w:val="24"/>
          <w:szCs w:val="24"/>
        </w:rPr>
        <w:t xml:space="preserve">in the NPRM </w:t>
      </w:r>
      <w:r w:rsidRPr="00C1694A">
        <w:rPr>
          <w:rFonts w:ascii="Times New Roman" w:hAnsi="Times New Roman" w:cs="Times New Roman"/>
          <w:sz w:val="24"/>
          <w:szCs w:val="24"/>
        </w:rPr>
        <w:t xml:space="preserve">with “full working day services” for improved clarity in </w:t>
      </w:r>
      <w:r w:rsidR="006504B5"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(a)(2)</w:t>
      </w:r>
      <w:r w:rsidR="00DB46EA" w:rsidRPr="00C1694A">
        <w:rPr>
          <w:rFonts w:ascii="Times New Roman" w:hAnsi="Times New Roman" w:cs="Times New Roman"/>
          <w:sz w:val="24"/>
          <w:szCs w:val="24"/>
        </w:rPr>
        <w:t xml:space="preserve"> in the final rule</w:t>
      </w:r>
      <w:r w:rsidRPr="00C1694A">
        <w:rPr>
          <w:rFonts w:ascii="Times New Roman" w:hAnsi="Times New Roman" w:cs="Times New Roman"/>
          <w:sz w:val="24"/>
          <w:szCs w:val="24"/>
        </w:rPr>
        <w:t xml:space="preserve">.  </w:t>
      </w:r>
      <w:r w:rsidR="00DB46EA" w:rsidRPr="00C1694A">
        <w:rPr>
          <w:rFonts w:ascii="Times New Roman" w:hAnsi="Times New Roman" w:cs="Times New Roman"/>
          <w:sz w:val="24"/>
          <w:szCs w:val="24"/>
        </w:rPr>
        <w:t>We believe</w:t>
      </w:r>
      <w:r w:rsidRPr="00C1694A">
        <w:rPr>
          <w:rFonts w:ascii="Times New Roman" w:hAnsi="Times New Roman" w:cs="Times New Roman"/>
          <w:sz w:val="24"/>
          <w:szCs w:val="24"/>
        </w:rPr>
        <w:t xml:space="preserve"> annual reconsideration of whether a program’s model is meeting local needs is appropriate.</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on provisions in </w:t>
      </w:r>
      <w:r w:rsidR="006504B5" w:rsidRPr="00C1694A">
        <w:rPr>
          <w:rFonts w:ascii="Times New Roman" w:hAnsi="Times New Roman" w:cs="Times New Roman"/>
          <w:sz w:val="24"/>
          <w:szCs w:val="24"/>
        </w:rPr>
        <w:t xml:space="preserve">paragraphs </w:t>
      </w:r>
      <w:r w:rsidR="00535E9D" w:rsidRPr="00C1694A">
        <w:rPr>
          <w:rFonts w:ascii="Times New Roman" w:hAnsi="Times New Roman" w:cs="Times New Roman"/>
          <w:sz w:val="24"/>
          <w:szCs w:val="24"/>
        </w:rPr>
        <w:t xml:space="preserve">(a)(1) and </w:t>
      </w:r>
      <w:r w:rsidRPr="00C1694A">
        <w:rPr>
          <w:rFonts w:ascii="Times New Roman" w:hAnsi="Times New Roman" w:cs="Times New Roman"/>
          <w:sz w:val="24"/>
          <w:szCs w:val="24"/>
        </w:rPr>
        <w:t xml:space="preserve">(3) </w:t>
      </w:r>
      <w:r w:rsidR="002C0874" w:rsidRPr="00C1694A">
        <w:rPr>
          <w:rFonts w:ascii="Times New Roman" w:hAnsi="Times New Roman" w:cs="Times New Roman"/>
          <w:sz w:val="24"/>
          <w:szCs w:val="24"/>
        </w:rPr>
        <w:t xml:space="preserve">of the NPRM </w:t>
      </w:r>
      <w:r w:rsidRPr="00C1694A">
        <w:rPr>
          <w:rFonts w:ascii="Times New Roman" w:hAnsi="Times New Roman" w:cs="Times New Roman"/>
          <w:sz w:val="24"/>
          <w:szCs w:val="24"/>
        </w:rPr>
        <w:t xml:space="preserve">regarding conversion to Early Head Start.  Some commenters strongly supported these provisions.  Some stated that annual consideration was too often and too burdensome and suggested less frequent alternatives.  Some commenters requested that additional clarification be added to </w:t>
      </w:r>
      <w:r w:rsidR="00D057DC" w:rsidRPr="00C1694A">
        <w:rPr>
          <w:rFonts w:ascii="Times New Roman" w:hAnsi="Times New Roman" w:cs="Times New Roman"/>
          <w:sz w:val="24"/>
          <w:szCs w:val="24"/>
        </w:rPr>
        <w:t xml:space="preserve">the </w:t>
      </w:r>
      <w:r w:rsidRPr="00C1694A">
        <w:rPr>
          <w:rFonts w:ascii="Times New Roman" w:hAnsi="Times New Roman" w:cs="Times New Roman"/>
          <w:sz w:val="24"/>
          <w:szCs w:val="24"/>
        </w:rPr>
        <w:t>regulation, such as noting that conversion was allowable for grantees who did not currently ope</w:t>
      </w:r>
      <w:r w:rsidR="00DB46EA" w:rsidRPr="00C1694A">
        <w:rPr>
          <w:rFonts w:ascii="Times New Roman" w:hAnsi="Times New Roman" w:cs="Times New Roman"/>
          <w:sz w:val="24"/>
          <w:szCs w:val="24"/>
        </w:rPr>
        <w:t>rate Early Head Start and that r</w:t>
      </w:r>
      <w:r w:rsidRPr="00C1694A">
        <w:rPr>
          <w:rFonts w:ascii="Times New Roman" w:hAnsi="Times New Roman" w:cs="Times New Roman"/>
          <w:sz w:val="24"/>
          <w:szCs w:val="24"/>
        </w:rPr>
        <w:t>egional offices should approve or deny conversion requests within a stated timeline.  Other commenters suggested the standards should explicitly allow a reduction in funded enrollment for programs that choose to convert Head Start slots to Early Head Start slots.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No changes were made to the provisions regarding conversion of slots to Early Head Start, which we believe are appropriately addressed in </w:t>
      </w:r>
      <w:r w:rsidR="006504B5"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(c)</w:t>
      </w:r>
      <w:r w:rsidR="00DA16B4" w:rsidRPr="00C1694A">
        <w:rPr>
          <w:rFonts w:ascii="Times New Roman" w:hAnsi="Times New Roman" w:cs="Times New Roman"/>
          <w:sz w:val="24"/>
          <w:szCs w:val="24"/>
        </w:rPr>
        <w:t>, with the exception</w:t>
      </w:r>
      <w:r w:rsidR="00AD5955" w:rsidRPr="00C1694A">
        <w:rPr>
          <w:rFonts w:ascii="Times New Roman" w:hAnsi="Times New Roman" w:cs="Times New Roman"/>
          <w:sz w:val="24"/>
          <w:szCs w:val="24"/>
        </w:rPr>
        <w:t xml:space="preserve"> </w:t>
      </w:r>
      <w:r w:rsidR="00DA16B4" w:rsidRPr="00C1694A">
        <w:rPr>
          <w:rFonts w:ascii="Times New Roman" w:hAnsi="Times New Roman" w:cs="Times New Roman"/>
          <w:sz w:val="24"/>
          <w:szCs w:val="24"/>
        </w:rPr>
        <w:t xml:space="preserve">of a technical correction that the policy council would </w:t>
      </w:r>
      <w:r w:rsidR="00DB46EA" w:rsidRPr="00C1694A">
        <w:rPr>
          <w:rFonts w:ascii="Times New Roman" w:hAnsi="Times New Roman" w:cs="Times New Roman"/>
          <w:sz w:val="24"/>
          <w:szCs w:val="24"/>
        </w:rPr>
        <w:t xml:space="preserve">also </w:t>
      </w:r>
      <w:r w:rsidR="00DA16B4" w:rsidRPr="00C1694A">
        <w:rPr>
          <w:rFonts w:ascii="Times New Roman" w:hAnsi="Times New Roman" w:cs="Times New Roman"/>
          <w:sz w:val="24"/>
          <w:szCs w:val="24"/>
        </w:rPr>
        <w:t>need to approve the request</w:t>
      </w:r>
      <w:r w:rsidR="000B2538" w:rsidRPr="00C1694A">
        <w:rPr>
          <w:rFonts w:ascii="Times New Roman" w:hAnsi="Times New Roman" w:cs="Times New Roman"/>
          <w:sz w:val="24"/>
          <w:szCs w:val="24"/>
        </w:rPr>
        <w:t xml:space="preserve"> and a clarification that programs should update their school readiness goals to reflect the ages of children they serve</w:t>
      </w:r>
      <w:r w:rsidRPr="00C1694A">
        <w:rPr>
          <w:rFonts w:ascii="Times New Roman" w:hAnsi="Times New Roman" w:cs="Times New Roman"/>
          <w:sz w:val="24"/>
          <w:szCs w:val="24"/>
        </w:rPr>
        <w:t xml:space="preserve">.  There are no statutory or regulatory prohibitions to prevent grantees </w:t>
      </w:r>
      <w:r w:rsidR="00DB46EA" w:rsidRPr="00C1694A">
        <w:rPr>
          <w:rFonts w:ascii="Times New Roman" w:hAnsi="Times New Roman" w:cs="Times New Roman"/>
          <w:sz w:val="24"/>
          <w:szCs w:val="24"/>
        </w:rPr>
        <w:t xml:space="preserve">that do </w:t>
      </w:r>
      <w:r w:rsidRPr="00C1694A">
        <w:rPr>
          <w:rFonts w:ascii="Times New Roman" w:hAnsi="Times New Roman" w:cs="Times New Roman"/>
          <w:sz w:val="24"/>
          <w:szCs w:val="24"/>
        </w:rPr>
        <w:t>not currently operat</w:t>
      </w:r>
      <w:r w:rsidR="00DB46EA" w:rsidRPr="00C1694A">
        <w:rPr>
          <w:rFonts w:ascii="Times New Roman" w:hAnsi="Times New Roman" w:cs="Times New Roman"/>
          <w:sz w:val="24"/>
          <w:szCs w:val="24"/>
        </w:rPr>
        <w:t>e</w:t>
      </w:r>
      <w:r w:rsidRPr="00C1694A">
        <w:rPr>
          <w:rFonts w:ascii="Times New Roman" w:hAnsi="Times New Roman" w:cs="Times New Roman"/>
          <w:sz w:val="24"/>
          <w:szCs w:val="24"/>
        </w:rPr>
        <w:t xml:space="preserve"> Early Head Start from converting slots.  We agree that a reduction in funded enrollment is a likely outcome of conversion because of the higher relative costs of serving infants and toddlers, but this does not need to be </w:t>
      </w:r>
      <w:r w:rsidR="00CA6843" w:rsidRPr="00C1694A">
        <w:rPr>
          <w:rFonts w:ascii="Times New Roman" w:hAnsi="Times New Roman" w:cs="Times New Roman"/>
          <w:sz w:val="24"/>
          <w:szCs w:val="24"/>
        </w:rPr>
        <w:t xml:space="preserve">included </w:t>
      </w:r>
      <w:r w:rsidRPr="00C1694A">
        <w:rPr>
          <w:rFonts w:ascii="Times New Roman" w:hAnsi="Times New Roman" w:cs="Times New Roman"/>
          <w:sz w:val="24"/>
          <w:szCs w:val="24"/>
        </w:rPr>
        <w:t xml:space="preserve">in </w:t>
      </w:r>
      <w:r w:rsidR="00D057DC" w:rsidRPr="00C1694A">
        <w:rPr>
          <w:rFonts w:ascii="Times New Roman" w:hAnsi="Times New Roman" w:cs="Times New Roman"/>
          <w:sz w:val="24"/>
          <w:szCs w:val="24"/>
        </w:rPr>
        <w:t xml:space="preserve">the </w:t>
      </w:r>
      <w:r w:rsidRPr="00C1694A">
        <w:rPr>
          <w:rFonts w:ascii="Times New Roman" w:hAnsi="Times New Roman" w:cs="Times New Roman"/>
          <w:sz w:val="24"/>
          <w:szCs w:val="24"/>
        </w:rPr>
        <w:t xml:space="preserve">regulation.  We understand there is concern about the time required to process conversion requests but note that the process follows the clear requirements set forth in statute and further clarified in </w:t>
      </w:r>
      <w:r w:rsidR="00D057DC" w:rsidRPr="00C1694A">
        <w:rPr>
          <w:rFonts w:ascii="Times New Roman" w:hAnsi="Times New Roman" w:cs="Times New Roman"/>
          <w:sz w:val="24"/>
          <w:szCs w:val="24"/>
        </w:rPr>
        <w:t xml:space="preserve">this </w:t>
      </w:r>
      <w:r w:rsidR="00DB46EA" w:rsidRPr="00C1694A">
        <w:rPr>
          <w:rFonts w:ascii="Times New Roman" w:hAnsi="Times New Roman" w:cs="Times New Roman"/>
          <w:sz w:val="24"/>
          <w:szCs w:val="24"/>
        </w:rPr>
        <w:t>rule</w:t>
      </w:r>
      <w:r w:rsidRPr="00C1694A">
        <w:rPr>
          <w:rFonts w:ascii="Times New Roman" w:hAnsi="Times New Roman" w:cs="Times New Roman"/>
          <w:sz w:val="24"/>
          <w:szCs w:val="24"/>
        </w:rPr>
        <w:t>.</w:t>
      </w:r>
      <w:r w:rsidRPr="00C1694A">
        <w:rPr>
          <w:rFonts w:ascii="Times New Roman" w:hAnsi="Times New Roman" w:cs="Times New Roman"/>
          <w:b/>
          <w:sz w:val="24"/>
          <w:szCs w:val="24"/>
        </w:rPr>
        <w:t xml:space="preserve">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asked for clarification about whether a blended or braided funding model would be allowed to achieve the full school day requirement.  Some sought additional clarification about which Head Start standards would need to be met during hours of operation not funded by Head Start.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also sought additional clarification about which hours </w:t>
      </w:r>
      <w:r w:rsidR="00DB46EA" w:rsidRPr="00C1694A">
        <w:rPr>
          <w:rFonts w:ascii="Times New Roman" w:hAnsi="Times New Roman" w:cs="Times New Roman"/>
          <w:sz w:val="24"/>
          <w:szCs w:val="24"/>
        </w:rPr>
        <w:t>must meet</w:t>
      </w:r>
      <w:r w:rsidRPr="00C1694A">
        <w:rPr>
          <w:rFonts w:ascii="Times New Roman" w:hAnsi="Times New Roman" w:cs="Times New Roman"/>
          <w:sz w:val="24"/>
          <w:szCs w:val="24"/>
        </w:rPr>
        <w:t xml:space="preserve"> Head Start standards and noted that they would not be able to meet Head Start standards for before and after care.</w:t>
      </w:r>
      <w:r w:rsidR="00265BE9" w:rsidRPr="00C1694A">
        <w:rPr>
          <w:rFonts w:ascii="Times New Roman" w:hAnsi="Times New Roman" w:cs="Times New Roman"/>
          <w:sz w:val="24"/>
          <w:szCs w:val="24"/>
        </w:rPr>
        <w:t xml:space="preserve">  Similarly, commenters asked for clarification about whether the ratio and group size requirements only referred to program hours funded by Early Head Start or Head Start.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The NPRM intended to convey that hours of service that meet Head Start standards would be counted toward calculation of Head Start service duration, regardless of whether those hours were funded by federal Head Start funding or another source.  We understand </w:t>
      </w:r>
      <w:r w:rsidR="00DB46EA" w:rsidRPr="00C1694A">
        <w:rPr>
          <w:rFonts w:ascii="Times New Roman" w:hAnsi="Times New Roman" w:cs="Times New Roman"/>
          <w:sz w:val="24"/>
          <w:szCs w:val="24"/>
        </w:rPr>
        <w:t>the need for innovative funding models to leverage funds to</w:t>
      </w:r>
      <w:r w:rsidRPr="00C1694A">
        <w:rPr>
          <w:rFonts w:ascii="Times New Roman" w:hAnsi="Times New Roman" w:cs="Times New Roman"/>
          <w:sz w:val="24"/>
          <w:szCs w:val="24"/>
        </w:rPr>
        <w:t xml:space="preserve"> more efficiently meet the needs of children and families.  To eliminate confusion about whether these </w:t>
      </w:r>
      <w:r w:rsidR="00DB46EA" w:rsidRPr="00C1694A">
        <w:rPr>
          <w:rFonts w:ascii="Times New Roman" w:hAnsi="Times New Roman" w:cs="Times New Roman"/>
          <w:sz w:val="24"/>
          <w:szCs w:val="24"/>
        </w:rPr>
        <w:t xml:space="preserve">funding </w:t>
      </w:r>
      <w:r w:rsidRPr="00C1694A">
        <w:rPr>
          <w:rFonts w:ascii="Times New Roman" w:hAnsi="Times New Roman" w:cs="Times New Roman"/>
          <w:sz w:val="24"/>
          <w:szCs w:val="24"/>
        </w:rPr>
        <w:t xml:space="preserve">models </w:t>
      </w:r>
      <w:r w:rsidR="00265BE9" w:rsidRPr="00C1694A">
        <w:rPr>
          <w:rFonts w:ascii="Times New Roman" w:hAnsi="Times New Roman" w:cs="Times New Roman"/>
          <w:sz w:val="24"/>
          <w:szCs w:val="24"/>
        </w:rPr>
        <w:t xml:space="preserve">are an allowable approach to </w:t>
      </w:r>
      <w:r w:rsidRPr="00C1694A">
        <w:rPr>
          <w:rFonts w:ascii="Times New Roman" w:hAnsi="Times New Roman" w:cs="Times New Roman"/>
          <w:sz w:val="24"/>
          <w:szCs w:val="24"/>
        </w:rPr>
        <w:t>meet the service duration minimum requirements,</w:t>
      </w:r>
      <w:r w:rsidR="00DB46EA" w:rsidRPr="00C1694A">
        <w:rPr>
          <w:rFonts w:ascii="Times New Roman" w:hAnsi="Times New Roman" w:cs="Times New Roman"/>
          <w:sz w:val="24"/>
          <w:szCs w:val="24"/>
        </w:rPr>
        <w:t xml:space="preserve"> we added paragraph (d)</w:t>
      </w:r>
      <w:r w:rsidRPr="00C1694A">
        <w:rPr>
          <w:rFonts w:ascii="Times New Roman" w:hAnsi="Times New Roman" w:cs="Times New Roman"/>
          <w:sz w:val="24"/>
          <w:szCs w:val="24"/>
        </w:rPr>
        <w:t xml:space="preserve"> to clearly state that </w:t>
      </w:r>
      <w:r w:rsidR="00B71A15" w:rsidRPr="00C1694A">
        <w:rPr>
          <w:rFonts w:ascii="Times New Roman" w:hAnsi="Times New Roman" w:cs="Times New Roman"/>
          <w:sz w:val="24"/>
          <w:szCs w:val="24"/>
        </w:rPr>
        <w:t xml:space="preserve">programs may consider hours of service that meet the Head Start Program Performance Standards, regardless of the source of funding, as hours of planned class operations.  </w:t>
      </w:r>
      <w:r w:rsidRPr="00C1694A">
        <w:rPr>
          <w:rFonts w:ascii="Times New Roman" w:hAnsi="Times New Roman" w:cs="Times New Roman"/>
          <w:sz w:val="24"/>
          <w:szCs w:val="24"/>
        </w:rPr>
        <w:t>We encourage programs to continue to seek innovative ways to fund their program models</w:t>
      </w:r>
      <w:r w:rsidR="00B71A15" w:rsidRPr="00C1694A">
        <w:rPr>
          <w:rFonts w:ascii="Times New Roman" w:hAnsi="Times New Roman" w:cs="Times New Roman"/>
          <w:sz w:val="24"/>
          <w:szCs w:val="24"/>
        </w:rPr>
        <w:t xml:space="preserve"> while meeting high-quality standards throughout the day</w:t>
      </w:r>
      <w:r w:rsidRPr="00C1694A">
        <w:rPr>
          <w:rFonts w:ascii="Times New Roman" w:hAnsi="Times New Roman" w:cs="Times New Roman"/>
          <w:sz w:val="24"/>
          <w:szCs w:val="24"/>
        </w:rPr>
        <w:t>.</w:t>
      </w:r>
      <w:r w:rsidR="00B71A15" w:rsidRPr="00C1694A">
        <w:rPr>
          <w:rFonts w:ascii="Times New Roman" w:hAnsi="Times New Roman" w:cs="Times New Roman"/>
          <w:sz w:val="24"/>
          <w:szCs w:val="24"/>
        </w:rPr>
        <w:t xml:space="preserve">  However, we acknowledge that r</w:t>
      </w:r>
      <w:r w:rsidR="00265BE9" w:rsidRPr="00C1694A">
        <w:rPr>
          <w:rFonts w:ascii="Times New Roman" w:hAnsi="Times New Roman" w:cs="Times New Roman"/>
          <w:sz w:val="24"/>
          <w:szCs w:val="24"/>
        </w:rPr>
        <w:t xml:space="preserve">atio requirements, as well as all Head Start program performance standards, apply only </w:t>
      </w:r>
      <w:r w:rsidR="00B71A15" w:rsidRPr="00C1694A">
        <w:rPr>
          <w:rFonts w:ascii="Times New Roman" w:hAnsi="Times New Roman" w:cs="Times New Roman"/>
          <w:sz w:val="24"/>
          <w:szCs w:val="24"/>
        </w:rPr>
        <w:t>during the hours of planned class operations for Head Start and Early Head Start</w:t>
      </w:r>
      <w:r w:rsidR="00265BE9" w:rsidRPr="00C1694A">
        <w:rPr>
          <w:rFonts w:ascii="Times New Roman" w:hAnsi="Times New Roman" w:cs="Times New Roman"/>
          <w:sz w:val="24"/>
          <w:szCs w:val="24"/>
        </w:rPr>
        <w:t xml:space="preserve">.   </w:t>
      </w:r>
    </w:p>
    <w:p w:rsidR="009D7EB0" w:rsidRPr="00C1694A" w:rsidRDefault="009D7EB0"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§1302.21 Center-based option.</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defines the setting for the center-based program option and sets requirements for ratios, </w:t>
      </w:r>
      <w:r w:rsidR="002450D3" w:rsidRPr="00C1694A">
        <w:rPr>
          <w:rFonts w:ascii="Times New Roman" w:hAnsi="Times New Roman" w:cs="Times New Roman"/>
          <w:sz w:val="24"/>
          <w:szCs w:val="24"/>
        </w:rPr>
        <w:t>group</w:t>
      </w:r>
      <w:r w:rsidRPr="00C1694A">
        <w:rPr>
          <w:rFonts w:ascii="Times New Roman" w:hAnsi="Times New Roman" w:cs="Times New Roman"/>
          <w:sz w:val="24"/>
          <w:szCs w:val="24"/>
        </w:rPr>
        <w:t xml:space="preserve"> size, service duration, calendar planning, licensing, and square footage.  Most comments addressed the service duration proposal for Head Start center-based programs.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The NPRM proposed to increase the minimum hours and days of program operation for Head Start preschoolers in the center-based option.  The majority of comments addressed this proposal.  The NPRM also proposed making the double session model </w:t>
      </w:r>
      <w:r w:rsidR="00DB46EA" w:rsidRPr="00C1694A">
        <w:rPr>
          <w:rFonts w:ascii="Times New Roman" w:hAnsi="Times New Roman" w:cs="Times New Roman"/>
          <w:sz w:val="24"/>
          <w:szCs w:val="24"/>
        </w:rPr>
        <w:t xml:space="preserve">only </w:t>
      </w:r>
      <w:r w:rsidRPr="00C1694A">
        <w:rPr>
          <w:rFonts w:ascii="Times New Roman" w:hAnsi="Times New Roman" w:cs="Times New Roman"/>
          <w:sz w:val="24"/>
          <w:szCs w:val="24"/>
        </w:rPr>
        <w:t>available as a locally designed program option, instead of as a standard program model.  Some commenters supported the proposed increase in the hours per day and days per year, regardless of available funding. Some specifically supported the move to full school d</w:t>
      </w:r>
      <w:r w:rsidR="00DB46EA" w:rsidRPr="00C1694A">
        <w:rPr>
          <w:rFonts w:ascii="Times New Roman" w:hAnsi="Times New Roman" w:cs="Times New Roman"/>
          <w:sz w:val="24"/>
          <w:szCs w:val="24"/>
        </w:rPr>
        <w:t>ay (minimum of 6 hours per day)</w:t>
      </w:r>
      <w:r w:rsidRPr="00C1694A">
        <w:rPr>
          <w:rFonts w:ascii="Times New Roman" w:hAnsi="Times New Roman" w:cs="Times New Roman"/>
          <w:sz w:val="24"/>
          <w:szCs w:val="24"/>
        </w:rPr>
        <w:t xml:space="preserve"> </w:t>
      </w:r>
      <w:r w:rsidR="00DB46EA" w:rsidRPr="00C1694A">
        <w:rPr>
          <w:rFonts w:ascii="Times New Roman" w:hAnsi="Times New Roman" w:cs="Times New Roman"/>
          <w:sz w:val="24"/>
          <w:szCs w:val="24"/>
        </w:rPr>
        <w:t>or</w:t>
      </w:r>
      <w:r w:rsidRPr="00C1694A">
        <w:rPr>
          <w:rFonts w:ascii="Times New Roman" w:hAnsi="Times New Roman" w:cs="Times New Roman"/>
          <w:sz w:val="24"/>
          <w:szCs w:val="24"/>
        </w:rPr>
        <w:t xml:space="preserve"> full school year (minimum of 180 days per year), and still others supported both provisions as the standard option for Head Start. Reasons for their support include</w:t>
      </w:r>
      <w:r w:rsidR="00DB46EA" w:rsidRPr="00C1694A">
        <w:rPr>
          <w:rFonts w:ascii="Times New Roman" w:hAnsi="Times New Roman" w:cs="Times New Roman"/>
          <w:sz w:val="24"/>
          <w:szCs w:val="24"/>
        </w:rPr>
        <w:t>d</w:t>
      </w:r>
      <w:r w:rsidRPr="00C1694A">
        <w:rPr>
          <w:rFonts w:ascii="Times New Roman" w:hAnsi="Times New Roman" w:cs="Times New Roman"/>
          <w:sz w:val="24"/>
          <w:szCs w:val="24"/>
        </w:rPr>
        <w:t>: significant increase</w:t>
      </w:r>
      <w:r w:rsidR="00DB46EA" w:rsidRPr="00C1694A">
        <w:rPr>
          <w:rFonts w:ascii="Times New Roman" w:hAnsi="Times New Roman" w:cs="Times New Roman"/>
          <w:sz w:val="24"/>
          <w:szCs w:val="24"/>
        </w:rPr>
        <w:t>s in</w:t>
      </w:r>
      <w:r w:rsidRPr="00C1694A">
        <w:rPr>
          <w:rFonts w:ascii="Times New Roman" w:hAnsi="Times New Roman" w:cs="Times New Roman"/>
          <w:sz w:val="24"/>
          <w:szCs w:val="24"/>
        </w:rPr>
        <w:t xml:space="preserve"> school readiness; </w:t>
      </w:r>
      <w:r w:rsidR="00F125F2" w:rsidRPr="00C1694A">
        <w:rPr>
          <w:rFonts w:ascii="Times New Roman" w:hAnsi="Times New Roman" w:cs="Times New Roman"/>
          <w:sz w:val="24"/>
          <w:szCs w:val="24"/>
        </w:rPr>
        <w:t>the strong research base</w:t>
      </w:r>
      <w:r w:rsidRPr="00C1694A">
        <w:rPr>
          <w:rFonts w:ascii="Times New Roman" w:hAnsi="Times New Roman" w:cs="Times New Roman"/>
          <w:sz w:val="24"/>
          <w:szCs w:val="24"/>
        </w:rPr>
        <w:t xml:space="preserve">; </w:t>
      </w:r>
      <w:r w:rsidR="00DB46EA" w:rsidRPr="00C1694A">
        <w:rPr>
          <w:rFonts w:ascii="Times New Roman" w:hAnsi="Times New Roman" w:cs="Times New Roman"/>
          <w:sz w:val="24"/>
          <w:szCs w:val="24"/>
        </w:rPr>
        <w:t xml:space="preserve">alignment </w:t>
      </w:r>
      <w:r w:rsidRPr="00C1694A">
        <w:rPr>
          <w:rFonts w:ascii="Times New Roman" w:hAnsi="Times New Roman" w:cs="Times New Roman"/>
          <w:sz w:val="24"/>
          <w:szCs w:val="24"/>
        </w:rPr>
        <w:t>with state pre-K and K-12 system</w:t>
      </w:r>
      <w:r w:rsidR="00DB46EA" w:rsidRPr="00C1694A">
        <w:rPr>
          <w:rFonts w:ascii="Times New Roman" w:hAnsi="Times New Roman" w:cs="Times New Roman"/>
          <w:sz w:val="24"/>
          <w:szCs w:val="24"/>
        </w:rPr>
        <w:t>s</w:t>
      </w:r>
      <w:r w:rsidRPr="00C1694A">
        <w:rPr>
          <w:rFonts w:ascii="Times New Roman" w:hAnsi="Times New Roman" w:cs="Times New Roman"/>
          <w:sz w:val="24"/>
          <w:szCs w:val="24"/>
        </w:rPr>
        <w:t>; increase</w:t>
      </w:r>
      <w:r w:rsidR="00DB46EA" w:rsidRPr="00C1694A">
        <w:rPr>
          <w:rFonts w:ascii="Times New Roman" w:hAnsi="Times New Roman" w:cs="Times New Roman"/>
          <w:sz w:val="24"/>
          <w:szCs w:val="24"/>
        </w:rPr>
        <w:t>s in</w:t>
      </w:r>
      <w:r w:rsidRPr="00C1694A">
        <w:rPr>
          <w:rFonts w:ascii="Times New Roman" w:hAnsi="Times New Roman" w:cs="Times New Roman"/>
          <w:sz w:val="24"/>
          <w:szCs w:val="24"/>
        </w:rPr>
        <w:t xml:space="preserve"> the employment rate</w:t>
      </w:r>
      <w:r w:rsidR="00DB46EA" w:rsidRPr="00C1694A">
        <w:rPr>
          <w:rFonts w:ascii="Times New Roman" w:hAnsi="Times New Roman" w:cs="Times New Roman"/>
          <w:sz w:val="24"/>
          <w:szCs w:val="24"/>
        </w:rPr>
        <w:t>s</w:t>
      </w:r>
      <w:r w:rsidRPr="00C1694A">
        <w:rPr>
          <w:rFonts w:ascii="Times New Roman" w:hAnsi="Times New Roman" w:cs="Times New Roman"/>
          <w:sz w:val="24"/>
          <w:szCs w:val="24"/>
        </w:rPr>
        <w:t xml:space="preserve"> of low-income parents; child need</w:t>
      </w:r>
      <w:r w:rsidR="00DB46EA" w:rsidRPr="00C1694A">
        <w:rPr>
          <w:rFonts w:ascii="Times New Roman" w:hAnsi="Times New Roman" w:cs="Times New Roman"/>
          <w:sz w:val="24"/>
          <w:szCs w:val="24"/>
        </w:rPr>
        <w:t>s for</w:t>
      </w:r>
      <w:r w:rsidRPr="00C1694A">
        <w:rPr>
          <w:rFonts w:ascii="Times New Roman" w:hAnsi="Times New Roman" w:cs="Times New Roman"/>
          <w:sz w:val="24"/>
          <w:szCs w:val="24"/>
        </w:rPr>
        <w:t xml:space="preserve"> more time to reach learning goals; doubl</w:t>
      </w:r>
      <w:r w:rsidR="00DB46EA" w:rsidRPr="00C1694A">
        <w:rPr>
          <w:rFonts w:ascii="Times New Roman" w:hAnsi="Times New Roman" w:cs="Times New Roman"/>
          <w:sz w:val="24"/>
          <w:szCs w:val="24"/>
        </w:rPr>
        <w:t>ing</w:t>
      </w:r>
      <w:r w:rsidRPr="00C1694A">
        <w:rPr>
          <w:rFonts w:ascii="Times New Roman" w:hAnsi="Times New Roman" w:cs="Times New Roman"/>
          <w:sz w:val="24"/>
          <w:szCs w:val="24"/>
        </w:rPr>
        <w:t xml:space="preserve"> the amount of time Head Start children would be exposed to high-quality instruction and services</w:t>
      </w:r>
      <w:r w:rsidR="00F125F2" w:rsidRPr="00C1694A">
        <w:rPr>
          <w:rFonts w:ascii="Times New Roman" w:hAnsi="Times New Roman" w:cs="Times New Roman"/>
          <w:sz w:val="24"/>
          <w:szCs w:val="24"/>
        </w:rPr>
        <w:t>; and better meeting parent needs</w:t>
      </w:r>
      <w:r w:rsidRPr="00C1694A">
        <w:rPr>
          <w:rFonts w:ascii="Times New Roman" w:hAnsi="Times New Roman" w:cs="Times New Roman"/>
          <w:sz w:val="24"/>
          <w:szCs w:val="24"/>
        </w:rPr>
        <w:t xml:space="preserve">.  Others recommended </w:t>
      </w:r>
      <w:r w:rsidR="00F125F2" w:rsidRPr="00C1694A">
        <w:rPr>
          <w:rFonts w:ascii="Times New Roman" w:hAnsi="Times New Roman" w:cs="Times New Roman"/>
          <w:sz w:val="24"/>
          <w:szCs w:val="24"/>
        </w:rPr>
        <w:t xml:space="preserve">we </w:t>
      </w:r>
      <w:r w:rsidRPr="00C1694A">
        <w:rPr>
          <w:rFonts w:ascii="Times New Roman" w:hAnsi="Times New Roman" w:cs="Times New Roman"/>
          <w:sz w:val="24"/>
          <w:szCs w:val="24"/>
        </w:rPr>
        <w:t>re-calculate the cost per child needed for each grantee to move to the proposed standard dosage for center-based services.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Some commenters supported the proposal to increase program duration for Head Start preschoolers, but only if funding is available to support the changes.  These commenters noted the research base and potential improvement for children’s outcomes, but stated that they would not support the policy without adequate funding because it would deprive many children of early learning opportunities due to a decrease in available Head Start slots.  Some commenters</w:t>
      </w:r>
      <w:r w:rsidR="00A7352B" w:rsidRPr="00C1694A">
        <w:rPr>
          <w:rFonts w:ascii="Times New Roman" w:hAnsi="Times New Roman" w:cs="Times New Roman"/>
          <w:sz w:val="24"/>
          <w:szCs w:val="24"/>
        </w:rPr>
        <w:t xml:space="preserve"> generally agreed we should </w:t>
      </w:r>
      <w:r w:rsidRPr="00C1694A">
        <w:rPr>
          <w:rFonts w:ascii="Times New Roman" w:hAnsi="Times New Roman" w:cs="Times New Roman"/>
          <w:sz w:val="24"/>
          <w:szCs w:val="24"/>
        </w:rPr>
        <w:t>increas</w:t>
      </w:r>
      <w:r w:rsidR="00A7352B" w:rsidRPr="00C1694A">
        <w:rPr>
          <w:rFonts w:ascii="Times New Roman" w:hAnsi="Times New Roman" w:cs="Times New Roman"/>
          <w:sz w:val="24"/>
          <w:szCs w:val="24"/>
        </w:rPr>
        <w:t>e</w:t>
      </w:r>
      <w:r w:rsidRPr="00C1694A">
        <w:rPr>
          <w:rFonts w:ascii="Times New Roman" w:hAnsi="Times New Roman" w:cs="Times New Roman"/>
          <w:sz w:val="24"/>
          <w:szCs w:val="24"/>
        </w:rPr>
        <w:t xml:space="preserve"> program duration for Head Start preschoolers, but </w:t>
      </w:r>
      <w:r w:rsidR="00A7352B" w:rsidRPr="00C1694A">
        <w:rPr>
          <w:rFonts w:ascii="Times New Roman" w:hAnsi="Times New Roman" w:cs="Times New Roman"/>
          <w:sz w:val="24"/>
          <w:szCs w:val="24"/>
        </w:rPr>
        <w:t xml:space="preserve">they </w:t>
      </w:r>
      <w:r w:rsidRPr="00C1694A">
        <w:rPr>
          <w:rFonts w:ascii="Times New Roman" w:hAnsi="Times New Roman" w:cs="Times New Roman"/>
          <w:sz w:val="24"/>
          <w:szCs w:val="24"/>
        </w:rPr>
        <w:t xml:space="preserve">also raised concerns. </w:t>
      </w:r>
      <w:r w:rsidR="00A7352B" w:rsidRPr="00C1694A">
        <w:rPr>
          <w:rFonts w:ascii="Times New Roman" w:hAnsi="Times New Roman" w:cs="Times New Roman"/>
          <w:sz w:val="24"/>
          <w:szCs w:val="24"/>
        </w:rPr>
        <w:t>We discuss t</w:t>
      </w:r>
      <w:r w:rsidRPr="00C1694A">
        <w:rPr>
          <w:rFonts w:ascii="Times New Roman" w:hAnsi="Times New Roman" w:cs="Times New Roman"/>
          <w:sz w:val="24"/>
          <w:szCs w:val="24"/>
        </w:rPr>
        <w:t>h</w:t>
      </w:r>
      <w:r w:rsidR="00A7352B" w:rsidRPr="00C1694A">
        <w:rPr>
          <w:rFonts w:ascii="Times New Roman" w:hAnsi="Times New Roman" w:cs="Times New Roman"/>
          <w:sz w:val="24"/>
          <w:szCs w:val="24"/>
        </w:rPr>
        <w:t>o</w:t>
      </w:r>
      <w:r w:rsidRPr="00C1694A">
        <w:rPr>
          <w:rFonts w:ascii="Times New Roman" w:hAnsi="Times New Roman" w:cs="Times New Roman"/>
          <w:sz w:val="24"/>
          <w:szCs w:val="24"/>
        </w:rPr>
        <w:t>se concerns</w:t>
      </w:r>
      <w:r w:rsidR="00F125F2"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in more detail below.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Some commenters suggested alternative minimums to the 180 days per year and 6 hours per day proposed in the NPRM.</w:t>
      </w:r>
      <w:r w:rsidR="00A7352B"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Some suggested that the requirements for the length of day and year be shorter than those proposed in the NPRM, but longer than </w:t>
      </w:r>
      <w:r w:rsidR="00C21B8F" w:rsidRPr="00C1694A">
        <w:rPr>
          <w:rFonts w:ascii="Times New Roman" w:hAnsi="Times New Roman" w:cs="Times New Roman"/>
          <w:sz w:val="24"/>
          <w:szCs w:val="24"/>
        </w:rPr>
        <w:t xml:space="preserve">previous </w:t>
      </w:r>
      <w:r w:rsidRPr="00C1694A">
        <w:rPr>
          <w:rFonts w:ascii="Times New Roman" w:hAnsi="Times New Roman" w:cs="Times New Roman"/>
          <w:sz w:val="24"/>
          <w:szCs w:val="24"/>
        </w:rPr>
        <w:t xml:space="preserve">standards. Commenters suggested taking an annual hours approach to program duration, such as 1,020 or 1,080 hours per year for Head Start preschoolers, to allow programs greater flexibility to design what works best for their community.  Other commenters suggested requiring a specific percent of slots </w:t>
      </w:r>
      <w:r w:rsidR="00F125F2" w:rsidRPr="00C1694A">
        <w:rPr>
          <w:rFonts w:ascii="Times New Roman" w:hAnsi="Times New Roman" w:cs="Times New Roman"/>
          <w:sz w:val="24"/>
          <w:szCs w:val="24"/>
        </w:rPr>
        <w:t>for each grantee, such as 50 or 75 percent</w:t>
      </w:r>
      <w:r w:rsidRPr="00C1694A">
        <w:rPr>
          <w:rFonts w:ascii="Times New Roman" w:hAnsi="Times New Roman" w:cs="Times New Roman"/>
          <w:sz w:val="24"/>
          <w:szCs w:val="24"/>
        </w:rPr>
        <w:t xml:space="preserve">, meet an increased duration requirement and allowing the remaining slots to be more flexible. Other commenters suggested that the minimum duration requirements should vary based on child age. Some suggested that the increase in duration should be encouraged, or optional, but not required. </w:t>
      </w:r>
      <w:r w:rsidR="00AC4618" w:rsidRPr="00C1694A">
        <w:rPr>
          <w:rFonts w:ascii="Times New Roman" w:hAnsi="Times New Roman" w:cs="Times New Roman"/>
          <w:sz w:val="24"/>
          <w:szCs w:val="24"/>
        </w:rPr>
        <w:t xml:space="preserve"> Some </w:t>
      </w:r>
      <w:r w:rsidRPr="00C1694A">
        <w:rPr>
          <w:rFonts w:ascii="Times New Roman" w:hAnsi="Times New Roman" w:cs="Times New Roman"/>
          <w:sz w:val="24"/>
          <w:szCs w:val="24"/>
        </w:rPr>
        <w:t xml:space="preserve">commenters asked if programs currently operating at a lower dosage would be “grandfathered in” and allowed to continue operating under the old program performance standards. Others suggested that the required hours per day should be less than what would trigger a nap requirement under local licensing rules.  Some commenters recommended allowing programs to offer a “menu” of varied program models based on community assessments with an ability to shift slots between models over the course of the grant to meet changing needs.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other commenters suggested that the increased duration requirements for Head Start (180 days) should align with the requirements for Early Head Start (230 days).  </w:t>
      </w:r>
      <w:r w:rsidR="00AC4618"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why duration requirements are not higher than those proposed in the NPRM, given the research on summer learning loss and evidence that children benefit from longer duration, and the need for a longer day to accommodate working families.</w:t>
      </w:r>
    </w:p>
    <w:p w:rsidR="009D7EB0" w:rsidRPr="00C1694A" w:rsidRDefault="00310448"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Many commenters raised concerns about the impact of these changes on partnerships and collaborations with public schools. C</w:t>
      </w:r>
      <w:r w:rsidR="009D7EB0" w:rsidRPr="00C1694A">
        <w:rPr>
          <w:rFonts w:ascii="Times New Roman" w:hAnsi="Times New Roman" w:cs="Times New Roman"/>
          <w:sz w:val="24"/>
          <w:szCs w:val="24"/>
        </w:rPr>
        <w:t>omment</w:t>
      </w:r>
      <w:r w:rsidRPr="00C1694A">
        <w:rPr>
          <w:rFonts w:ascii="Times New Roman" w:hAnsi="Times New Roman" w:cs="Times New Roman"/>
          <w:sz w:val="24"/>
          <w:szCs w:val="24"/>
        </w:rPr>
        <w:t>er</w:t>
      </w:r>
      <w:r w:rsidR="009D7EB0" w:rsidRPr="00C1694A">
        <w:rPr>
          <w:rFonts w:ascii="Times New Roman" w:hAnsi="Times New Roman" w:cs="Times New Roman"/>
          <w:sz w:val="24"/>
          <w:szCs w:val="24"/>
        </w:rPr>
        <w:t xml:space="preserve">s proposed alternative minimums </w:t>
      </w:r>
      <w:r w:rsidRPr="00C1694A">
        <w:rPr>
          <w:rFonts w:ascii="Times New Roman" w:hAnsi="Times New Roman" w:cs="Times New Roman"/>
          <w:sz w:val="24"/>
          <w:szCs w:val="24"/>
        </w:rPr>
        <w:t xml:space="preserve">or </w:t>
      </w:r>
      <w:r w:rsidR="009D7EB0" w:rsidRPr="00C1694A">
        <w:rPr>
          <w:rFonts w:ascii="Times New Roman" w:hAnsi="Times New Roman" w:cs="Times New Roman"/>
          <w:sz w:val="24"/>
          <w:szCs w:val="24"/>
        </w:rPr>
        <w:t xml:space="preserve">suggested that programs be allowed to align their calendar with the local school district or state requirements for K-12, to facilitate partnerships with schools.  Some noted that their school district or state tracks time in hours per year and suggested that this same flexibility be applied to Head Start. Commenters also raised concerns about the challenges of operating longer than their local schools. </w:t>
      </w:r>
      <w:r w:rsidRPr="00C1694A">
        <w:rPr>
          <w:rFonts w:ascii="Times New Roman" w:hAnsi="Times New Roman" w:cs="Times New Roman"/>
          <w:sz w:val="24"/>
          <w:szCs w:val="24"/>
        </w:rPr>
        <w:t>S</w:t>
      </w:r>
      <w:r w:rsidR="009D7EB0" w:rsidRPr="00C1694A">
        <w:rPr>
          <w:rFonts w:ascii="Times New Roman" w:hAnsi="Times New Roman" w:cs="Times New Roman"/>
          <w:sz w:val="24"/>
          <w:szCs w:val="24"/>
        </w:rPr>
        <w:t xml:space="preserve">pecific concerns </w:t>
      </w:r>
      <w:r w:rsidRPr="00C1694A">
        <w:rPr>
          <w:rFonts w:ascii="Times New Roman" w:hAnsi="Times New Roman" w:cs="Times New Roman"/>
          <w:sz w:val="24"/>
          <w:szCs w:val="24"/>
        </w:rPr>
        <w:t>included</w:t>
      </w:r>
      <w:r w:rsidR="009D7EB0" w:rsidRPr="00C1694A">
        <w:rPr>
          <w:rFonts w:ascii="Times New Roman" w:hAnsi="Times New Roman" w:cs="Times New Roman"/>
          <w:sz w:val="24"/>
          <w:szCs w:val="24"/>
        </w:rPr>
        <w:t xml:space="preserve"> </w:t>
      </w:r>
      <w:r w:rsidRPr="00C1694A">
        <w:rPr>
          <w:rFonts w:ascii="Times New Roman" w:hAnsi="Times New Roman" w:cs="Times New Roman"/>
          <w:sz w:val="24"/>
          <w:szCs w:val="24"/>
        </w:rPr>
        <w:t>disruptions to</w:t>
      </w:r>
      <w:r w:rsidR="009D7EB0" w:rsidRPr="00C1694A">
        <w:rPr>
          <w:rFonts w:ascii="Times New Roman" w:hAnsi="Times New Roman" w:cs="Times New Roman"/>
          <w:sz w:val="24"/>
          <w:szCs w:val="24"/>
        </w:rPr>
        <w:t xml:space="preserve"> transportation</w:t>
      </w:r>
      <w:r w:rsidRPr="00C1694A">
        <w:rPr>
          <w:rFonts w:ascii="Times New Roman" w:hAnsi="Times New Roman" w:cs="Times New Roman"/>
          <w:sz w:val="24"/>
          <w:szCs w:val="24"/>
        </w:rPr>
        <w:t>,</w:t>
      </w:r>
      <w:r w:rsidR="009D7EB0" w:rsidRPr="00C1694A">
        <w:rPr>
          <w:rFonts w:ascii="Times New Roman" w:hAnsi="Times New Roman" w:cs="Times New Roman"/>
          <w:sz w:val="24"/>
          <w:szCs w:val="24"/>
        </w:rPr>
        <w:t xml:space="preserve"> facility space</w:t>
      </w:r>
      <w:r w:rsidRPr="00C1694A">
        <w:rPr>
          <w:rFonts w:ascii="Times New Roman" w:hAnsi="Times New Roman" w:cs="Times New Roman"/>
          <w:sz w:val="24"/>
          <w:szCs w:val="24"/>
        </w:rPr>
        <w:t>, and food service</w:t>
      </w:r>
      <w:r w:rsidR="009D7EB0"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the ways service days are calculated; and union agreements. </w:t>
      </w:r>
      <w:r w:rsidR="00AC4618" w:rsidRPr="00C1694A">
        <w:rPr>
          <w:rFonts w:ascii="Times New Roman" w:hAnsi="Times New Roman" w:cs="Times New Roman"/>
          <w:sz w:val="24"/>
          <w:szCs w:val="24"/>
        </w:rPr>
        <w:t xml:space="preserve">Some </w:t>
      </w:r>
      <w:r w:rsidR="009D7EB0" w:rsidRPr="00C1694A">
        <w:rPr>
          <w:rFonts w:ascii="Times New Roman" w:hAnsi="Times New Roman" w:cs="Times New Roman"/>
          <w:sz w:val="24"/>
          <w:szCs w:val="24"/>
        </w:rPr>
        <w:t xml:space="preserve">commenters </w:t>
      </w:r>
      <w:r w:rsidR="00CA6843" w:rsidRPr="00C1694A">
        <w:rPr>
          <w:rFonts w:ascii="Times New Roman" w:hAnsi="Times New Roman" w:cs="Times New Roman"/>
          <w:sz w:val="24"/>
          <w:szCs w:val="24"/>
        </w:rPr>
        <w:t xml:space="preserve">stated </w:t>
      </w:r>
      <w:r w:rsidR="009D7EB0" w:rsidRPr="00C1694A">
        <w:rPr>
          <w:rFonts w:ascii="Times New Roman" w:hAnsi="Times New Roman" w:cs="Times New Roman"/>
          <w:sz w:val="24"/>
          <w:szCs w:val="24"/>
        </w:rPr>
        <w:t xml:space="preserve">that double sessions are sometimes the best option when working with school districts due to space limitations and transportation. Others </w:t>
      </w:r>
      <w:r w:rsidR="00CA6843" w:rsidRPr="00C1694A">
        <w:rPr>
          <w:rFonts w:ascii="Times New Roman" w:hAnsi="Times New Roman" w:cs="Times New Roman"/>
          <w:sz w:val="24"/>
          <w:szCs w:val="24"/>
        </w:rPr>
        <w:t xml:space="preserve">stated </w:t>
      </w:r>
      <w:r w:rsidR="009D7EB0" w:rsidRPr="00C1694A">
        <w:rPr>
          <w:rFonts w:ascii="Times New Roman" w:hAnsi="Times New Roman" w:cs="Times New Roman"/>
          <w:sz w:val="24"/>
          <w:szCs w:val="24"/>
        </w:rPr>
        <w:t>that attendance is low when Head Start is in session but the school district is not</w:t>
      </w:r>
      <w:r w:rsidRPr="00C1694A">
        <w:rPr>
          <w:rFonts w:ascii="Times New Roman" w:hAnsi="Times New Roman" w:cs="Times New Roman"/>
          <w:sz w:val="24"/>
          <w:szCs w:val="24"/>
        </w:rPr>
        <w:t>.</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The majority of commenters either opposed or expressed significant concerns with the provisions to increase the program day and year for Head Start preschoolers, with many citing multiple reasons for their concerns or opposition. Some of these commenters were generally against the proposal to increase program duration, without going into specific reasons for their opposition. Many commenters were concerned or opposed due to the loss of Head Start slots that would occur without appropriate funding. In this context, some were specifically concerned with the elimination of double sessions and only being able to serve half the number of children in their community. Some commenters agreed that children would benefit from the increased exposure to Head Start, but they felt that this benefit was not worth other children and families no longer receiving Head Start services.  Some </w:t>
      </w:r>
      <w:r w:rsidR="00CA6843" w:rsidRPr="00C1694A">
        <w:rPr>
          <w:rFonts w:ascii="Times New Roman" w:hAnsi="Times New Roman" w:cs="Times New Roman"/>
          <w:sz w:val="24"/>
          <w:szCs w:val="24"/>
        </w:rPr>
        <w:t xml:space="preserve">suggested </w:t>
      </w:r>
      <w:r w:rsidRPr="00C1694A">
        <w:rPr>
          <w:rFonts w:ascii="Times New Roman" w:hAnsi="Times New Roman" w:cs="Times New Roman"/>
          <w:sz w:val="24"/>
          <w:szCs w:val="24"/>
        </w:rPr>
        <w:t xml:space="preserve">that the reduction in the number of slots could cause additional instability in already fragile communities and that there are no other high-quality early childhood education options available in some communities. </w:t>
      </w:r>
      <w:r w:rsidR="00ED7C0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delaying implementation of the new requirements until sufficient funding is in place to prevent enrollment reduction. Others expressed that any additional money should be used to increase access to Head Start, as opposed to program duration.</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Some commenters stated that the increased duration was not developmentally appropriate for preschoolers. Some noted that transportation in rural areas </w:t>
      </w:r>
      <w:r w:rsidR="00F125F2" w:rsidRPr="00C1694A">
        <w:rPr>
          <w:rFonts w:ascii="Times New Roman" w:hAnsi="Times New Roman" w:cs="Times New Roman"/>
          <w:sz w:val="24"/>
          <w:szCs w:val="24"/>
        </w:rPr>
        <w:t>would</w:t>
      </w:r>
      <w:r w:rsidRPr="00C1694A">
        <w:rPr>
          <w:rFonts w:ascii="Times New Roman" w:hAnsi="Times New Roman" w:cs="Times New Roman"/>
          <w:sz w:val="24"/>
          <w:szCs w:val="24"/>
        </w:rPr>
        <w:t xml:space="preserve"> make the day even longer for children. </w:t>
      </w:r>
      <w:r w:rsidR="00AC4618" w:rsidRPr="00C1694A">
        <w:rPr>
          <w:rFonts w:ascii="Times New Roman" w:hAnsi="Times New Roman" w:cs="Times New Roman"/>
          <w:sz w:val="24"/>
          <w:szCs w:val="24"/>
        </w:rPr>
        <w:t xml:space="preserve">Some </w:t>
      </w:r>
      <w:r w:rsidR="00CA6843" w:rsidRPr="00C1694A">
        <w:rPr>
          <w:rFonts w:ascii="Times New Roman" w:hAnsi="Times New Roman" w:cs="Times New Roman"/>
          <w:sz w:val="24"/>
          <w:szCs w:val="24"/>
        </w:rPr>
        <w:t>suggest</w:t>
      </w:r>
      <w:r w:rsidR="00CA6843" w:rsidRPr="00C1694A" w:rsidDel="00DA3ACB">
        <w:rPr>
          <w:rFonts w:ascii="Times New Roman" w:hAnsi="Times New Roman" w:cs="Times New Roman"/>
          <w:sz w:val="24"/>
          <w:szCs w:val="24"/>
        </w:rPr>
        <w:t xml:space="preserve">ed </w:t>
      </w:r>
      <w:r w:rsidRPr="00C1694A" w:rsidDel="00DA3ACB">
        <w:rPr>
          <w:rFonts w:ascii="Times New Roman" w:hAnsi="Times New Roman" w:cs="Times New Roman"/>
          <w:sz w:val="24"/>
          <w:szCs w:val="24"/>
        </w:rPr>
        <w:t>that a 6</w:t>
      </w:r>
      <w:r w:rsidRPr="00C1694A">
        <w:rPr>
          <w:rFonts w:ascii="Times New Roman" w:hAnsi="Times New Roman" w:cs="Times New Roman"/>
          <w:sz w:val="24"/>
          <w:szCs w:val="24"/>
        </w:rPr>
        <w:t>-</w:t>
      </w:r>
      <w:r w:rsidRPr="00C1694A" w:rsidDel="00DA3ACB">
        <w:rPr>
          <w:rFonts w:ascii="Times New Roman" w:hAnsi="Times New Roman" w:cs="Times New Roman"/>
          <w:sz w:val="24"/>
          <w:szCs w:val="24"/>
        </w:rPr>
        <w:t xml:space="preserve">hour day may not be appropriate for certain groups of children, such as </w:t>
      </w:r>
      <w:r w:rsidR="00310448" w:rsidRPr="00C1694A">
        <w:rPr>
          <w:rFonts w:ascii="Times New Roman" w:hAnsi="Times New Roman" w:cs="Times New Roman"/>
          <w:sz w:val="24"/>
          <w:szCs w:val="24"/>
        </w:rPr>
        <w:t>3-year-olds, children</w:t>
      </w:r>
      <w:r w:rsidRPr="00C1694A" w:rsidDel="00DA3ACB">
        <w:rPr>
          <w:rFonts w:ascii="Times New Roman" w:hAnsi="Times New Roman" w:cs="Times New Roman"/>
          <w:sz w:val="24"/>
          <w:szCs w:val="24"/>
        </w:rPr>
        <w:t xml:space="preserve"> with challenging behaviors or special needs</w:t>
      </w:r>
      <w:r w:rsidRPr="00C1694A">
        <w:rPr>
          <w:rFonts w:ascii="Times New Roman" w:hAnsi="Times New Roman" w:cs="Times New Roman"/>
          <w:sz w:val="24"/>
          <w:szCs w:val="24"/>
        </w:rPr>
        <w:t xml:space="preserve">, or </w:t>
      </w:r>
      <w:r w:rsidR="00616699" w:rsidRPr="00C1694A">
        <w:rPr>
          <w:rFonts w:ascii="Times New Roman" w:hAnsi="Times New Roman" w:cs="Times New Roman"/>
          <w:sz w:val="24"/>
          <w:szCs w:val="24"/>
        </w:rPr>
        <w:t>DLL</w:t>
      </w:r>
      <w:r w:rsidRPr="00C1694A" w:rsidDel="00DA3ACB">
        <w:rPr>
          <w:rFonts w:ascii="Times New Roman" w:hAnsi="Times New Roman" w:cs="Times New Roman"/>
          <w:sz w:val="24"/>
          <w:szCs w:val="24"/>
        </w:rPr>
        <w:t xml:space="preserve">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asserted that a longer year is not appropriate for preschoolers. Others specifically </w:t>
      </w:r>
      <w:r w:rsidR="00CA6843" w:rsidRPr="00C1694A">
        <w:rPr>
          <w:rFonts w:ascii="Times New Roman" w:hAnsi="Times New Roman" w:cs="Times New Roman"/>
          <w:sz w:val="24"/>
          <w:szCs w:val="24"/>
        </w:rPr>
        <w:t xml:space="preserve">stated </w:t>
      </w:r>
      <w:r w:rsidRPr="00C1694A">
        <w:rPr>
          <w:rFonts w:ascii="Times New Roman" w:hAnsi="Times New Roman" w:cs="Times New Roman"/>
          <w:sz w:val="24"/>
          <w:szCs w:val="24"/>
        </w:rPr>
        <w:t xml:space="preserve">that moving to a program that operates </w:t>
      </w:r>
      <w:r w:rsidR="003F121A" w:rsidRPr="00C1694A">
        <w:rPr>
          <w:rFonts w:ascii="Times New Roman" w:hAnsi="Times New Roman" w:cs="Times New Roman"/>
          <w:sz w:val="24"/>
          <w:szCs w:val="24"/>
        </w:rPr>
        <w:t>five</w:t>
      </w:r>
      <w:r w:rsidRPr="00C1694A">
        <w:rPr>
          <w:rFonts w:ascii="Times New Roman" w:hAnsi="Times New Roman" w:cs="Times New Roman"/>
          <w:sz w:val="24"/>
          <w:szCs w:val="24"/>
        </w:rPr>
        <w:t xml:space="preserve"> days per week (as opposed to 4 days) is not appropriate for children this age.</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Many commenters expressed concern or opposition to the proposed operation minimums for preschoolers because they would limit the ability of programs to address the unique needs of the local communities and families they serve and/or because the proposed requirements do not take into account parental choice or preferences. Commenters stated the proposed requirements would prevent creative and innovative program designs that would be more responsive to community needs. </w:t>
      </w:r>
      <w:r w:rsidR="00B1708B" w:rsidRPr="00C1694A">
        <w:rPr>
          <w:rFonts w:ascii="Times New Roman" w:hAnsi="Times New Roman" w:cs="Times New Roman"/>
          <w:sz w:val="24"/>
          <w:szCs w:val="24"/>
        </w:rPr>
        <w:t xml:space="preserve">Some commenters said that </w:t>
      </w:r>
      <w:r w:rsidRPr="00C1694A">
        <w:rPr>
          <w:rFonts w:ascii="Times New Roman" w:hAnsi="Times New Roman" w:cs="Times New Roman"/>
          <w:sz w:val="24"/>
          <w:szCs w:val="24"/>
        </w:rPr>
        <w:t>it does not support the cultural values of all families, such as American Indian and Alaska Native or immigrant families.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Some commenters opposed or expressed concerns about the proposed increase in </w:t>
      </w:r>
      <w:r w:rsidR="00310448" w:rsidRPr="00C1694A">
        <w:rPr>
          <w:rFonts w:ascii="Times New Roman" w:hAnsi="Times New Roman" w:cs="Times New Roman"/>
          <w:sz w:val="24"/>
          <w:szCs w:val="24"/>
        </w:rPr>
        <w:t>service</w:t>
      </w:r>
      <w:r w:rsidRPr="00C1694A">
        <w:rPr>
          <w:rFonts w:ascii="Times New Roman" w:hAnsi="Times New Roman" w:cs="Times New Roman"/>
          <w:sz w:val="24"/>
          <w:szCs w:val="24"/>
        </w:rPr>
        <w:t xml:space="preserve"> duration for Head Start because of the logistical challenges programs would face, including significant disruptions to community collaborations.  Some commenters stated that collaborations they use for transportation would be severely disrupted. Others noted they would lose access to facilities because their community partnership would not be able to provide full-day space.  Many of these commenters raised </w:t>
      </w:r>
      <w:r w:rsidR="00EE6DB1" w:rsidRPr="00C1694A">
        <w:rPr>
          <w:rFonts w:ascii="Times New Roman" w:hAnsi="Times New Roman" w:cs="Times New Roman"/>
          <w:sz w:val="24"/>
          <w:szCs w:val="24"/>
        </w:rPr>
        <w:t xml:space="preserve">concerns about the </w:t>
      </w:r>
      <w:r w:rsidRPr="00C1694A">
        <w:rPr>
          <w:rFonts w:ascii="Times New Roman" w:hAnsi="Times New Roman" w:cs="Times New Roman"/>
          <w:sz w:val="24"/>
          <w:szCs w:val="24"/>
        </w:rPr>
        <w:t xml:space="preserve">lack of adequate </w:t>
      </w:r>
      <w:r w:rsidR="00B1708B" w:rsidRPr="00C1694A">
        <w:rPr>
          <w:rFonts w:ascii="Times New Roman" w:hAnsi="Times New Roman" w:cs="Times New Roman"/>
          <w:sz w:val="24"/>
          <w:szCs w:val="24"/>
        </w:rPr>
        <w:t>or reasonably priced</w:t>
      </w:r>
      <w:r w:rsidRPr="00C1694A">
        <w:rPr>
          <w:rFonts w:ascii="Times New Roman" w:hAnsi="Times New Roman" w:cs="Times New Roman"/>
          <w:sz w:val="24"/>
          <w:szCs w:val="24"/>
        </w:rPr>
        <w:t xml:space="preserve"> facilities </w:t>
      </w:r>
      <w:r w:rsidR="00EE6DB1" w:rsidRPr="00C1694A">
        <w:rPr>
          <w:rFonts w:ascii="Times New Roman" w:hAnsi="Times New Roman" w:cs="Times New Roman"/>
          <w:sz w:val="24"/>
          <w:szCs w:val="24"/>
        </w:rPr>
        <w:t>in their area</w:t>
      </w:r>
      <w:r w:rsidRPr="00C1694A">
        <w:rPr>
          <w:rFonts w:ascii="Times New Roman" w:hAnsi="Times New Roman" w:cs="Times New Roman"/>
          <w:sz w:val="24"/>
          <w:szCs w:val="24"/>
        </w:rPr>
        <w:t>.  Some commenters were concerned with the challenges they would face finding enough high</w:t>
      </w:r>
      <w:r w:rsidR="002450D3" w:rsidRPr="00C1694A">
        <w:rPr>
          <w:rFonts w:ascii="Times New Roman" w:hAnsi="Times New Roman" w:cs="Times New Roman"/>
          <w:sz w:val="24"/>
          <w:szCs w:val="24"/>
        </w:rPr>
        <w:t>-quality teachers for new classe</w:t>
      </w:r>
      <w:r w:rsidRPr="00C1694A">
        <w:rPr>
          <w:rFonts w:ascii="Times New Roman" w:hAnsi="Times New Roman" w:cs="Times New Roman"/>
          <w:sz w:val="24"/>
          <w:szCs w:val="24"/>
        </w:rPr>
        <w:t>s.  Some commenters raised concerns about negative impacts on partnerships with child care providers</w:t>
      </w:r>
      <w:r w:rsidR="00920813" w:rsidRPr="00C1694A">
        <w:rPr>
          <w:rFonts w:ascii="Times New Roman" w:hAnsi="Times New Roman" w:cs="Times New Roman"/>
          <w:sz w:val="24"/>
          <w:szCs w:val="24"/>
        </w:rPr>
        <w:t xml:space="preserve"> and family eligibility for child care subsidies to provide families with care</w:t>
      </w:r>
      <w:r w:rsidRPr="00C1694A">
        <w:rPr>
          <w:rFonts w:ascii="Times New Roman" w:hAnsi="Times New Roman" w:cs="Times New Roman"/>
          <w:sz w:val="24"/>
          <w:szCs w:val="24"/>
        </w:rPr>
        <w:t xml:space="preserve"> for a full working day.</w:t>
      </w:r>
      <w:r w:rsidR="001A2056" w:rsidRPr="00C1694A">
        <w:rPr>
          <w:rFonts w:ascii="Times New Roman" w:hAnsi="Times New Roman" w:cs="Times New Roman"/>
          <w:sz w:val="24"/>
          <w:szCs w:val="24"/>
        </w:rPr>
        <w:t xml:space="preserve"> Some commenters noted that children who currently receive full day services through the combination of a half-day of Head Start and half-day of state pre-k </w:t>
      </w:r>
      <w:r w:rsidR="00CA6843" w:rsidRPr="00C1694A">
        <w:rPr>
          <w:rFonts w:ascii="Times New Roman" w:hAnsi="Times New Roman" w:cs="Times New Roman"/>
          <w:sz w:val="24"/>
          <w:szCs w:val="24"/>
        </w:rPr>
        <w:t xml:space="preserve">could </w:t>
      </w:r>
      <w:r w:rsidR="001A2056" w:rsidRPr="00C1694A">
        <w:rPr>
          <w:rFonts w:ascii="Times New Roman" w:hAnsi="Times New Roman" w:cs="Times New Roman"/>
          <w:sz w:val="24"/>
          <w:szCs w:val="24"/>
        </w:rPr>
        <w:t>be negatively impacted by the duration proposal.</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Some commenters opposed or expressed concerns about the proposed increase in duration for Head Start preschoolers because of the potential impact on teachers and other staff.  Some commenters were concerned about the loss of staff jobs that would result without adequate funding to support the increased duration, noting this would have a negative impact on the economy and local community.  Commenters were concerned about how the move to a longer school day or longer school year would increase the burden on teachers</w:t>
      </w:r>
      <w:r w:rsidR="001A2056" w:rsidRPr="00C1694A">
        <w:rPr>
          <w:rFonts w:ascii="Times New Roman" w:hAnsi="Times New Roman" w:cs="Times New Roman"/>
          <w:sz w:val="24"/>
          <w:szCs w:val="24"/>
        </w:rPr>
        <w:t xml:space="preserve"> and reduce</w:t>
      </w:r>
      <w:r w:rsidR="00920813" w:rsidRPr="00C1694A">
        <w:rPr>
          <w:rFonts w:ascii="Times New Roman" w:hAnsi="Times New Roman" w:cs="Times New Roman"/>
          <w:sz w:val="24"/>
          <w:szCs w:val="24"/>
        </w:rPr>
        <w:t xml:space="preserve"> time for other necessary activities, which</w:t>
      </w:r>
      <w:r w:rsidR="00B1708B" w:rsidRPr="00C1694A">
        <w:rPr>
          <w:rFonts w:ascii="Times New Roman" w:hAnsi="Times New Roman" w:cs="Times New Roman"/>
          <w:sz w:val="24"/>
          <w:szCs w:val="24"/>
        </w:rPr>
        <w:t xml:space="preserve"> would undermine program quality</w:t>
      </w:r>
      <w:r w:rsidRPr="00C1694A">
        <w:rPr>
          <w:rFonts w:ascii="Times New Roman" w:hAnsi="Times New Roman" w:cs="Times New Roman"/>
          <w:sz w:val="24"/>
          <w:szCs w:val="24"/>
        </w:rPr>
        <w:t xml:space="preserve">. </w:t>
      </w:r>
      <w:r w:rsidR="00E020AC" w:rsidRPr="00C1694A">
        <w:rPr>
          <w:rFonts w:ascii="Times New Roman" w:hAnsi="Times New Roman" w:cs="Times New Roman"/>
          <w:sz w:val="24"/>
          <w:szCs w:val="24"/>
        </w:rPr>
        <w:t xml:space="preserve">Some </w:t>
      </w:r>
      <w:r w:rsidR="00CA6843" w:rsidRPr="00C1694A">
        <w:rPr>
          <w:rFonts w:ascii="Times New Roman" w:hAnsi="Times New Roman" w:cs="Times New Roman"/>
          <w:sz w:val="24"/>
          <w:szCs w:val="24"/>
        </w:rPr>
        <w:t xml:space="preserve">suggested </w:t>
      </w:r>
      <w:r w:rsidR="00E020AC" w:rsidRPr="00C1694A">
        <w:rPr>
          <w:rFonts w:ascii="Times New Roman" w:hAnsi="Times New Roman" w:cs="Times New Roman"/>
          <w:sz w:val="24"/>
          <w:szCs w:val="24"/>
        </w:rPr>
        <w:t xml:space="preserve">that this would increase teacher stress, burnout, and turnover.  </w:t>
      </w:r>
      <w:r w:rsidRPr="00C1694A">
        <w:rPr>
          <w:rFonts w:ascii="Times New Roman" w:hAnsi="Times New Roman" w:cs="Times New Roman"/>
          <w:sz w:val="24"/>
          <w:szCs w:val="24"/>
        </w:rPr>
        <w:t>Th</w:t>
      </w:r>
      <w:r w:rsidR="00E020AC" w:rsidRPr="00C1694A">
        <w:rPr>
          <w:rFonts w:ascii="Times New Roman" w:hAnsi="Times New Roman" w:cs="Times New Roman"/>
          <w:sz w:val="24"/>
          <w:szCs w:val="24"/>
        </w:rPr>
        <w:t>ese</w:t>
      </w:r>
      <w:r w:rsidRPr="00C1694A">
        <w:rPr>
          <w:rFonts w:ascii="Times New Roman" w:hAnsi="Times New Roman" w:cs="Times New Roman"/>
          <w:sz w:val="24"/>
          <w:szCs w:val="24"/>
        </w:rPr>
        <w:t xml:space="preserve"> issue</w:t>
      </w:r>
      <w:r w:rsidR="00E020AC" w:rsidRPr="00C1694A">
        <w:rPr>
          <w:rFonts w:ascii="Times New Roman" w:hAnsi="Times New Roman" w:cs="Times New Roman"/>
          <w:sz w:val="24"/>
          <w:szCs w:val="24"/>
        </w:rPr>
        <w:t>s</w:t>
      </w:r>
      <w:r w:rsidRPr="00C1694A">
        <w:rPr>
          <w:rFonts w:ascii="Times New Roman" w:hAnsi="Times New Roman" w:cs="Times New Roman"/>
          <w:sz w:val="24"/>
          <w:szCs w:val="24"/>
        </w:rPr>
        <w:t xml:space="preserve"> </w:t>
      </w:r>
      <w:r w:rsidR="00E020AC" w:rsidRPr="00C1694A">
        <w:rPr>
          <w:rFonts w:ascii="Times New Roman" w:hAnsi="Times New Roman" w:cs="Times New Roman"/>
          <w:sz w:val="24"/>
          <w:szCs w:val="24"/>
        </w:rPr>
        <w:t>were</w:t>
      </w:r>
      <w:r w:rsidRPr="00C1694A">
        <w:rPr>
          <w:rFonts w:ascii="Times New Roman" w:hAnsi="Times New Roman" w:cs="Times New Roman"/>
          <w:sz w:val="24"/>
          <w:szCs w:val="24"/>
        </w:rPr>
        <w:t xml:space="preserve"> of particular concern to some programs that believed they would have to move from a 4-day per week to a 5-day per week schedule.  Commenters were also concerned that the proposed model would make it more difficult to recruit and retain highly qualified staff. Commenters noted the need to pay teachers more in order to offset the workload associated with the increased program duration. Some commenters were concerned about the loss of staff jobs that would result without adequate funding to support the increased duration and stated this would have a negative impact on the economy and local community.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rPr>
        <w:t xml:space="preserve">Some commenters stated that the research cited in the NPRM </w:t>
      </w:r>
      <w:r w:rsidR="00E020AC" w:rsidRPr="00C1694A">
        <w:rPr>
          <w:rFonts w:ascii="Times New Roman" w:hAnsi="Times New Roman" w:cs="Times New Roman"/>
          <w:sz w:val="24"/>
          <w:szCs w:val="24"/>
        </w:rPr>
        <w:t>was</w:t>
      </w:r>
      <w:r w:rsidRPr="00C1694A">
        <w:rPr>
          <w:rFonts w:ascii="Times New Roman" w:hAnsi="Times New Roman" w:cs="Times New Roman"/>
          <w:sz w:val="24"/>
          <w:szCs w:val="24"/>
        </w:rPr>
        <w:t xml:space="preserve"> not adequate or appropriate to justify the longer day and/or year for Head Start preschoolers.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t>
      </w:r>
      <w:r w:rsidR="00E020AC" w:rsidRPr="00C1694A">
        <w:rPr>
          <w:rFonts w:ascii="Times New Roman" w:hAnsi="Times New Roman" w:cs="Times New Roman"/>
          <w:sz w:val="24"/>
          <w:szCs w:val="24"/>
        </w:rPr>
        <w:t>stated</w:t>
      </w:r>
      <w:r w:rsidRPr="00C1694A">
        <w:rPr>
          <w:rFonts w:ascii="Times New Roman" w:hAnsi="Times New Roman" w:cs="Times New Roman"/>
          <w:sz w:val="24"/>
          <w:szCs w:val="24"/>
        </w:rPr>
        <w:t xml:space="preserve"> that </w:t>
      </w:r>
      <w:r w:rsidR="001A2056" w:rsidRPr="00C1694A">
        <w:rPr>
          <w:rFonts w:ascii="Times New Roman" w:hAnsi="Times New Roman" w:cs="Times New Roman"/>
          <w:sz w:val="24"/>
          <w:szCs w:val="24"/>
        </w:rPr>
        <w:t>longer</w:t>
      </w:r>
      <w:r w:rsidRPr="00C1694A">
        <w:rPr>
          <w:rFonts w:ascii="Times New Roman" w:hAnsi="Times New Roman" w:cs="Times New Roman"/>
          <w:sz w:val="24"/>
          <w:szCs w:val="24"/>
        </w:rPr>
        <w:t xml:space="preserve"> duration is not necessarily an indicator of higher program quality. Some commenters stated that moving to full school day services would not increase instructional time because of time that would need to be devoted to naps, meals, and transitions. Some commenters expressed concern with increasing duration for Head Start preschoolers because their state or municipality still has part-day, part-week, or optional kindergarten, or part-day state-funded preschool.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expressed concern about state licensing laws that would become applicable with a longer program day. Some commenters raised concerns about </w:t>
      </w:r>
      <w:r w:rsidR="001A2056" w:rsidRPr="00C1694A">
        <w:rPr>
          <w:rFonts w:ascii="Times New Roman" w:hAnsi="Times New Roman" w:cs="Times New Roman"/>
          <w:sz w:val="24"/>
          <w:szCs w:val="24"/>
        </w:rPr>
        <w:t xml:space="preserve">the </w:t>
      </w:r>
      <w:r w:rsidRPr="00C1694A">
        <w:rPr>
          <w:rFonts w:ascii="Times New Roman" w:hAnsi="Times New Roman" w:cs="Times New Roman"/>
          <w:sz w:val="24"/>
          <w:szCs w:val="24"/>
        </w:rPr>
        <w:t>impact</w:t>
      </w:r>
      <w:r w:rsidR="001A2056" w:rsidRPr="00C1694A">
        <w:rPr>
          <w:rFonts w:ascii="Times New Roman" w:hAnsi="Times New Roman" w:cs="Times New Roman"/>
          <w:sz w:val="24"/>
          <w:szCs w:val="24"/>
        </w:rPr>
        <w:t xml:space="preserve"> on</w:t>
      </w:r>
      <w:r w:rsidRPr="00C1694A">
        <w:rPr>
          <w:rFonts w:ascii="Times New Roman" w:hAnsi="Times New Roman" w:cs="Times New Roman"/>
          <w:sz w:val="24"/>
          <w:szCs w:val="24"/>
        </w:rPr>
        <w:t xml:space="preserve"> their non-federal share match </w:t>
      </w:r>
      <w:r w:rsidR="001A2056" w:rsidRPr="00C1694A">
        <w:rPr>
          <w:rFonts w:ascii="Times New Roman" w:hAnsi="Times New Roman" w:cs="Times New Roman"/>
          <w:sz w:val="24"/>
          <w:szCs w:val="24"/>
        </w:rPr>
        <w:t>if they served fewer families</w:t>
      </w:r>
      <w:r w:rsidRPr="00C1694A">
        <w:rPr>
          <w:rFonts w:ascii="Times New Roman" w:hAnsi="Times New Roman" w:cs="Times New Roman"/>
          <w:sz w:val="24"/>
          <w:szCs w:val="24"/>
        </w:rPr>
        <w:t xml:space="preserve">.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made significant changes </w:t>
      </w:r>
      <w:r w:rsidR="002C0874" w:rsidRPr="00C1694A">
        <w:rPr>
          <w:rFonts w:ascii="Times New Roman" w:hAnsi="Times New Roman" w:cs="Times New Roman"/>
          <w:sz w:val="24"/>
          <w:szCs w:val="24"/>
        </w:rPr>
        <w:t xml:space="preserve">in paragraph (c) </w:t>
      </w:r>
      <w:r w:rsidRPr="00C1694A">
        <w:rPr>
          <w:rFonts w:ascii="Times New Roman" w:hAnsi="Times New Roman" w:cs="Times New Roman"/>
          <w:sz w:val="24"/>
          <w:szCs w:val="24"/>
        </w:rPr>
        <w:t>to the requirements for service duration for preschoolers in Head Start center-based settings.  We believe</w:t>
      </w:r>
      <w:r w:rsidR="00BC692E" w:rsidRPr="00C1694A">
        <w:rPr>
          <w:rFonts w:ascii="Times New Roman" w:hAnsi="Times New Roman" w:cs="Times New Roman"/>
          <w:sz w:val="24"/>
          <w:szCs w:val="24"/>
        </w:rPr>
        <w:t>, and research indicates</w:t>
      </w:r>
      <w:r w:rsidR="00410A7C" w:rsidRPr="00C1694A">
        <w:rPr>
          <w:rFonts w:ascii="Times New Roman" w:hAnsi="Times New Roman" w:cs="Times New Roman"/>
          <w:sz w:val="24"/>
          <w:szCs w:val="24"/>
        </w:rPr>
        <w:t>,</w:t>
      </w:r>
      <w:r w:rsidR="00BC692E" w:rsidRPr="00C1694A">
        <w:rPr>
          <w:rFonts w:ascii="Times New Roman" w:hAnsi="Times New Roman" w:cs="Times New Roman"/>
          <w:sz w:val="24"/>
          <w:szCs w:val="24"/>
        </w:rPr>
        <w:t xml:space="preserve"> </w:t>
      </w:r>
      <w:r w:rsidRPr="00C1694A">
        <w:rPr>
          <w:rFonts w:ascii="Times New Roman" w:hAnsi="Times New Roman" w:cs="Times New Roman"/>
          <w:sz w:val="24"/>
          <w:szCs w:val="24"/>
        </w:rPr>
        <w:t>that strong child outcomes are best fostered through high-quality early education programs that provide at least a full school day and full s</w:t>
      </w:r>
      <w:r w:rsidR="00C82F87" w:rsidRPr="00C1694A">
        <w:rPr>
          <w:rFonts w:ascii="Times New Roman" w:hAnsi="Times New Roman" w:cs="Times New Roman"/>
          <w:sz w:val="24"/>
          <w:szCs w:val="24"/>
        </w:rPr>
        <w:t xml:space="preserve">chool year of services and that </w:t>
      </w:r>
      <w:r w:rsidRPr="00C1694A">
        <w:rPr>
          <w:rFonts w:ascii="Times New Roman" w:hAnsi="Times New Roman" w:cs="Times New Roman"/>
          <w:sz w:val="24"/>
          <w:szCs w:val="24"/>
        </w:rPr>
        <w:t xml:space="preserve">children </w:t>
      </w:r>
      <w:r w:rsidR="00430796" w:rsidRPr="00C1694A">
        <w:rPr>
          <w:rFonts w:ascii="Times New Roman" w:hAnsi="Times New Roman" w:cs="Times New Roman"/>
          <w:sz w:val="24"/>
          <w:szCs w:val="24"/>
        </w:rPr>
        <w:t>are</w:t>
      </w:r>
      <w:r w:rsidRPr="00C1694A">
        <w:rPr>
          <w:rFonts w:ascii="Times New Roman" w:hAnsi="Times New Roman" w:cs="Times New Roman"/>
          <w:sz w:val="24"/>
          <w:szCs w:val="24"/>
        </w:rPr>
        <w:t xml:space="preserve"> best served if Head Start programs continue to move toward this goal.  We do not agree that the increased service duration is developmentally inappropriate for preschoolers, including </w:t>
      </w:r>
      <w:r w:rsidR="00430796" w:rsidRPr="00C1694A">
        <w:rPr>
          <w:rFonts w:ascii="Times New Roman" w:hAnsi="Times New Roman" w:cs="Times New Roman"/>
          <w:sz w:val="24"/>
          <w:szCs w:val="24"/>
        </w:rPr>
        <w:t>three</w:t>
      </w:r>
      <w:r w:rsidRPr="00C1694A">
        <w:rPr>
          <w:rFonts w:ascii="Times New Roman" w:hAnsi="Times New Roman" w:cs="Times New Roman"/>
          <w:sz w:val="24"/>
          <w:szCs w:val="24"/>
        </w:rPr>
        <w:t xml:space="preserve">-year-olds, or that the research we </w:t>
      </w:r>
      <w:r w:rsidR="00430796" w:rsidRPr="00C1694A">
        <w:rPr>
          <w:rFonts w:ascii="Times New Roman" w:hAnsi="Times New Roman" w:cs="Times New Roman"/>
          <w:sz w:val="24"/>
          <w:szCs w:val="24"/>
        </w:rPr>
        <w:t xml:space="preserve">cited </w:t>
      </w:r>
      <w:r w:rsidRPr="00C1694A">
        <w:rPr>
          <w:rFonts w:ascii="Times New Roman" w:hAnsi="Times New Roman" w:cs="Times New Roman"/>
          <w:sz w:val="24"/>
          <w:szCs w:val="24"/>
        </w:rPr>
        <w:t xml:space="preserve">is inadequate to justify these proposals. While the research </w:t>
      </w:r>
      <w:r w:rsidR="00B1708B" w:rsidRPr="00C1694A">
        <w:rPr>
          <w:rFonts w:ascii="Times New Roman" w:hAnsi="Times New Roman" w:cs="Times New Roman"/>
          <w:sz w:val="24"/>
          <w:szCs w:val="24"/>
        </w:rPr>
        <w:t>does not identify a specific threshold</w:t>
      </w:r>
      <w:r w:rsidRPr="00C1694A">
        <w:rPr>
          <w:rFonts w:ascii="Times New Roman" w:hAnsi="Times New Roman" w:cs="Times New Roman"/>
          <w:sz w:val="24"/>
          <w:szCs w:val="24"/>
        </w:rPr>
        <w:t>, there is ample research that points to increased duration in achieving positive child outcomes.</w:t>
      </w:r>
      <w:r w:rsidR="00150A23" w:rsidRPr="00C1694A">
        <w:rPr>
          <w:rStyle w:val="FootnoteReference"/>
          <w:rFonts w:ascii="Times New Roman" w:hAnsi="Times New Roman" w:cs="Times New Roman"/>
          <w:sz w:val="24"/>
          <w:szCs w:val="24"/>
        </w:rPr>
        <w:footnoteReference w:id="57"/>
      </w:r>
      <w:r w:rsidR="007B034E" w:rsidRPr="00C1694A">
        <w:rPr>
          <w:rFonts w:ascii="Times New Roman" w:hAnsi="Times New Roman" w:cs="Times New Roman"/>
          <w:sz w:val="24"/>
          <w:szCs w:val="24"/>
          <w:vertAlign w:val="superscript"/>
        </w:rPr>
        <w:t>,</w:t>
      </w:r>
      <w:r w:rsidR="007B034E" w:rsidRPr="00C1694A">
        <w:rPr>
          <w:rStyle w:val="FootnoteReference"/>
          <w:rFonts w:ascii="Times New Roman" w:hAnsi="Times New Roman" w:cs="Times New Roman"/>
          <w:sz w:val="24"/>
          <w:szCs w:val="24"/>
        </w:rPr>
        <w:footnoteReference w:id="58"/>
      </w:r>
      <w:r w:rsidR="007B034E" w:rsidRPr="00C1694A">
        <w:rPr>
          <w:rFonts w:ascii="Times New Roman" w:hAnsi="Times New Roman" w:cs="Times New Roman"/>
          <w:sz w:val="24"/>
          <w:szCs w:val="24"/>
          <w:vertAlign w:val="superscript"/>
        </w:rPr>
        <w:t>,</w:t>
      </w:r>
      <w:r w:rsidR="007B034E" w:rsidRPr="00C1694A">
        <w:rPr>
          <w:rStyle w:val="FootnoteReference"/>
          <w:rFonts w:ascii="Times New Roman" w:hAnsi="Times New Roman" w:cs="Times New Roman"/>
          <w:sz w:val="24"/>
          <w:szCs w:val="24"/>
        </w:rPr>
        <w:footnoteReference w:id="59"/>
      </w:r>
      <w:r w:rsidR="007B034E" w:rsidRPr="00C1694A">
        <w:rPr>
          <w:rFonts w:ascii="Times New Roman" w:hAnsi="Times New Roman" w:cs="Times New Roman"/>
          <w:sz w:val="24"/>
          <w:szCs w:val="24"/>
          <w:vertAlign w:val="superscript"/>
        </w:rPr>
        <w:t>,</w:t>
      </w:r>
      <w:r w:rsidR="007B034E" w:rsidRPr="00C1694A">
        <w:rPr>
          <w:rStyle w:val="FootnoteReference"/>
          <w:rFonts w:ascii="Times New Roman" w:hAnsi="Times New Roman" w:cs="Times New Roman"/>
          <w:sz w:val="24"/>
          <w:szCs w:val="24"/>
        </w:rPr>
        <w:footnoteReference w:id="60"/>
      </w:r>
      <w:r w:rsidR="007B034E" w:rsidRPr="00C1694A">
        <w:rPr>
          <w:rFonts w:ascii="Times New Roman" w:hAnsi="Times New Roman" w:cs="Times New Roman"/>
          <w:sz w:val="24"/>
          <w:szCs w:val="24"/>
          <w:vertAlign w:val="superscript"/>
        </w:rPr>
        <w:t>,</w:t>
      </w:r>
      <w:r w:rsidR="007B034E" w:rsidRPr="00C1694A">
        <w:rPr>
          <w:rStyle w:val="FootnoteReference"/>
          <w:rFonts w:ascii="Times New Roman" w:hAnsi="Times New Roman" w:cs="Times New Roman"/>
          <w:sz w:val="24"/>
          <w:szCs w:val="24"/>
        </w:rPr>
        <w:footnoteReference w:id="61"/>
      </w:r>
      <w:r w:rsidR="007B034E" w:rsidRPr="00C1694A">
        <w:rPr>
          <w:rFonts w:ascii="Times New Roman" w:hAnsi="Times New Roman" w:cs="Times New Roman"/>
          <w:sz w:val="24"/>
          <w:szCs w:val="24"/>
          <w:vertAlign w:val="superscript"/>
        </w:rPr>
        <w:t>,</w:t>
      </w:r>
      <w:r w:rsidR="007B034E" w:rsidRPr="00C1694A">
        <w:rPr>
          <w:rStyle w:val="FootnoteReference"/>
          <w:rFonts w:ascii="Times New Roman" w:hAnsi="Times New Roman" w:cs="Times New Roman"/>
          <w:sz w:val="24"/>
          <w:szCs w:val="24"/>
        </w:rPr>
        <w:footnoteReference w:id="62"/>
      </w:r>
      <w:r w:rsidR="007B034E" w:rsidRPr="00C1694A">
        <w:rPr>
          <w:rFonts w:ascii="Times New Roman" w:hAnsi="Times New Roman" w:cs="Times New Roman"/>
          <w:sz w:val="24"/>
          <w:szCs w:val="24"/>
          <w:vertAlign w:val="superscript"/>
        </w:rPr>
        <w:t>,</w:t>
      </w:r>
      <w:r w:rsidR="007B034E" w:rsidRPr="00C1694A">
        <w:rPr>
          <w:rStyle w:val="FootnoteReference"/>
          <w:rFonts w:ascii="Times New Roman" w:hAnsi="Times New Roman" w:cs="Times New Roman"/>
          <w:sz w:val="24"/>
          <w:szCs w:val="24"/>
        </w:rPr>
        <w:footnoteReference w:id="63"/>
      </w:r>
      <w:r w:rsidR="007B034E" w:rsidRPr="00C1694A">
        <w:rPr>
          <w:rFonts w:ascii="Times New Roman" w:hAnsi="Times New Roman" w:cs="Times New Roman"/>
          <w:sz w:val="24"/>
          <w:szCs w:val="24"/>
          <w:vertAlign w:val="superscript"/>
        </w:rPr>
        <w:t>,</w:t>
      </w:r>
      <w:r w:rsidR="007B034E" w:rsidRPr="00C1694A">
        <w:rPr>
          <w:rStyle w:val="FootnoteReference"/>
          <w:rFonts w:ascii="Times New Roman" w:hAnsi="Times New Roman" w:cs="Times New Roman"/>
          <w:sz w:val="24"/>
          <w:szCs w:val="24"/>
        </w:rPr>
        <w:footnoteReference w:id="64"/>
      </w:r>
      <w:r w:rsidR="007B034E" w:rsidRPr="00C1694A">
        <w:rPr>
          <w:rFonts w:ascii="Times New Roman" w:hAnsi="Times New Roman" w:cs="Times New Roman"/>
          <w:sz w:val="24"/>
          <w:szCs w:val="24"/>
          <w:vertAlign w:val="superscript"/>
        </w:rPr>
        <w:t>,</w:t>
      </w:r>
      <w:r w:rsidR="007B034E" w:rsidRPr="00C1694A">
        <w:rPr>
          <w:rStyle w:val="FootnoteReference"/>
          <w:rFonts w:ascii="Times New Roman" w:hAnsi="Times New Roman" w:cs="Times New Roman"/>
          <w:sz w:val="24"/>
          <w:szCs w:val="24"/>
        </w:rPr>
        <w:footnoteReference w:id="65"/>
      </w:r>
      <w:r w:rsidR="00523540" w:rsidRPr="00C1694A">
        <w:rPr>
          <w:rFonts w:ascii="Times New Roman" w:hAnsi="Times New Roman" w:cs="Times New Roman"/>
          <w:sz w:val="24"/>
          <w:szCs w:val="24"/>
          <w:vertAlign w:val="superscript"/>
        </w:rPr>
        <w:t>,</w:t>
      </w:r>
      <w:r w:rsidR="00523540" w:rsidRPr="00C1694A">
        <w:rPr>
          <w:rStyle w:val="FootnoteReference"/>
          <w:rFonts w:ascii="Times New Roman" w:hAnsi="Times New Roman" w:cs="Times New Roman"/>
          <w:sz w:val="24"/>
          <w:szCs w:val="24"/>
        </w:rPr>
        <w:footnoteReference w:id="66"/>
      </w:r>
      <w:r w:rsidR="00EA0E12" w:rsidRPr="00C1694A">
        <w:rPr>
          <w:rFonts w:ascii="Times New Roman" w:hAnsi="Times New Roman" w:cs="Times New Roman"/>
          <w:sz w:val="24"/>
          <w:szCs w:val="24"/>
          <w:vertAlign w:val="superscript"/>
        </w:rPr>
        <w:t>,</w:t>
      </w:r>
      <w:r w:rsidR="00EA0E12" w:rsidRPr="00C1694A">
        <w:rPr>
          <w:rStyle w:val="FootnoteReference"/>
          <w:rFonts w:ascii="Times New Roman" w:hAnsi="Times New Roman" w:cs="Times New Roman"/>
          <w:sz w:val="24"/>
          <w:szCs w:val="24"/>
        </w:rPr>
        <w:footnoteReference w:id="67"/>
      </w:r>
      <w:r w:rsidR="00BC692E" w:rsidRPr="00C1694A">
        <w:rPr>
          <w:rFonts w:ascii="Times New Roman" w:hAnsi="Times New Roman" w:cs="Times New Roman"/>
          <w:sz w:val="24"/>
          <w:szCs w:val="24"/>
        </w:rPr>
        <w:t xml:space="preserve"> Many Head Start programs, as well as State funded preschool programs already operate for a full school day and a full school year.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However, we a</w:t>
      </w:r>
      <w:r w:rsidR="00B1708B" w:rsidRPr="00C1694A">
        <w:rPr>
          <w:rFonts w:ascii="Times New Roman" w:hAnsi="Times New Roman" w:cs="Times New Roman"/>
          <w:sz w:val="24"/>
          <w:szCs w:val="24"/>
        </w:rPr>
        <w:t xml:space="preserve">gree with commenters </w:t>
      </w:r>
      <w:r w:rsidRPr="00C1694A">
        <w:rPr>
          <w:rFonts w:ascii="Times New Roman" w:hAnsi="Times New Roman" w:cs="Times New Roman"/>
          <w:sz w:val="24"/>
          <w:szCs w:val="24"/>
        </w:rPr>
        <w:t xml:space="preserve">about the negative effects of implementing this model in such a way that could lead to significant reductions in the number of children and families served by Head Start programs, and recognize the need to allow programs and communities sufficient time to thoughtfully plan and adjust their operations.  Therefore, we made </w:t>
      </w:r>
      <w:r w:rsidR="00B1708B" w:rsidRPr="00C1694A">
        <w:rPr>
          <w:rFonts w:ascii="Times New Roman" w:hAnsi="Times New Roman" w:cs="Times New Roman"/>
          <w:sz w:val="24"/>
          <w:szCs w:val="24"/>
        </w:rPr>
        <w:t>significant</w:t>
      </w:r>
      <w:r w:rsidRPr="00C1694A">
        <w:rPr>
          <w:rFonts w:ascii="Times New Roman" w:hAnsi="Times New Roman" w:cs="Times New Roman"/>
          <w:sz w:val="24"/>
          <w:szCs w:val="24"/>
        </w:rPr>
        <w:t xml:space="preserve"> changes to the</w:t>
      </w:r>
      <w:r w:rsidR="00E020AC" w:rsidRPr="00C1694A">
        <w:rPr>
          <w:rFonts w:ascii="Times New Roman" w:hAnsi="Times New Roman" w:cs="Times New Roman"/>
          <w:sz w:val="24"/>
          <w:szCs w:val="24"/>
        </w:rPr>
        <w:t xml:space="preserve"> service duration minimums in s</w:t>
      </w:r>
      <w:r w:rsidRPr="00C1694A">
        <w:rPr>
          <w:rFonts w:ascii="Times New Roman" w:hAnsi="Times New Roman" w:cs="Times New Roman"/>
          <w:sz w:val="24"/>
          <w:szCs w:val="24"/>
        </w:rPr>
        <w:t xml:space="preserve">ubpart B for Head Start preschoolers in center-based settings that we believe strike the right balance of giving more children access to a program with full school day and full school year services, while allowing greater local flexibility and more time for communities to adapt and potential funding to be appropriated.  </w:t>
      </w:r>
    </w:p>
    <w:p w:rsidR="009D7EB0" w:rsidRPr="00C1694A" w:rsidRDefault="00E020AC"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Revisions </w:t>
      </w:r>
      <w:r w:rsidR="008468F8" w:rsidRPr="00C1694A">
        <w:rPr>
          <w:rFonts w:ascii="Times New Roman" w:hAnsi="Times New Roman" w:cs="Times New Roman"/>
          <w:sz w:val="24"/>
          <w:szCs w:val="24"/>
        </w:rPr>
        <w:t>in paragraph (c)(2)</w:t>
      </w:r>
      <w:r w:rsidRPr="00C1694A">
        <w:rPr>
          <w:rFonts w:ascii="Times New Roman" w:hAnsi="Times New Roman" w:cs="Times New Roman"/>
          <w:sz w:val="24"/>
          <w:szCs w:val="24"/>
        </w:rPr>
        <w:t xml:space="preserve"> </w:t>
      </w:r>
      <w:r w:rsidR="009D7EB0" w:rsidRPr="00C1694A">
        <w:rPr>
          <w:rFonts w:ascii="Times New Roman" w:hAnsi="Times New Roman" w:cs="Times New Roman"/>
          <w:sz w:val="24"/>
          <w:szCs w:val="24"/>
        </w:rPr>
        <w:t xml:space="preserve">specify a timeline, process, and requirements for programs to phase in full school day and full school year services for all preschool children served in center-based settings. </w:t>
      </w:r>
      <w:r w:rsidR="007C6236" w:rsidRPr="00C1694A">
        <w:rPr>
          <w:rFonts w:ascii="Times New Roman" w:hAnsi="Times New Roman" w:cs="Times New Roman"/>
          <w:sz w:val="24"/>
          <w:szCs w:val="24"/>
        </w:rPr>
        <w:t xml:space="preserve">In this rule, we require that </w:t>
      </w:r>
      <w:r w:rsidR="00CE4A25" w:rsidRPr="00C1694A">
        <w:rPr>
          <w:rFonts w:ascii="Times New Roman" w:hAnsi="Times New Roman" w:cs="Times New Roman"/>
          <w:sz w:val="24"/>
          <w:szCs w:val="24"/>
        </w:rPr>
        <w:t xml:space="preserve">each </w:t>
      </w:r>
      <w:r w:rsidR="007C6236" w:rsidRPr="00C1694A">
        <w:rPr>
          <w:rFonts w:ascii="Times New Roman" w:hAnsi="Times New Roman" w:cs="Times New Roman"/>
          <w:sz w:val="24"/>
          <w:szCs w:val="24"/>
        </w:rPr>
        <w:t xml:space="preserve">program offer full school day and full school year services, defined as 1,020 annual hours, for at least 50 percent of </w:t>
      </w:r>
      <w:r w:rsidR="00CE4A25" w:rsidRPr="00C1694A">
        <w:rPr>
          <w:rFonts w:ascii="Times New Roman" w:hAnsi="Times New Roman" w:cs="Times New Roman"/>
          <w:sz w:val="24"/>
          <w:szCs w:val="24"/>
        </w:rPr>
        <w:t xml:space="preserve">its </w:t>
      </w:r>
      <w:r w:rsidR="007C6236" w:rsidRPr="00C1694A">
        <w:rPr>
          <w:rFonts w:ascii="Times New Roman" w:hAnsi="Times New Roman" w:cs="Times New Roman"/>
          <w:sz w:val="24"/>
          <w:szCs w:val="24"/>
        </w:rPr>
        <w:t>Head Start center-based funded enrollment by August 1, 201</w:t>
      </w:r>
      <w:r w:rsidR="00CE4A25" w:rsidRPr="00C1694A">
        <w:rPr>
          <w:rFonts w:ascii="Times New Roman" w:hAnsi="Times New Roman" w:cs="Times New Roman"/>
          <w:sz w:val="24"/>
          <w:szCs w:val="24"/>
        </w:rPr>
        <w:t>9</w:t>
      </w:r>
      <w:r w:rsidR="007C6236" w:rsidRPr="00C1694A">
        <w:rPr>
          <w:rFonts w:ascii="Times New Roman" w:hAnsi="Times New Roman" w:cs="Times New Roman"/>
          <w:sz w:val="24"/>
          <w:szCs w:val="24"/>
        </w:rPr>
        <w:t xml:space="preserve">, and for all of </w:t>
      </w:r>
      <w:r w:rsidR="00CE4A25" w:rsidRPr="00C1694A">
        <w:rPr>
          <w:rFonts w:ascii="Times New Roman" w:hAnsi="Times New Roman" w:cs="Times New Roman"/>
          <w:sz w:val="24"/>
          <w:szCs w:val="24"/>
        </w:rPr>
        <w:t xml:space="preserve">its </w:t>
      </w:r>
      <w:r w:rsidR="007C6236" w:rsidRPr="00C1694A">
        <w:rPr>
          <w:rFonts w:ascii="Times New Roman" w:hAnsi="Times New Roman" w:cs="Times New Roman"/>
          <w:sz w:val="24"/>
          <w:szCs w:val="24"/>
        </w:rPr>
        <w:t xml:space="preserve">Head Start center-based funded enrollment by August 1, 2021. Exceptions to these requirements may be granted through a simplified waiver process, </w:t>
      </w:r>
      <w:r w:rsidR="008468F8" w:rsidRPr="00C1694A">
        <w:rPr>
          <w:rFonts w:ascii="Times New Roman" w:hAnsi="Times New Roman" w:cs="Times New Roman"/>
          <w:sz w:val="24"/>
          <w:szCs w:val="24"/>
        </w:rPr>
        <w:t xml:space="preserve">described in </w:t>
      </w:r>
      <w:r w:rsidR="008468F8" w:rsidRPr="00C1694A">
        <w:rPr>
          <w:rFonts w:ascii="Times New Roman" w:eastAsia="MS Mincho" w:hAnsi="Times New Roman" w:cs="Times New Roman"/>
          <w:sz w:val="24"/>
          <w:szCs w:val="24"/>
        </w:rPr>
        <w:t>§</w:t>
      </w:r>
      <w:r w:rsidR="008468F8" w:rsidRPr="00C1694A">
        <w:rPr>
          <w:rFonts w:ascii="Times New Roman" w:hAnsi="Times New Roman" w:cs="Times New Roman"/>
          <w:sz w:val="24"/>
          <w:szCs w:val="24"/>
        </w:rPr>
        <w:t xml:space="preserve">1302.24 and </w:t>
      </w:r>
      <w:r w:rsidR="007C6236" w:rsidRPr="00C1694A">
        <w:rPr>
          <w:rFonts w:ascii="Times New Roman" w:hAnsi="Times New Roman" w:cs="Times New Roman"/>
          <w:sz w:val="24"/>
          <w:szCs w:val="24"/>
        </w:rPr>
        <w:t xml:space="preserve">discussed in further detail </w:t>
      </w:r>
      <w:r w:rsidR="008468F8" w:rsidRPr="00C1694A">
        <w:rPr>
          <w:rFonts w:ascii="Times New Roman" w:hAnsi="Times New Roman" w:cs="Times New Roman"/>
          <w:sz w:val="24"/>
          <w:szCs w:val="24"/>
        </w:rPr>
        <w:t xml:space="preserve">in that section </w:t>
      </w:r>
      <w:r w:rsidR="007C6236" w:rsidRPr="00C1694A">
        <w:rPr>
          <w:rFonts w:ascii="Times New Roman" w:hAnsi="Times New Roman" w:cs="Times New Roman"/>
          <w:sz w:val="24"/>
          <w:szCs w:val="24"/>
        </w:rPr>
        <w:t>below.</w:t>
      </w:r>
      <w:r w:rsidR="009D7EB0" w:rsidRPr="00C1694A">
        <w:rPr>
          <w:rFonts w:ascii="Times New Roman" w:hAnsi="Times New Roman" w:cs="Times New Roman"/>
          <w:sz w:val="24"/>
          <w:szCs w:val="24"/>
        </w:rPr>
        <w:t xml:space="preserve"> </w:t>
      </w:r>
      <w:r w:rsidR="007C6236" w:rsidRPr="00C1694A">
        <w:rPr>
          <w:rFonts w:ascii="Times New Roman" w:hAnsi="Times New Roman" w:cs="Times New Roman"/>
          <w:sz w:val="24"/>
          <w:szCs w:val="24"/>
        </w:rPr>
        <w:t>P</w:t>
      </w:r>
      <w:r w:rsidR="009D7EB0" w:rsidRPr="00C1694A">
        <w:rPr>
          <w:rFonts w:ascii="Times New Roman" w:hAnsi="Times New Roman" w:cs="Times New Roman"/>
          <w:sz w:val="24"/>
          <w:szCs w:val="24"/>
        </w:rPr>
        <w:t xml:space="preserve">aragraph (c)(2)(i) </w:t>
      </w:r>
      <w:r w:rsidR="007C6236" w:rsidRPr="00C1694A">
        <w:rPr>
          <w:rFonts w:ascii="Times New Roman" w:hAnsi="Times New Roman" w:cs="Times New Roman"/>
          <w:sz w:val="24"/>
          <w:szCs w:val="24"/>
        </w:rPr>
        <w:t>specifies</w:t>
      </w:r>
      <w:r w:rsidR="009D7EB0" w:rsidRPr="00C1694A">
        <w:rPr>
          <w:rFonts w:ascii="Times New Roman" w:hAnsi="Times New Roman" w:cs="Times New Roman"/>
          <w:sz w:val="24"/>
          <w:szCs w:val="24"/>
        </w:rPr>
        <w:t xml:space="preserve"> that</w:t>
      </w:r>
      <w:r w:rsidR="007C6236" w:rsidRPr="00C1694A">
        <w:rPr>
          <w:rFonts w:ascii="Times New Roman" w:hAnsi="Times New Roman" w:cs="Times New Roman"/>
          <w:sz w:val="24"/>
          <w:szCs w:val="24"/>
        </w:rPr>
        <w:t xml:space="preserve"> until the new requirement in paragraph (c)(2)(iv)</w:t>
      </w:r>
      <w:r w:rsidR="00372598" w:rsidRPr="00C1694A">
        <w:rPr>
          <w:rFonts w:ascii="Times New Roman" w:hAnsi="Times New Roman" w:cs="Times New Roman"/>
          <w:sz w:val="24"/>
          <w:szCs w:val="24"/>
        </w:rPr>
        <w:t xml:space="preserve"> or (v)</w:t>
      </w:r>
      <w:r w:rsidR="0004674F" w:rsidRPr="00C1694A">
        <w:rPr>
          <w:rFonts w:ascii="Times New Roman" w:hAnsi="Times New Roman" w:cs="Times New Roman"/>
          <w:sz w:val="24"/>
          <w:szCs w:val="24"/>
        </w:rPr>
        <w:t xml:space="preserve"> </w:t>
      </w:r>
      <w:r w:rsidR="007C6236" w:rsidRPr="00C1694A">
        <w:rPr>
          <w:rFonts w:ascii="Times New Roman" w:hAnsi="Times New Roman" w:cs="Times New Roman"/>
          <w:sz w:val="24"/>
          <w:szCs w:val="24"/>
        </w:rPr>
        <w:t>is</w:t>
      </w:r>
      <w:r w:rsidR="0004674F" w:rsidRPr="00C1694A">
        <w:rPr>
          <w:rFonts w:ascii="Times New Roman" w:hAnsi="Times New Roman" w:cs="Times New Roman"/>
          <w:sz w:val="24"/>
          <w:szCs w:val="24"/>
        </w:rPr>
        <w:t xml:space="preserve"> effective</w:t>
      </w:r>
      <w:r w:rsidR="009D7EB0" w:rsidRPr="00C1694A">
        <w:rPr>
          <w:rFonts w:ascii="Times New Roman" w:hAnsi="Times New Roman" w:cs="Times New Roman"/>
          <w:sz w:val="24"/>
          <w:szCs w:val="24"/>
        </w:rPr>
        <w:t xml:space="preserve">, programs that operate </w:t>
      </w:r>
      <w:r w:rsidR="003F121A" w:rsidRPr="00C1694A">
        <w:rPr>
          <w:rFonts w:ascii="Times New Roman" w:hAnsi="Times New Roman" w:cs="Times New Roman"/>
          <w:sz w:val="24"/>
          <w:szCs w:val="24"/>
        </w:rPr>
        <w:t>five</w:t>
      </w:r>
      <w:r w:rsidR="009D7EB0" w:rsidRPr="00C1694A">
        <w:rPr>
          <w:rFonts w:ascii="Times New Roman" w:hAnsi="Times New Roman" w:cs="Times New Roman"/>
          <w:sz w:val="24"/>
          <w:szCs w:val="24"/>
        </w:rPr>
        <w:t xml:space="preserve"> days per week must provide at least 160 days per year of planned class operations for a</w:t>
      </w:r>
      <w:r w:rsidR="007C6236" w:rsidRPr="00C1694A">
        <w:rPr>
          <w:rFonts w:ascii="Times New Roman" w:hAnsi="Times New Roman" w:cs="Times New Roman"/>
          <w:sz w:val="24"/>
          <w:szCs w:val="24"/>
        </w:rPr>
        <w:t xml:space="preserve"> minimum of 3.5 hours per day</w:t>
      </w:r>
      <w:r w:rsidR="00372598" w:rsidRPr="00C1694A">
        <w:rPr>
          <w:rFonts w:ascii="Times New Roman" w:hAnsi="Times New Roman" w:cs="Times New Roman"/>
          <w:sz w:val="24"/>
          <w:szCs w:val="24"/>
        </w:rPr>
        <w:t xml:space="preserve"> and p</w:t>
      </w:r>
      <w:r w:rsidR="009D7EB0" w:rsidRPr="00C1694A">
        <w:rPr>
          <w:rFonts w:ascii="Times New Roman" w:hAnsi="Times New Roman" w:cs="Times New Roman"/>
          <w:sz w:val="24"/>
          <w:szCs w:val="24"/>
        </w:rPr>
        <w:t xml:space="preserve">rograms that operate 4 days per week must provide at least 128 days per year of planned class operations for a minimum of 3.5 hours per day. In </w:t>
      </w:r>
      <w:r w:rsidR="000139A5" w:rsidRPr="00C1694A">
        <w:rPr>
          <w:rFonts w:ascii="Times New Roman" w:hAnsi="Times New Roman" w:cs="Times New Roman"/>
          <w:sz w:val="24"/>
          <w:szCs w:val="24"/>
        </w:rPr>
        <w:t xml:space="preserve">paragraph </w:t>
      </w:r>
      <w:r w:rsidR="009D7EB0" w:rsidRPr="00C1694A">
        <w:rPr>
          <w:rFonts w:ascii="Times New Roman" w:hAnsi="Times New Roman" w:cs="Times New Roman"/>
          <w:sz w:val="24"/>
          <w:szCs w:val="24"/>
        </w:rPr>
        <w:t xml:space="preserve">(c)(2)(ii) double session variations are </w:t>
      </w:r>
      <w:r w:rsidR="00372598" w:rsidRPr="00C1694A">
        <w:rPr>
          <w:rFonts w:ascii="Times New Roman" w:hAnsi="Times New Roman" w:cs="Times New Roman"/>
          <w:sz w:val="24"/>
          <w:szCs w:val="24"/>
        </w:rPr>
        <w:t xml:space="preserve">in effect </w:t>
      </w:r>
      <w:r w:rsidR="009D7EB0" w:rsidRPr="00C1694A">
        <w:rPr>
          <w:rFonts w:ascii="Times New Roman" w:hAnsi="Times New Roman" w:cs="Times New Roman"/>
          <w:sz w:val="24"/>
          <w:szCs w:val="24"/>
        </w:rPr>
        <w:t>permitted</w:t>
      </w:r>
      <w:r w:rsidR="007C6236" w:rsidRPr="00C1694A">
        <w:rPr>
          <w:rFonts w:ascii="Times New Roman" w:hAnsi="Times New Roman" w:cs="Times New Roman"/>
          <w:sz w:val="24"/>
          <w:szCs w:val="24"/>
        </w:rPr>
        <w:t xml:space="preserve"> until </w:t>
      </w:r>
      <w:r w:rsidR="00372598" w:rsidRPr="00C1694A">
        <w:rPr>
          <w:rFonts w:ascii="Times New Roman" w:hAnsi="Times New Roman" w:cs="Times New Roman"/>
          <w:sz w:val="24"/>
          <w:szCs w:val="24"/>
        </w:rPr>
        <w:t>July 31</w:t>
      </w:r>
      <w:r w:rsidR="007C6236" w:rsidRPr="00C1694A">
        <w:rPr>
          <w:rFonts w:ascii="Times New Roman" w:hAnsi="Times New Roman" w:cs="Times New Roman"/>
          <w:sz w:val="24"/>
          <w:szCs w:val="24"/>
        </w:rPr>
        <w:t>, 2021</w:t>
      </w:r>
      <w:r w:rsidR="00E86AD5" w:rsidRPr="00C1694A">
        <w:rPr>
          <w:rFonts w:ascii="Times New Roman" w:hAnsi="Times New Roman" w:cs="Times New Roman"/>
          <w:sz w:val="24"/>
          <w:szCs w:val="24"/>
        </w:rPr>
        <w:t>, which gives grantees operating double session slots ample time to plan for full implementation of the new duration standards</w:t>
      </w:r>
      <w:r w:rsidR="007C6236" w:rsidRPr="00C1694A">
        <w:rPr>
          <w:rFonts w:ascii="Times New Roman" w:hAnsi="Times New Roman" w:cs="Times New Roman"/>
          <w:sz w:val="24"/>
          <w:szCs w:val="24"/>
        </w:rPr>
        <w:t xml:space="preserve">. </w:t>
      </w:r>
      <w:r w:rsidR="00E86AD5" w:rsidRPr="00C1694A">
        <w:rPr>
          <w:rFonts w:ascii="Times New Roman" w:hAnsi="Times New Roman" w:cs="Times New Roman"/>
          <w:sz w:val="24"/>
          <w:szCs w:val="24"/>
        </w:rPr>
        <w:t xml:space="preserve"> Until this time, double session programs must operate for </w:t>
      </w:r>
      <w:r w:rsidR="001266D0" w:rsidRPr="00C1694A">
        <w:rPr>
          <w:rFonts w:ascii="Times New Roman" w:hAnsi="Times New Roman" w:cs="Times New Roman"/>
          <w:sz w:val="24"/>
          <w:szCs w:val="24"/>
        </w:rPr>
        <w:t>the same minimums described above</w:t>
      </w:r>
      <w:r w:rsidR="00205A98" w:rsidRPr="00C1694A">
        <w:rPr>
          <w:rFonts w:ascii="Times New Roman" w:hAnsi="Times New Roman" w:cs="Times New Roman"/>
          <w:sz w:val="24"/>
          <w:szCs w:val="24"/>
        </w:rPr>
        <w:t>.</w:t>
      </w:r>
      <w:r w:rsidR="007C6236" w:rsidRPr="00C1694A">
        <w:rPr>
          <w:rFonts w:ascii="Times New Roman" w:hAnsi="Times New Roman" w:cs="Times New Roman"/>
          <w:sz w:val="24"/>
          <w:szCs w:val="24"/>
        </w:rPr>
        <w:t xml:space="preserve">  The</w:t>
      </w:r>
      <w:r w:rsidR="001266D0" w:rsidRPr="00C1694A">
        <w:rPr>
          <w:rFonts w:ascii="Times New Roman" w:hAnsi="Times New Roman" w:cs="Times New Roman"/>
          <w:sz w:val="24"/>
          <w:szCs w:val="24"/>
        </w:rPr>
        <w:t>se</w:t>
      </w:r>
      <w:r w:rsidR="007C6236" w:rsidRPr="00C1694A">
        <w:rPr>
          <w:rFonts w:ascii="Times New Roman" w:hAnsi="Times New Roman" w:cs="Times New Roman"/>
          <w:sz w:val="24"/>
          <w:szCs w:val="24"/>
        </w:rPr>
        <w:t xml:space="preserve"> </w:t>
      </w:r>
      <w:r w:rsidR="009D7EB0" w:rsidRPr="00C1694A">
        <w:rPr>
          <w:rFonts w:ascii="Times New Roman" w:hAnsi="Times New Roman" w:cs="Times New Roman"/>
          <w:sz w:val="24"/>
          <w:szCs w:val="24"/>
        </w:rPr>
        <w:t>service duration minimums</w:t>
      </w:r>
      <w:r w:rsidR="007C6236" w:rsidRPr="00C1694A">
        <w:rPr>
          <w:rFonts w:ascii="Times New Roman" w:hAnsi="Times New Roman" w:cs="Times New Roman"/>
          <w:sz w:val="24"/>
          <w:szCs w:val="24"/>
        </w:rPr>
        <w:t xml:space="preserve"> in paragraphs (c)(2)(i) and (ii)</w:t>
      </w:r>
      <w:r w:rsidR="009D7EB0" w:rsidRPr="00C1694A">
        <w:rPr>
          <w:rFonts w:ascii="Times New Roman" w:hAnsi="Times New Roman" w:cs="Times New Roman"/>
          <w:sz w:val="24"/>
          <w:szCs w:val="24"/>
        </w:rPr>
        <w:t xml:space="preserve"> are consistent with </w:t>
      </w:r>
      <w:r w:rsidR="00C21B8F" w:rsidRPr="00C1694A">
        <w:rPr>
          <w:rFonts w:ascii="Times New Roman" w:hAnsi="Times New Roman" w:cs="Times New Roman"/>
          <w:sz w:val="24"/>
          <w:szCs w:val="24"/>
        </w:rPr>
        <w:t xml:space="preserve">the previous </w:t>
      </w:r>
      <w:r w:rsidR="007C6236" w:rsidRPr="00C1694A">
        <w:rPr>
          <w:rFonts w:ascii="Times New Roman" w:hAnsi="Times New Roman" w:cs="Times New Roman"/>
          <w:sz w:val="24"/>
          <w:szCs w:val="24"/>
        </w:rPr>
        <w:t>program performance standards</w:t>
      </w:r>
      <w:r w:rsidR="009D7EB0" w:rsidRPr="00C1694A">
        <w:rPr>
          <w:rFonts w:ascii="Times New Roman" w:hAnsi="Times New Roman" w:cs="Times New Roman"/>
          <w:sz w:val="24"/>
          <w:szCs w:val="24"/>
        </w:rPr>
        <w:t>.</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Paragraphs (c)(2)(iii) and (iv) set forth an incremental timeline and process for grantees to shift their programs to provide at least a full school day and a full school year of services to all preschoolers in center-based settings.  </w:t>
      </w:r>
      <w:r w:rsidR="007C6236" w:rsidRPr="00C1694A">
        <w:rPr>
          <w:rFonts w:ascii="Times New Roman" w:hAnsi="Times New Roman" w:cs="Times New Roman"/>
          <w:sz w:val="24"/>
          <w:szCs w:val="24"/>
        </w:rPr>
        <w:t>We made</w:t>
      </w:r>
      <w:r w:rsidRPr="00C1694A">
        <w:rPr>
          <w:rFonts w:ascii="Times New Roman" w:hAnsi="Times New Roman" w:cs="Times New Roman"/>
          <w:sz w:val="24"/>
          <w:szCs w:val="24"/>
        </w:rPr>
        <w:t xml:space="preserve"> this service duration requirement less burdensome by changing the requirement to a total of 1,020 hours annually, as opposed to a minimum number of days per year and hours per day as proposed in the NPRM.  This annual hours approach </w:t>
      </w:r>
      <w:r w:rsidR="007C6236" w:rsidRPr="00C1694A">
        <w:rPr>
          <w:rFonts w:ascii="Times New Roman" w:hAnsi="Times New Roman" w:cs="Times New Roman"/>
          <w:sz w:val="24"/>
          <w:szCs w:val="24"/>
        </w:rPr>
        <w:t xml:space="preserve">will allow more local flexibility and </w:t>
      </w:r>
      <w:r w:rsidRPr="00C1694A">
        <w:rPr>
          <w:rFonts w:ascii="Times New Roman" w:hAnsi="Times New Roman" w:cs="Times New Roman"/>
          <w:sz w:val="24"/>
          <w:szCs w:val="24"/>
        </w:rPr>
        <w:t xml:space="preserve">is consistent with how the majority of states set </w:t>
      </w:r>
      <w:r w:rsidR="007C6236" w:rsidRPr="00C1694A">
        <w:rPr>
          <w:rFonts w:ascii="Times New Roman" w:hAnsi="Times New Roman" w:cs="Times New Roman"/>
          <w:sz w:val="24"/>
          <w:szCs w:val="24"/>
        </w:rPr>
        <w:t xml:space="preserve">minimum </w:t>
      </w:r>
      <w:r w:rsidRPr="00C1694A">
        <w:rPr>
          <w:rFonts w:ascii="Times New Roman" w:hAnsi="Times New Roman" w:cs="Times New Roman"/>
          <w:sz w:val="24"/>
          <w:szCs w:val="24"/>
        </w:rPr>
        <w:t xml:space="preserve">requirements </w:t>
      </w:r>
      <w:r w:rsidR="007C6236" w:rsidRPr="00C1694A">
        <w:rPr>
          <w:rFonts w:ascii="Times New Roman" w:hAnsi="Times New Roman" w:cs="Times New Roman"/>
          <w:sz w:val="24"/>
          <w:szCs w:val="24"/>
        </w:rPr>
        <w:t xml:space="preserve">for how local education agencies set their </w:t>
      </w:r>
      <w:r w:rsidRPr="00C1694A">
        <w:rPr>
          <w:rFonts w:ascii="Times New Roman" w:hAnsi="Times New Roman" w:cs="Times New Roman"/>
          <w:sz w:val="24"/>
          <w:szCs w:val="24"/>
        </w:rPr>
        <w:t xml:space="preserve">calendars.  In Head Start, it will provide programs greater flexibility to design schedules that meet the unique needs of their communities while maintaining high standards for the amount of instructional time children receive.  As stated in </w:t>
      </w:r>
      <w:r w:rsidR="000139A5"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(c)(2)(iii), each grantee will have until August 1, 201</w:t>
      </w:r>
      <w:r w:rsidR="00CE745E" w:rsidRPr="00C1694A">
        <w:rPr>
          <w:rFonts w:ascii="Times New Roman" w:hAnsi="Times New Roman" w:cs="Times New Roman"/>
          <w:sz w:val="24"/>
          <w:szCs w:val="24"/>
        </w:rPr>
        <w:t>9</w:t>
      </w:r>
      <w:r w:rsidRPr="00C1694A">
        <w:rPr>
          <w:rFonts w:ascii="Times New Roman" w:hAnsi="Times New Roman" w:cs="Times New Roman"/>
          <w:sz w:val="24"/>
          <w:szCs w:val="24"/>
        </w:rPr>
        <w:t xml:space="preserve"> to provide at least 1,020 annual hours of planned class operations over the course of a minimum of 8 months to at least 50 percent of </w:t>
      </w:r>
      <w:r w:rsidR="00CE745E" w:rsidRPr="00C1694A">
        <w:rPr>
          <w:rFonts w:ascii="Times New Roman" w:hAnsi="Times New Roman" w:cs="Times New Roman"/>
          <w:sz w:val="24"/>
          <w:szCs w:val="24"/>
        </w:rPr>
        <w:t xml:space="preserve">its </w:t>
      </w:r>
      <w:r w:rsidRPr="00C1694A">
        <w:rPr>
          <w:rFonts w:ascii="Times New Roman" w:hAnsi="Times New Roman" w:cs="Times New Roman"/>
          <w:sz w:val="24"/>
          <w:szCs w:val="24"/>
        </w:rPr>
        <w:t>Head Start center-based funded enrollment.  As noted later, “hours of planned c</w:t>
      </w:r>
      <w:r w:rsidR="00405B4B" w:rsidRPr="00C1694A">
        <w:rPr>
          <w:rFonts w:ascii="Times New Roman" w:hAnsi="Times New Roman" w:cs="Times New Roman"/>
          <w:sz w:val="24"/>
          <w:szCs w:val="24"/>
        </w:rPr>
        <w:t>lass operations” is defined in p</w:t>
      </w:r>
      <w:r w:rsidRPr="00C1694A">
        <w:rPr>
          <w:rFonts w:ascii="Times New Roman" w:hAnsi="Times New Roman" w:cs="Times New Roman"/>
          <w:sz w:val="24"/>
          <w:szCs w:val="24"/>
        </w:rPr>
        <w:t xml:space="preserve">art 1305 to clarify </w:t>
      </w:r>
      <w:r w:rsidR="00652390" w:rsidRPr="00C1694A">
        <w:rPr>
          <w:rFonts w:ascii="Times New Roman" w:hAnsi="Times New Roman" w:cs="Times New Roman"/>
          <w:sz w:val="24"/>
          <w:szCs w:val="24"/>
        </w:rPr>
        <w:t xml:space="preserve">that only </w:t>
      </w:r>
      <w:r w:rsidR="00205A98" w:rsidRPr="00C1694A">
        <w:rPr>
          <w:rFonts w:ascii="Times New Roman" w:hAnsi="Times New Roman" w:cs="Times New Roman"/>
          <w:sz w:val="24"/>
          <w:szCs w:val="24"/>
        </w:rPr>
        <w:t xml:space="preserve">the </w:t>
      </w:r>
      <w:r w:rsidR="00652390" w:rsidRPr="00C1694A">
        <w:rPr>
          <w:rFonts w:ascii="Times New Roman" w:hAnsi="Times New Roman" w:cs="Times New Roman"/>
          <w:sz w:val="24"/>
          <w:szCs w:val="24"/>
        </w:rPr>
        <w:t>hours when children are scheduled to attend count</w:t>
      </w:r>
      <w:r w:rsidRPr="00C1694A">
        <w:rPr>
          <w:rFonts w:ascii="Times New Roman" w:hAnsi="Times New Roman" w:cs="Times New Roman"/>
          <w:sz w:val="24"/>
          <w:szCs w:val="24"/>
        </w:rPr>
        <w:t xml:space="preserve"> towards the 1,020 annual hours requirement.  Paragraph </w:t>
      </w:r>
      <w:r w:rsidR="007C6236" w:rsidRPr="00C1694A">
        <w:rPr>
          <w:rFonts w:ascii="Times New Roman" w:hAnsi="Times New Roman" w:cs="Times New Roman"/>
          <w:sz w:val="24"/>
          <w:szCs w:val="24"/>
        </w:rPr>
        <w:t>(</w:t>
      </w:r>
      <w:r w:rsidRPr="00C1694A">
        <w:rPr>
          <w:rFonts w:ascii="Times New Roman" w:hAnsi="Times New Roman" w:cs="Times New Roman"/>
          <w:sz w:val="24"/>
          <w:szCs w:val="24"/>
        </w:rPr>
        <w:t xml:space="preserve">c)(2)(iv) states that by August 1, 2021 programs must provide at least 1,020 annual hours of planned class operations over the course of at least 8 months for all of their Head Start center-based funded enrollment.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Programs may design a variety of different schedules within the minimum requirements that meet the specific needs of their families, communities, and staff.  For example, programs may choose to operate for </w:t>
      </w:r>
      <w:r w:rsidR="003F121A" w:rsidRPr="00C1694A">
        <w:rPr>
          <w:rFonts w:ascii="Times New Roman" w:hAnsi="Times New Roman" w:cs="Times New Roman"/>
          <w:sz w:val="24"/>
          <w:szCs w:val="24"/>
        </w:rPr>
        <w:t>four</w:t>
      </w:r>
      <w:r w:rsidRPr="00C1694A">
        <w:rPr>
          <w:rFonts w:ascii="Times New Roman" w:hAnsi="Times New Roman" w:cs="Times New Roman"/>
          <w:sz w:val="24"/>
          <w:szCs w:val="24"/>
        </w:rPr>
        <w:t xml:space="preserve"> or </w:t>
      </w:r>
      <w:r w:rsidR="003F121A" w:rsidRPr="00C1694A">
        <w:rPr>
          <w:rFonts w:ascii="Times New Roman" w:hAnsi="Times New Roman" w:cs="Times New Roman"/>
          <w:sz w:val="24"/>
          <w:szCs w:val="24"/>
        </w:rPr>
        <w:t>five</w:t>
      </w:r>
      <w:r w:rsidRPr="00C1694A">
        <w:rPr>
          <w:rFonts w:ascii="Times New Roman" w:hAnsi="Times New Roman" w:cs="Times New Roman"/>
          <w:sz w:val="24"/>
          <w:szCs w:val="24"/>
        </w:rPr>
        <w:t xml:space="preserve"> days a week for either an 8-month program year or year-round, depending on the length of the day they select, as long as they meet the 1,020 annual hour minimum.  This flexibility will allow programs to address many of the concerns that were raised in the comments, such as alignment of the summer break with the local education agency’s calendar, the availability of facilities, the continuation of partnerships</w:t>
      </w:r>
      <w:r w:rsidR="0004674F" w:rsidRPr="00C1694A">
        <w:rPr>
          <w:rFonts w:ascii="Times New Roman" w:hAnsi="Times New Roman" w:cs="Times New Roman"/>
          <w:sz w:val="24"/>
          <w:szCs w:val="24"/>
        </w:rPr>
        <w:t>, and state licensing requirements</w:t>
      </w:r>
      <w:r w:rsidRPr="00C1694A">
        <w:rPr>
          <w:rFonts w:ascii="Times New Roman" w:hAnsi="Times New Roman" w:cs="Times New Roman"/>
          <w:sz w:val="24"/>
          <w:szCs w:val="24"/>
        </w:rPr>
        <w:t xml:space="preserve">. </w:t>
      </w:r>
      <w:r w:rsidR="00652390" w:rsidRPr="00C1694A">
        <w:rPr>
          <w:rFonts w:ascii="Times New Roman" w:hAnsi="Times New Roman" w:cs="Times New Roman"/>
          <w:sz w:val="24"/>
          <w:szCs w:val="24"/>
        </w:rPr>
        <w:t>We</w:t>
      </w:r>
      <w:r w:rsidRPr="00C1694A">
        <w:rPr>
          <w:rFonts w:ascii="Times New Roman" w:hAnsi="Times New Roman" w:cs="Times New Roman"/>
          <w:sz w:val="24"/>
          <w:szCs w:val="24"/>
        </w:rPr>
        <w:t xml:space="preserve"> clarify </w:t>
      </w:r>
      <w:r w:rsidR="00652390" w:rsidRPr="00C1694A">
        <w:rPr>
          <w:rFonts w:ascii="Times New Roman" w:hAnsi="Times New Roman" w:cs="Times New Roman"/>
          <w:sz w:val="24"/>
          <w:szCs w:val="24"/>
        </w:rPr>
        <w:t xml:space="preserve">in §1302.20(d) </w:t>
      </w:r>
      <w:r w:rsidRPr="00C1694A">
        <w:rPr>
          <w:rFonts w:ascii="Times New Roman" w:hAnsi="Times New Roman" w:cs="Times New Roman"/>
          <w:sz w:val="24"/>
          <w:szCs w:val="24"/>
        </w:rPr>
        <w:t xml:space="preserve">that all hours of service that meet the program performance standards may be considered Head Start hours regardless of their source of funding.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believe the flexibility of the annual hours requirement will also allow programs to design schedules to minimize additional staff burden that would exacerbate challenges with attracting and retaining qualified staff.  There are a variety of successful Head Start models across the country where programs currently provide full school day and full school year services.  To address anticipated challenges, programs may choose to develop budgets that increase staff salaries to reflect the additional workload and to design innovative schedules that build adequate time for teacher planning and other activities into each week.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Although some commenters were concerned that instructional time would not increase under increased duration minimums due to time required for naps, meals, and transitions, we believe having the chance to nap during the Head Start day can be very beneficial to consolidate learning and improve overall health.</w:t>
      </w:r>
      <w:r w:rsidR="00150A23" w:rsidRPr="00C1694A">
        <w:rPr>
          <w:rStyle w:val="FootnoteReference"/>
          <w:rFonts w:ascii="Times New Roman" w:hAnsi="Times New Roman" w:cs="Times New Roman"/>
          <w:sz w:val="24"/>
          <w:szCs w:val="24"/>
        </w:rPr>
        <w:t xml:space="preserve"> </w:t>
      </w:r>
      <w:r w:rsidR="00150A23" w:rsidRPr="00C1694A">
        <w:rPr>
          <w:rStyle w:val="FootnoteReference"/>
          <w:rFonts w:ascii="Times New Roman" w:hAnsi="Times New Roman" w:cs="Times New Roman"/>
          <w:sz w:val="24"/>
          <w:szCs w:val="24"/>
        </w:rPr>
        <w:footnoteReference w:id="68"/>
      </w:r>
      <w:r w:rsidR="009D4549" w:rsidRPr="00C1694A">
        <w:rPr>
          <w:rFonts w:ascii="Times New Roman" w:hAnsi="Times New Roman" w:cs="Times New Roman"/>
          <w:sz w:val="24"/>
          <w:szCs w:val="24"/>
          <w:vertAlign w:val="superscript"/>
        </w:rPr>
        <w:t>,</w:t>
      </w:r>
      <w:r w:rsidR="009D4549" w:rsidRPr="00C1694A">
        <w:rPr>
          <w:rStyle w:val="FootnoteReference"/>
          <w:rFonts w:ascii="Times New Roman" w:hAnsi="Times New Roman" w:cs="Times New Roman"/>
          <w:sz w:val="24"/>
          <w:szCs w:val="24"/>
        </w:rPr>
        <w:footnoteReference w:id="69"/>
      </w:r>
      <w:r w:rsidR="009D4549" w:rsidRPr="00C1694A">
        <w:rPr>
          <w:rFonts w:ascii="Times New Roman" w:hAnsi="Times New Roman" w:cs="Times New Roman"/>
          <w:sz w:val="24"/>
          <w:szCs w:val="24"/>
          <w:vertAlign w:val="superscript"/>
        </w:rPr>
        <w:t>,</w:t>
      </w:r>
      <w:r w:rsidR="009D4549" w:rsidRPr="00C1694A">
        <w:rPr>
          <w:rStyle w:val="FootnoteReference"/>
          <w:rFonts w:ascii="Times New Roman" w:hAnsi="Times New Roman" w:cs="Times New Roman"/>
          <w:sz w:val="24"/>
          <w:szCs w:val="24"/>
        </w:rPr>
        <w:footnoteReference w:id="70"/>
      </w:r>
      <w:r w:rsidRPr="00C1694A">
        <w:rPr>
          <w:rFonts w:ascii="Times New Roman" w:hAnsi="Times New Roman" w:cs="Times New Roman"/>
          <w:sz w:val="24"/>
          <w:szCs w:val="24"/>
        </w:rPr>
        <w:t xml:space="preserve">  If a program feels their children would be best served by a day without a nap at Head Start, we </w:t>
      </w:r>
      <w:r w:rsidR="00F646D6" w:rsidRPr="00C1694A">
        <w:rPr>
          <w:rFonts w:ascii="Times New Roman" w:hAnsi="Times New Roman" w:cs="Times New Roman"/>
          <w:sz w:val="24"/>
          <w:szCs w:val="24"/>
        </w:rPr>
        <w:t>designed</w:t>
      </w:r>
      <w:r w:rsidRPr="00C1694A">
        <w:rPr>
          <w:rFonts w:ascii="Times New Roman" w:hAnsi="Times New Roman" w:cs="Times New Roman"/>
          <w:sz w:val="24"/>
          <w:szCs w:val="24"/>
        </w:rPr>
        <w:t xml:space="preserve"> a flexible enough requirement for programs to design a schedule that would not necessitate a nap </w:t>
      </w:r>
      <w:r w:rsidR="00652390" w:rsidRPr="00C1694A">
        <w:rPr>
          <w:rFonts w:ascii="Times New Roman" w:hAnsi="Times New Roman" w:cs="Times New Roman"/>
          <w:sz w:val="24"/>
          <w:szCs w:val="24"/>
        </w:rPr>
        <w:t xml:space="preserve">under </w:t>
      </w:r>
      <w:r w:rsidRPr="00C1694A">
        <w:rPr>
          <w:rFonts w:ascii="Times New Roman" w:hAnsi="Times New Roman" w:cs="Times New Roman"/>
          <w:sz w:val="24"/>
          <w:szCs w:val="24"/>
        </w:rPr>
        <w:t>state licensing requirements.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Some commenters believed parents do not want or need Head Start services for a longer program day and year.  If parents in a particular community truly do not want full school day or full school year services</w:t>
      </w:r>
      <w:r w:rsidR="00652390" w:rsidRPr="00C1694A">
        <w:rPr>
          <w:rFonts w:ascii="Times New Roman" w:hAnsi="Times New Roman" w:cs="Times New Roman"/>
          <w:sz w:val="24"/>
          <w:szCs w:val="24"/>
        </w:rPr>
        <w:t xml:space="preserve"> and a program can demonstrate its model effectively supports child learning</w:t>
      </w:r>
      <w:r w:rsidRPr="00C1694A">
        <w:rPr>
          <w:rFonts w:ascii="Times New Roman" w:hAnsi="Times New Roman" w:cs="Times New Roman"/>
          <w:sz w:val="24"/>
          <w:szCs w:val="24"/>
        </w:rPr>
        <w:t xml:space="preserve">, then the program can apply for a waiver in accordance with the requirements described in </w:t>
      </w:r>
      <w:r w:rsidR="00652390" w:rsidRPr="00C1694A">
        <w:rPr>
          <w:rFonts w:ascii="Times New Roman" w:hAnsi="Times New Roman" w:cs="Times New Roman"/>
          <w:sz w:val="24"/>
          <w:szCs w:val="24"/>
        </w:rPr>
        <w:t>§</w:t>
      </w:r>
      <w:r w:rsidRPr="00C1694A">
        <w:rPr>
          <w:rFonts w:ascii="Times New Roman" w:hAnsi="Times New Roman" w:cs="Times New Roman"/>
          <w:sz w:val="24"/>
          <w:szCs w:val="24"/>
        </w:rPr>
        <w:t xml:space="preserve">1302.24.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Paragraph (c)(3) provides the Secretary</w:t>
      </w:r>
      <w:r w:rsidR="00652390" w:rsidRPr="00C1694A">
        <w:rPr>
          <w:rFonts w:ascii="Times New Roman" w:hAnsi="Times New Roman" w:cs="Times New Roman"/>
          <w:sz w:val="24"/>
          <w:szCs w:val="24"/>
        </w:rPr>
        <w:t xml:space="preserve"> </w:t>
      </w:r>
      <w:r w:rsidRPr="00C1694A">
        <w:rPr>
          <w:rFonts w:ascii="Times New Roman" w:hAnsi="Times New Roman" w:cs="Times New Roman"/>
          <w:sz w:val="24"/>
          <w:szCs w:val="24"/>
        </w:rPr>
        <w:t>the discretion to lower the required percentage of funded enrollment slots for which grantees must offer 1,020 annual hours of planned class operations to the percentage the Secretary estimates available appropriations can support</w:t>
      </w:r>
      <w:r w:rsidR="00652390" w:rsidRPr="00C1694A">
        <w:rPr>
          <w:rFonts w:ascii="Times New Roman" w:hAnsi="Times New Roman" w:cs="Times New Roman"/>
          <w:sz w:val="24"/>
          <w:szCs w:val="24"/>
        </w:rPr>
        <w:t xml:space="preserve">. </w:t>
      </w:r>
      <w:r w:rsidRPr="00C1694A">
        <w:rPr>
          <w:rFonts w:ascii="Times New Roman" w:hAnsi="Times New Roman" w:cs="Times New Roman"/>
          <w:sz w:val="24"/>
          <w:szCs w:val="24"/>
        </w:rPr>
        <w:t>This provision will allow the Secretary the flexibility to balance the important policy goal of providing all preschoolers with a full school day and a full school year of services in Head Start with the disruption and potential slot loss such a policy might create in the absence of sufficient funding.</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response to concerns about service duration requirements disrupting partnerships with local education agencies, and to reduce burden on programs that would need to seek waivers in these types of situations, </w:t>
      </w:r>
      <w:r w:rsidR="008468F8" w:rsidRPr="00C1694A">
        <w:rPr>
          <w:rFonts w:ascii="Times New Roman" w:hAnsi="Times New Roman" w:cs="Times New Roman"/>
          <w:sz w:val="24"/>
          <w:szCs w:val="24"/>
        </w:rPr>
        <w:t>paragraph (c)(2)(v)</w:t>
      </w:r>
      <w:r w:rsidRPr="00C1694A">
        <w:rPr>
          <w:rFonts w:ascii="Times New Roman" w:hAnsi="Times New Roman" w:cs="Times New Roman"/>
          <w:sz w:val="24"/>
          <w:szCs w:val="24"/>
        </w:rPr>
        <w:t xml:space="preserve"> clarifies that a program providing fewer than 1,020 annual hours of planned class operations or fewer than 8 months of service will be considered to meet the service duration requirements if their program schedule aligns with the annual hours provided by their local education agency’s requirements for first grade and such alignment is necessary to support partnerships for service delivery.</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Additionally, commenters were concerned about the availability of adequate facilities to serve children for a full school day and a full school year.  Congress appropriated $294 million in fiscal year </w:t>
      </w:r>
      <w:r w:rsidR="00430796" w:rsidRPr="00C1694A">
        <w:rPr>
          <w:rFonts w:ascii="Times New Roman" w:hAnsi="Times New Roman" w:cs="Times New Roman"/>
          <w:sz w:val="24"/>
          <w:szCs w:val="24"/>
        </w:rPr>
        <w:t xml:space="preserve">(FY) </w:t>
      </w:r>
      <w:r w:rsidRPr="00C1694A">
        <w:rPr>
          <w:rFonts w:ascii="Times New Roman" w:hAnsi="Times New Roman" w:cs="Times New Roman"/>
          <w:sz w:val="24"/>
          <w:szCs w:val="24"/>
        </w:rPr>
        <w:t>2016 for grantees to increase service duration.  Our cost estimates included in the Regulatory Impact Analysis are for annual operating costs, and we anticipate that a portion of the first annual awards will be available for the purchase or renovation of facilities before programs begin serving children at the higher duration.  We also encourage programs to consider partnerships with school districts and child care centers to use existing facilities, which have proven to be successful models for many current Head Start and Early Head Start-Child Care Partnership grantees.</w:t>
      </w:r>
      <w:r w:rsidRPr="00C1694A">
        <w:rPr>
          <w:rFonts w:ascii="Times New Roman" w:hAnsi="Times New Roman" w:cs="Times New Roman"/>
          <w:sz w:val="24"/>
          <w:szCs w:val="24"/>
        </w:rPr>
        <w:tab/>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In addition to proposing to increase service duration for preschoolers, the NPRM proposed to codify long-standing interpretation </w:t>
      </w:r>
      <w:r w:rsidR="00652390" w:rsidRPr="00C1694A">
        <w:rPr>
          <w:rFonts w:ascii="Times New Roman" w:hAnsi="Times New Roman" w:cs="Times New Roman"/>
          <w:sz w:val="24"/>
          <w:szCs w:val="24"/>
        </w:rPr>
        <w:t>for Early Head Start in the</w:t>
      </w:r>
      <w:r w:rsidRPr="00C1694A">
        <w:rPr>
          <w:rFonts w:ascii="Times New Roman" w:hAnsi="Times New Roman" w:cs="Times New Roman"/>
          <w:sz w:val="24"/>
          <w:szCs w:val="24"/>
        </w:rPr>
        <w:t xml:space="preserve"> Act, which describes it as a “continuous” program.  </w:t>
      </w:r>
      <w:r w:rsidR="00652390" w:rsidRPr="00C1694A">
        <w:rPr>
          <w:rFonts w:ascii="Times New Roman" w:hAnsi="Times New Roman" w:cs="Times New Roman"/>
          <w:sz w:val="24"/>
          <w:szCs w:val="24"/>
        </w:rPr>
        <w:t>We</w:t>
      </w:r>
      <w:r w:rsidRPr="00C1694A">
        <w:rPr>
          <w:rFonts w:ascii="Times New Roman" w:hAnsi="Times New Roman" w:cs="Times New Roman"/>
          <w:sz w:val="24"/>
          <w:szCs w:val="24"/>
        </w:rPr>
        <w:t xml:space="preserve"> ha</w:t>
      </w:r>
      <w:r w:rsidR="00652390" w:rsidRPr="00C1694A">
        <w:rPr>
          <w:rFonts w:ascii="Times New Roman" w:hAnsi="Times New Roman" w:cs="Times New Roman"/>
          <w:sz w:val="24"/>
          <w:szCs w:val="24"/>
        </w:rPr>
        <w:t>ve</w:t>
      </w:r>
      <w:r w:rsidRPr="00C1694A">
        <w:rPr>
          <w:rFonts w:ascii="Times New Roman" w:hAnsi="Times New Roman" w:cs="Times New Roman"/>
          <w:sz w:val="24"/>
          <w:szCs w:val="24"/>
        </w:rPr>
        <w:t xml:space="preserve"> long interpreted this </w:t>
      </w:r>
      <w:r w:rsidR="00652390" w:rsidRPr="00C1694A">
        <w:rPr>
          <w:rFonts w:ascii="Times New Roman" w:hAnsi="Times New Roman" w:cs="Times New Roman"/>
          <w:sz w:val="24"/>
          <w:szCs w:val="24"/>
        </w:rPr>
        <w:t>t</w:t>
      </w:r>
      <w:r w:rsidR="006A39A4" w:rsidRPr="00C1694A">
        <w:rPr>
          <w:rFonts w:ascii="Times New Roman" w:hAnsi="Times New Roman" w:cs="Times New Roman"/>
          <w:sz w:val="24"/>
          <w:szCs w:val="24"/>
        </w:rPr>
        <w:t>o mean a minimum of a</w:t>
      </w:r>
      <w:r w:rsidRPr="00C1694A">
        <w:rPr>
          <w:rFonts w:ascii="Times New Roman" w:hAnsi="Times New Roman" w:cs="Times New Roman"/>
          <w:sz w:val="24"/>
          <w:szCs w:val="24"/>
        </w:rPr>
        <w:t xml:space="preserve"> full school day and full-year </w:t>
      </w:r>
      <w:r w:rsidR="006A39A4" w:rsidRPr="00C1694A">
        <w:rPr>
          <w:rFonts w:ascii="Times New Roman" w:hAnsi="Times New Roman" w:cs="Times New Roman"/>
          <w:sz w:val="24"/>
          <w:szCs w:val="24"/>
        </w:rPr>
        <w:t xml:space="preserve">of </w:t>
      </w:r>
      <w:r w:rsidRPr="00C1694A">
        <w:rPr>
          <w:rFonts w:ascii="Times New Roman" w:hAnsi="Times New Roman" w:cs="Times New Roman"/>
          <w:sz w:val="24"/>
          <w:szCs w:val="24"/>
        </w:rPr>
        <w:t xml:space="preserve">services for infants and toddlers, and defined this in the NPRM as a minimum of 230 days of service per year for a minimum of 6 hours per day.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wrote in support of the proposal.  Others expressed concerns or opposed the proposal for multiple reasons, including concern about a long day for infants, parents would not </w:t>
      </w:r>
      <w:r w:rsidR="00BB4705" w:rsidRPr="00C1694A">
        <w:rPr>
          <w:rFonts w:ascii="Times New Roman" w:hAnsi="Times New Roman" w:cs="Times New Roman"/>
          <w:sz w:val="24"/>
          <w:szCs w:val="24"/>
        </w:rPr>
        <w:t xml:space="preserve">want </w:t>
      </w:r>
      <w:r w:rsidRPr="00C1694A">
        <w:rPr>
          <w:rFonts w:ascii="Times New Roman" w:hAnsi="Times New Roman" w:cs="Times New Roman"/>
          <w:sz w:val="24"/>
          <w:szCs w:val="24"/>
        </w:rPr>
        <w:t>services for this long, and program quality would decrease because teachers would have less preparation and professional development time.  Some commenters suggested slightly lower minimums, using annual hours or weeks instead of number of days, and/or recommended changing the requirement to allow time for activities like professional development, parent-teacher conferences, and holidays.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We believe it is important to retain the continuous service model for Early Head Start that has existed since the program’s inception.  However, to provide greater local flexibility and alignment with the policy decision made for Head Start preschoolers, </w:t>
      </w:r>
      <w:r w:rsidR="006A39A4" w:rsidRPr="00C1694A">
        <w:rPr>
          <w:rFonts w:ascii="Times New Roman" w:hAnsi="Times New Roman" w:cs="Times New Roman"/>
          <w:sz w:val="24"/>
          <w:szCs w:val="24"/>
        </w:rPr>
        <w:t>w</w:t>
      </w:r>
      <w:r w:rsidRPr="00C1694A">
        <w:rPr>
          <w:rFonts w:ascii="Times New Roman" w:hAnsi="Times New Roman" w:cs="Times New Roman"/>
          <w:sz w:val="24"/>
          <w:szCs w:val="24"/>
        </w:rPr>
        <w:t xml:space="preserve">e changed the NPRM requirement </w:t>
      </w:r>
      <w:r w:rsidR="006A39A4" w:rsidRPr="00C1694A">
        <w:rPr>
          <w:rFonts w:ascii="Times New Roman" w:hAnsi="Times New Roman" w:cs="Times New Roman"/>
          <w:sz w:val="24"/>
          <w:szCs w:val="24"/>
        </w:rPr>
        <w:t>from</w:t>
      </w:r>
      <w:r w:rsidRPr="00C1694A">
        <w:rPr>
          <w:rFonts w:ascii="Times New Roman" w:hAnsi="Times New Roman" w:cs="Times New Roman"/>
          <w:sz w:val="24"/>
          <w:szCs w:val="24"/>
        </w:rPr>
        <w:t xml:space="preserve"> a minimum number of hours per day and days per year to a total number of annual hours of planned class operations.  This requirement of 1,380 annual hours can be found in </w:t>
      </w:r>
      <w:r w:rsidR="000139A5"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(c)(1)</w:t>
      </w:r>
      <w:r w:rsidR="006233F8" w:rsidRPr="00C1694A">
        <w:rPr>
          <w:rFonts w:ascii="Times New Roman" w:hAnsi="Times New Roman" w:cs="Times New Roman"/>
          <w:sz w:val="24"/>
          <w:szCs w:val="24"/>
        </w:rPr>
        <w:t xml:space="preserve"> and must be met by August 1, 2018</w:t>
      </w:r>
      <w:r w:rsidRPr="00C1694A">
        <w:rPr>
          <w:rFonts w:ascii="Times New Roman" w:hAnsi="Times New Roman" w:cs="Times New Roman"/>
          <w:sz w:val="24"/>
          <w:szCs w:val="24"/>
        </w:rPr>
        <w:t xml:space="preserve">.  </w:t>
      </w:r>
      <w:r w:rsidR="00652351" w:rsidRPr="00C1694A">
        <w:rPr>
          <w:rFonts w:ascii="Times New Roman" w:hAnsi="Times New Roman" w:cs="Times New Roman"/>
          <w:sz w:val="24"/>
          <w:szCs w:val="24"/>
        </w:rPr>
        <w:t>Based on our latest data,</w:t>
      </w:r>
      <w:r w:rsidR="008468F8" w:rsidRPr="00C1694A">
        <w:rPr>
          <w:rStyle w:val="FootnoteReference"/>
          <w:rFonts w:ascii="Times New Roman" w:hAnsi="Times New Roman" w:cs="Times New Roman"/>
          <w:sz w:val="24"/>
          <w:szCs w:val="24"/>
        </w:rPr>
        <w:footnoteReference w:id="71"/>
      </w:r>
      <w:r w:rsidR="00652351" w:rsidRPr="00C1694A">
        <w:rPr>
          <w:rFonts w:ascii="Times New Roman" w:hAnsi="Times New Roman" w:cs="Times New Roman"/>
          <w:sz w:val="24"/>
          <w:szCs w:val="24"/>
        </w:rPr>
        <w:t xml:space="preserve"> approximately three-quarters of children attending Early Head Start center-based programs already receive services for 1,380 hours.</w:t>
      </w:r>
      <w:r w:rsidR="008468F8" w:rsidRPr="00C1694A">
        <w:rPr>
          <w:rFonts w:ascii="Times New Roman" w:hAnsi="Times New Roman" w:cs="Times New Roman"/>
          <w:sz w:val="24"/>
          <w:szCs w:val="24"/>
        </w:rPr>
        <w:t xml:space="preserve">  In paragraph (c)(1)(ii), we also </w:t>
      </w:r>
      <w:r w:rsidR="00E86AD5" w:rsidRPr="00C1694A">
        <w:rPr>
          <w:rFonts w:ascii="Times New Roman" w:hAnsi="Times New Roman" w:cs="Times New Roman"/>
          <w:sz w:val="24"/>
          <w:szCs w:val="24"/>
        </w:rPr>
        <w:t xml:space="preserve">consider </w:t>
      </w:r>
      <w:r w:rsidR="008468F8" w:rsidRPr="00C1694A">
        <w:rPr>
          <w:rFonts w:ascii="Times New Roman" w:hAnsi="Times New Roman" w:cs="Times New Roman"/>
          <w:sz w:val="24"/>
          <w:szCs w:val="24"/>
        </w:rPr>
        <w:t>Early Head Start center-based programs</w:t>
      </w:r>
      <w:r w:rsidR="006233F8" w:rsidRPr="00C1694A">
        <w:rPr>
          <w:rFonts w:ascii="Times New Roman" w:hAnsi="Times New Roman" w:cs="Times New Roman"/>
          <w:sz w:val="24"/>
          <w:szCs w:val="24"/>
        </w:rPr>
        <w:t xml:space="preserve"> that are designed to meet the needs of young parents enrolled in public school settings</w:t>
      </w:r>
      <w:r w:rsidR="008468F8" w:rsidRPr="00C1694A">
        <w:rPr>
          <w:rFonts w:ascii="Times New Roman" w:hAnsi="Times New Roman" w:cs="Times New Roman"/>
          <w:sz w:val="24"/>
          <w:szCs w:val="24"/>
        </w:rPr>
        <w:t xml:space="preserve"> to meet the annual hours requirement if </w:t>
      </w:r>
      <w:r w:rsidR="00E86AD5" w:rsidRPr="00C1694A">
        <w:rPr>
          <w:rFonts w:ascii="Times New Roman" w:hAnsi="Times New Roman" w:cs="Times New Roman"/>
          <w:sz w:val="24"/>
          <w:szCs w:val="24"/>
        </w:rPr>
        <w:t xml:space="preserve">their program schedule aligns with the schedule of their </w:t>
      </w:r>
      <w:r w:rsidR="00E45E2A">
        <w:rPr>
          <w:rFonts w:ascii="Times New Roman" w:hAnsi="Times New Roman" w:cs="Times New Roman"/>
          <w:sz w:val="24"/>
          <w:szCs w:val="24"/>
        </w:rPr>
        <w:t>local education agency</w:t>
      </w:r>
      <w:r w:rsidR="00E45E2A" w:rsidRPr="00C1694A">
        <w:rPr>
          <w:rFonts w:ascii="Times New Roman" w:hAnsi="Times New Roman" w:cs="Times New Roman"/>
          <w:sz w:val="24"/>
          <w:szCs w:val="24"/>
        </w:rPr>
        <w:t xml:space="preserve"> </w:t>
      </w:r>
      <w:r w:rsidR="00E45E2A">
        <w:rPr>
          <w:rFonts w:ascii="Times New Roman" w:hAnsi="Times New Roman" w:cs="Times New Roman"/>
          <w:sz w:val="24"/>
          <w:szCs w:val="24"/>
        </w:rPr>
        <w:t>(</w:t>
      </w:r>
      <w:r w:rsidR="00E86AD5" w:rsidRPr="00C1694A">
        <w:rPr>
          <w:rFonts w:ascii="Times New Roman" w:hAnsi="Times New Roman" w:cs="Times New Roman"/>
          <w:sz w:val="24"/>
          <w:szCs w:val="24"/>
        </w:rPr>
        <w:t>LEA</w:t>
      </w:r>
      <w:r w:rsidR="00E45E2A">
        <w:rPr>
          <w:rFonts w:ascii="Times New Roman" w:hAnsi="Times New Roman" w:cs="Times New Roman"/>
          <w:sz w:val="24"/>
          <w:szCs w:val="24"/>
        </w:rPr>
        <w:t>)</w:t>
      </w:r>
      <w:r w:rsidR="00E86AD5" w:rsidRPr="00C1694A">
        <w:rPr>
          <w:rFonts w:ascii="Times New Roman" w:hAnsi="Times New Roman" w:cs="Times New Roman"/>
          <w:sz w:val="24"/>
          <w:szCs w:val="24"/>
        </w:rPr>
        <w:t>, and</w:t>
      </w:r>
      <w:r w:rsidR="008468F8" w:rsidRPr="00C1694A">
        <w:rPr>
          <w:rFonts w:ascii="Times New Roman" w:hAnsi="Times New Roman" w:cs="Times New Roman"/>
          <w:sz w:val="24"/>
          <w:szCs w:val="24"/>
        </w:rPr>
        <w:t xml:space="preserve"> </w:t>
      </w:r>
      <w:r w:rsidR="00E86AD5" w:rsidRPr="00C1694A">
        <w:rPr>
          <w:rFonts w:ascii="Times New Roman" w:hAnsi="Times New Roman" w:cs="Times New Roman"/>
          <w:sz w:val="24"/>
          <w:szCs w:val="24"/>
        </w:rPr>
        <w:t xml:space="preserve">they </w:t>
      </w:r>
      <w:r w:rsidR="008468F8" w:rsidRPr="00C1694A">
        <w:rPr>
          <w:rFonts w:ascii="Times New Roman" w:hAnsi="Times New Roman" w:cs="Times New Roman"/>
          <w:sz w:val="24"/>
          <w:szCs w:val="24"/>
        </w:rPr>
        <w:t>provide regular home-based services over the summer break.  This specifically supports the innovative models local programs develop to support teen parents and their children.</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ED7C06"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requested clarification on the definition of days (or hours) of planned class operation and whether it would include activities such as professional development, transportation time, and other types of activities or emergencies. </w:t>
      </w:r>
      <w:r w:rsidR="00ED7C0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that the required duration be inclusive of these types of activities. Some commenters were also confused about the definition of “full year” services, interpreting the requirement as a full calendar year without a summer break. Others were unclear about whether programs would still be allowed to operate 4 days per we</w:t>
      </w:r>
      <w:r w:rsidR="006A39A4" w:rsidRPr="00C1694A">
        <w:rPr>
          <w:rFonts w:ascii="Times New Roman" w:hAnsi="Times New Roman" w:cs="Times New Roman"/>
          <w:sz w:val="24"/>
          <w:szCs w:val="24"/>
        </w:rPr>
        <w:t>ek under the increased minimums</w:t>
      </w:r>
      <w:r w:rsidRPr="00C1694A">
        <w:rPr>
          <w:rFonts w:ascii="Times New Roman" w:hAnsi="Times New Roman" w:cs="Times New Roman"/>
          <w:sz w:val="24"/>
          <w:szCs w:val="24"/>
        </w:rPr>
        <w:t>.</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As noted above, we added a definition to</w:t>
      </w:r>
      <w:r w:rsidR="001C0EF8" w:rsidRPr="00C1694A">
        <w:rPr>
          <w:rFonts w:ascii="Times New Roman" w:hAnsi="Times New Roman" w:cs="Times New Roman"/>
          <w:sz w:val="24"/>
          <w:szCs w:val="24"/>
        </w:rPr>
        <w:t xml:space="preserve"> part </w:t>
      </w:r>
      <w:r w:rsidRPr="00C1694A">
        <w:rPr>
          <w:rFonts w:ascii="Times New Roman" w:hAnsi="Times New Roman" w:cs="Times New Roman"/>
          <w:sz w:val="24"/>
          <w:szCs w:val="24"/>
        </w:rPr>
        <w:t xml:space="preserve">1305 for “hours of planned class operations” to clarify that these are hours when children are scheduled to attend and to specify what activities are and are not included in this calculation.  </w:t>
      </w:r>
      <w:r w:rsidR="006A3D0D" w:rsidRPr="00C1694A">
        <w:rPr>
          <w:rFonts w:ascii="Times New Roman" w:hAnsi="Times New Roman" w:cs="Times New Roman"/>
          <w:sz w:val="24"/>
          <w:szCs w:val="24"/>
        </w:rPr>
        <w:t xml:space="preserve">Activities such </w:t>
      </w:r>
      <w:r w:rsidR="00A56DA3" w:rsidRPr="00C1694A">
        <w:rPr>
          <w:rFonts w:ascii="Times New Roman" w:hAnsi="Times New Roman" w:cs="Times New Roman"/>
          <w:sz w:val="24"/>
          <w:szCs w:val="24"/>
        </w:rPr>
        <w:t>a</w:t>
      </w:r>
      <w:r w:rsidR="006A3D0D" w:rsidRPr="00C1694A">
        <w:rPr>
          <w:rFonts w:ascii="Times New Roman" w:hAnsi="Times New Roman" w:cs="Times New Roman"/>
          <w:sz w:val="24"/>
          <w:szCs w:val="24"/>
        </w:rPr>
        <w:t>s</w:t>
      </w:r>
      <w:r w:rsidR="00A56DA3" w:rsidRPr="00C1694A">
        <w:rPr>
          <w:rFonts w:ascii="Times New Roman" w:hAnsi="Times New Roman" w:cs="Times New Roman"/>
          <w:sz w:val="24"/>
          <w:szCs w:val="24"/>
        </w:rPr>
        <w:t xml:space="preserve"> p</w:t>
      </w:r>
      <w:r w:rsidRPr="00C1694A">
        <w:rPr>
          <w:rFonts w:ascii="Times New Roman" w:hAnsi="Times New Roman" w:cs="Times New Roman"/>
          <w:sz w:val="24"/>
          <w:szCs w:val="24"/>
        </w:rPr>
        <w:t>rofessional development, teacher planning, parent-teacher conferences, classroom sanitation, and transportation do not count toward the hours of planned class operations.  Programs can choose to structure their calenda</w:t>
      </w:r>
      <w:r w:rsidR="000B2538" w:rsidRPr="00C1694A">
        <w:rPr>
          <w:rFonts w:ascii="Times New Roman" w:hAnsi="Times New Roman" w:cs="Times New Roman"/>
          <w:sz w:val="24"/>
          <w:szCs w:val="24"/>
        </w:rPr>
        <w:t>r year to include a summer, holiday, and other breaks to be responsive to their community’s cultural traditions and family needs</w:t>
      </w:r>
      <w:r w:rsidRPr="00C1694A">
        <w:rPr>
          <w:rFonts w:ascii="Times New Roman" w:hAnsi="Times New Roman" w:cs="Times New Roman"/>
          <w:sz w:val="24"/>
          <w:szCs w:val="24"/>
        </w:rPr>
        <w:t xml:space="preserve"> </w:t>
      </w:r>
      <w:r w:rsidR="000B2538" w:rsidRPr="00C1694A">
        <w:rPr>
          <w:rFonts w:ascii="Times New Roman" w:hAnsi="Times New Roman" w:cs="Times New Roman"/>
          <w:sz w:val="24"/>
          <w:szCs w:val="24"/>
        </w:rPr>
        <w:t>while still meeting</w:t>
      </w:r>
      <w:r w:rsidRPr="00C1694A">
        <w:rPr>
          <w:rFonts w:ascii="Times New Roman" w:hAnsi="Times New Roman" w:cs="Times New Roman"/>
          <w:sz w:val="24"/>
          <w:szCs w:val="24"/>
        </w:rPr>
        <w:t xml:space="preserve"> the minimum service duration requirements described in </w:t>
      </w:r>
      <w:r w:rsidR="000139A5"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(c).  Similarly, programs can choose to operate 4 days per week as long as they meet the service duration minimums. We made additional minor changes to the calendar planning provisions in </w:t>
      </w:r>
      <w:r w:rsidR="000139A5"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(c)(5) to further simplify and clarify the process.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wrote in response to the proposed teacher</w:t>
      </w:r>
      <w:r w:rsidR="00A56DA3" w:rsidRPr="00C1694A">
        <w:rPr>
          <w:rFonts w:ascii="Times New Roman" w:hAnsi="Times New Roman" w:cs="Times New Roman"/>
          <w:sz w:val="24"/>
          <w:szCs w:val="24"/>
        </w:rPr>
        <w:t>:</w:t>
      </w:r>
      <w:r w:rsidRPr="00C1694A">
        <w:rPr>
          <w:rFonts w:ascii="Times New Roman" w:hAnsi="Times New Roman" w:cs="Times New Roman"/>
          <w:sz w:val="24"/>
          <w:szCs w:val="24"/>
        </w:rPr>
        <w:t xml:space="preserve">child ratios and </w:t>
      </w:r>
      <w:r w:rsidR="002450D3" w:rsidRPr="00C1694A">
        <w:rPr>
          <w:rFonts w:ascii="Times New Roman" w:hAnsi="Times New Roman" w:cs="Times New Roman"/>
          <w:sz w:val="24"/>
          <w:szCs w:val="24"/>
        </w:rPr>
        <w:t>group</w:t>
      </w:r>
      <w:r w:rsidRPr="00C1694A">
        <w:rPr>
          <w:rFonts w:ascii="Times New Roman" w:hAnsi="Times New Roman" w:cs="Times New Roman"/>
          <w:sz w:val="24"/>
          <w:szCs w:val="24"/>
        </w:rPr>
        <w:t xml:space="preserve"> size for the center-based option described in </w:t>
      </w:r>
      <w:r w:rsidR="000139A5" w:rsidRPr="00C1694A">
        <w:rPr>
          <w:rFonts w:ascii="Times New Roman" w:hAnsi="Times New Roman" w:cs="Times New Roman"/>
          <w:sz w:val="24"/>
          <w:szCs w:val="24"/>
        </w:rPr>
        <w:t>this section</w:t>
      </w:r>
      <w:r w:rsidRPr="00C1694A">
        <w:rPr>
          <w:rFonts w:ascii="Times New Roman" w:hAnsi="Times New Roman" w:cs="Times New Roman"/>
          <w:sz w:val="24"/>
          <w:szCs w:val="24"/>
        </w:rPr>
        <w:t xml:space="preserve">.  Some commended the proposal for maintaining strong ratios and </w:t>
      </w:r>
      <w:r w:rsidR="002450D3" w:rsidRPr="00C1694A">
        <w:rPr>
          <w:rFonts w:ascii="Times New Roman" w:hAnsi="Times New Roman" w:cs="Times New Roman"/>
          <w:sz w:val="24"/>
          <w:szCs w:val="24"/>
        </w:rPr>
        <w:t>group</w:t>
      </w:r>
      <w:r w:rsidRPr="00C1694A">
        <w:rPr>
          <w:rFonts w:ascii="Times New Roman" w:hAnsi="Times New Roman" w:cs="Times New Roman"/>
          <w:sz w:val="24"/>
          <w:szCs w:val="24"/>
        </w:rPr>
        <w:t xml:space="preserve"> size because it demonstrate</w:t>
      </w:r>
      <w:r w:rsidR="00A56DA3" w:rsidRPr="00C1694A">
        <w:rPr>
          <w:rFonts w:ascii="Times New Roman" w:hAnsi="Times New Roman" w:cs="Times New Roman"/>
          <w:sz w:val="24"/>
          <w:szCs w:val="24"/>
        </w:rPr>
        <w:t>d</w:t>
      </w:r>
      <w:r w:rsidRPr="00C1694A">
        <w:rPr>
          <w:rFonts w:ascii="Times New Roman" w:hAnsi="Times New Roman" w:cs="Times New Roman"/>
          <w:sz w:val="24"/>
          <w:szCs w:val="24"/>
        </w:rPr>
        <w:t xml:space="preserve"> commitment to quality and allow</w:t>
      </w:r>
      <w:r w:rsidR="00A56DA3" w:rsidRPr="00C1694A">
        <w:rPr>
          <w:rFonts w:ascii="Times New Roman" w:hAnsi="Times New Roman" w:cs="Times New Roman"/>
          <w:sz w:val="24"/>
          <w:szCs w:val="24"/>
        </w:rPr>
        <w:t>ed</w:t>
      </w:r>
      <w:r w:rsidRPr="00C1694A">
        <w:rPr>
          <w:rFonts w:ascii="Times New Roman" w:hAnsi="Times New Roman" w:cs="Times New Roman"/>
          <w:sz w:val="24"/>
          <w:szCs w:val="24"/>
        </w:rPr>
        <w:t xml:space="preserve"> individualization and good classroom management.  Others expressed concern that the ratios were too high for all ages and should be lowered.  Others recommended greater flexibility.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requested more flexibility to set ratios for infants that would still meet high standards but align with their state licensing requirements.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asked for clarification or flexibility on ratios during naptime</w:t>
      </w:r>
      <w:r w:rsidR="00430796" w:rsidRPr="00C1694A">
        <w:rPr>
          <w:rFonts w:ascii="Times New Roman" w:hAnsi="Times New Roman" w:cs="Times New Roman"/>
          <w:sz w:val="24"/>
          <w:szCs w:val="24"/>
        </w:rPr>
        <w:t xml:space="preserve"> and other program hours.  For example, some were</w:t>
      </w:r>
      <w:r w:rsidRPr="00C1694A">
        <w:rPr>
          <w:rFonts w:ascii="Times New Roman" w:hAnsi="Times New Roman" w:cs="Times New Roman"/>
          <w:sz w:val="24"/>
          <w:szCs w:val="24"/>
        </w:rPr>
        <w:t xml:space="preserve"> specifically concerned about or seeking flexibility to allow ratios to be met by persons other than teachers.  </w:t>
      </w:r>
      <w:r w:rsidR="001B14AF" w:rsidRPr="00C1694A">
        <w:rPr>
          <w:rFonts w:ascii="Times New Roman" w:hAnsi="Times New Roman" w:cs="Times New Roman"/>
          <w:sz w:val="24"/>
          <w:szCs w:val="24"/>
        </w:rPr>
        <w:t xml:space="preserve">Some commenters were confused about whether class size and group size had the same meaning. </w:t>
      </w:r>
      <w:r w:rsidRPr="00C1694A">
        <w:rPr>
          <w:rFonts w:ascii="Times New Roman" w:hAnsi="Times New Roman" w:cs="Times New Roman"/>
          <w:sz w:val="24"/>
          <w:szCs w:val="24"/>
        </w:rPr>
        <w:t xml:space="preserve">We received comments both in support of and against our proposal for how programs should determine the age of the majority of children in a class to set ratios and </w:t>
      </w:r>
      <w:r w:rsidR="002450D3" w:rsidRPr="00C1694A">
        <w:rPr>
          <w:rFonts w:ascii="Times New Roman" w:hAnsi="Times New Roman" w:cs="Times New Roman"/>
          <w:sz w:val="24"/>
          <w:szCs w:val="24"/>
        </w:rPr>
        <w:t>group</w:t>
      </w:r>
      <w:r w:rsidRPr="00C1694A">
        <w:rPr>
          <w:rFonts w:ascii="Times New Roman" w:hAnsi="Times New Roman" w:cs="Times New Roman"/>
          <w:sz w:val="24"/>
          <w:szCs w:val="24"/>
        </w:rPr>
        <w:t xml:space="preserve"> size.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We believe this provision allows for the right balance of flexibility while also recognizing the importance of continuity of care.  However, in </w:t>
      </w:r>
      <w:r w:rsidR="000139A5"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(b)(2), we added new regulatory language to allow a </w:t>
      </w:r>
      <w:r w:rsidR="002450D3" w:rsidRPr="00C1694A">
        <w:rPr>
          <w:rFonts w:ascii="Times New Roman" w:hAnsi="Times New Roman" w:cs="Times New Roman"/>
          <w:sz w:val="24"/>
          <w:szCs w:val="24"/>
        </w:rPr>
        <w:t>group</w:t>
      </w:r>
      <w:r w:rsidRPr="00C1694A">
        <w:rPr>
          <w:rFonts w:ascii="Times New Roman" w:hAnsi="Times New Roman" w:cs="Times New Roman"/>
          <w:sz w:val="24"/>
          <w:szCs w:val="24"/>
        </w:rPr>
        <w:t xml:space="preserve"> size of </w:t>
      </w:r>
      <w:r w:rsidR="00CE745E" w:rsidRPr="00C1694A">
        <w:rPr>
          <w:rFonts w:ascii="Times New Roman" w:hAnsi="Times New Roman" w:cs="Times New Roman"/>
          <w:sz w:val="24"/>
          <w:szCs w:val="24"/>
        </w:rPr>
        <w:t>nine</w:t>
      </w:r>
      <w:r w:rsidRPr="00C1694A">
        <w:rPr>
          <w:rFonts w:ascii="Times New Roman" w:hAnsi="Times New Roman" w:cs="Times New Roman"/>
          <w:sz w:val="24"/>
          <w:szCs w:val="24"/>
        </w:rPr>
        <w:t xml:space="preserve"> without needing a waiver for infant and toddler class</w:t>
      </w:r>
      <w:r w:rsidR="002450D3" w:rsidRPr="00C1694A">
        <w:rPr>
          <w:rFonts w:ascii="Times New Roman" w:hAnsi="Times New Roman" w:cs="Times New Roman"/>
          <w:sz w:val="24"/>
          <w:szCs w:val="24"/>
        </w:rPr>
        <w:t>e</w:t>
      </w:r>
      <w:r w:rsidRPr="00C1694A">
        <w:rPr>
          <w:rFonts w:ascii="Times New Roman" w:hAnsi="Times New Roman" w:cs="Times New Roman"/>
          <w:sz w:val="24"/>
          <w:szCs w:val="24"/>
        </w:rPr>
        <w:t xml:space="preserve">s when the teacher to child ratio is 1:3 or lower.  In </w:t>
      </w:r>
      <w:r w:rsidR="000139A5"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(b)(1)(i)</w:t>
      </w:r>
      <w:r w:rsidR="00A56DA3" w:rsidRPr="00C1694A">
        <w:rPr>
          <w:rFonts w:ascii="Times New Roman" w:hAnsi="Times New Roman" w:cs="Times New Roman"/>
          <w:sz w:val="24"/>
          <w:szCs w:val="24"/>
        </w:rPr>
        <w:t>, we</w:t>
      </w:r>
      <w:r w:rsidRPr="00C1694A">
        <w:rPr>
          <w:rFonts w:ascii="Times New Roman" w:hAnsi="Times New Roman" w:cs="Times New Roman"/>
          <w:sz w:val="24"/>
          <w:szCs w:val="24"/>
        </w:rPr>
        <w:t xml:space="preserve"> clarify that brief absences of a teaching staff member</w:t>
      </w:r>
      <w:r w:rsidR="006A3D0D" w:rsidRPr="00C1694A">
        <w:rPr>
          <w:rFonts w:ascii="Times New Roman" w:hAnsi="Times New Roman" w:cs="Times New Roman"/>
          <w:sz w:val="24"/>
          <w:szCs w:val="24"/>
        </w:rPr>
        <w:t xml:space="preserve"> that cause the </w:t>
      </w:r>
      <w:r w:rsidR="002450D3" w:rsidRPr="00C1694A">
        <w:rPr>
          <w:rFonts w:ascii="Times New Roman" w:hAnsi="Times New Roman" w:cs="Times New Roman"/>
          <w:sz w:val="24"/>
          <w:szCs w:val="24"/>
        </w:rPr>
        <w:t>group</w:t>
      </w:r>
      <w:r w:rsidR="006A3D0D" w:rsidRPr="00C1694A">
        <w:rPr>
          <w:rFonts w:ascii="Times New Roman" w:hAnsi="Times New Roman" w:cs="Times New Roman"/>
          <w:sz w:val="24"/>
          <w:szCs w:val="24"/>
        </w:rPr>
        <w:t xml:space="preserve"> to be out of ratio</w:t>
      </w:r>
      <w:r w:rsidRPr="00C1694A">
        <w:rPr>
          <w:rFonts w:ascii="Times New Roman" w:hAnsi="Times New Roman" w:cs="Times New Roman"/>
          <w:sz w:val="24"/>
          <w:szCs w:val="24"/>
        </w:rPr>
        <w:t xml:space="preserve"> for less than </w:t>
      </w:r>
      <w:r w:rsidR="00CE745E" w:rsidRPr="00C1694A">
        <w:rPr>
          <w:rFonts w:ascii="Times New Roman" w:hAnsi="Times New Roman" w:cs="Times New Roman"/>
          <w:sz w:val="24"/>
          <w:szCs w:val="24"/>
        </w:rPr>
        <w:t>five</w:t>
      </w:r>
      <w:r w:rsidRPr="00C1694A">
        <w:rPr>
          <w:rFonts w:ascii="Times New Roman" w:hAnsi="Times New Roman" w:cs="Times New Roman"/>
          <w:sz w:val="24"/>
          <w:szCs w:val="24"/>
        </w:rPr>
        <w:t xml:space="preserve"> minutes are acceptable.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 xml:space="preserve">(b)(1)(ii), we clarify that during naptime, one teaching staff member may be replaced by an adult who does not meet the teaching qualifications required.  Thus, while the adult to child ratio requirement remains unchanged during naptime, additional flexibility is granted in how a program must meet that ratio.  We believe this provides reasonable flexibility while maintaining high standards. </w:t>
      </w:r>
      <w:r w:rsidR="00BF497E" w:rsidRPr="00C1694A">
        <w:rPr>
          <w:rFonts w:ascii="Times New Roman" w:hAnsi="Times New Roman" w:cs="Times New Roman"/>
          <w:sz w:val="24"/>
          <w:szCs w:val="24"/>
        </w:rPr>
        <w:t>T</w:t>
      </w:r>
      <w:r w:rsidR="005B13E1" w:rsidRPr="00C1694A">
        <w:rPr>
          <w:rFonts w:ascii="Times New Roman" w:hAnsi="Times New Roman" w:cs="Times New Roman"/>
          <w:sz w:val="24"/>
          <w:szCs w:val="24"/>
        </w:rPr>
        <w:t xml:space="preserve">eachers that are present or staff that are substituted during nap times must have completed the safety training required for </w:t>
      </w:r>
      <w:r w:rsidR="00BF497E" w:rsidRPr="00C1694A">
        <w:rPr>
          <w:rFonts w:ascii="Times New Roman" w:hAnsi="Times New Roman" w:cs="Times New Roman"/>
          <w:sz w:val="24"/>
          <w:szCs w:val="24"/>
        </w:rPr>
        <w:t xml:space="preserve">their role as staff in </w:t>
      </w:r>
      <w:r w:rsidR="00BF497E" w:rsidRPr="00C1694A">
        <w:rPr>
          <w:rFonts w:ascii="Times New Roman" w:eastAsia="Calibri" w:hAnsi="Times New Roman" w:cs="Times New Roman"/>
          <w:sz w:val="24"/>
          <w:szCs w:val="24"/>
        </w:rPr>
        <w:t>§</w:t>
      </w:r>
      <w:r w:rsidR="00BF497E" w:rsidRPr="00C1694A">
        <w:rPr>
          <w:rFonts w:ascii="Times New Roman" w:hAnsi="Times New Roman" w:cs="Times New Roman"/>
          <w:sz w:val="24"/>
          <w:szCs w:val="24"/>
        </w:rPr>
        <w:t>1302.47(b)(4)(i)</w:t>
      </w:r>
      <w:r w:rsidR="005B13E1" w:rsidRPr="00C1694A">
        <w:rPr>
          <w:rFonts w:ascii="Times New Roman" w:hAnsi="Times New Roman" w:cs="Times New Roman"/>
          <w:sz w:val="24"/>
          <w:szCs w:val="24"/>
        </w:rPr>
        <w:t xml:space="preserve">, including safe sleep practices. </w:t>
      </w:r>
      <w:r w:rsidRPr="00C1694A">
        <w:rPr>
          <w:rFonts w:ascii="Times New Roman" w:hAnsi="Times New Roman" w:cs="Times New Roman"/>
          <w:sz w:val="24"/>
          <w:szCs w:val="24"/>
        </w:rPr>
        <w:t xml:space="preserve">Ratios and </w:t>
      </w:r>
      <w:r w:rsidR="002450D3" w:rsidRPr="00C1694A">
        <w:rPr>
          <w:rFonts w:ascii="Times New Roman" w:hAnsi="Times New Roman" w:cs="Times New Roman"/>
          <w:sz w:val="24"/>
          <w:szCs w:val="24"/>
        </w:rPr>
        <w:t>group</w:t>
      </w:r>
      <w:r w:rsidRPr="00C1694A">
        <w:rPr>
          <w:rFonts w:ascii="Times New Roman" w:hAnsi="Times New Roman" w:cs="Times New Roman"/>
          <w:sz w:val="24"/>
          <w:szCs w:val="24"/>
        </w:rPr>
        <w:t xml:space="preserve"> size requirements for double sessions are also now included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(b), as double sessions are now permitted as a standard option until the year 2021</w:t>
      </w:r>
      <w:r w:rsidR="00A83D91" w:rsidRPr="00C1694A">
        <w:rPr>
          <w:rFonts w:ascii="Times New Roman" w:hAnsi="Times New Roman" w:cs="Times New Roman"/>
          <w:sz w:val="24"/>
          <w:szCs w:val="24"/>
        </w:rPr>
        <w:t>,</w:t>
      </w:r>
      <w:r w:rsidR="006A3D0D" w:rsidRPr="00C1694A">
        <w:rPr>
          <w:rFonts w:ascii="Times New Roman" w:hAnsi="Times New Roman" w:cs="Times New Roman"/>
          <w:sz w:val="24"/>
          <w:szCs w:val="24"/>
        </w:rPr>
        <w:t xml:space="preserve"> and after but only as a locally designed option</w:t>
      </w:r>
      <w:r w:rsidRPr="00C1694A">
        <w:rPr>
          <w:rFonts w:ascii="Times New Roman" w:hAnsi="Times New Roman" w:cs="Times New Roman"/>
          <w:sz w:val="24"/>
          <w:szCs w:val="24"/>
        </w:rPr>
        <w:t xml:space="preserve">.  These requirements are consistent with </w:t>
      </w:r>
      <w:r w:rsidR="00C21B8F" w:rsidRPr="00C1694A">
        <w:rPr>
          <w:rFonts w:ascii="Times New Roman" w:hAnsi="Times New Roman" w:cs="Times New Roman"/>
          <w:sz w:val="24"/>
          <w:szCs w:val="24"/>
        </w:rPr>
        <w:t xml:space="preserve">the previous </w:t>
      </w:r>
      <w:r w:rsidRPr="00C1694A">
        <w:rPr>
          <w:rFonts w:ascii="Times New Roman" w:hAnsi="Times New Roman" w:cs="Times New Roman"/>
          <w:sz w:val="24"/>
          <w:szCs w:val="24"/>
        </w:rPr>
        <w:t>regulation for double sessions.</w:t>
      </w:r>
      <w:r w:rsidR="00A56DA3" w:rsidRPr="00C1694A">
        <w:rPr>
          <w:rFonts w:ascii="Times New Roman" w:hAnsi="Times New Roman" w:cs="Times New Roman"/>
          <w:sz w:val="24"/>
          <w:szCs w:val="24"/>
        </w:rPr>
        <w:t xml:space="preserve"> We did not make any changes to the provision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00A56DA3" w:rsidRPr="00C1694A">
        <w:rPr>
          <w:rFonts w:ascii="Times New Roman" w:hAnsi="Times New Roman" w:cs="Times New Roman"/>
          <w:sz w:val="24"/>
          <w:szCs w:val="24"/>
        </w:rPr>
        <w:t xml:space="preserve">(b)(1) regarding determination of the primary age of the class.  </w:t>
      </w:r>
      <w:r w:rsidR="00307F0B" w:rsidRPr="00C1694A">
        <w:rPr>
          <w:rFonts w:ascii="Times New Roman" w:hAnsi="Times New Roman" w:cs="Times New Roman"/>
          <w:sz w:val="24"/>
          <w:szCs w:val="24"/>
        </w:rPr>
        <w:t xml:space="preserve">Throughout subpart B, we substituted the word “group” or “class” for “classroom” </w:t>
      </w:r>
      <w:r w:rsidR="00F27EBC" w:rsidRPr="00C1694A">
        <w:rPr>
          <w:rFonts w:ascii="Times New Roman" w:hAnsi="Times New Roman" w:cs="Times New Roman"/>
          <w:sz w:val="24"/>
          <w:szCs w:val="24"/>
        </w:rPr>
        <w:t xml:space="preserve">and </w:t>
      </w:r>
      <w:r w:rsidR="001B14AF" w:rsidRPr="00C1694A">
        <w:rPr>
          <w:rFonts w:ascii="Times New Roman" w:hAnsi="Times New Roman" w:cs="Times New Roman"/>
          <w:sz w:val="24"/>
          <w:szCs w:val="24"/>
        </w:rPr>
        <w:t>replace</w:t>
      </w:r>
      <w:r w:rsidR="00F06938" w:rsidRPr="00C1694A">
        <w:rPr>
          <w:rFonts w:ascii="Times New Roman" w:hAnsi="Times New Roman" w:cs="Times New Roman"/>
          <w:sz w:val="24"/>
          <w:szCs w:val="24"/>
        </w:rPr>
        <w:t>d</w:t>
      </w:r>
      <w:r w:rsidR="001B14AF" w:rsidRPr="00C1694A">
        <w:rPr>
          <w:rFonts w:ascii="Times New Roman" w:hAnsi="Times New Roman" w:cs="Times New Roman"/>
          <w:sz w:val="24"/>
          <w:szCs w:val="24"/>
        </w:rPr>
        <w:t xml:space="preserve"> “class size” with the more commonly used “group size” to eliminate confusion.</w:t>
      </w:r>
      <w:r w:rsidR="008D5A4D" w:rsidRPr="00C1694A">
        <w:rPr>
          <w:rFonts w:ascii="Times New Roman" w:hAnsi="Times New Roman" w:cs="Times New Roman"/>
          <w:sz w:val="24"/>
          <w:szCs w:val="24"/>
        </w:rPr>
        <w:t xml:space="preserve"> </w:t>
      </w:r>
      <w:r w:rsidR="00285517" w:rsidRPr="00C1694A">
        <w:rPr>
          <w:rFonts w:ascii="Times New Roman" w:hAnsi="Times New Roman" w:cs="Times New Roman"/>
          <w:sz w:val="24"/>
          <w:szCs w:val="24"/>
        </w:rPr>
        <w:t xml:space="preserve"> Because of this change, and to make clear that the importance of the learning environment as described in </w:t>
      </w:r>
      <w:r w:rsidR="008D5A4D" w:rsidRPr="00C1694A">
        <w:rPr>
          <w:rFonts w:ascii="Times New Roman" w:eastAsia="Calibri" w:hAnsi="Times New Roman" w:cs="Times New Roman"/>
          <w:sz w:val="24"/>
          <w:szCs w:val="24"/>
        </w:rPr>
        <w:t>§</w:t>
      </w:r>
      <w:r w:rsidR="00285517" w:rsidRPr="00C1694A">
        <w:rPr>
          <w:rFonts w:ascii="Times New Roman" w:hAnsi="Times New Roman" w:cs="Times New Roman"/>
          <w:sz w:val="24"/>
          <w:szCs w:val="24"/>
        </w:rPr>
        <w:t>1302.31 applies to all groups regardless of</w:t>
      </w:r>
      <w:r w:rsidR="00307F0B" w:rsidRPr="00C1694A">
        <w:rPr>
          <w:rFonts w:ascii="Times New Roman" w:hAnsi="Times New Roman" w:cs="Times New Roman"/>
          <w:sz w:val="24"/>
          <w:szCs w:val="24"/>
        </w:rPr>
        <w:t xml:space="preserve"> the characteristics of the physical space</w:t>
      </w:r>
      <w:r w:rsidR="00285517" w:rsidRPr="00C1694A">
        <w:rPr>
          <w:rFonts w:ascii="Times New Roman" w:hAnsi="Times New Roman" w:cs="Times New Roman"/>
          <w:sz w:val="24"/>
          <w:szCs w:val="24"/>
        </w:rPr>
        <w:t>,</w:t>
      </w:r>
      <w:r w:rsidR="00307F0B" w:rsidRPr="00C1694A">
        <w:rPr>
          <w:rFonts w:ascii="Times New Roman" w:hAnsi="Times New Roman" w:cs="Times New Roman"/>
          <w:sz w:val="24"/>
          <w:szCs w:val="24"/>
        </w:rPr>
        <w:t xml:space="preserve"> </w:t>
      </w:r>
      <w:r w:rsidR="00285517" w:rsidRPr="00C1694A">
        <w:rPr>
          <w:rFonts w:ascii="Times New Roman" w:hAnsi="Times New Roman" w:cs="Times New Roman"/>
          <w:sz w:val="24"/>
          <w:szCs w:val="24"/>
        </w:rPr>
        <w:t>w</w:t>
      </w:r>
      <w:r w:rsidR="00307F0B" w:rsidRPr="00C1694A">
        <w:rPr>
          <w:rFonts w:ascii="Times New Roman" w:hAnsi="Times New Roman" w:cs="Times New Roman"/>
          <w:sz w:val="24"/>
          <w:szCs w:val="24"/>
        </w:rPr>
        <w:t>e have added a new paragraph (d)(3) to clarify appropriate ways to make divisions among groups when they are not in physically separate classrooms.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also wrote about </w:t>
      </w:r>
      <w:r w:rsidR="002E2283" w:rsidRPr="00C1694A">
        <w:rPr>
          <w:rFonts w:ascii="Times New Roman" w:hAnsi="Times New Roman" w:cs="Times New Roman"/>
          <w:sz w:val="24"/>
          <w:szCs w:val="24"/>
        </w:rPr>
        <w:t>our</w:t>
      </w:r>
      <w:r w:rsidRPr="00C1694A">
        <w:rPr>
          <w:rFonts w:ascii="Times New Roman" w:hAnsi="Times New Roman" w:cs="Times New Roman"/>
          <w:sz w:val="24"/>
          <w:szCs w:val="24"/>
        </w:rPr>
        <w:t xml:space="preserve"> proposal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 xml:space="preserve">(b)(2) to support continuity of care </w:t>
      </w:r>
      <w:r w:rsidR="00A83D91" w:rsidRPr="00C1694A">
        <w:rPr>
          <w:rFonts w:ascii="Times New Roman" w:hAnsi="Times New Roman" w:cs="Times New Roman"/>
          <w:sz w:val="24"/>
          <w:szCs w:val="24"/>
        </w:rPr>
        <w:t>through consideration of</w:t>
      </w:r>
      <w:r w:rsidRPr="00C1694A">
        <w:rPr>
          <w:rFonts w:ascii="Times New Roman" w:hAnsi="Times New Roman" w:cs="Times New Roman"/>
          <w:sz w:val="24"/>
          <w:szCs w:val="24"/>
        </w:rPr>
        <w:t xml:space="preserve"> mixed age </w:t>
      </w:r>
      <w:r w:rsidR="002450D3" w:rsidRPr="00C1694A">
        <w:rPr>
          <w:rFonts w:ascii="Times New Roman" w:hAnsi="Times New Roman" w:cs="Times New Roman"/>
          <w:sz w:val="24"/>
          <w:szCs w:val="24"/>
        </w:rPr>
        <w:t>groups</w:t>
      </w:r>
      <w:r w:rsidRPr="00C1694A">
        <w:rPr>
          <w:rFonts w:ascii="Times New Roman" w:hAnsi="Times New Roman" w:cs="Times New Roman"/>
          <w:sz w:val="24"/>
          <w:szCs w:val="24"/>
        </w:rPr>
        <w:t xml:space="preserve"> for children under 36 months of age.  Some found the mixed age </w:t>
      </w:r>
      <w:r w:rsidR="002450D3" w:rsidRPr="00C1694A">
        <w:rPr>
          <w:rFonts w:ascii="Times New Roman" w:hAnsi="Times New Roman" w:cs="Times New Roman"/>
          <w:sz w:val="24"/>
          <w:szCs w:val="24"/>
        </w:rPr>
        <w:t>groups</w:t>
      </w:r>
      <w:r w:rsidRPr="00C1694A">
        <w:rPr>
          <w:rFonts w:ascii="Times New Roman" w:hAnsi="Times New Roman" w:cs="Times New Roman"/>
          <w:sz w:val="24"/>
          <w:szCs w:val="24"/>
        </w:rPr>
        <w:t xml:space="preserve"> concept to suggest developmentally inappropriate practice.  Others wrote in support of continuity of care practices because of the benefits to children and their parents.  Some offered slight changes to the regulatory language and others recommended </w:t>
      </w:r>
      <w:r w:rsidR="00A83D91" w:rsidRPr="00C1694A">
        <w:rPr>
          <w:rFonts w:ascii="Times New Roman" w:hAnsi="Times New Roman" w:cs="Times New Roman"/>
          <w:sz w:val="24"/>
          <w:szCs w:val="24"/>
        </w:rPr>
        <w:t>we</w:t>
      </w:r>
      <w:r w:rsidRPr="00C1694A">
        <w:rPr>
          <w:rFonts w:ascii="Times New Roman" w:hAnsi="Times New Roman" w:cs="Times New Roman"/>
          <w:sz w:val="24"/>
          <w:szCs w:val="24"/>
        </w:rPr>
        <w:t xml:space="preserve"> provide guidance on implementation of best practices for continuity of care.</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We recognize there was some confusion about what mixed age </w:t>
      </w:r>
      <w:r w:rsidR="002450D3" w:rsidRPr="00C1694A">
        <w:rPr>
          <w:rFonts w:ascii="Times New Roman" w:hAnsi="Times New Roman" w:cs="Times New Roman"/>
          <w:sz w:val="24"/>
          <w:szCs w:val="24"/>
        </w:rPr>
        <w:t>group</w:t>
      </w:r>
      <w:r w:rsidRPr="00C1694A">
        <w:rPr>
          <w:rFonts w:ascii="Times New Roman" w:hAnsi="Times New Roman" w:cs="Times New Roman"/>
          <w:sz w:val="24"/>
          <w:szCs w:val="24"/>
        </w:rPr>
        <w:t>s might mean in practice.  However, we believe best practices for continuity of care will be best delivered through technical assistance and guidance and not through the regulatory process.  The provisions in this section facilitate but do not require continuity of care practices.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wrote in regard to the center-based licensing and square footage requirements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 xml:space="preserve">(d).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expressed concern about licensing requirements in relation to schools, seeking greater clarification and noting that some states do not require public schools to be licensed.  Commenters also requested clarity on whether programs have to </w:t>
      </w:r>
      <w:r w:rsidRPr="00C1694A">
        <w:rPr>
          <w:rFonts w:ascii="Times New Roman" w:hAnsi="Times New Roman" w:cs="Times New Roman"/>
          <w:iCs/>
          <w:sz w:val="24"/>
          <w:szCs w:val="24"/>
        </w:rPr>
        <w:t>meet</w:t>
      </w:r>
      <w:r w:rsidRPr="00C1694A">
        <w:rPr>
          <w:rFonts w:ascii="Times New Roman" w:hAnsi="Times New Roman" w:cs="Times New Roman"/>
          <w:sz w:val="24"/>
          <w:szCs w:val="24"/>
        </w:rPr>
        <w:t xml:space="preserve"> licensing standards, or </w:t>
      </w:r>
      <w:r w:rsidRPr="00C1694A">
        <w:rPr>
          <w:rFonts w:ascii="Times New Roman" w:hAnsi="Times New Roman" w:cs="Times New Roman"/>
          <w:iCs/>
          <w:sz w:val="24"/>
          <w:szCs w:val="24"/>
        </w:rPr>
        <w:t>be</w:t>
      </w:r>
      <w:r w:rsidRPr="00C1694A">
        <w:rPr>
          <w:rFonts w:ascii="Times New Roman" w:hAnsi="Times New Roman" w:cs="Times New Roman"/>
          <w:sz w:val="24"/>
          <w:szCs w:val="24"/>
        </w:rPr>
        <w:t xml:space="preserve"> licensed.  Some comments supported and some opposed the center-based square footage requirements, while some stated they were too strict, others </w:t>
      </w:r>
      <w:r w:rsidR="00CA6843" w:rsidRPr="00C1694A">
        <w:rPr>
          <w:rFonts w:ascii="Times New Roman" w:hAnsi="Times New Roman" w:cs="Times New Roman"/>
          <w:sz w:val="24"/>
          <w:szCs w:val="24"/>
        </w:rPr>
        <w:t xml:space="preserve">suggested </w:t>
      </w:r>
      <w:r w:rsidRPr="00C1694A">
        <w:rPr>
          <w:rFonts w:ascii="Times New Roman" w:hAnsi="Times New Roman" w:cs="Times New Roman"/>
          <w:sz w:val="24"/>
          <w:szCs w:val="24"/>
        </w:rPr>
        <w:t>they were not strong enough, and others commended the proposal to exclude square footage requirements from the waiver.</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u w:val="single"/>
        </w:rPr>
        <w:t>Response</w:t>
      </w:r>
      <w:r w:rsidR="001C5EE9" w:rsidRPr="00C1694A">
        <w:rPr>
          <w:rFonts w:ascii="Times New Roman" w:hAnsi="Times New Roman" w:cs="Times New Roman"/>
          <w:sz w:val="24"/>
          <w:szCs w:val="24"/>
          <w:u w:val="single"/>
        </w:rPr>
        <w:t>:</w:t>
      </w:r>
      <w:r w:rsidR="001C5EE9" w:rsidRPr="00C1694A">
        <w:rPr>
          <w:rFonts w:ascii="Times New Roman" w:hAnsi="Times New Roman" w:cs="Times New Roman"/>
          <w:sz w:val="24"/>
          <w:szCs w:val="24"/>
        </w:rPr>
        <w:t xml:space="preserve"> We modified t</w:t>
      </w:r>
      <w:r w:rsidRPr="00C1694A">
        <w:rPr>
          <w:rFonts w:ascii="Times New Roman" w:hAnsi="Times New Roman" w:cs="Times New Roman"/>
          <w:sz w:val="24"/>
          <w:szCs w:val="24"/>
        </w:rPr>
        <w:t xml:space="preserve">he provision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 xml:space="preserve">(d) </w:t>
      </w:r>
      <w:r w:rsidR="001C5EE9" w:rsidRPr="00C1694A">
        <w:rPr>
          <w:rFonts w:ascii="Times New Roman" w:hAnsi="Times New Roman" w:cs="Times New Roman"/>
          <w:sz w:val="24"/>
          <w:szCs w:val="24"/>
        </w:rPr>
        <w:t>to make it clear that programs must meet l</w:t>
      </w:r>
      <w:r w:rsidRPr="00C1694A">
        <w:rPr>
          <w:rFonts w:ascii="Times New Roman" w:hAnsi="Times New Roman" w:cs="Times New Roman"/>
          <w:sz w:val="24"/>
          <w:szCs w:val="24"/>
        </w:rPr>
        <w:t>ocal or state licensing requirements</w:t>
      </w:r>
      <w:r w:rsidR="001C5EE9" w:rsidRPr="00C1694A">
        <w:rPr>
          <w:rFonts w:ascii="Times New Roman" w:hAnsi="Times New Roman" w:cs="Times New Roman"/>
          <w:sz w:val="24"/>
          <w:szCs w:val="24"/>
        </w:rPr>
        <w:t xml:space="preserve"> </w:t>
      </w:r>
      <w:r w:rsidR="005B13E1" w:rsidRPr="00C1694A">
        <w:rPr>
          <w:rFonts w:ascii="Times New Roman" w:hAnsi="Times New Roman" w:cs="Times New Roman"/>
          <w:sz w:val="24"/>
          <w:szCs w:val="24"/>
        </w:rPr>
        <w:t>regardless of whether</w:t>
      </w:r>
      <w:r w:rsidR="001C5EE9" w:rsidRPr="00C1694A">
        <w:rPr>
          <w:rFonts w:ascii="Times New Roman" w:hAnsi="Times New Roman" w:cs="Times New Roman"/>
          <w:sz w:val="24"/>
          <w:szCs w:val="24"/>
        </w:rPr>
        <w:t xml:space="preserve"> the licensing entity</w:t>
      </w:r>
      <w:r w:rsidR="001C3DA8" w:rsidRPr="00C1694A">
        <w:rPr>
          <w:rFonts w:ascii="Times New Roman" w:hAnsi="Times New Roman" w:cs="Times New Roman"/>
          <w:sz w:val="24"/>
          <w:szCs w:val="24"/>
        </w:rPr>
        <w:t xml:space="preserve"> requires that they be licensed.  However, </w:t>
      </w:r>
      <w:r w:rsidR="001C5EE9" w:rsidRPr="00C1694A">
        <w:rPr>
          <w:rFonts w:ascii="Times New Roman" w:hAnsi="Times New Roman" w:cs="Times New Roman"/>
          <w:sz w:val="24"/>
          <w:szCs w:val="24"/>
        </w:rPr>
        <w:t xml:space="preserve">we are not requiring that </w:t>
      </w:r>
      <w:r w:rsidR="001C3DA8" w:rsidRPr="00C1694A">
        <w:rPr>
          <w:rFonts w:ascii="Times New Roman" w:hAnsi="Times New Roman" w:cs="Times New Roman"/>
          <w:sz w:val="24"/>
          <w:szCs w:val="24"/>
        </w:rPr>
        <w:t>all center-based programs</w:t>
      </w:r>
      <w:r w:rsidRPr="00C1694A">
        <w:rPr>
          <w:rFonts w:ascii="Times New Roman" w:hAnsi="Times New Roman" w:cs="Times New Roman"/>
          <w:sz w:val="24"/>
          <w:szCs w:val="24"/>
        </w:rPr>
        <w:t xml:space="preserve"> actually be licensed</w:t>
      </w:r>
      <w:r w:rsidR="001C3DA8" w:rsidRPr="00C1694A">
        <w:rPr>
          <w:rFonts w:ascii="Times New Roman" w:hAnsi="Times New Roman" w:cs="Times New Roman"/>
          <w:sz w:val="24"/>
          <w:szCs w:val="24"/>
        </w:rPr>
        <w:t xml:space="preserve"> because some states or local jurisdictions may not be able to license entities, such as schools, that are not required to be licensed by state or local law</w:t>
      </w:r>
      <w:r w:rsidRPr="00C1694A">
        <w:rPr>
          <w:rFonts w:ascii="Times New Roman" w:hAnsi="Times New Roman" w:cs="Times New Roman"/>
          <w:sz w:val="24"/>
          <w:szCs w:val="24"/>
        </w:rPr>
        <w:t xml:space="preserve">.  We believe this provision ensures quality and child safety while allowing for the appropriate amount of local flexibility and variance in types of grantees. As proposed in the NPRM, licensing and square footage requirements will not be eligible for waivers. </w:t>
      </w:r>
    </w:p>
    <w:p w:rsidR="009D7EB0" w:rsidRPr="00C1694A" w:rsidRDefault="009D7EB0"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§1302.22 Home-based option.</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defines the setting for the home-based program option </w:t>
      </w:r>
      <w:r w:rsidR="008468F8" w:rsidRPr="00C1694A">
        <w:rPr>
          <w:rFonts w:ascii="Times New Roman" w:hAnsi="Times New Roman" w:cs="Times New Roman"/>
          <w:sz w:val="24"/>
          <w:szCs w:val="24"/>
        </w:rPr>
        <w:t xml:space="preserve">for Head Start and Early Head Start </w:t>
      </w:r>
      <w:r w:rsidRPr="00C1694A">
        <w:rPr>
          <w:rFonts w:ascii="Times New Roman" w:hAnsi="Times New Roman" w:cs="Times New Roman"/>
          <w:sz w:val="24"/>
          <w:szCs w:val="24"/>
        </w:rPr>
        <w:t xml:space="preserve">and sets requirements for home visitor caseload, service duration, and licensing.  </w:t>
      </w:r>
      <w:r w:rsidR="008468F8" w:rsidRPr="00C1694A">
        <w:rPr>
          <w:rFonts w:ascii="Times New Roman" w:hAnsi="Times New Roman" w:cs="Times New Roman"/>
          <w:sz w:val="24"/>
          <w:szCs w:val="24"/>
        </w:rPr>
        <w:t>We received many comments about our proposal to limit home-based models as a standard option to Early Head Start only.  We discuss these and other comments below.</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were in favor of removing home-based as a standard option for preschoolers.  </w:t>
      </w:r>
      <w:r w:rsidR="00A83D91"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stated that home-based </w:t>
      </w:r>
      <w:r w:rsidR="00A83D91" w:rsidRPr="00C1694A">
        <w:rPr>
          <w:rFonts w:ascii="Times New Roman" w:hAnsi="Times New Roman" w:cs="Times New Roman"/>
          <w:sz w:val="24"/>
          <w:szCs w:val="24"/>
        </w:rPr>
        <w:t>models do</w:t>
      </w:r>
      <w:r w:rsidRPr="00C1694A">
        <w:rPr>
          <w:rFonts w:ascii="Times New Roman" w:hAnsi="Times New Roman" w:cs="Times New Roman"/>
          <w:sz w:val="24"/>
          <w:szCs w:val="24"/>
        </w:rPr>
        <w:t xml:space="preserve"> not meet the </w:t>
      </w:r>
      <w:r w:rsidR="00A83D91" w:rsidRPr="00C1694A">
        <w:rPr>
          <w:rFonts w:ascii="Times New Roman" w:hAnsi="Times New Roman" w:cs="Times New Roman"/>
          <w:sz w:val="24"/>
          <w:szCs w:val="24"/>
        </w:rPr>
        <w:t xml:space="preserve">educational </w:t>
      </w:r>
      <w:r w:rsidRPr="00C1694A">
        <w:rPr>
          <w:rFonts w:ascii="Times New Roman" w:hAnsi="Times New Roman" w:cs="Times New Roman"/>
          <w:sz w:val="24"/>
          <w:szCs w:val="24"/>
        </w:rPr>
        <w:t>needs of preschool-age children.  Commenters also expressed that, given the significant federal investment in home visiting through the Matern</w:t>
      </w:r>
      <w:r w:rsidR="00E6357F">
        <w:rPr>
          <w:rFonts w:ascii="Times New Roman" w:hAnsi="Times New Roman" w:cs="Times New Roman"/>
          <w:sz w:val="24"/>
          <w:szCs w:val="24"/>
        </w:rPr>
        <w:t>al</w:t>
      </w:r>
      <w:r w:rsidRPr="00C1694A">
        <w:rPr>
          <w:rFonts w:ascii="Times New Roman" w:hAnsi="Times New Roman" w:cs="Times New Roman"/>
          <w:sz w:val="24"/>
          <w:szCs w:val="24"/>
        </w:rPr>
        <w:t xml:space="preserve">, Infant, and Early Childhood Home Visiting (MIECHV) program, limited available Head Start funding should be targeted towards providing access to center-based programs rather than home-based programs for preschool-age children.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Alternatively, many commenters </w:t>
      </w:r>
      <w:r w:rsidR="00A83D91" w:rsidRPr="00C1694A">
        <w:rPr>
          <w:rFonts w:ascii="Times New Roman" w:hAnsi="Times New Roman" w:cs="Times New Roman"/>
          <w:sz w:val="24"/>
          <w:szCs w:val="24"/>
        </w:rPr>
        <w:t>opposed</w:t>
      </w:r>
      <w:r w:rsidRPr="00C1694A">
        <w:rPr>
          <w:rFonts w:ascii="Times New Roman" w:hAnsi="Times New Roman" w:cs="Times New Roman"/>
          <w:sz w:val="24"/>
          <w:szCs w:val="24"/>
        </w:rPr>
        <w:t xml:space="preserve"> the removal of the home-based option as a standard option for Head Start preschoolers, citing a number of different reasons.  Commenters </w:t>
      </w:r>
      <w:r w:rsidR="00A83D91" w:rsidRPr="00C1694A">
        <w:rPr>
          <w:rFonts w:ascii="Times New Roman" w:hAnsi="Times New Roman" w:cs="Times New Roman"/>
          <w:sz w:val="24"/>
          <w:szCs w:val="24"/>
        </w:rPr>
        <w:t>stated</w:t>
      </w:r>
      <w:r w:rsidRPr="00C1694A">
        <w:rPr>
          <w:rFonts w:ascii="Times New Roman" w:hAnsi="Times New Roman" w:cs="Times New Roman"/>
          <w:sz w:val="24"/>
          <w:szCs w:val="24"/>
        </w:rPr>
        <w:t xml:space="preserve"> that home-based was the most appropriate delivery model in particular communities, such as rural areas, communities where home schooling is prevalent, and areas with large immigrant or non-English speaking populations.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that the home-based option is a more appropriate setting for young children, children with severe special needs, disabilities, health problems, or behavior issues, and parents who request home-based to meet children’s individual needs.  Some commenters </w:t>
      </w:r>
      <w:r w:rsidR="00A83D91" w:rsidRPr="00C1694A">
        <w:rPr>
          <w:rFonts w:ascii="Times New Roman" w:hAnsi="Times New Roman" w:cs="Times New Roman"/>
          <w:sz w:val="24"/>
          <w:szCs w:val="24"/>
        </w:rPr>
        <w:t>stated</w:t>
      </w:r>
      <w:r w:rsidRPr="00C1694A">
        <w:rPr>
          <w:rFonts w:ascii="Times New Roman" w:hAnsi="Times New Roman" w:cs="Times New Roman"/>
          <w:sz w:val="24"/>
          <w:szCs w:val="24"/>
        </w:rPr>
        <w:t xml:space="preserve"> that center-based programs may not be </w:t>
      </w:r>
      <w:r w:rsidR="00206C8F" w:rsidRPr="00C1694A">
        <w:rPr>
          <w:rFonts w:ascii="Times New Roman" w:hAnsi="Times New Roman" w:cs="Times New Roman"/>
          <w:sz w:val="24"/>
          <w:szCs w:val="24"/>
        </w:rPr>
        <w:t>what parents want for their child</w:t>
      </w:r>
      <w:r w:rsidRPr="00C1694A">
        <w:rPr>
          <w:rFonts w:ascii="Times New Roman" w:hAnsi="Times New Roman" w:cs="Times New Roman"/>
          <w:sz w:val="24"/>
          <w:szCs w:val="24"/>
        </w:rPr>
        <w:t xml:space="preserve">.  Further, these commenters suggested that many parents are not familiar with resources in the community, do not speak English, or have other barriers that prevent them from taking their </w:t>
      </w:r>
      <w:r w:rsidR="00A83D91" w:rsidRPr="00C1694A">
        <w:rPr>
          <w:rFonts w:ascii="Times New Roman" w:hAnsi="Times New Roman" w:cs="Times New Roman"/>
          <w:sz w:val="24"/>
          <w:szCs w:val="24"/>
        </w:rPr>
        <w:t xml:space="preserve">children to center-based care.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cited research or included data demonstrating that home visiting improves outcomes for preschool children.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We agree that a home-based preschool option for </w:t>
      </w:r>
      <w:r w:rsidR="00A83D91" w:rsidRPr="00C1694A">
        <w:rPr>
          <w:rFonts w:ascii="Times New Roman" w:hAnsi="Times New Roman" w:cs="Times New Roman"/>
          <w:sz w:val="24"/>
          <w:szCs w:val="24"/>
        </w:rPr>
        <w:t xml:space="preserve">Head Start may be appropriate for certain </w:t>
      </w:r>
      <w:r w:rsidRPr="00C1694A">
        <w:rPr>
          <w:rFonts w:ascii="Times New Roman" w:hAnsi="Times New Roman" w:cs="Times New Roman"/>
          <w:sz w:val="24"/>
          <w:szCs w:val="24"/>
        </w:rPr>
        <w:t>communities</w:t>
      </w:r>
      <w:r w:rsidR="00A83D91" w:rsidRPr="00C1694A">
        <w:rPr>
          <w:rFonts w:ascii="Times New Roman" w:hAnsi="Times New Roman" w:cs="Times New Roman"/>
          <w:sz w:val="24"/>
          <w:szCs w:val="24"/>
        </w:rPr>
        <w:t xml:space="preserve">, which is why we proposed programs could apply to operate the model through the waiver process. However, to </w:t>
      </w:r>
      <w:r w:rsidRPr="00C1694A">
        <w:rPr>
          <w:rFonts w:ascii="Times New Roman" w:hAnsi="Times New Roman" w:cs="Times New Roman"/>
          <w:sz w:val="24"/>
          <w:szCs w:val="24"/>
        </w:rPr>
        <w:t>reduce burden on grantees</w:t>
      </w:r>
      <w:r w:rsidR="00A83D91" w:rsidRPr="00C1694A">
        <w:rPr>
          <w:rFonts w:ascii="Times New Roman" w:hAnsi="Times New Roman" w:cs="Times New Roman"/>
          <w:sz w:val="24"/>
          <w:szCs w:val="24"/>
        </w:rPr>
        <w:t xml:space="preserve">, we </w:t>
      </w:r>
      <w:r w:rsidR="00E45F82" w:rsidRPr="00C1694A">
        <w:rPr>
          <w:rFonts w:ascii="Times New Roman" w:hAnsi="Times New Roman" w:cs="Times New Roman"/>
          <w:sz w:val="24"/>
          <w:szCs w:val="24"/>
        </w:rPr>
        <w:t>reinstated home-based as a standard option for preschoolers in</w:t>
      </w:r>
      <w:r w:rsidR="00A83D91" w:rsidRPr="00C1694A">
        <w:rPr>
          <w:rFonts w:ascii="Times New Roman" w:hAnsi="Times New Roman" w:cs="Times New Roman"/>
          <w:sz w:val="24"/>
          <w:szCs w:val="24"/>
        </w:rPr>
        <w:t xml:space="preserve">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00A83D91" w:rsidRPr="00C1694A">
        <w:rPr>
          <w:rFonts w:ascii="Times New Roman" w:hAnsi="Times New Roman" w:cs="Times New Roman"/>
          <w:sz w:val="24"/>
          <w:szCs w:val="24"/>
        </w:rPr>
        <w:t>(c)(2)</w:t>
      </w:r>
      <w:r w:rsidR="000139A5" w:rsidRPr="00C1694A">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w:t>
      </w:r>
      <w:r w:rsidR="007E48A0" w:rsidRPr="00C1694A">
        <w:rPr>
          <w:rFonts w:ascii="Times New Roman" w:hAnsi="Times New Roman" w:cs="Times New Roman"/>
          <w:sz w:val="24"/>
          <w:szCs w:val="24"/>
        </w:rPr>
        <w:t xml:space="preserve">Though </w:t>
      </w:r>
      <w:r w:rsidR="00313045" w:rsidRPr="00C1694A">
        <w:rPr>
          <w:rFonts w:ascii="Times New Roman" w:hAnsi="Times New Roman" w:cs="Times New Roman"/>
          <w:sz w:val="24"/>
          <w:szCs w:val="24"/>
        </w:rPr>
        <w:t>research indicates that high quality, full-day and full-year center-based settings produce strong outcomes for preschoolers</w:t>
      </w:r>
      <w:r w:rsidR="007E48A0" w:rsidRPr="00C1694A">
        <w:rPr>
          <w:rFonts w:ascii="Times New Roman" w:hAnsi="Times New Roman" w:cs="Times New Roman"/>
          <w:sz w:val="24"/>
          <w:szCs w:val="24"/>
        </w:rPr>
        <w:t xml:space="preserve">, we recognize that there may be </w:t>
      </w:r>
      <w:r w:rsidR="00863F7C" w:rsidRPr="00C1694A">
        <w:rPr>
          <w:rFonts w:ascii="Times New Roman" w:hAnsi="Times New Roman" w:cs="Times New Roman"/>
          <w:sz w:val="24"/>
          <w:szCs w:val="24"/>
        </w:rPr>
        <w:t xml:space="preserve">a small number of </w:t>
      </w:r>
      <w:r w:rsidR="007E48A0" w:rsidRPr="00C1694A">
        <w:rPr>
          <w:rFonts w:ascii="Times New Roman" w:hAnsi="Times New Roman" w:cs="Times New Roman"/>
          <w:sz w:val="24"/>
          <w:szCs w:val="24"/>
        </w:rPr>
        <w:t xml:space="preserve">situations where the home-based model </w:t>
      </w:r>
      <w:r w:rsidR="00313045" w:rsidRPr="00C1694A">
        <w:rPr>
          <w:rFonts w:ascii="Times New Roman" w:hAnsi="Times New Roman" w:cs="Times New Roman"/>
          <w:sz w:val="24"/>
          <w:szCs w:val="24"/>
        </w:rPr>
        <w:t>best meets</w:t>
      </w:r>
      <w:r w:rsidR="007E48A0" w:rsidRPr="00C1694A">
        <w:rPr>
          <w:rFonts w:ascii="Times New Roman" w:hAnsi="Times New Roman" w:cs="Times New Roman"/>
          <w:sz w:val="24"/>
          <w:szCs w:val="24"/>
        </w:rPr>
        <w:t xml:space="preserve"> t</w:t>
      </w:r>
      <w:r w:rsidR="00313045" w:rsidRPr="00C1694A">
        <w:rPr>
          <w:rFonts w:ascii="Times New Roman" w:hAnsi="Times New Roman" w:cs="Times New Roman"/>
          <w:sz w:val="24"/>
          <w:szCs w:val="24"/>
        </w:rPr>
        <w:t>he needs of the child and family. For example, as commenters suggested, in communities with a high home schooling rate</w:t>
      </w:r>
      <w:r w:rsidR="00D722F2" w:rsidRPr="00C1694A">
        <w:rPr>
          <w:rFonts w:ascii="Times New Roman" w:hAnsi="Times New Roman" w:cs="Times New Roman"/>
          <w:sz w:val="24"/>
          <w:szCs w:val="24"/>
        </w:rPr>
        <w:t>, parents would likely prefer home-based services</w:t>
      </w:r>
      <w:r w:rsidR="007E48A0" w:rsidRPr="00C1694A">
        <w:rPr>
          <w:rFonts w:ascii="Times New Roman" w:hAnsi="Times New Roman" w:cs="Times New Roman"/>
          <w:sz w:val="24"/>
          <w:szCs w:val="24"/>
        </w:rPr>
        <w:t xml:space="preserve">. </w:t>
      </w:r>
      <w:r w:rsidR="00313045" w:rsidRPr="00C1694A">
        <w:rPr>
          <w:rFonts w:ascii="Times New Roman" w:hAnsi="Times New Roman" w:cs="Times New Roman"/>
          <w:sz w:val="24"/>
          <w:szCs w:val="24"/>
        </w:rPr>
        <w:t>We do not believe, however, tha</w:t>
      </w:r>
      <w:r w:rsidR="009633A7" w:rsidRPr="00C1694A">
        <w:rPr>
          <w:rFonts w:ascii="Times New Roman" w:hAnsi="Times New Roman" w:cs="Times New Roman"/>
          <w:sz w:val="24"/>
          <w:szCs w:val="24"/>
        </w:rPr>
        <w:t>t this model should be used as a means of exclu</w:t>
      </w:r>
      <w:r w:rsidR="00863F7C" w:rsidRPr="00C1694A">
        <w:rPr>
          <w:rFonts w:ascii="Times New Roman" w:hAnsi="Times New Roman" w:cs="Times New Roman"/>
          <w:sz w:val="24"/>
          <w:szCs w:val="24"/>
        </w:rPr>
        <w:t>ding children from center-based settings</w:t>
      </w:r>
      <w:r w:rsidR="009633A7" w:rsidRPr="00C1694A">
        <w:rPr>
          <w:rFonts w:ascii="Times New Roman" w:hAnsi="Times New Roman" w:cs="Times New Roman"/>
          <w:sz w:val="24"/>
          <w:szCs w:val="24"/>
        </w:rPr>
        <w:t>.</w:t>
      </w:r>
      <w:r w:rsidRPr="00C1694A">
        <w:rPr>
          <w:rFonts w:ascii="Times New Roman" w:hAnsi="Times New Roman" w:cs="Times New Roman"/>
          <w:sz w:val="24"/>
          <w:szCs w:val="24"/>
        </w:rPr>
        <w:t xml:space="preserve"> </w:t>
      </w:r>
      <w:r w:rsidR="00F72F87" w:rsidRPr="00C1694A">
        <w:rPr>
          <w:rFonts w:ascii="Times New Roman" w:hAnsi="Times New Roman" w:cs="Times New Roman"/>
          <w:sz w:val="24"/>
          <w:szCs w:val="24"/>
        </w:rPr>
        <w:t>We also do not believe this model should be the only one available to preschoolers and therefore</w:t>
      </w:r>
      <w:r w:rsidR="009F0410" w:rsidRPr="00C1694A">
        <w:rPr>
          <w:rFonts w:ascii="Times New Roman" w:hAnsi="Times New Roman" w:cs="Times New Roman"/>
          <w:sz w:val="24"/>
          <w:szCs w:val="24"/>
        </w:rPr>
        <w:t xml:space="preserve"> require that it may not be the only option available for Head Start unless the program seeks and receives a locally designed option within the parameters established in §1302.24.  </w:t>
      </w:r>
      <w:r w:rsidRPr="00C1694A">
        <w:rPr>
          <w:rFonts w:ascii="Times New Roman" w:hAnsi="Times New Roman" w:cs="Times New Roman"/>
          <w:sz w:val="24"/>
          <w:szCs w:val="24"/>
        </w:rPr>
        <w:t xml:space="preserve">We believe the greater clarity in the community needs provisions </w:t>
      </w:r>
      <w:r w:rsidR="00E45F82" w:rsidRPr="00C1694A">
        <w:rPr>
          <w:rFonts w:ascii="Times New Roman" w:hAnsi="Times New Roman" w:cs="Times New Roman"/>
          <w:sz w:val="24"/>
          <w:szCs w:val="24"/>
        </w:rPr>
        <w:t xml:space="preserve">in subpart A </w:t>
      </w:r>
      <w:r w:rsidRPr="00C1694A">
        <w:rPr>
          <w:rFonts w:ascii="Times New Roman" w:hAnsi="Times New Roman" w:cs="Times New Roman"/>
          <w:sz w:val="24"/>
          <w:szCs w:val="24"/>
        </w:rPr>
        <w:t xml:space="preserve">and the system of program management and quality improvement in </w:t>
      </w:r>
      <w:r w:rsidR="00E45F82" w:rsidRPr="00C1694A">
        <w:rPr>
          <w:rFonts w:ascii="Times New Roman" w:hAnsi="Times New Roman" w:cs="Times New Roman"/>
          <w:sz w:val="24"/>
          <w:szCs w:val="24"/>
        </w:rPr>
        <w:t>s</w:t>
      </w:r>
      <w:r w:rsidRPr="00C1694A">
        <w:rPr>
          <w:rFonts w:ascii="Times New Roman" w:hAnsi="Times New Roman" w:cs="Times New Roman"/>
          <w:sz w:val="24"/>
          <w:szCs w:val="24"/>
        </w:rPr>
        <w:t xml:space="preserve">ubpart J will help programs ensure that the program options they offer truly meet the early learning needs of children and the local needs of the community.  Clear minimum requirements for the number of home visits and group socializations for preschoolers in the home-based option have been added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 xml:space="preserve">(c)(2), along with expectations for meeting those minimums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 xml:space="preserve">(c)(3) and for maximum caseloads per home visitor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(b).  These requirements are consistent with</w:t>
      </w:r>
      <w:r w:rsidR="00C21B8F" w:rsidRPr="00C1694A">
        <w:rPr>
          <w:rFonts w:ascii="Times New Roman" w:hAnsi="Times New Roman" w:cs="Times New Roman"/>
          <w:sz w:val="24"/>
          <w:szCs w:val="24"/>
        </w:rPr>
        <w:t xml:space="preserve"> the</w:t>
      </w:r>
      <w:r w:rsidRPr="00C1694A">
        <w:rPr>
          <w:rFonts w:ascii="Times New Roman" w:hAnsi="Times New Roman" w:cs="Times New Roman"/>
          <w:sz w:val="24"/>
          <w:szCs w:val="24"/>
        </w:rPr>
        <w:t xml:space="preserve"> </w:t>
      </w:r>
      <w:r w:rsidR="00C21B8F" w:rsidRPr="00C1694A">
        <w:rPr>
          <w:rFonts w:ascii="Times New Roman" w:hAnsi="Times New Roman" w:cs="Times New Roman"/>
          <w:sz w:val="24"/>
          <w:szCs w:val="24"/>
        </w:rPr>
        <w:t>previous standards</w:t>
      </w:r>
      <w:r w:rsidRPr="00C1694A">
        <w:rPr>
          <w:rFonts w:ascii="Times New Roman" w:hAnsi="Times New Roman" w:cs="Times New Roman"/>
          <w:sz w:val="24"/>
          <w:szCs w:val="24"/>
        </w:rPr>
        <w:t xml:space="preserve">.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i/>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also addressed the proposal to increase the service duration for the Early Head Start home-based model to 46 home visits and 22 group socializations per year.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supported the proposal to increase the number of home visits or suggested a higher number.  Other commenters expressed concerns about or opposition to the proposed minimums.  Some cited the need for home visitors to have time for paperwork, professional development, and other duties.  Some noted difficulty getting families to complete 46 home visits and described family cancellation of scheduled home visits as a key inhibitor.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of these commenters requested flexibility to allow for visits cancelled by the family.  Further,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that the group socialization minimum </w:t>
      </w:r>
      <w:r w:rsidR="00E45F82" w:rsidRPr="00C1694A">
        <w:rPr>
          <w:rFonts w:ascii="Times New Roman" w:hAnsi="Times New Roman" w:cs="Times New Roman"/>
          <w:sz w:val="24"/>
          <w:szCs w:val="24"/>
        </w:rPr>
        <w:t>was</w:t>
      </w:r>
      <w:r w:rsidRPr="00C1694A">
        <w:rPr>
          <w:rFonts w:ascii="Times New Roman" w:hAnsi="Times New Roman" w:cs="Times New Roman"/>
          <w:sz w:val="24"/>
          <w:szCs w:val="24"/>
        </w:rPr>
        <w:t xml:space="preserve"> too high.  Others suggested that 22 was an acceptable minimum number of socializations but requested flexibility for the number of socializations per month.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objected to the language that programs not replace home visits with medical or social services visits with the home visitor.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Early Head Start was established </w:t>
      </w:r>
      <w:r w:rsidR="00206C8F" w:rsidRPr="00C1694A">
        <w:rPr>
          <w:rFonts w:ascii="Times New Roman" w:hAnsi="Times New Roman" w:cs="Times New Roman"/>
          <w:sz w:val="24"/>
          <w:szCs w:val="24"/>
        </w:rPr>
        <w:t xml:space="preserve">by Congress </w:t>
      </w:r>
      <w:r w:rsidRPr="00C1694A">
        <w:rPr>
          <w:rFonts w:ascii="Times New Roman" w:hAnsi="Times New Roman" w:cs="Times New Roman"/>
          <w:sz w:val="24"/>
          <w:szCs w:val="24"/>
        </w:rPr>
        <w:t>as a continuous program.  As with the Early Head Start center-based model, the NPRM proposal codified long-standing interpretation of a “continuous program” for Early Head Start in the home-based model by requ</w:t>
      </w:r>
      <w:r w:rsidR="00766B13" w:rsidRPr="00C1694A">
        <w:rPr>
          <w:rFonts w:ascii="Times New Roman" w:hAnsi="Times New Roman" w:cs="Times New Roman"/>
          <w:sz w:val="24"/>
          <w:szCs w:val="24"/>
        </w:rPr>
        <w:t>iring 46 home visits per year. We retained t</w:t>
      </w:r>
      <w:r w:rsidRPr="00C1694A">
        <w:rPr>
          <w:rFonts w:ascii="Times New Roman" w:hAnsi="Times New Roman" w:cs="Times New Roman"/>
          <w:sz w:val="24"/>
          <w:szCs w:val="24"/>
        </w:rPr>
        <w:t xml:space="preserve">his requirement </w:t>
      </w:r>
      <w:r w:rsidR="00766B13" w:rsidRPr="00C1694A">
        <w:rPr>
          <w:rFonts w:ascii="Times New Roman" w:hAnsi="Times New Roman" w:cs="Times New Roman"/>
          <w:sz w:val="24"/>
          <w:szCs w:val="24"/>
        </w:rPr>
        <w:t>in paragraph (c)(1)(i)</w:t>
      </w:r>
      <w:r w:rsidRPr="00C1694A">
        <w:rPr>
          <w:rFonts w:ascii="Times New Roman" w:hAnsi="Times New Roman" w:cs="Times New Roman"/>
          <w:sz w:val="24"/>
          <w:szCs w:val="24"/>
        </w:rPr>
        <w:t xml:space="preserve">.  We believe this level of service delivery is central to a successful home-based model and therefore no changes are being made to allow home visits or group socializations to be replaced by medical or social service appointments for the purposes of meeting service duration minimums.  However, this does not limit the flexibility of programs to use scheduled home visit time to identify needs and schedule necessary medical or social service appointments.  Home visitors should have the flexibility to determine how to best meet their families’ immediate needs and still reach the minimum visits focused on child development and education.  However, we believe greater flexibility for meeting the number of group socializations is appropriate and changed the requirement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(c)(1)(ii) to clarify that the number of required group socializations are for each family, not each child</w:t>
      </w:r>
      <w:r w:rsidR="00315408" w:rsidRPr="00C1694A">
        <w:rPr>
          <w:rFonts w:ascii="Times New Roman" w:hAnsi="Times New Roman" w:cs="Times New Roman"/>
          <w:sz w:val="24"/>
          <w:szCs w:val="24"/>
        </w:rPr>
        <w:t>.</w:t>
      </w:r>
      <w:r w:rsidRPr="00C1694A">
        <w:rPr>
          <w:rFonts w:ascii="Times New Roman" w:hAnsi="Times New Roman" w:cs="Times New Roman"/>
          <w:sz w:val="24"/>
          <w:szCs w:val="24"/>
        </w:rPr>
        <w:t xml:space="preserve"> </w:t>
      </w:r>
      <w:r w:rsidR="00315408" w:rsidRPr="00C1694A">
        <w:rPr>
          <w:rFonts w:ascii="Times New Roman" w:hAnsi="Times New Roman" w:cs="Times New Roman"/>
          <w:sz w:val="24"/>
          <w:szCs w:val="24"/>
        </w:rPr>
        <w:t xml:space="preserve"> In addition, </w:t>
      </w:r>
      <w:r w:rsidRPr="00C1694A">
        <w:rPr>
          <w:rFonts w:ascii="Times New Roman" w:hAnsi="Times New Roman" w:cs="Times New Roman"/>
          <w:sz w:val="24"/>
          <w:szCs w:val="24"/>
        </w:rPr>
        <w:t xml:space="preserve">instead of prescribing two group socializations per month, the standards </w:t>
      </w:r>
      <w:r w:rsidR="00315408" w:rsidRPr="00C1694A">
        <w:rPr>
          <w:rFonts w:ascii="Times New Roman" w:hAnsi="Times New Roman" w:cs="Times New Roman"/>
          <w:sz w:val="24"/>
          <w:szCs w:val="24"/>
        </w:rPr>
        <w:t>require</w:t>
      </w:r>
      <w:r w:rsidRPr="00C1694A">
        <w:rPr>
          <w:rFonts w:ascii="Times New Roman" w:hAnsi="Times New Roman" w:cs="Times New Roman"/>
          <w:sz w:val="24"/>
          <w:szCs w:val="24"/>
        </w:rPr>
        <w:t xml:space="preserve"> </w:t>
      </w:r>
      <w:r w:rsidR="00E45F82" w:rsidRPr="00C1694A">
        <w:rPr>
          <w:rFonts w:ascii="Times New Roman" w:hAnsi="Times New Roman" w:cs="Times New Roman"/>
          <w:sz w:val="24"/>
          <w:szCs w:val="24"/>
        </w:rPr>
        <w:t>the group socializations to be distributed over the course of the program year</w:t>
      </w:r>
      <w:r w:rsidRPr="00C1694A">
        <w:rPr>
          <w:rFonts w:ascii="Times New Roman" w:hAnsi="Times New Roman" w:cs="Times New Roman"/>
          <w:sz w:val="24"/>
          <w:szCs w:val="24"/>
        </w:rPr>
        <w:t>.  Although we expect programs to space group socializations relatively evenly throughout the year, we believe this change will maintain high</w:t>
      </w:r>
      <w:r w:rsidR="00915289" w:rsidRPr="00C1694A">
        <w:rPr>
          <w:rFonts w:ascii="Times New Roman" w:hAnsi="Times New Roman" w:cs="Times New Roman"/>
          <w:sz w:val="24"/>
          <w:szCs w:val="24"/>
        </w:rPr>
        <w:t>-</w:t>
      </w:r>
      <w:r w:rsidRPr="00C1694A">
        <w:rPr>
          <w:rFonts w:ascii="Times New Roman" w:hAnsi="Times New Roman" w:cs="Times New Roman"/>
          <w:sz w:val="24"/>
          <w:szCs w:val="24"/>
        </w:rPr>
        <w:t xml:space="preserve">quality while allowing local flexibility to address shifting and unexpected needs and schedules of the families programs serve. To address the confusion about requirements to make up cancelled visits,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 xml:space="preserve">(c)(3) clarifies that a program must make up planned home visits or scheduled group socializations if canceled by the program in order to meet minimum service duration requirements, and that they should attempt to make up planned home visits when cancelled by the family.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questioned the need to require licensing for group socialization sites.  Commenters believed this requirement would put an unreasonable burden on programs by limiting the locations </w:t>
      </w:r>
      <w:r w:rsidR="00E45F82" w:rsidRPr="00C1694A">
        <w:rPr>
          <w:rFonts w:ascii="Times New Roman" w:hAnsi="Times New Roman" w:cs="Times New Roman"/>
          <w:sz w:val="24"/>
          <w:szCs w:val="24"/>
        </w:rPr>
        <w:t>for</w:t>
      </w:r>
      <w:r w:rsidRPr="00C1694A">
        <w:rPr>
          <w:rFonts w:ascii="Times New Roman" w:hAnsi="Times New Roman" w:cs="Times New Roman"/>
          <w:sz w:val="24"/>
          <w:szCs w:val="24"/>
        </w:rPr>
        <w:t xml:space="preserve"> socializations.  Many also stated that group socialization sites should only need to be licensed if they occur in Head Start facilities. Further, some commenters wanted clarification on the conflict between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Pr="00C1694A">
        <w:rPr>
          <w:rFonts w:ascii="Times New Roman" w:hAnsi="Times New Roman" w:cs="Times New Roman"/>
          <w:sz w:val="24"/>
          <w:szCs w:val="24"/>
        </w:rPr>
        <w:t>(a) and (d), noting that community facilities (including libraries and churches), homes, and field trip locations likely would not be licensed.</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The language to require licensing for group socialization sites exist</w:t>
      </w:r>
      <w:r w:rsidR="00766B13" w:rsidRPr="00C1694A">
        <w:rPr>
          <w:rFonts w:ascii="Times New Roman" w:hAnsi="Times New Roman" w:cs="Times New Roman"/>
          <w:sz w:val="24"/>
          <w:szCs w:val="24"/>
        </w:rPr>
        <w:t>ed</w:t>
      </w:r>
      <w:r w:rsidRPr="00C1694A">
        <w:rPr>
          <w:rFonts w:ascii="Times New Roman" w:hAnsi="Times New Roman" w:cs="Times New Roman"/>
          <w:sz w:val="24"/>
          <w:szCs w:val="24"/>
        </w:rPr>
        <w:t xml:space="preserve"> in </w:t>
      </w:r>
      <w:r w:rsidR="00C21B8F" w:rsidRPr="00C1694A">
        <w:rPr>
          <w:rFonts w:ascii="Times New Roman" w:hAnsi="Times New Roman" w:cs="Times New Roman"/>
          <w:sz w:val="24"/>
          <w:szCs w:val="24"/>
        </w:rPr>
        <w:t xml:space="preserve">the previous </w:t>
      </w:r>
      <w:r w:rsidRPr="00C1694A">
        <w:rPr>
          <w:rFonts w:ascii="Times New Roman" w:hAnsi="Times New Roman" w:cs="Times New Roman"/>
          <w:sz w:val="24"/>
          <w:szCs w:val="24"/>
        </w:rPr>
        <w:t xml:space="preserve">regulation, but we agree this is potentially confusing, unnecessarily limiting, and that not all group socialization sites need to be licensed.  However, we do believe it is important that all sites are safe for children and their families.  Therefore, </w:t>
      </w:r>
      <w:r w:rsidR="00AB37A5" w:rsidRPr="00C1694A">
        <w:rPr>
          <w:rFonts w:ascii="Times New Roman" w:hAnsi="Times New Roman" w:cs="Times New Roman"/>
          <w:sz w:val="24"/>
          <w:szCs w:val="24"/>
        </w:rPr>
        <w:t xml:space="preserve">to clarify our intent, </w:t>
      </w:r>
      <w:r w:rsidRPr="00C1694A">
        <w:rPr>
          <w:rFonts w:ascii="Times New Roman" w:hAnsi="Times New Roman" w:cs="Times New Roman"/>
          <w:sz w:val="24"/>
          <w:szCs w:val="24"/>
        </w:rPr>
        <w:t>we removed the proposed licensing requirement for group socialization sites and replaced it with</w:t>
      </w:r>
      <w:r w:rsidR="00AB37A5" w:rsidRPr="00C1694A">
        <w:rPr>
          <w:rFonts w:ascii="Times New Roman" w:hAnsi="Times New Roman" w:cs="Times New Roman"/>
          <w:sz w:val="24"/>
          <w:szCs w:val="24"/>
        </w:rPr>
        <w:t xml:space="preserve"> a requirement in paragraph (d) that the areas for lea</w:t>
      </w:r>
      <w:r w:rsidR="00D0552F" w:rsidRPr="00C1694A">
        <w:rPr>
          <w:rFonts w:ascii="Times New Roman" w:hAnsi="Times New Roman" w:cs="Times New Roman"/>
          <w:sz w:val="24"/>
          <w:szCs w:val="24"/>
        </w:rPr>
        <w:t>r</w:t>
      </w:r>
      <w:r w:rsidR="00AB37A5" w:rsidRPr="00C1694A">
        <w:rPr>
          <w:rFonts w:ascii="Times New Roman" w:hAnsi="Times New Roman" w:cs="Times New Roman"/>
          <w:sz w:val="24"/>
          <w:szCs w:val="24"/>
        </w:rPr>
        <w:t>ning, playing, sleeping, toileting, preparing food, and eating in facilities used for group socializations meet relevant safety standards.</w:t>
      </w:r>
      <w:r w:rsidRPr="00C1694A">
        <w:rPr>
          <w:rFonts w:ascii="Times New Roman" w:hAnsi="Times New Roman" w:cs="Times New Roman"/>
          <w:sz w:val="24"/>
          <w:szCs w:val="24"/>
        </w:rPr>
        <w:t xml:space="preserve"> </w:t>
      </w:r>
    </w:p>
    <w:p w:rsidR="00265BE9" w:rsidRPr="00C1694A" w:rsidRDefault="00265BE9"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wrote in reference to the proposal in paragraph (b) that “programs must maintain appropriate ratios during all hours of program operation” and noted this language was unnecessary for the home-based option.</w:t>
      </w:r>
    </w:p>
    <w:p w:rsidR="00265BE9" w:rsidRPr="00C1694A" w:rsidRDefault="00265BE9"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We agree that including ratio requirements for the home-based option was an error and </w:t>
      </w:r>
      <w:r w:rsidR="00F1654B" w:rsidRPr="00C1694A">
        <w:rPr>
          <w:rFonts w:ascii="Times New Roman" w:hAnsi="Times New Roman" w:cs="Times New Roman"/>
          <w:sz w:val="24"/>
          <w:szCs w:val="24"/>
        </w:rPr>
        <w:t xml:space="preserve">removed </w:t>
      </w:r>
      <w:r w:rsidRPr="00C1694A">
        <w:rPr>
          <w:rFonts w:ascii="Times New Roman" w:hAnsi="Times New Roman" w:cs="Times New Roman"/>
          <w:sz w:val="24"/>
          <w:szCs w:val="24"/>
        </w:rPr>
        <w:t xml:space="preserve">that requirement.  </w:t>
      </w:r>
    </w:p>
    <w:p w:rsidR="009D7EB0" w:rsidRPr="00C1694A" w:rsidRDefault="009D7EB0"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§1302.23 Family child care option.</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defines the family child care setting and the relationship between the program and the family child care provider, and sets requirements for ratios, group size, service duration, licensing, and the involvement of a child development specialist.  Within this section, commenters asked for clarity </w:t>
      </w:r>
      <w:r w:rsidR="003932B7" w:rsidRPr="00C1694A">
        <w:rPr>
          <w:rFonts w:ascii="Times New Roman" w:hAnsi="Times New Roman" w:cs="Times New Roman"/>
          <w:sz w:val="24"/>
          <w:szCs w:val="24"/>
        </w:rPr>
        <w:t>regarding</w:t>
      </w:r>
      <w:r w:rsidRPr="00C1694A">
        <w:rPr>
          <w:rFonts w:ascii="Times New Roman" w:hAnsi="Times New Roman" w:cs="Times New Roman"/>
          <w:sz w:val="24"/>
          <w:szCs w:val="24"/>
        </w:rPr>
        <w:t xml:space="preserve"> the relationship with the family child care providers and the program or the requirements for ratios and group size.</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As described in the preamble for </w:t>
      </w:r>
      <w:r w:rsidR="001C0EF8" w:rsidRPr="00C1694A">
        <w:rPr>
          <w:rFonts w:ascii="Times New Roman" w:hAnsi="Times New Roman" w:cs="Times New Roman"/>
          <w:sz w:val="24"/>
          <w:szCs w:val="24"/>
        </w:rPr>
        <w:t>§</w:t>
      </w:r>
      <w:r w:rsidRPr="00C1694A">
        <w:rPr>
          <w:rFonts w:ascii="Times New Roman" w:hAnsi="Times New Roman" w:cs="Times New Roman"/>
          <w:sz w:val="24"/>
          <w:szCs w:val="24"/>
        </w:rPr>
        <w:t xml:space="preserve">1302.21, we received many comments on the service duration requirements for center-based and family child care programs, some in favor and some opposed. The comments typically addressed the service duration proposal generally without explicitly referring to the family child care option. </w:t>
      </w:r>
    </w:p>
    <w:p w:rsidR="003932B7"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F1654B" w:rsidRPr="00C1694A">
        <w:rPr>
          <w:rFonts w:ascii="Times New Roman" w:hAnsi="Times New Roman" w:cs="Times New Roman"/>
          <w:sz w:val="24"/>
          <w:szCs w:val="24"/>
        </w:rPr>
        <w:t xml:space="preserve">Because the previous program performance standards required </w:t>
      </w:r>
      <w:r w:rsidR="00C8150D" w:rsidRPr="00C1694A">
        <w:rPr>
          <w:rFonts w:ascii="Times New Roman" w:hAnsi="Times New Roman" w:cs="Times New Roman"/>
          <w:sz w:val="24"/>
          <w:szCs w:val="24"/>
        </w:rPr>
        <w:t xml:space="preserve">that </w:t>
      </w:r>
      <w:r w:rsidR="00F1654B" w:rsidRPr="00C1694A">
        <w:rPr>
          <w:rFonts w:ascii="Times New Roman" w:hAnsi="Times New Roman" w:cs="Times New Roman"/>
          <w:sz w:val="24"/>
          <w:szCs w:val="24"/>
        </w:rPr>
        <w:t>family child care programs operate for hours that meet the needs of families, n</w:t>
      </w:r>
      <w:r w:rsidRPr="00C1694A">
        <w:rPr>
          <w:rFonts w:ascii="Times New Roman" w:hAnsi="Times New Roman" w:cs="Times New Roman"/>
          <w:sz w:val="24"/>
          <w:szCs w:val="24"/>
        </w:rPr>
        <w:t xml:space="preserve">early all family child care providers </w:t>
      </w:r>
      <w:r w:rsidR="00F1654B" w:rsidRPr="00C1694A">
        <w:rPr>
          <w:rFonts w:ascii="Times New Roman" w:hAnsi="Times New Roman" w:cs="Times New Roman"/>
          <w:sz w:val="24"/>
          <w:szCs w:val="24"/>
        </w:rPr>
        <w:t xml:space="preserve">already </w:t>
      </w:r>
      <w:r w:rsidRPr="00C1694A">
        <w:rPr>
          <w:rFonts w:ascii="Times New Roman" w:hAnsi="Times New Roman" w:cs="Times New Roman"/>
          <w:sz w:val="24"/>
          <w:szCs w:val="24"/>
        </w:rPr>
        <w:t>meet the increased duration requirements of 1,020 annual hours for Head Start and 1,380 annual hours for Early Head Start</w:t>
      </w:r>
      <w:r w:rsidR="00F1654B" w:rsidRPr="00C1694A">
        <w:rPr>
          <w:rFonts w:ascii="Times New Roman" w:hAnsi="Times New Roman" w:cs="Times New Roman"/>
          <w:sz w:val="24"/>
          <w:szCs w:val="24"/>
        </w:rPr>
        <w:t>.</w:t>
      </w:r>
      <w:r w:rsidR="00766B13" w:rsidRPr="00C1694A">
        <w:rPr>
          <w:rFonts w:ascii="Times New Roman" w:hAnsi="Times New Roman" w:cs="Times New Roman"/>
          <w:sz w:val="24"/>
          <w:szCs w:val="24"/>
        </w:rPr>
        <w:t xml:space="preserve"> </w:t>
      </w:r>
      <w:r w:rsidR="00F1654B" w:rsidRPr="00C1694A">
        <w:rPr>
          <w:rFonts w:ascii="Times New Roman" w:hAnsi="Times New Roman" w:cs="Times New Roman"/>
          <w:sz w:val="24"/>
          <w:szCs w:val="24"/>
        </w:rPr>
        <w:t>I</w:t>
      </w:r>
      <w:r w:rsidR="00766B13" w:rsidRPr="00C1694A">
        <w:rPr>
          <w:rFonts w:ascii="Times New Roman" w:hAnsi="Times New Roman" w:cs="Times New Roman"/>
          <w:sz w:val="24"/>
          <w:szCs w:val="24"/>
        </w:rPr>
        <w:t>n fact, most family child care programs provide many more hours than these minimums to meet family needs</w:t>
      </w:r>
      <w:r w:rsidRPr="00C1694A">
        <w:rPr>
          <w:rFonts w:ascii="Times New Roman" w:hAnsi="Times New Roman" w:cs="Times New Roman"/>
          <w:sz w:val="24"/>
          <w:szCs w:val="24"/>
        </w:rPr>
        <w:t>.</w:t>
      </w:r>
      <w:r w:rsidR="00281BD9" w:rsidRPr="00C1694A">
        <w:rPr>
          <w:rFonts w:ascii="Times New Roman" w:hAnsi="Times New Roman" w:cs="Times New Roman"/>
          <w:sz w:val="24"/>
          <w:szCs w:val="24"/>
        </w:rPr>
        <w:t xml:space="preserve">  </w:t>
      </w:r>
      <w:r w:rsidR="00766B13" w:rsidRPr="00C1694A">
        <w:rPr>
          <w:rFonts w:ascii="Times New Roman" w:hAnsi="Times New Roman" w:cs="Times New Roman"/>
          <w:sz w:val="24"/>
          <w:szCs w:val="24"/>
        </w:rPr>
        <w:t xml:space="preserve"> </w:t>
      </w:r>
      <w:r w:rsidR="00F63803" w:rsidRPr="00C1694A">
        <w:rPr>
          <w:rFonts w:ascii="Times New Roman" w:hAnsi="Times New Roman" w:cs="Times New Roman"/>
          <w:sz w:val="24"/>
          <w:szCs w:val="24"/>
        </w:rPr>
        <w:t xml:space="preserve">Therefore, we </w:t>
      </w:r>
      <w:r w:rsidRPr="00C1694A">
        <w:rPr>
          <w:rFonts w:ascii="Times New Roman" w:hAnsi="Times New Roman" w:cs="Times New Roman"/>
          <w:sz w:val="24"/>
          <w:szCs w:val="24"/>
        </w:rPr>
        <w:t xml:space="preserve">removed the service duration requirements in §1302.23(c) proposed in the NPRM, </w:t>
      </w:r>
      <w:r w:rsidR="00766B13" w:rsidRPr="00C1694A">
        <w:rPr>
          <w:rFonts w:ascii="Times New Roman" w:hAnsi="Times New Roman" w:cs="Times New Roman"/>
          <w:sz w:val="24"/>
          <w:szCs w:val="24"/>
        </w:rPr>
        <w:t xml:space="preserve">and </w:t>
      </w:r>
      <w:r w:rsidR="00F63803" w:rsidRPr="00C1694A">
        <w:rPr>
          <w:rFonts w:ascii="Times New Roman" w:hAnsi="Times New Roman" w:cs="Times New Roman"/>
          <w:sz w:val="24"/>
          <w:szCs w:val="24"/>
        </w:rPr>
        <w:t xml:space="preserve">instead require </w:t>
      </w:r>
      <w:r w:rsidR="00C8150D" w:rsidRPr="00C1694A">
        <w:rPr>
          <w:rFonts w:ascii="Times New Roman" w:hAnsi="Times New Roman" w:cs="Times New Roman"/>
          <w:sz w:val="24"/>
          <w:szCs w:val="24"/>
        </w:rPr>
        <w:t xml:space="preserve">that </w:t>
      </w:r>
      <w:r w:rsidR="00F63803" w:rsidRPr="00C1694A">
        <w:rPr>
          <w:rFonts w:ascii="Times New Roman" w:hAnsi="Times New Roman" w:cs="Times New Roman"/>
          <w:sz w:val="24"/>
          <w:szCs w:val="24"/>
        </w:rPr>
        <w:t>family child</w:t>
      </w:r>
      <w:r w:rsidR="00CA409C" w:rsidRPr="00C1694A">
        <w:rPr>
          <w:rFonts w:ascii="Times New Roman" w:hAnsi="Times New Roman" w:cs="Times New Roman"/>
          <w:sz w:val="24"/>
          <w:szCs w:val="24"/>
        </w:rPr>
        <w:t xml:space="preserve"> </w:t>
      </w:r>
      <w:r w:rsidR="00F63803" w:rsidRPr="00C1694A">
        <w:rPr>
          <w:rFonts w:ascii="Times New Roman" w:hAnsi="Times New Roman" w:cs="Times New Roman"/>
          <w:sz w:val="24"/>
          <w:szCs w:val="24"/>
        </w:rPr>
        <w:t xml:space="preserve">care programs </w:t>
      </w:r>
      <w:r w:rsidR="00C8150D" w:rsidRPr="00C1694A">
        <w:rPr>
          <w:rFonts w:ascii="Times New Roman" w:hAnsi="Times New Roman" w:cs="Times New Roman"/>
          <w:sz w:val="24"/>
          <w:szCs w:val="24"/>
        </w:rPr>
        <w:t xml:space="preserve">must </w:t>
      </w:r>
      <w:r w:rsidR="00766B13" w:rsidRPr="00C1694A">
        <w:rPr>
          <w:rFonts w:ascii="Times New Roman" w:hAnsi="Times New Roman" w:cs="Times New Roman"/>
          <w:sz w:val="24"/>
          <w:szCs w:val="24"/>
        </w:rPr>
        <w:t>operate</w:t>
      </w:r>
      <w:r w:rsidRPr="00C1694A">
        <w:rPr>
          <w:rFonts w:ascii="Times New Roman" w:hAnsi="Times New Roman" w:cs="Times New Roman"/>
          <w:sz w:val="24"/>
          <w:szCs w:val="24"/>
        </w:rPr>
        <w:t xml:space="preserve"> for sufficient hours to meet the child care needs of families</w:t>
      </w:r>
      <w:r w:rsidR="005B13E1" w:rsidRPr="00C1694A">
        <w:rPr>
          <w:rFonts w:ascii="Times New Roman" w:hAnsi="Times New Roman" w:cs="Times New Roman"/>
          <w:sz w:val="24"/>
          <w:szCs w:val="24"/>
        </w:rPr>
        <w:t xml:space="preserve"> and cannot operate for less than 1,380 hours per year</w:t>
      </w:r>
      <w:r w:rsidR="00630A4A" w:rsidRPr="00C1694A">
        <w:rPr>
          <w:rFonts w:ascii="Times New Roman" w:hAnsi="Times New Roman" w:cs="Times New Roman"/>
          <w:sz w:val="24"/>
          <w:szCs w:val="24"/>
        </w:rPr>
        <w:t xml:space="preserve"> </w:t>
      </w:r>
      <w:r w:rsidR="00766B13" w:rsidRPr="00C1694A">
        <w:rPr>
          <w:rFonts w:ascii="Times New Roman" w:hAnsi="Times New Roman" w:cs="Times New Roman"/>
          <w:sz w:val="24"/>
          <w:szCs w:val="24"/>
        </w:rPr>
        <w:t>in paragraph (c)</w:t>
      </w:r>
      <w:r w:rsidRPr="00C1694A">
        <w:rPr>
          <w:rFonts w:ascii="Times New Roman" w:hAnsi="Times New Roman" w:cs="Times New Roman"/>
          <w:sz w:val="24"/>
          <w:szCs w:val="24"/>
        </w:rPr>
        <w:t xml:space="preserve">.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had concerns or questions about requirements specifically related to programs that operate in a family child care setting.  Some commenters supported the family child care employment requirements </w:t>
      </w:r>
      <w:r w:rsidR="003932B7" w:rsidRPr="00C1694A">
        <w:rPr>
          <w:rFonts w:ascii="Times New Roman" w:hAnsi="Times New Roman" w:cs="Times New Roman"/>
          <w:sz w:val="24"/>
          <w:szCs w:val="24"/>
        </w:rPr>
        <w:t>in paragraph (a)(1)</w:t>
      </w:r>
      <w:r w:rsidRPr="00C1694A">
        <w:rPr>
          <w:rFonts w:ascii="Times New Roman" w:hAnsi="Times New Roman" w:cs="Times New Roman"/>
          <w:sz w:val="24"/>
          <w:szCs w:val="24"/>
        </w:rPr>
        <w:t xml:space="preserve"> because it is important to ensure transparency and a successful partnership.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the need for greater clarity regarding the ability for programs to either employ or contract with family child care providers.  Others opposed the requirement that the program be the employer of the family child </w:t>
      </w:r>
      <w:r w:rsidR="003932B7" w:rsidRPr="00C1694A">
        <w:rPr>
          <w:rFonts w:ascii="Times New Roman" w:hAnsi="Times New Roman" w:cs="Times New Roman"/>
          <w:sz w:val="24"/>
          <w:szCs w:val="24"/>
        </w:rPr>
        <w:t>care provider, stating that it wa</w:t>
      </w:r>
      <w:r w:rsidRPr="00C1694A">
        <w:rPr>
          <w:rFonts w:ascii="Times New Roman" w:hAnsi="Times New Roman" w:cs="Times New Roman"/>
          <w:sz w:val="24"/>
          <w:szCs w:val="24"/>
        </w:rPr>
        <w:t xml:space="preserve">s overly restrictive and could hinder innovative employment strategies.  Some sought additional guidance and other commenters were unclear about, opposed to, or had concerns about the </w:t>
      </w:r>
      <w:r w:rsidR="003932B7" w:rsidRPr="00C1694A">
        <w:rPr>
          <w:rFonts w:ascii="Times New Roman" w:hAnsi="Times New Roman" w:cs="Times New Roman"/>
          <w:sz w:val="24"/>
          <w:szCs w:val="24"/>
        </w:rPr>
        <w:t>proposed</w:t>
      </w:r>
      <w:r w:rsidRPr="00C1694A">
        <w:rPr>
          <w:rFonts w:ascii="Times New Roman" w:hAnsi="Times New Roman" w:cs="Times New Roman"/>
          <w:sz w:val="24"/>
          <w:szCs w:val="24"/>
        </w:rPr>
        <w:t xml:space="preserve"> “legally binding agreement” between the program and family child care providers, and recommended </w:t>
      </w:r>
      <w:r w:rsidR="003932B7" w:rsidRPr="00C1694A">
        <w:rPr>
          <w:rFonts w:ascii="Times New Roman" w:hAnsi="Times New Roman" w:cs="Times New Roman"/>
          <w:sz w:val="24"/>
          <w:szCs w:val="24"/>
        </w:rPr>
        <w:t>we</w:t>
      </w:r>
      <w:r w:rsidRPr="00C1694A">
        <w:rPr>
          <w:rFonts w:ascii="Times New Roman" w:hAnsi="Times New Roman" w:cs="Times New Roman"/>
          <w:sz w:val="24"/>
          <w:szCs w:val="24"/>
        </w:rPr>
        <w:t xml:space="preserve"> define this phrase.</w:t>
      </w:r>
    </w:p>
    <w:p w:rsidR="009D7EB0" w:rsidRPr="00C1694A" w:rsidRDefault="00AC4618"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Some </w:t>
      </w:r>
      <w:r w:rsidR="009D7EB0" w:rsidRPr="00C1694A">
        <w:rPr>
          <w:rFonts w:ascii="Times New Roman" w:hAnsi="Times New Roman" w:cs="Times New Roman"/>
          <w:sz w:val="24"/>
          <w:szCs w:val="24"/>
        </w:rPr>
        <w:t xml:space="preserve">commenters requested general clarity on the family child care option section, including requirements for ratios and group sizes, as well as expectations for identifying alternate sources of funding for extended hours and expectations under </w:t>
      </w:r>
      <w:r w:rsidR="001C0EF8" w:rsidRPr="00C1694A">
        <w:rPr>
          <w:rFonts w:ascii="Times New Roman" w:hAnsi="Times New Roman" w:cs="Times New Roman"/>
          <w:sz w:val="24"/>
          <w:szCs w:val="24"/>
        </w:rPr>
        <w:t xml:space="preserve">paragraph </w:t>
      </w:r>
      <w:r w:rsidR="009D7EB0" w:rsidRPr="00C1694A">
        <w:rPr>
          <w:rFonts w:ascii="Times New Roman" w:hAnsi="Times New Roman" w:cs="Times New Roman"/>
          <w:sz w:val="24"/>
          <w:szCs w:val="24"/>
        </w:rPr>
        <w:t>(a)(2) regarding accessibility and the definition of “as appropriate.”  A commenter recommended that grantees be required to annually share a list of their family child care contracts with the State Collaboration Office for better collaboration with the subsidy program.</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adjusted the language in </w:t>
      </w:r>
      <w:r w:rsidR="001C0EF8"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(a)(1) to clarify that a program must either have a legally binding agreement with family child care providers or be the employer of the provider(s). We also considered terminology that could be used in place of “legally binding agreement,” such as “legally enforceable agreement or contract,” but determined that the original phrase accurately represents the necessary legal relationship and is inclusive of contracts.  We also adjusted the language in </w:t>
      </w:r>
      <w:r w:rsidR="001C0EF8"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(a)(2) to clarify that programs using the family child care option need to be able to accommodate children and families wi</w:t>
      </w:r>
      <w:r w:rsidR="003932B7" w:rsidRPr="00C1694A">
        <w:rPr>
          <w:rFonts w:ascii="Times New Roman" w:hAnsi="Times New Roman" w:cs="Times New Roman"/>
          <w:sz w:val="24"/>
          <w:szCs w:val="24"/>
        </w:rPr>
        <w:t>th disabilities. Additionally, w</w:t>
      </w:r>
      <w:r w:rsidRPr="00C1694A">
        <w:rPr>
          <w:rFonts w:ascii="Times New Roman" w:hAnsi="Times New Roman" w:cs="Times New Roman"/>
          <w:sz w:val="24"/>
          <w:szCs w:val="24"/>
        </w:rPr>
        <w:t xml:space="preserve">e </w:t>
      </w:r>
      <w:r w:rsidR="00766B13" w:rsidRPr="00C1694A">
        <w:rPr>
          <w:rFonts w:ascii="Times New Roman" w:hAnsi="Times New Roman" w:cs="Times New Roman"/>
          <w:sz w:val="24"/>
          <w:szCs w:val="24"/>
        </w:rPr>
        <w:t>revised</w:t>
      </w:r>
      <w:r w:rsidRPr="00C1694A">
        <w:rPr>
          <w:rFonts w:ascii="Times New Roman" w:hAnsi="Times New Roman" w:cs="Times New Roman"/>
          <w:sz w:val="24"/>
          <w:szCs w:val="24"/>
        </w:rPr>
        <w:t xml:space="preserve"> </w:t>
      </w:r>
      <w:r w:rsidR="001C0EF8"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(b) to improve clarity of the ratio and group size requirements for the family child care option.  We will not require grantees to share a list of family child care contracts with the State Collaboration Office as we do not believe that this is necessary for successful collaboration with subsidy programs.</w:t>
      </w:r>
    </w:p>
    <w:p w:rsidR="00224C86" w:rsidRPr="00C1694A" w:rsidRDefault="00224C86"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asked for clarification about </w:t>
      </w:r>
      <w:r w:rsidR="00766B13" w:rsidRPr="00C1694A">
        <w:rPr>
          <w:rFonts w:ascii="Times New Roman" w:hAnsi="Times New Roman" w:cs="Times New Roman"/>
          <w:sz w:val="24"/>
          <w:szCs w:val="24"/>
        </w:rPr>
        <w:t>the standard in paragraph (b)(4) that requires fa</w:t>
      </w:r>
      <w:r w:rsidRPr="00C1694A">
        <w:rPr>
          <w:rFonts w:ascii="Times New Roman" w:hAnsi="Times New Roman" w:cs="Times New Roman"/>
          <w:sz w:val="24"/>
          <w:szCs w:val="24"/>
        </w:rPr>
        <w:t xml:space="preserve">mily child care </w:t>
      </w:r>
      <w:r w:rsidR="00766B13" w:rsidRPr="00C1694A">
        <w:rPr>
          <w:rFonts w:ascii="Times New Roman" w:hAnsi="Times New Roman" w:cs="Times New Roman"/>
          <w:sz w:val="24"/>
          <w:szCs w:val="24"/>
        </w:rPr>
        <w:t>programs to main</w:t>
      </w:r>
      <w:r w:rsidRPr="00C1694A">
        <w:rPr>
          <w:rFonts w:ascii="Times New Roman" w:hAnsi="Times New Roman" w:cs="Times New Roman"/>
          <w:sz w:val="24"/>
          <w:szCs w:val="24"/>
        </w:rPr>
        <w:t>tain appropriate ratios d</w:t>
      </w:r>
      <w:r w:rsidR="00766B13" w:rsidRPr="00C1694A">
        <w:rPr>
          <w:rFonts w:ascii="Times New Roman" w:hAnsi="Times New Roman" w:cs="Times New Roman"/>
          <w:sz w:val="24"/>
          <w:szCs w:val="24"/>
        </w:rPr>
        <w:t>uring all hours of operation</w:t>
      </w:r>
      <w:r w:rsidRPr="00C1694A">
        <w:rPr>
          <w:rFonts w:ascii="Times New Roman" w:hAnsi="Times New Roman" w:cs="Times New Roman"/>
          <w:sz w:val="24"/>
          <w:szCs w:val="24"/>
        </w:rPr>
        <w:t xml:space="preserve">.  </w:t>
      </w:r>
    </w:p>
    <w:p w:rsidR="00044E00" w:rsidRPr="00C1694A" w:rsidRDefault="00224C86"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00F1654B" w:rsidRPr="00C1694A">
        <w:rPr>
          <w:rFonts w:ascii="Times New Roman" w:hAnsi="Times New Roman" w:cs="Times New Roman"/>
          <w:sz w:val="24"/>
          <w:szCs w:val="24"/>
        </w:rPr>
        <w:t>In paragraph (b)(4), w</w:t>
      </w:r>
      <w:r w:rsidRPr="00C1694A">
        <w:rPr>
          <w:rFonts w:ascii="Times New Roman" w:hAnsi="Times New Roman" w:cs="Times New Roman"/>
          <w:sz w:val="24"/>
          <w:szCs w:val="24"/>
        </w:rPr>
        <w:t>e</w:t>
      </w:r>
      <w:r w:rsidR="00F1654B" w:rsidRPr="00C1694A">
        <w:rPr>
          <w:rFonts w:ascii="Times New Roman" w:hAnsi="Times New Roman" w:cs="Times New Roman"/>
          <w:sz w:val="24"/>
          <w:szCs w:val="24"/>
        </w:rPr>
        <w:t xml:space="preserve"> restored standards from the previous rule to clarify how family child care programs maintain appropriate ratios.  Specifically, we</w:t>
      </w:r>
      <w:r w:rsidRPr="00C1694A">
        <w:rPr>
          <w:rFonts w:ascii="Times New Roman" w:hAnsi="Times New Roman" w:cs="Times New Roman"/>
          <w:sz w:val="24"/>
          <w:szCs w:val="24"/>
        </w:rPr>
        <w:t xml:space="preserve"> revised paragraph (b)(4) to require programs to make substitute staff and assistant providers </w:t>
      </w:r>
      <w:r w:rsidR="00316B10" w:rsidRPr="00C1694A">
        <w:rPr>
          <w:rFonts w:ascii="Times New Roman" w:hAnsi="Times New Roman" w:cs="Times New Roman"/>
          <w:sz w:val="24"/>
          <w:szCs w:val="24"/>
        </w:rPr>
        <w:t>available</w:t>
      </w:r>
      <w:r w:rsidR="00F1654B" w:rsidRPr="00C1694A">
        <w:rPr>
          <w:rFonts w:ascii="Times New Roman" w:hAnsi="Times New Roman" w:cs="Times New Roman"/>
          <w:sz w:val="24"/>
          <w:szCs w:val="24"/>
        </w:rPr>
        <w:t xml:space="preserve"> and</w:t>
      </w:r>
      <w:r w:rsidR="00316B10" w:rsidRPr="00C1694A">
        <w:rPr>
          <w:rFonts w:ascii="Times New Roman" w:hAnsi="Times New Roman" w:cs="Times New Roman"/>
          <w:sz w:val="24"/>
          <w:szCs w:val="24"/>
        </w:rPr>
        <w:t xml:space="preserve"> required a family child care program to ensure providers have systems to ensure the safety of any child not within view for any period.  </w:t>
      </w:r>
    </w:p>
    <w:p w:rsidR="009D7EB0" w:rsidRPr="00C1694A" w:rsidRDefault="009D7EB0" w:rsidP="0038706E">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§1302.24 Locally-designed program option variations.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describes the requirements for programs to request a waiver to operate a locally designed program option.  The comments </w:t>
      </w:r>
      <w:r w:rsidR="00766B13" w:rsidRPr="00C1694A">
        <w:rPr>
          <w:rFonts w:ascii="Times New Roman" w:hAnsi="Times New Roman" w:cs="Times New Roman"/>
          <w:sz w:val="24"/>
          <w:szCs w:val="24"/>
        </w:rPr>
        <w:t xml:space="preserve">we </w:t>
      </w:r>
      <w:r w:rsidRPr="00C1694A">
        <w:rPr>
          <w:rFonts w:ascii="Times New Roman" w:hAnsi="Times New Roman" w:cs="Times New Roman"/>
          <w:sz w:val="24"/>
          <w:szCs w:val="24"/>
        </w:rPr>
        <w:t xml:space="preserve">received </w:t>
      </w:r>
      <w:r w:rsidR="003932B7" w:rsidRPr="00C1694A">
        <w:rPr>
          <w:rFonts w:ascii="Times New Roman" w:hAnsi="Times New Roman" w:cs="Times New Roman"/>
          <w:sz w:val="24"/>
          <w:szCs w:val="24"/>
        </w:rPr>
        <w:t>on</w:t>
      </w:r>
      <w:r w:rsidRPr="00C1694A">
        <w:rPr>
          <w:rFonts w:ascii="Times New Roman" w:hAnsi="Times New Roman" w:cs="Times New Roman"/>
          <w:sz w:val="24"/>
          <w:szCs w:val="24"/>
        </w:rPr>
        <w:t xml:space="preserve"> this section </w:t>
      </w:r>
      <w:r w:rsidR="00766B13" w:rsidRPr="00C1694A">
        <w:rPr>
          <w:rFonts w:ascii="Times New Roman" w:hAnsi="Times New Roman" w:cs="Times New Roman"/>
          <w:sz w:val="24"/>
          <w:szCs w:val="24"/>
        </w:rPr>
        <w:t xml:space="preserve">mainly </w:t>
      </w:r>
      <w:r w:rsidRPr="00C1694A">
        <w:rPr>
          <w:rFonts w:ascii="Times New Roman" w:hAnsi="Times New Roman" w:cs="Times New Roman"/>
          <w:sz w:val="24"/>
          <w:szCs w:val="24"/>
        </w:rPr>
        <w:t>addressed the timeline and process for approval of waivers.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expressed a range of opinions on the proposed locally-designed option waiver process.  Some commenters were in favor of requiring a waiver based on evidence of community needs and child progress, and noted these requirements would promote accountability, objectivity, and continuous improvement for grantees in evaluating their program design, but still allow for innovation.  Others were concerned about the process being burdensome and time-consuming and recommended alternative periods and processes for approval.  Commenters were concerned that the criteria that would be used to approve or deny waivers for locally-designed program options would be</w:t>
      </w:r>
      <w:r w:rsidR="003932B7" w:rsidRPr="00C1694A">
        <w:rPr>
          <w:rFonts w:ascii="Times New Roman" w:hAnsi="Times New Roman" w:cs="Times New Roman"/>
          <w:sz w:val="24"/>
          <w:szCs w:val="24"/>
        </w:rPr>
        <w:t xml:space="preserve"> inconsistent </w:t>
      </w:r>
      <w:r w:rsidRPr="00C1694A">
        <w:rPr>
          <w:rFonts w:ascii="Times New Roman" w:hAnsi="Times New Roman" w:cs="Times New Roman"/>
          <w:sz w:val="24"/>
          <w:szCs w:val="24"/>
        </w:rPr>
        <w:t xml:space="preserve">or unfair and requested clarification about what evidence of outcomes would be sufficient to </w:t>
      </w:r>
      <w:r w:rsidR="003932B7" w:rsidRPr="00C1694A">
        <w:rPr>
          <w:rFonts w:ascii="Times New Roman" w:hAnsi="Times New Roman" w:cs="Times New Roman"/>
          <w:sz w:val="24"/>
          <w:szCs w:val="24"/>
        </w:rPr>
        <w:t xml:space="preserve">justify approval of a waiver.  </w:t>
      </w:r>
      <w:r w:rsidRPr="00C1694A">
        <w:rPr>
          <w:rFonts w:ascii="Times New Roman" w:hAnsi="Times New Roman" w:cs="Times New Roman"/>
          <w:sz w:val="24"/>
          <w:szCs w:val="24"/>
        </w:rPr>
        <w:t xml:space="preserve">Commenters expressed concern about waivers being approved in a timely manner.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Commenters also recommended changes to limit the use of waivers.  Some commenters recommended locally-designed options should be standard program options and should not require a waiver.  Others recommended retaining all program options from </w:t>
      </w:r>
      <w:r w:rsidR="00C21B8F" w:rsidRPr="00C1694A">
        <w:rPr>
          <w:rFonts w:ascii="Times New Roman" w:hAnsi="Times New Roman" w:cs="Times New Roman"/>
          <w:sz w:val="24"/>
          <w:szCs w:val="24"/>
        </w:rPr>
        <w:t xml:space="preserve">the previous </w:t>
      </w:r>
      <w:r w:rsidRPr="00C1694A">
        <w:rPr>
          <w:rFonts w:ascii="Times New Roman" w:hAnsi="Times New Roman" w:cs="Times New Roman"/>
          <w:sz w:val="24"/>
          <w:szCs w:val="24"/>
        </w:rPr>
        <w:t xml:space="preserve">regulation as standard options instead of requiring a waiver, or other structures such as having a number of standard duration options that would include part-day/part-year services.  </w:t>
      </w:r>
    </w:p>
    <w:p w:rsidR="009D7EB0" w:rsidRPr="00C1694A" w:rsidRDefault="00AC4618"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Some </w:t>
      </w:r>
      <w:r w:rsidR="009D7EB0" w:rsidRPr="00C1694A">
        <w:rPr>
          <w:rFonts w:ascii="Times New Roman" w:hAnsi="Times New Roman" w:cs="Times New Roman"/>
          <w:sz w:val="24"/>
          <w:szCs w:val="24"/>
        </w:rPr>
        <w:t>commenters expressed support for requiring approval for a</w:t>
      </w:r>
      <w:r w:rsidR="00766B13" w:rsidRPr="00C1694A">
        <w:rPr>
          <w:rFonts w:ascii="Times New Roman" w:hAnsi="Times New Roman" w:cs="Times New Roman"/>
          <w:sz w:val="24"/>
          <w:szCs w:val="24"/>
        </w:rPr>
        <w:t xml:space="preserve"> locally-designed option every two</w:t>
      </w:r>
      <w:r w:rsidR="009D7EB0" w:rsidRPr="00C1694A">
        <w:rPr>
          <w:rFonts w:ascii="Times New Roman" w:hAnsi="Times New Roman" w:cs="Times New Roman"/>
          <w:sz w:val="24"/>
          <w:szCs w:val="24"/>
        </w:rPr>
        <w:t xml:space="preserve"> years, particularly for programs that would seek to waive the requirements for increased service duration, but others opposed this requirement because it would be too burdensome for programs and suggested longer approval periods.  Many of</w:t>
      </w:r>
      <w:r w:rsidR="00766B13" w:rsidRPr="00C1694A">
        <w:rPr>
          <w:rFonts w:ascii="Times New Roman" w:hAnsi="Times New Roman" w:cs="Times New Roman"/>
          <w:sz w:val="24"/>
          <w:szCs w:val="24"/>
        </w:rPr>
        <w:t xml:space="preserve"> these commenters recommended a five</w:t>
      </w:r>
      <w:r w:rsidR="009D7EB0" w:rsidRPr="00C1694A">
        <w:rPr>
          <w:rFonts w:ascii="Times New Roman" w:hAnsi="Times New Roman" w:cs="Times New Roman"/>
          <w:sz w:val="24"/>
          <w:szCs w:val="24"/>
        </w:rPr>
        <w:t>-year period of approval that would align with th</w:t>
      </w:r>
      <w:r w:rsidR="00766B13" w:rsidRPr="00C1694A">
        <w:rPr>
          <w:rFonts w:ascii="Times New Roman" w:hAnsi="Times New Roman" w:cs="Times New Roman"/>
          <w:sz w:val="24"/>
          <w:szCs w:val="24"/>
        </w:rPr>
        <w:t>e community assessment and the five</w:t>
      </w:r>
      <w:r w:rsidR="009D7EB0" w:rsidRPr="00C1694A">
        <w:rPr>
          <w:rFonts w:ascii="Times New Roman" w:hAnsi="Times New Roman" w:cs="Times New Roman"/>
          <w:sz w:val="24"/>
          <w:szCs w:val="24"/>
        </w:rPr>
        <w:t xml:space="preserve">-year grant cycle and would strike a better balance between accountability and burden.  </w:t>
      </w:r>
      <w:r w:rsidRPr="00C1694A">
        <w:rPr>
          <w:rFonts w:ascii="Times New Roman" w:hAnsi="Times New Roman" w:cs="Times New Roman"/>
          <w:sz w:val="24"/>
          <w:szCs w:val="24"/>
        </w:rPr>
        <w:t xml:space="preserve">Some </w:t>
      </w:r>
      <w:r w:rsidR="009D7EB0" w:rsidRPr="00C1694A">
        <w:rPr>
          <w:rFonts w:ascii="Times New Roman" w:hAnsi="Times New Roman" w:cs="Times New Roman"/>
          <w:sz w:val="24"/>
          <w:szCs w:val="24"/>
        </w:rPr>
        <w:t>commenters recommended that programs be allowed to shift their program op</w:t>
      </w:r>
      <w:r w:rsidR="00766B13" w:rsidRPr="00C1694A">
        <w:rPr>
          <w:rFonts w:ascii="Times New Roman" w:hAnsi="Times New Roman" w:cs="Times New Roman"/>
          <w:sz w:val="24"/>
          <w:szCs w:val="24"/>
        </w:rPr>
        <w:t>tions annually or within their five</w:t>
      </w:r>
      <w:r w:rsidR="009D7EB0" w:rsidRPr="00C1694A">
        <w:rPr>
          <w:rFonts w:ascii="Times New Roman" w:hAnsi="Times New Roman" w:cs="Times New Roman"/>
          <w:sz w:val="24"/>
          <w:szCs w:val="24"/>
        </w:rPr>
        <w:t xml:space="preserve">-year grant if local needs warrant a change without requiring a new waiver.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00766B13" w:rsidRPr="00C1694A">
        <w:rPr>
          <w:rFonts w:ascii="Times New Roman" w:hAnsi="Times New Roman" w:cs="Times New Roman"/>
          <w:sz w:val="24"/>
          <w:szCs w:val="24"/>
        </w:rPr>
        <w:t>We made a</w:t>
      </w:r>
      <w:r w:rsidRPr="00C1694A">
        <w:rPr>
          <w:rFonts w:ascii="Times New Roman" w:hAnsi="Times New Roman" w:cs="Times New Roman"/>
          <w:sz w:val="24"/>
          <w:szCs w:val="24"/>
        </w:rPr>
        <w:t xml:space="preserve"> number of changes to the locally-designed program option waiver described in </w:t>
      </w:r>
      <w:r w:rsidR="001C0EF8" w:rsidRPr="00C1694A">
        <w:rPr>
          <w:rFonts w:ascii="Times New Roman" w:hAnsi="Times New Roman" w:cs="Times New Roman"/>
          <w:sz w:val="24"/>
          <w:szCs w:val="24"/>
        </w:rPr>
        <w:t>this section</w:t>
      </w:r>
      <w:r w:rsidR="00A74F11" w:rsidRPr="00C1694A">
        <w:rPr>
          <w:rFonts w:ascii="Times New Roman" w:hAnsi="Times New Roman" w:cs="Times New Roman"/>
          <w:sz w:val="24"/>
          <w:szCs w:val="24"/>
        </w:rPr>
        <w:t xml:space="preserve">.  As described in paragraph (b), </w:t>
      </w:r>
      <w:r w:rsidR="003B4016" w:rsidRPr="00C1694A">
        <w:rPr>
          <w:rFonts w:ascii="Times New Roman" w:hAnsi="Times New Roman" w:cs="Times New Roman"/>
          <w:sz w:val="24"/>
          <w:szCs w:val="24"/>
        </w:rPr>
        <w:t>we have changed the period of approval for locally designed option waivers to the full project period of the grant to align with the new five-year grant cycles.</w:t>
      </w:r>
      <w:r w:rsidRPr="00C1694A">
        <w:rPr>
          <w:rFonts w:ascii="Times New Roman" w:hAnsi="Times New Roman" w:cs="Times New Roman"/>
          <w:sz w:val="24"/>
          <w:szCs w:val="24"/>
        </w:rPr>
        <w:t xml:space="preserve"> In addition</w:t>
      </w:r>
      <w:r w:rsidR="00DE1347" w:rsidRPr="00C1694A">
        <w:rPr>
          <w:rFonts w:ascii="Times New Roman" w:hAnsi="Times New Roman" w:cs="Times New Roman"/>
          <w:sz w:val="24"/>
          <w:szCs w:val="24"/>
        </w:rPr>
        <w:t>, due to other changes made in s</w:t>
      </w:r>
      <w:r w:rsidR="00FE6B4D" w:rsidRPr="00C1694A">
        <w:rPr>
          <w:rFonts w:ascii="Times New Roman" w:hAnsi="Times New Roman" w:cs="Times New Roman"/>
          <w:sz w:val="24"/>
          <w:szCs w:val="24"/>
        </w:rPr>
        <w:t>ubpart B</w:t>
      </w:r>
      <w:r w:rsidRPr="00C1694A">
        <w:rPr>
          <w:rFonts w:ascii="Times New Roman" w:hAnsi="Times New Roman" w:cs="Times New Roman"/>
          <w:sz w:val="24"/>
          <w:szCs w:val="24"/>
        </w:rPr>
        <w:t xml:space="preserve">, we believe many fewer programs will seek waivers, which will improve the timeliness of the process to review and make determinations.  </w:t>
      </w:r>
      <w:r w:rsidR="00B3013F" w:rsidRPr="00C1694A">
        <w:rPr>
          <w:rFonts w:ascii="Times New Roman" w:hAnsi="Times New Roman" w:cs="Times New Roman"/>
          <w:sz w:val="24"/>
          <w:szCs w:val="24"/>
        </w:rPr>
        <w:t>In order to ensure programs thoughtfully determine the appropriate program design that supports their long-term goals, we revised paragraph (a) to link the waiver request to achieving program goals in subpart J.</w:t>
      </w:r>
    </w:p>
    <w:p w:rsidR="009D7EB0" w:rsidRPr="00C1694A" w:rsidRDefault="00FE6B4D"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w:t>
      </w:r>
      <w:r w:rsidR="00A74F11" w:rsidRPr="00C1694A">
        <w:rPr>
          <w:rFonts w:ascii="Times New Roman" w:hAnsi="Times New Roman" w:cs="Times New Roman"/>
          <w:sz w:val="24"/>
          <w:szCs w:val="24"/>
        </w:rPr>
        <w:t>revised paragraph (c)</w:t>
      </w:r>
      <w:r w:rsidR="009D7EB0" w:rsidRPr="00C1694A">
        <w:rPr>
          <w:rFonts w:ascii="Times New Roman" w:hAnsi="Times New Roman" w:cs="Times New Roman"/>
          <w:sz w:val="24"/>
          <w:szCs w:val="24"/>
        </w:rPr>
        <w:t xml:space="preserve"> to </w:t>
      </w:r>
      <w:r w:rsidRPr="00C1694A">
        <w:rPr>
          <w:rFonts w:ascii="Times New Roman" w:hAnsi="Times New Roman" w:cs="Times New Roman"/>
          <w:sz w:val="24"/>
          <w:szCs w:val="24"/>
        </w:rPr>
        <w:t>clarify</w:t>
      </w:r>
      <w:r w:rsidR="009D7EB0" w:rsidRPr="00C1694A">
        <w:rPr>
          <w:rFonts w:ascii="Times New Roman" w:hAnsi="Times New Roman" w:cs="Times New Roman"/>
          <w:sz w:val="24"/>
          <w:szCs w:val="24"/>
        </w:rPr>
        <w:t xml:space="preserve"> exactly which requirements may be waived.  Paragraph (c) more clearly states that </w:t>
      </w:r>
      <w:r w:rsidRPr="00C1694A">
        <w:rPr>
          <w:rFonts w:ascii="Times New Roman" w:hAnsi="Times New Roman" w:cs="Times New Roman"/>
          <w:sz w:val="24"/>
          <w:szCs w:val="24"/>
        </w:rPr>
        <w:t xml:space="preserve">the responsible </w:t>
      </w:r>
      <w:r w:rsidR="009D7EB0" w:rsidRPr="00C1694A">
        <w:rPr>
          <w:rFonts w:ascii="Times New Roman" w:hAnsi="Times New Roman" w:cs="Times New Roman"/>
          <w:sz w:val="24"/>
          <w:szCs w:val="24"/>
        </w:rPr>
        <w:t>HHS</w:t>
      </w:r>
      <w:r w:rsidRPr="00C1694A">
        <w:rPr>
          <w:rFonts w:ascii="Times New Roman" w:hAnsi="Times New Roman" w:cs="Times New Roman"/>
          <w:sz w:val="24"/>
          <w:szCs w:val="24"/>
        </w:rPr>
        <w:t xml:space="preserve"> official</w:t>
      </w:r>
      <w:r w:rsidR="009D7EB0" w:rsidRPr="00C1694A">
        <w:rPr>
          <w:rFonts w:ascii="Times New Roman" w:hAnsi="Times New Roman" w:cs="Times New Roman"/>
          <w:sz w:val="24"/>
          <w:szCs w:val="24"/>
        </w:rPr>
        <w:t xml:space="preserve"> may waive one or more of the requirements contained in §1302.21(b), (c)(1)(i), (c)(2)(iii), and (c)(2)(iv); §1302.22(b) and (c); and §1302.23(b)</w:t>
      </w:r>
      <w:r w:rsidR="00E6357F">
        <w:rPr>
          <w:rFonts w:ascii="Times New Roman" w:hAnsi="Times New Roman" w:cs="Times New Roman"/>
          <w:sz w:val="24"/>
          <w:szCs w:val="24"/>
        </w:rPr>
        <w:t xml:space="preserve"> and (c)</w:t>
      </w:r>
      <w:r w:rsidR="009D7EB0" w:rsidRPr="00C1694A">
        <w:rPr>
          <w:rFonts w:ascii="Times New Roman" w:hAnsi="Times New Roman" w:cs="Times New Roman"/>
          <w:sz w:val="24"/>
          <w:szCs w:val="24"/>
        </w:rPr>
        <w:t>.  The</w:t>
      </w:r>
      <w:r w:rsidRPr="00C1694A">
        <w:rPr>
          <w:rFonts w:ascii="Times New Roman" w:hAnsi="Times New Roman" w:cs="Times New Roman"/>
          <w:sz w:val="24"/>
          <w:szCs w:val="24"/>
        </w:rPr>
        <w:t>se</w:t>
      </w:r>
      <w:r w:rsidR="009D7EB0" w:rsidRPr="00C1694A">
        <w:rPr>
          <w:rFonts w:ascii="Times New Roman" w:hAnsi="Times New Roman" w:cs="Times New Roman"/>
          <w:sz w:val="24"/>
          <w:szCs w:val="24"/>
        </w:rPr>
        <w:t xml:space="preserve"> requirements include ratios and </w:t>
      </w:r>
      <w:r w:rsidR="002450D3" w:rsidRPr="00C1694A">
        <w:rPr>
          <w:rFonts w:ascii="Times New Roman" w:hAnsi="Times New Roman" w:cs="Times New Roman"/>
          <w:sz w:val="24"/>
          <w:szCs w:val="24"/>
        </w:rPr>
        <w:t>group</w:t>
      </w:r>
      <w:r w:rsidR="009D7EB0" w:rsidRPr="00C1694A">
        <w:rPr>
          <w:rFonts w:ascii="Times New Roman" w:hAnsi="Times New Roman" w:cs="Times New Roman"/>
          <w:sz w:val="24"/>
          <w:szCs w:val="24"/>
        </w:rPr>
        <w:t xml:space="preserve"> size in center-based settings f</w:t>
      </w:r>
      <w:r w:rsidRPr="00C1694A">
        <w:rPr>
          <w:rFonts w:ascii="Times New Roman" w:hAnsi="Times New Roman" w:cs="Times New Roman"/>
          <w:sz w:val="24"/>
          <w:szCs w:val="24"/>
        </w:rPr>
        <w:t>or children 24 months and older,</w:t>
      </w:r>
      <w:r w:rsidR="009D7EB0" w:rsidRPr="00C1694A">
        <w:rPr>
          <w:rFonts w:ascii="Times New Roman" w:hAnsi="Times New Roman" w:cs="Times New Roman"/>
          <w:sz w:val="24"/>
          <w:szCs w:val="24"/>
        </w:rPr>
        <w:t xml:space="preserve"> Early Head Start service duration, </w:t>
      </w:r>
      <w:r w:rsidR="00A74F11" w:rsidRPr="00C1694A">
        <w:rPr>
          <w:rFonts w:ascii="Times New Roman" w:hAnsi="Times New Roman" w:cs="Times New Roman"/>
          <w:sz w:val="24"/>
          <w:szCs w:val="24"/>
        </w:rPr>
        <w:t>Head Start</w:t>
      </w:r>
      <w:r w:rsidR="009D7EB0" w:rsidRPr="00C1694A">
        <w:rPr>
          <w:rFonts w:ascii="Times New Roman" w:hAnsi="Times New Roman" w:cs="Times New Roman"/>
          <w:sz w:val="24"/>
          <w:szCs w:val="24"/>
        </w:rPr>
        <w:t xml:space="preserve"> service duration requirements for the percentage of each grantee’s slots operating at 1,020 hours, caseload and service duration requirements for the home-based option, and ratios</w:t>
      </w:r>
      <w:r w:rsidR="00E6357F">
        <w:rPr>
          <w:rFonts w:ascii="Times New Roman" w:hAnsi="Times New Roman" w:cs="Times New Roman"/>
          <w:sz w:val="24"/>
          <w:szCs w:val="24"/>
        </w:rPr>
        <w:t xml:space="preserve">, </w:t>
      </w:r>
      <w:r w:rsidR="009D7EB0" w:rsidRPr="00C1694A">
        <w:rPr>
          <w:rFonts w:ascii="Times New Roman" w:hAnsi="Times New Roman" w:cs="Times New Roman"/>
          <w:sz w:val="24"/>
          <w:szCs w:val="24"/>
        </w:rPr>
        <w:t>group size</w:t>
      </w:r>
      <w:r w:rsidR="00E6357F">
        <w:rPr>
          <w:rFonts w:ascii="Times New Roman" w:hAnsi="Times New Roman" w:cs="Times New Roman"/>
          <w:sz w:val="24"/>
          <w:szCs w:val="24"/>
        </w:rPr>
        <w:t>, and service duration</w:t>
      </w:r>
      <w:r w:rsidR="009D7EB0" w:rsidRPr="00C1694A">
        <w:rPr>
          <w:rFonts w:ascii="Times New Roman" w:hAnsi="Times New Roman" w:cs="Times New Roman"/>
          <w:sz w:val="24"/>
          <w:szCs w:val="24"/>
        </w:rPr>
        <w:t xml:space="preserve"> for the family child care option.  However, if a waiver of </w:t>
      </w:r>
      <w:r w:rsidR="002450D3" w:rsidRPr="00C1694A">
        <w:rPr>
          <w:rFonts w:ascii="Times New Roman" w:hAnsi="Times New Roman" w:cs="Times New Roman"/>
          <w:sz w:val="24"/>
          <w:szCs w:val="24"/>
        </w:rPr>
        <w:t>group</w:t>
      </w:r>
      <w:r w:rsidR="009D7EB0" w:rsidRPr="00C1694A">
        <w:rPr>
          <w:rFonts w:ascii="Times New Roman" w:hAnsi="Times New Roman" w:cs="Times New Roman"/>
          <w:sz w:val="24"/>
          <w:szCs w:val="24"/>
        </w:rPr>
        <w:t xml:space="preserve"> size for children over 24 months is permitted, </w:t>
      </w:r>
      <w:r w:rsidRPr="00C1694A">
        <w:rPr>
          <w:rFonts w:ascii="Times New Roman" w:hAnsi="Times New Roman" w:cs="Times New Roman"/>
          <w:sz w:val="24"/>
          <w:szCs w:val="24"/>
        </w:rPr>
        <w:t xml:space="preserve">paragraph </w:t>
      </w:r>
      <w:r w:rsidR="009D7EB0" w:rsidRPr="00C1694A">
        <w:rPr>
          <w:rFonts w:ascii="Times New Roman" w:hAnsi="Times New Roman" w:cs="Times New Roman"/>
          <w:sz w:val="24"/>
          <w:szCs w:val="24"/>
        </w:rPr>
        <w:t xml:space="preserve">(c)(2) specifies upper limits that are allowable under a waiver, which are included to ensure </w:t>
      </w:r>
      <w:r w:rsidRPr="00C1694A">
        <w:rPr>
          <w:rFonts w:ascii="Times New Roman" w:hAnsi="Times New Roman" w:cs="Times New Roman"/>
          <w:sz w:val="24"/>
          <w:szCs w:val="24"/>
        </w:rPr>
        <w:t xml:space="preserve">program quality and </w:t>
      </w:r>
      <w:r w:rsidR="009D7EB0" w:rsidRPr="00C1694A">
        <w:rPr>
          <w:rFonts w:ascii="Times New Roman" w:hAnsi="Times New Roman" w:cs="Times New Roman"/>
          <w:sz w:val="24"/>
          <w:szCs w:val="24"/>
        </w:rPr>
        <w:t xml:space="preserve">child safety.  Additionally, </w:t>
      </w:r>
      <w:r w:rsidRPr="00C1694A">
        <w:rPr>
          <w:rFonts w:ascii="Times New Roman" w:hAnsi="Times New Roman" w:cs="Times New Roman"/>
          <w:sz w:val="24"/>
          <w:szCs w:val="24"/>
        </w:rPr>
        <w:t xml:space="preserve">paragraph </w:t>
      </w:r>
      <w:r w:rsidR="009D7EB0" w:rsidRPr="00C1694A">
        <w:rPr>
          <w:rFonts w:ascii="Times New Roman" w:hAnsi="Times New Roman" w:cs="Times New Roman"/>
          <w:sz w:val="24"/>
          <w:szCs w:val="24"/>
        </w:rPr>
        <w:t>(c)(1) clarifies that waivers are not allowable for ratios or group size for children under 24 months, which is discussed in more detail below.  Provisions in the NPRM specific to double session requirements under a locally</w:t>
      </w:r>
      <w:r w:rsidR="005F7FAA" w:rsidRPr="00C1694A">
        <w:rPr>
          <w:rFonts w:ascii="Times New Roman" w:hAnsi="Times New Roman" w:cs="Times New Roman"/>
          <w:sz w:val="24"/>
          <w:szCs w:val="24"/>
        </w:rPr>
        <w:t>-</w:t>
      </w:r>
      <w:r w:rsidR="009D7EB0" w:rsidRPr="00C1694A">
        <w:rPr>
          <w:rFonts w:ascii="Times New Roman" w:hAnsi="Times New Roman" w:cs="Times New Roman"/>
          <w:sz w:val="24"/>
          <w:szCs w:val="24"/>
        </w:rPr>
        <w:t xml:space="preserve">designed option were struck because double sessions have been retained as a standard option until </w:t>
      </w:r>
      <w:r w:rsidR="00C947F7" w:rsidRPr="00C1694A">
        <w:rPr>
          <w:rFonts w:ascii="Times New Roman" w:hAnsi="Times New Roman" w:cs="Times New Roman"/>
          <w:sz w:val="24"/>
          <w:szCs w:val="24"/>
        </w:rPr>
        <w:t xml:space="preserve">August </w:t>
      </w:r>
      <w:r w:rsidR="009D7EB0" w:rsidRPr="00C1694A">
        <w:rPr>
          <w:rFonts w:ascii="Times New Roman" w:hAnsi="Times New Roman" w:cs="Times New Roman"/>
          <w:sz w:val="24"/>
          <w:szCs w:val="24"/>
        </w:rPr>
        <w:t xml:space="preserve">2021. We added additional language in </w:t>
      </w:r>
      <w:r w:rsidR="000139A5" w:rsidRPr="00C1694A">
        <w:rPr>
          <w:rFonts w:ascii="Times New Roman" w:hAnsi="Times New Roman" w:cs="Times New Roman"/>
          <w:sz w:val="24"/>
          <w:szCs w:val="24"/>
        </w:rPr>
        <w:t>paragraph</w:t>
      </w:r>
      <w:r w:rsidR="000139A5" w:rsidRPr="00C1694A" w:rsidDel="000139A5">
        <w:rPr>
          <w:rFonts w:ascii="Times New Roman" w:hAnsi="Times New Roman" w:cs="Times New Roman"/>
          <w:sz w:val="24"/>
          <w:szCs w:val="24"/>
        </w:rPr>
        <w:t xml:space="preserve"> </w:t>
      </w:r>
      <w:r w:rsidR="009D7EB0" w:rsidRPr="00C1694A">
        <w:rPr>
          <w:rFonts w:ascii="Times New Roman" w:hAnsi="Times New Roman" w:cs="Times New Roman"/>
          <w:sz w:val="24"/>
          <w:szCs w:val="24"/>
        </w:rPr>
        <w:t xml:space="preserve">(c)(3) to clarify the minimum </w:t>
      </w:r>
      <w:r w:rsidR="00AB314E" w:rsidRPr="00C1694A">
        <w:rPr>
          <w:rFonts w:ascii="Times New Roman" w:hAnsi="Times New Roman" w:cs="Times New Roman"/>
          <w:sz w:val="24"/>
          <w:szCs w:val="24"/>
        </w:rPr>
        <w:t xml:space="preserve">center-based </w:t>
      </w:r>
      <w:r w:rsidR="009D7EB0" w:rsidRPr="00C1694A">
        <w:rPr>
          <w:rFonts w:ascii="Times New Roman" w:hAnsi="Times New Roman" w:cs="Times New Roman"/>
          <w:sz w:val="24"/>
          <w:szCs w:val="24"/>
        </w:rPr>
        <w:t xml:space="preserve">service duration requirements Head Start programs must meet when seeking a waiver from the 1,020 annual hours provisions in §1302.21(c)(2)(iii) and (iv).  </w:t>
      </w:r>
    </w:p>
    <w:p w:rsidR="009D7EB0" w:rsidRPr="00C1694A" w:rsidRDefault="000139A5" w:rsidP="009A526A">
      <w:pPr>
        <w:autoSpaceDE w:val="0"/>
        <w:autoSpaceDN w:val="0"/>
        <w:adjustRightInd w:val="0"/>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rPr>
        <w:t xml:space="preserve">We </w:t>
      </w:r>
      <w:r w:rsidR="00AB314E" w:rsidRPr="00C1694A">
        <w:rPr>
          <w:rFonts w:ascii="Times New Roman" w:hAnsi="Times New Roman" w:cs="Times New Roman"/>
          <w:sz w:val="24"/>
          <w:szCs w:val="24"/>
        </w:rPr>
        <w:t>revised</w:t>
      </w:r>
      <w:r w:rsidR="009D7EB0" w:rsidRPr="00C1694A">
        <w:rPr>
          <w:rFonts w:ascii="Times New Roman" w:hAnsi="Times New Roman" w:cs="Times New Roman"/>
          <w:sz w:val="24"/>
          <w:szCs w:val="24"/>
        </w:rPr>
        <w:t xml:space="preserve"> </w:t>
      </w:r>
      <w:r w:rsidRPr="00C1694A">
        <w:rPr>
          <w:rFonts w:ascii="Times New Roman" w:hAnsi="Times New Roman" w:cs="Times New Roman"/>
          <w:sz w:val="24"/>
          <w:szCs w:val="24"/>
        </w:rPr>
        <w:t>paragraph</w:t>
      </w:r>
      <w:r w:rsidRPr="00C1694A" w:rsidDel="000139A5">
        <w:rPr>
          <w:rFonts w:ascii="Times New Roman" w:hAnsi="Times New Roman" w:cs="Times New Roman"/>
          <w:sz w:val="24"/>
          <w:szCs w:val="24"/>
        </w:rPr>
        <w:t xml:space="preserve"> </w:t>
      </w:r>
      <w:r w:rsidR="009D7EB0" w:rsidRPr="00C1694A">
        <w:rPr>
          <w:rFonts w:ascii="Times New Roman" w:hAnsi="Times New Roman" w:cs="Times New Roman"/>
          <w:sz w:val="24"/>
          <w:szCs w:val="24"/>
        </w:rPr>
        <w:t>(c)(</w:t>
      </w:r>
      <w:r w:rsidR="00A74F11" w:rsidRPr="00C1694A">
        <w:rPr>
          <w:rFonts w:ascii="Times New Roman" w:hAnsi="Times New Roman" w:cs="Times New Roman"/>
          <w:sz w:val="24"/>
          <w:szCs w:val="24"/>
        </w:rPr>
        <w:t>4</w:t>
      </w:r>
      <w:r w:rsidR="009D7EB0" w:rsidRPr="00C1694A">
        <w:rPr>
          <w:rFonts w:ascii="Times New Roman" w:hAnsi="Times New Roman" w:cs="Times New Roman"/>
          <w:sz w:val="24"/>
          <w:szCs w:val="24"/>
        </w:rPr>
        <w:t xml:space="preserve">) </w:t>
      </w:r>
      <w:r w:rsidR="00AB314E" w:rsidRPr="00C1694A">
        <w:rPr>
          <w:rFonts w:ascii="Times New Roman" w:hAnsi="Times New Roman" w:cs="Times New Roman"/>
          <w:sz w:val="24"/>
          <w:szCs w:val="24"/>
        </w:rPr>
        <w:t xml:space="preserve">and added paragraph (c)(5) </w:t>
      </w:r>
      <w:r w:rsidR="009D7EB0" w:rsidRPr="00C1694A">
        <w:rPr>
          <w:rFonts w:ascii="Times New Roman" w:hAnsi="Times New Roman" w:cs="Times New Roman"/>
          <w:sz w:val="24"/>
          <w:szCs w:val="24"/>
        </w:rPr>
        <w:t xml:space="preserve">to </w:t>
      </w:r>
      <w:r w:rsidR="00AB314E" w:rsidRPr="00C1694A">
        <w:rPr>
          <w:rFonts w:ascii="Times New Roman" w:hAnsi="Times New Roman" w:cs="Times New Roman"/>
          <w:sz w:val="24"/>
          <w:szCs w:val="24"/>
        </w:rPr>
        <w:t xml:space="preserve">clarify </w:t>
      </w:r>
      <w:r w:rsidR="009D7EB0" w:rsidRPr="00C1694A">
        <w:rPr>
          <w:rFonts w:ascii="Times New Roman" w:hAnsi="Times New Roman" w:cs="Times New Roman"/>
          <w:sz w:val="24"/>
          <w:szCs w:val="24"/>
        </w:rPr>
        <w:t xml:space="preserve">what programs must demonstrate in order to receive a waiver.  Specifically, </w:t>
      </w:r>
      <w:r w:rsidR="00AB314E" w:rsidRPr="00C1694A">
        <w:rPr>
          <w:rFonts w:ascii="Times New Roman" w:hAnsi="Times New Roman" w:cs="Times New Roman"/>
          <w:sz w:val="24"/>
          <w:szCs w:val="24"/>
        </w:rPr>
        <w:t xml:space="preserve">in paragraph (c)(4) we require </w:t>
      </w:r>
      <w:r w:rsidR="009D7EB0" w:rsidRPr="00C1694A">
        <w:rPr>
          <w:rFonts w:ascii="Times New Roman" w:hAnsi="Times New Roman" w:cs="Times New Roman"/>
          <w:sz w:val="24"/>
          <w:szCs w:val="24"/>
        </w:rPr>
        <w:t xml:space="preserve">programs </w:t>
      </w:r>
      <w:r w:rsidR="00AB314E" w:rsidRPr="00C1694A">
        <w:rPr>
          <w:rFonts w:ascii="Times New Roman" w:hAnsi="Times New Roman" w:cs="Times New Roman"/>
          <w:sz w:val="24"/>
          <w:szCs w:val="24"/>
        </w:rPr>
        <w:t xml:space="preserve">seeking any waiver under this section to </w:t>
      </w:r>
      <w:r w:rsidR="009D7EB0" w:rsidRPr="00C1694A">
        <w:rPr>
          <w:rFonts w:ascii="Times New Roman" w:hAnsi="Times New Roman" w:cs="Times New Roman"/>
          <w:sz w:val="24"/>
          <w:szCs w:val="24"/>
        </w:rPr>
        <w:t xml:space="preserve">provide evidence that their locally-designed variation </w:t>
      </w:r>
      <w:r w:rsidR="00AB314E" w:rsidRPr="00C1694A">
        <w:rPr>
          <w:rFonts w:ascii="Times New Roman" w:eastAsia="Calibri" w:hAnsi="Times New Roman" w:cs="Times New Roman"/>
          <w:sz w:val="24"/>
          <w:szCs w:val="24"/>
        </w:rPr>
        <w:t>effectively supports appropriate development and progress in children’s early learning outcomes</w:t>
      </w:r>
      <w:r w:rsidR="009D7EB0" w:rsidRPr="00C1694A">
        <w:rPr>
          <w:rFonts w:ascii="Times New Roman" w:hAnsi="Times New Roman" w:cs="Times New Roman"/>
          <w:sz w:val="24"/>
          <w:szCs w:val="24"/>
        </w:rPr>
        <w:t xml:space="preserve">.  </w:t>
      </w:r>
      <w:r w:rsidR="00AB314E" w:rsidRPr="00C1694A">
        <w:rPr>
          <w:rFonts w:ascii="Times New Roman" w:hAnsi="Times New Roman" w:cs="Times New Roman"/>
          <w:sz w:val="24"/>
          <w:szCs w:val="24"/>
        </w:rPr>
        <w:t xml:space="preserve">In addition, in paragraph (c)(5), we require programs seeking waivers of service duration to also provide supporting evidence that their variation </w:t>
      </w:r>
      <w:r w:rsidR="00AB314E" w:rsidRPr="00C1694A">
        <w:rPr>
          <w:rFonts w:ascii="Times New Roman" w:eastAsia="Calibri" w:hAnsi="Times New Roman" w:cs="Times New Roman"/>
          <w:sz w:val="24"/>
          <w:szCs w:val="24"/>
        </w:rPr>
        <w:t xml:space="preserve">better meets the needs of parents than the options described in §§1302.21 through 1302.23 and to evaluate the </w:t>
      </w:r>
      <w:r w:rsidR="00AB314E" w:rsidRPr="00C1694A">
        <w:rPr>
          <w:rFonts w:ascii="Times New Roman" w:hAnsi="Times New Roman" w:cs="Times New Roman"/>
          <w:sz w:val="24"/>
        </w:rPr>
        <w:t xml:space="preserve">effectiveness of the variation in </w:t>
      </w:r>
      <w:r w:rsidR="00AB314E" w:rsidRPr="00C1694A">
        <w:rPr>
          <w:rFonts w:ascii="Times New Roman" w:eastAsia="Calibri" w:hAnsi="Times New Roman" w:cs="Times New Roman"/>
          <w:sz w:val="24"/>
          <w:szCs w:val="24"/>
        </w:rPr>
        <w:t xml:space="preserve">supporting appropriate development and progress in children’s early learning outcomes. </w:t>
      </w:r>
      <w:r w:rsidR="009D7EB0" w:rsidRPr="00C1694A">
        <w:rPr>
          <w:rFonts w:ascii="Times New Roman" w:hAnsi="Times New Roman" w:cs="Times New Roman"/>
          <w:sz w:val="24"/>
          <w:szCs w:val="24"/>
        </w:rPr>
        <w:t>We believe local flexibility is important but that tax dollars should be spent on program models that are effective in helping close the achievement gap.</w:t>
      </w:r>
      <w:r w:rsidR="009D7EB0" w:rsidRPr="00C1694A">
        <w:rPr>
          <w:rFonts w:ascii="Times New Roman" w:hAnsi="Times New Roman" w:cs="Times New Roman"/>
          <w:b/>
          <w:sz w:val="24"/>
          <w:szCs w:val="24"/>
        </w:rPr>
        <w:t xml:space="preserve"> </w:t>
      </w:r>
    </w:p>
    <w:p w:rsidR="00214FCD" w:rsidRPr="00C1694A" w:rsidRDefault="00214FCD"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stated American Indian and Alaska Native programs should not be required to apply for locally-designed option waivers for some of the provisions in subpart B, and specifically requested a tribal exemption from some of the requirements, including extending the length of the day and length of the year.</w:t>
      </w:r>
    </w:p>
    <w:p w:rsidR="00214FCD" w:rsidRPr="00C1694A" w:rsidRDefault="00214FCD"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provided greater flexibility </w:t>
      </w:r>
      <w:r w:rsidR="000A5EC4" w:rsidRPr="00C1694A">
        <w:rPr>
          <w:rFonts w:ascii="Times New Roman" w:hAnsi="Times New Roman" w:cs="Times New Roman"/>
          <w:sz w:val="24"/>
          <w:szCs w:val="24"/>
        </w:rPr>
        <w:t xml:space="preserve">in subpart B </w:t>
      </w:r>
      <w:r w:rsidRPr="00C1694A">
        <w:rPr>
          <w:rFonts w:ascii="Times New Roman" w:hAnsi="Times New Roman" w:cs="Times New Roman"/>
          <w:sz w:val="24"/>
          <w:szCs w:val="24"/>
        </w:rPr>
        <w:t xml:space="preserve">for programs to design their program schedules in a way that best meets their community needs, including the ability to determine the length of summer breaks and the length of the day, while still ensuring American Indian and Alaska Native children reap the full benefits of greater exposure to high-quality early learning.  We think this will allow most programs to accommodate important cultural practices and subsistence activities.  However, when this additional flexibility is not adequate to meet community needs, we believe it is appropriate that tribal programs, like all programs, would be able to apply for a locally-designed option.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addressed the </w:t>
      </w:r>
      <w:r w:rsidR="00A74F11" w:rsidRPr="00C1694A">
        <w:rPr>
          <w:rFonts w:ascii="Times New Roman" w:hAnsi="Times New Roman" w:cs="Times New Roman"/>
          <w:sz w:val="24"/>
          <w:szCs w:val="24"/>
        </w:rPr>
        <w:t>standard</w:t>
      </w:r>
      <w:r w:rsidRPr="00C1694A">
        <w:rPr>
          <w:rFonts w:ascii="Times New Roman" w:hAnsi="Times New Roman" w:cs="Times New Roman"/>
          <w:sz w:val="24"/>
          <w:szCs w:val="24"/>
        </w:rPr>
        <w:t xml:space="preserve"> in </w:t>
      </w:r>
      <w:r w:rsidR="00FE6B4D"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(c)(1) to allow programs to seek waivers from ratio requirements for class</w:t>
      </w:r>
      <w:r w:rsidR="002450D3" w:rsidRPr="00C1694A">
        <w:rPr>
          <w:rFonts w:ascii="Times New Roman" w:hAnsi="Times New Roman" w:cs="Times New Roman"/>
          <w:sz w:val="24"/>
          <w:szCs w:val="24"/>
        </w:rPr>
        <w:t>e</w:t>
      </w:r>
      <w:r w:rsidRPr="00C1694A">
        <w:rPr>
          <w:rFonts w:ascii="Times New Roman" w:hAnsi="Times New Roman" w:cs="Times New Roman"/>
          <w:sz w:val="24"/>
          <w:szCs w:val="24"/>
        </w:rPr>
        <w:t>s serving children w</w:t>
      </w:r>
      <w:r w:rsidR="00FE6B4D" w:rsidRPr="00C1694A">
        <w:rPr>
          <w:rFonts w:ascii="Times New Roman" w:hAnsi="Times New Roman" w:cs="Times New Roman"/>
          <w:sz w:val="24"/>
          <w:szCs w:val="24"/>
        </w:rPr>
        <w:t>ho are at least two years old.</w:t>
      </w:r>
      <w:r w:rsidRPr="00C1694A">
        <w:rPr>
          <w:rFonts w:ascii="Times New Roman" w:hAnsi="Times New Roman" w:cs="Times New Roman"/>
          <w:sz w:val="24"/>
          <w:szCs w:val="24"/>
        </w:rPr>
        <w:t xml:space="preserve"> Some opposed the proposal to allow programs to</w:t>
      </w:r>
      <w:r w:rsidR="00FE6B4D" w:rsidRPr="00C1694A">
        <w:rPr>
          <w:rFonts w:ascii="Times New Roman" w:hAnsi="Times New Roman" w:cs="Times New Roman"/>
          <w:sz w:val="24"/>
          <w:szCs w:val="24"/>
        </w:rPr>
        <w:t xml:space="preserve"> apply for a waiver for teacher:</w:t>
      </w:r>
      <w:r w:rsidRPr="00C1694A">
        <w:rPr>
          <w:rFonts w:ascii="Times New Roman" w:hAnsi="Times New Roman" w:cs="Times New Roman"/>
          <w:sz w:val="24"/>
          <w:szCs w:val="24"/>
        </w:rPr>
        <w:t>child ratios for two-year-olds because such waivers would decrease program quality and lessen c</w:t>
      </w:r>
      <w:r w:rsidR="00FE6B4D" w:rsidRPr="00C1694A">
        <w:rPr>
          <w:rFonts w:ascii="Times New Roman" w:hAnsi="Times New Roman" w:cs="Times New Roman"/>
          <w:sz w:val="24"/>
          <w:szCs w:val="24"/>
        </w:rPr>
        <w:t xml:space="preserve">hildren’s individualized care. </w:t>
      </w:r>
      <w:r w:rsidRPr="00C1694A">
        <w:rPr>
          <w:rFonts w:ascii="Times New Roman" w:hAnsi="Times New Roman" w:cs="Times New Roman"/>
          <w:sz w:val="24"/>
          <w:szCs w:val="24"/>
        </w:rPr>
        <w:t>Others support</w:t>
      </w:r>
      <w:r w:rsidR="00FE6B4D" w:rsidRPr="00C1694A">
        <w:rPr>
          <w:rFonts w:ascii="Times New Roman" w:hAnsi="Times New Roman" w:cs="Times New Roman"/>
          <w:sz w:val="24"/>
          <w:szCs w:val="24"/>
        </w:rPr>
        <w:t>ed</w:t>
      </w:r>
      <w:r w:rsidRPr="00C1694A">
        <w:rPr>
          <w:rFonts w:ascii="Times New Roman" w:hAnsi="Times New Roman" w:cs="Times New Roman"/>
          <w:sz w:val="24"/>
          <w:szCs w:val="24"/>
        </w:rPr>
        <w:t xml:space="preserve"> this waiver because it would allow programs the flexibility to better address extreme unmet need in their communities.  Some commenters recommended that we set upper limits for ratios approved by waivers so that flexibility could be sought without compromising quality.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w:t>
      </w:r>
      <w:r w:rsidR="00FE6B4D" w:rsidRPr="00C1694A">
        <w:rPr>
          <w:rFonts w:ascii="Times New Roman" w:hAnsi="Times New Roman" w:cs="Times New Roman"/>
          <w:sz w:val="24"/>
          <w:szCs w:val="24"/>
        </w:rPr>
        <w:t>with the need for</w:t>
      </w:r>
      <w:r w:rsidRPr="00C1694A">
        <w:rPr>
          <w:rFonts w:ascii="Times New Roman" w:hAnsi="Times New Roman" w:cs="Times New Roman"/>
          <w:sz w:val="24"/>
          <w:szCs w:val="24"/>
        </w:rPr>
        <w:t xml:space="preserve"> clear li</w:t>
      </w:r>
      <w:r w:rsidR="00FE6B4D" w:rsidRPr="00C1694A">
        <w:rPr>
          <w:rFonts w:ascii="Times New Roman" w:hAnsi="Times New Roman" w:cs="Times New Roman"/>
          <w:sz w:val="24"/>
          <w:szCs w:val="24"/>
        </w:rPr>
        <w:t xml:space="preserve">mits to </w:t>
      </w:r>
      <w:r w:rsidR="002450D3" w:rsidRPr="00C1694A">
        <w:rPr>
          <w:rFonts w:ascii="Times New Roman" w:hAnsi="Times New Roman" w:cs="Times New Roman"/>
          <w:sz w:val="24"/>
          <w:szCs w:val="24"/>
        </w:rPr>
        <w:t>group</w:t>
      </w:r>
      <w:r w:rsidR="00FE6B4D" w:rsidRPr="00C1694A">
        <w:rPr>
          <w:rFonts w:ascii="Times New Roman" w:hAnsi="Times New Roman" w:cs="Times New Roman"/>
          <w:sz w:val="24"/>
          <w:szCs w:val="24"/>
        </w:rPr>
        <w:t xml:space="preserve"> size and teacher:</w:t>
      </w:r>
      <w:r w:rsidRPr="00C1694A">
        <w:rPr>
          <w:rFonts w:ascii="Times New Roman" w:hAnsi="Times New Roman" w:cs="Times New Roman"/>
          <w:sz w:val="24"/>
          <w:szCs w:val="24"/>
        </w:rPr>
        <w:t xml:space="preserve">child </w:t>
      </w:r>
      <w:r w:rsidR="0058415F" w:rsidRPr="00C1694A">
        <w:rPr>
          <w:rFonts w:ascii="Times New Roman" w:hAnsi="Times New Roman" w:cs="Times New Roman"/>
          <w:sz w:val="24"/>
          <w:szCs w:val="24"/>
        </w:rPr>
        <w:t>ratios</w:t>
      </w:r>
      <w:r w:rsidRPr="00C1694A">
        <w:rPr>
          <w:rFonts w:ascii="Times New Roman" w:hAnsi="Times New Roman" w:cs="Times New Roman"/>
          <w:sz w:val="24"/>
          <w:szCs w:val="24"/>
        </w:rPr>
        <w:t xml:space="preserve"> in locally-designed options so that high</w:t>
      </w:r>
      <w:r w:rsidR="00915289" w:rsidRPr="00C1694A">
        <w:rPr>
          <w:rFonts w:ascii="Times New Roman" w:hAnsi="Times New Roman" w:cs="Times New Roman"/>
          <w:sz w:val="24"/>
          <w:szCs w:val="24"/>
        </w:rPr>
        <w:t>-</w:t>
      </w:r>
      <w:r w:rsidRPr="00C1694A">
        <w:rPr>
          <w:rFonts w:ascii="Times New Roman" w:hAnsi="Times New Roman" w:cs="Times New Roman"/>
          <w:sz w:val="24"/>
          <w:szCs w:val="24"/>
        </w:rPr>
        <w:t xml:space="preserve">quality is maintained.  Therefore, waiver requirements are clarified in </w:t>
      </w:r>
      <w:r w:rsidR="0058415F"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(c)(2)(i) to specify that</w:t>
      </w:r>
      <w:r w:rsidR="00282C7A" w:rsidRPr="00C1694A">
        <w:rPr>
          <w:rFonts w:ascii="Times New Roman" w:hAnsi="Times New Roman" w:cs="Times New Roman"/>
          <w:sz w:val="24"/>
          <w:szCs w:val="24"/>
        </w:rPr>
        <w:t xml:space="preserve"> even with a waiver,</w:t>
      </w:r>
      <w:r w:rsidRPr="00C1694A">
        <w:rPr>
          <w:rFonts w:ascii="Times New Roman" w:hAnsi="Times New Roman" w:cs="Times New Roman"/>
          <w:sz w:val="24"/>
          <w:szCs w:val="24"/>
        </w:rPr>
        <w:t xml:space="preserve"> a class serving children 24 to 36 months of age may have no more than </w:t>
      </w:r>
      <w:r w:rsidR="00AE0039" w:rsidRPr="00C1694A">
        <w:rPr>
          <w:rFonts w:ascii="Times New Roman" w:hAnsi="Times New Roman" w:cs="Times New Roman"/>
          <w:sz w:val="24"/>
          <w:szCs w:val="24"/>
        </w:rPr>
        <w:t>ten</w:t>
      </w:r>
      <w:r w:rsidRPr="00C1694A">
        <w:rPr>
          <w:rFonts w:ascii="Times New Roman" w:hAnsi="Times New Roman" w:cs="Times New Roman"/>
          <w:sz w:val="24"/>
          <w:szCs w:val="24"/>
        </w:rPr>
        <w:t xml:space="preserve"> children.  Furthermore, in </w:t>
      </w:r>
      <w:r w:rsidR="0058415F"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(c)(2)(ii), we clarify even wi</w:t>
      </w:r>
      <w:r w:rsidR="00AE0039" w:rsidRPr="00C1694A">
        <w:rPr>
          <w:rFonts w:ascii="Times New Roman" w:hAnsi="Times New Roman" w:cs="Times New Roman"/>
          <w:sz w:val="24"/>
          <w:szCs w:val="24"/>
        </w:rPr>
        <w:t>th a waiver, a class that serves predomina</w:t>
      </w:r>
      <w:r w:rsidR="00280574" w:rsidRPr="00C1694A">
        <w:rPr>
          <w:rFonts w:ascii="Times New Roman" w:hAnsi="Times New Roman" w:cs="Times New Roman"/>
          <w:sz w:val="24"/>
          <w:szCs w:val="24"/>
        </w:rPr>
        <w:t>n</w:t>
      </w:r>
      <w:r w:rsidR="00AE0039" w:rsidRPr="00C1694A">
        <w:rPr>
          <w:rFonts w:ascii="Times New Roman" w:hAnsi="Times New Roman" w:cs="Times New Roman"/>
          <w:sz w:val="24"/>
          <w:szCs w:val="24"/>
        </w:rPr>
        <w:t xml:space="preserve">tly </w:t>
      </w:r>
      <w:r w:rsidR="00AB314E" w:rsidRPr="00C1694A">
        <w:rPr>
          <w:rFonts w:ascii="Times New Roman" w:hAnsi="Times New Roman" w:cs="Times New Roman"/>
          <w:sz w:val="24"/>
          <w:szCs w:val="24"/>
        </w:rPr>
        <w:t>three</w:t>
      </w:r>
      <w:r w:rsidR="00AE0039" w:rsidRPr="00C1694A">
        <w:rPr>
          <w:rFonts w:ascii="Times New Roman" w:hAnsi="Times New Roman" w:cs="Times New Roman"/>
          <w:sz w:val="24"/>
          <w:szCs w:val="24"/>
        </w:rPr>
        <w:t>-</w:t>
      </w:r>
      <w:r w:rsidRPr="00C1694A">
        <w:rPr>
          <w:rFonts w:ascii="Times New Roman" w:hAnsi="Times New Roman" w:cs="Times New Roman"/>
          <w:sz w:val="24"/>
          <w:szCs w:val="24"/>
        </w:rPr>
        <w:t>year-old children must have no more than twenty children</w:t>
      </w:r>
      <w:r w:rsidR="00AE0039" w:rsidRPr="00C1694A">
        <w:rPr>
          <w:rFonts w:ascii="Times New Roman" w:hAnsi="Times New Roman" w:cs="Times New Roman"/>
          <w:sz w:val="24"/>
          <w:szCs w:val="24"/>
        </w:rPr>
        <w:t xml:space="preserve"> and in paragraph (c)(2)(iii), a class that serves predomina</w:t>
      </w:r>
      <w:r w:rsidR="00280574" w:rsidRPr="00C1694A">
        <w:rPr>
          <w:rFonts w:ascii="Times New Roman" w:hAnsi="Times New Roman" w:cs="Times New Roman"/>
          <w:sz w:val="24"/>
          <w:szCs w:val="24"/>
        </w:rPr>
        <w:t>n</w:t>
      </w:r>
      <w:r w:rsidR="00AE0039" w:rsidRPr="00C1694A">
        <w:rPr>
          <w:rFonts w:ascii="Times New Roman" w:hAnsi="Times New Roman" w:cs="Times New Roman"/>
          <w:sz w:val="24"/>
          <w:szCs w:val="24"/>
        </w:rPr>
        <w:t xml:space="preserve">tly </w:t>
      </w:r>
      <w:r w:rsidR="00AB314E" w:rsidRPr="00C1694A">
        <w:rPr>
          <w:rFonts w:ascii="Times New Roman" w:hAnsi="Times New Roman" w:cs="Times New Roman"/>
          <w:sz w:val="24"/>
          <w:szCs w:val="24"/>
        </w:rPr>
        <w:t>four</w:t>
      </w:r>
      <w:r w:rsidR="00AE0039" w:rsidRPr="00C1694A">
        <w:rPr>
          <w:rFonts w:ascii="Times New Roman" w:hAnsi="Times New Roman" w:cs="Times New Roman"/>
          <w:sz w:val="24"/>
          <w:szCs w:val="24"/>
        </w:rPr>
        <w:t>-year-old children must have no more than twenty-four children</w:t>
      </w:r>
      <w:r w:rsidRPr="00C1694A">
        <w:rPr>
          <w:rFonts w:ascii="Times New Roman" w:hAnsi="Times New Roman" w:cs="Times New Roman"/>
          <w:sz w:val="24"/>
          <w:szCs w:val="24"/>
        </w:rPr>
        <w:t xml:space="preserve">.  As proposed in the NPRM, ratios and </w:t>
      </w:r>
      <w:r w:rsidR="002450D3" w:rsidRPr="00C1694A">
        <w:rPr>
          <w:rFonts w:ascii="Times New Roman" w:hAnsi="Times New Roman" w:cs="Times New Roman"/>
          <w:sz w:val="24"/>
          <w:szCs w:val="24"/>
        </w:rPr>
        <w:t>group</w:t>
      </w:r>
      <w:r w:rsidRPr="00C1694A">
        <w:rPr>
          <w:rFonts w:ascii="Times New Roman" w:hAnsi="Times New Roman" w:cs="Times New Roman"/>
          <w:sz w:val="24"/>
          <w:szCs w:val="24"/>
        </w:rPr>
        <w:t xml:space="preserve"> size may not be waived for children younger than 24 months of age. </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opposed the proposal to remove</w:t>
      </w:r>
      <w:r w:rsidR="004C2D1E" w:rsidRPr="00C1694A">
        <w:rPr>
          <w:rFonts w:ascii="Times New Roman" w:hAnsi="Times New Roman" w:cs="Times New Roman"/>
          <w:sz w:val="24"/>
          <w:szCs w:val="24"/>
        </w:rPr>
        <w:t xml:space="preserve"> the</w:t>
      </w:r>
      <w:r w:rsidRPr="00C1694A">
        <w:rPr>
          <w:rFonts w:ascii="Times New Roman" w:hAnsi="Times New Roman" w:cs="Times New Roman"/>
          <w:sz w:val="24"/>
          <w:szCs w:val="24"/>
        </w:rPr>
        <w:t xml:space="preserve"> combination option as a standard option.  Some commenters felt combination options met their community and parent needs better than the proposed center-based or family child care options, which were the only program options for preschoolers included in the NPRM.  Some stated they were against the removal of the combination option because it is an essential part of their service delivery for rural, isolated communities with no other services and not enough children for a center-based program.</w:t>
      </w:r>
    </w:p>
    <w:p w:rsidR="0058415F"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We acknowledge there may be some instances in which a combination option can effectively serve a community but think these services are best achieved through the locally-designed option variation described in </w:t>
      </w:r>
      <w:r w:rsidR="001C0EF8" w:rsidRPr="00C1694A">
        <w:rPr>
          <w:rFonts w:ascii="Times New Roman" w:hAnsi="Times New Roman" w:cs="Times New Roman"/>
          <w:sz w:val="24"/>
          <w:szCs w:val="24"/>
        </w:rPr>
        <w:t>this section</w:t>
      </w:r>
      <w:r w:rsidRPr="00C1694A">
        <w:rPr>
          <w:rFonts w:ascii="Times New Roman" w:hAnsi="Times New Roman" w:cs="Times New Roman"/>
          <w:sz w:val="24"/>
          <w:szCs w:val="24"/>
        </w:rPr>
        <w:t xml:space="preserve">.  This locally designed waiver process will ensure these more unique program models are specifically designed to respond to community needs while effectively meeting children’s developmental and learning needs and that tax dollars are being effectively spent.  As noted below, in changing the waiver approval </w:t>
      </w:r>
      <w:r w:rsidR="0058415F" w:rsidRPr="00C1694A">
        <w:rPr>
          <w:rFonts w:ascii="Times New Roman" w:hAnsi="Times New Roman" w:cs="Times New Roman"/>
          <w:sz w:val="24"/>
          <w:szCs w:val="24"/>
        </w:rPr>
        <w:t xml:space="preserve">process from </w:t>
      </w:r>
      <w:r w:rsidR="00371719" w:rsidRPr="00C1694A">
        <w:rPr>
          <w:rFonts w:ascii="Times New Roman" w:hAnsi="Times New Roman" w:cs="Times New Roman"/>
          <w:sz w:val="24"/>
          <w:szCs w:val="24"/>
        </w:rPr>
        <w:t>two</w:t>
      </w:r>
      <w:r w:rsidR="0058415F" w:rsidRPr="00C1694A">
        <w:rPr>
          <w:rFonts w:ascii="Times New Roman" w:hAnsi="Times New Roman" w:cs="Times New Roman"/>
          <w:sz w:val="24"/>
          <w:szCs w:val="24"/>
        </w:rPr>
        <w:t xml:space="preserve"> years to </w:t>
      </w:r>
      <w:r w:rsidR="00371719" w:rsidRPr="00C1694A">
        <w:rPr>
          <w:rFonts w:ascii="Times New Roman" w:hAnsi="Times New Roman" w:cs="Times New Roman"/>
          <w:sz w:val="24"/>
          <w:szCs w:val="24"/>
        </w:rPr>
        <w:t>five</w:t>
      </w:r>
      <w:r w:rsidR="0058415F" w:rsidRPr="00C1694A">
        <w:rPr>
          <w:rFonts w:ascii="Times New Roman" w:hAnsi="Times New Roman" w:cs="Times New Roman"/>
          <w:sz w:val="24"/>
          <w:szCs w:val="24"/>
        </w:rPr>
        <w:t xml:space="preserve"> years, </w:t>
      </w:r>
      <w:r w:rsidRPr="00C1694A">
        <w:rPr>
          <w:rFonts w:ascii="Times New Roman" w:hAnsi="Times New Roman" w:cs="Times New Roman"/>
          <w:sz w:val="24"/>
          <w:szCs w:val="24"/>
        </w:rPr>
        <w:t>we believe we struck the appropriate balance between a</w:t>
      </w:r>
      <w:r w:rsidR="0058415F" w:rsidRPr="00C1694A">
        <w:rPr>
          <w:rFonts w:ascii="Times New Roman" w:hAnsi="Times New Roman" w:cs="Times New Roman"/>
          <w:sz w:val="24"/>
          <w:szCs w:val="24"/>
        </w:rPr>
        <w:t xml:space="preserve">ccountability and flexibility. </w:t>
      </w:r>
    </w:p>
    <w:p w:rsidR="00852C99" w:rsidRPr="00C1694A" w:rsidRDefault="00852C99" w:rsidP="009A526A">
      <w:pPr>
        <w:autoSpaceDE w:val="0"/>
        <w:autoSpaceDN w:val="0"/>
        <w:spacing w:after="0" w:line="480" w:lineRule="auto"/>
        <w:rPr>
          <w:rFonts w:ascii="Times New Roman" w:hAnsi="Times New Roman" w:cs="Times New Roman"/>
          <w:sz w:val="24"/>
          <w:szCs w:val="24"/>
        </w:rPr>
      </w:pPr>
      <w:r w:rsidRPr="00C1694A">
        <w:rPr>
          <w:rFonts w:ascii="Times New Roman" w:hAnsi="Times New Roman" w:cs="Times New Roman"/>
          <w:iCs/>
          <w:sz w:val="24"/>
          <w:szCs w:val="24"/>
          <w:u w:val="single"/>
        </w:rPr>
        <w:t>Effective Dates of Subpart B Program Structure Provisions</w:t>
      </w:r>
    </w:p>
    <w:p w:rsidR="009D7EB0" w:rsidRPr="00C1694A" w:rsidRDefault="009D7EB0"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the NPRM, we specifically req</w:t>
      </w:r>
      <w:r w:rsidR="0058415F" w:rsidRPr="00C1694A">
        <w:rPr>
          <w:rFonts w:ascii="Times New Roman" w:hAnsi="Times New Roman" w:cs="Times New Roman"/>
          <w:sz w:val="24"/>
          <w:szCs w:val="24"/>
        </w:rPr>
        <w:t>uested comment on the effective dates</w:t>
      </w:r>
      <w:r w:rsidRPr="00C1694A">
        <w:rPr>
          <w:rFonts w:ascii="Times New Roman" w:hAnsi="Times New Roman" w:cs="Times New Roman"/>
          <w:sz w:val="24"/>
          <w:szCs w:val="24"/>
        </w:rPr>
        <w:t xml:space="preserve"> </w:t>
      </w:r>
      <w:r w:rsidR="0058415F" w:rsidRPr="00C1694A">
        <w:rPr>
          <w:rFonts w:ascii="Times New Roman" w:hAnsi="Times New Roman" w:cs="Times New Roman"/>
          <w:sz w:val="24"/>
          <w:szCs w:val="24"/>
        </w:rPr>
        <w:t xml:space="preserve">of </w:t>
      </w:r>
      <w:r w:rsidRPr="00C1694A">
        <w:rPr>
          <w:rFonts w:ascii="Times New Roman" w:hAnsi="Times New Roman" w:cs="Times New Roman"/>
          <w:sz w:val="24"/>
          <w:szCs w:val="24"/>
        </w:rPr>
        <w:t>the se</w:t>
      </w:r>
      <w:r w:rsidR="0058415F" w:rsidRPr="00C1694A">
        <w:rPr>
          <w:rFonts w:ascii="Times New Roman" w:hAnsi="Times New Roman" w:cs="Times New Roman"/>
          <w:sz w:val="24"/>
          <w:szCs w:val="24"/>
        </w:rPr>
        <w:t>rvice duration requirements throughout s</w:t>
      </w:r>
      <w:r w:rsidRPr="00C1694A">
        <w:rPr>
          <w:rFonts w:ascii="Times New Roman" w:hAnsi="Times New Roman" w:cs="Times New Roman"/>
          <w:sz w:val="24"/>
          <w:szCs w:val="24"/>
        </w:rPr>
        <w:t xml:space="preserve">ubpart B.  </w:t>
      </w:r>
      <w:r w:rsidR="0058415F" w:rsidRPr="00C1694A">
        <w:rPr>
          <w:rFonts w:ascii="Times New Roman" w:hAnsi="Times New Roman" w:cs="Times New Roman"/>
          <w:sz w:val="24"/>
          <w:szCs w:val="24"/>
        </w:rPr>
        <w:t xml:space="preserve">We received many comments on what the effective dates should be and </w:t>
      </w:r>
      <w:r w:rsidRPr="00C1694A">
        <w:rPr>
          <w:rFonts w:ascii="Times New Roman" w:hAnsi="Times New Roman" w:cs="Times New Roman"/>
          <w:sz w:val="24"/>
          <w:szCs w:val="24"/>
        </w:rPr>
        <w:t xml:space="preserve">discuss </w:t>
      </w:r>
      <w:r w:rsidR="0058415F" w:rsidRPr="00C1694A">
        <w:rPr>
          <w:rFonts w:ascii="Times New Roman" w:hAnsi="Times New Roman" w:cs="Times New Roman"/>
          <w:sz w:val="24"/>
          <w:szCs w:val="24"/>
        </w:rPr>
        <w:t>those</w:t>
      </w:r>
      <w:r w:rsidRPr="00C1694A">
        <w:rPr>
          <w:rFonts w:ascii="Times New Roman" w:hAnsi="Times New Roman" w:cs="Times New Roman"/>
          <w:sz w:val="24"/>
          <w:szCs w:val="24"/>
        </w:rPr>
        <w:t xml:space="preserve"> comments </w:t>
      </w:r>
      <w:r w:rsidR="0058415F" w:rsidRPr="00C1694A">
        <w:rPr>
          <w:rFonts w:ascii="Times New Roman" w:hAnsi="Times New Roman" w:cs="Times New Roman"/>
          <w:sz w:val="24"/>
          <w:szCs w:val="24"/>
        </w:rPr>
        <w:t>and our responses</w:t>
      </w:r>
      <w:r w:rsidRPr="00C1694A">
        <w:rPr>
          <w:rFonts w:ascii="Times New Roman" w:hAnsi="Times New Roman" w:cs="Times New Roman"/>
          <w:sz w:val="24"/>
          <w:szCs w:val="24"/>
        </w:rPr>
        <w:t xml:space="preserve"> below.</w:t>
      </w:r>
      <w:r w:rsidR="0058415F" w:rsidRPr="00C1694A">
        <w:rPr>
          <w:rFonts w:ascii="Times New Roman" w:hAnsi="Times New Roman" w:cs="Times New Roman"/>
          <w:sz w:val="24"/>
          <w:szCs w:val="24"/>
        </w:rPr>
        <w:t xml:space="preserve">  </w:t>
      </w:r>
      <w:r w:rsidR="00C463F3" w:rsidRPr="00C1694A">
        <w:rPr>
          <w:rFonts w:ascii="Times New Roman" w:hAnsi="Times New Roman" w:cs="Times New Roman"/>
          <w:sz w:val="24"/>
          <w:szCs w:val="24"/>
        </w:rPr>
        <w:t xml:space="preserve">The effective date of this rule and dates for specific requirements that will go into effective after the remainder of the regulation are included in the compliance table in the Dates section. </w:t>
      </w:r>
    </w:p>
    <w:p w:rsidR="002327A8" w:rsidRPr="00C1694A" w:rsidRDefault="002327A8" w:rsidP="009A526A">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raised concerns with the timeline for phasing in the increased service duration requirements.  Many of these commenters stated that one year after the rule is final is too fast for careful planning and implementation.  Some commenters suggested that grantees be allowed to phase the requirements in as part of their five-year grant cycle, to allow for thoughtful planning among many stakeholders, time to consider funding options, and time to find adequate facilities and qualified teachers.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that the effective date of the duration provisions should be tied to Congressional appropriation of funds. </w:t>
      </w:r>
    </w:p>
    <w:p w:rsidR="002327A8" w:rsidRPr="00C1694A" w:rsidRDefault="002327A8" w:rsidP="009A526A">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w:t>
      </w:r>
      <w:r w:rsidRPr="00C1694A">
        <w:rPr>
          <w:rFonts w:ascii="Times New Roman" w:hAnsi="Times New Roman" w:cs="Times New Roman"/>
          <w:sz w:val="24"/>
          <w:szCs w:val="24"/>
          <w:u w:val="single"/>
        </w:rPr>
        <w:t>Response:</w:t>
      </w:r>
      <w:r w:rsidRPr="00C1694A">
        <w:rPr>
          <w:rFonts w:ascii="Times New Roman" w:hAnsi="Times New Roman" w:cs="Times New Roman"/>
          <w:b/>
          <w:bCs/>
          <w:sz w:val="24"/>
          <w:szCs w:val="24"/>
        </w:rPr>
        <w:t xml:space="preserve"> </w:t>
      </w:r>
      <w:r w:rsidRPr="00C1694A">
        <w:rPr>
          <w:rFonts w:ascii="Times New Roman" w:hAnsi="Times New Roman" w:cs="Times New Roman"/>
          <w:sz w:val="24"/>
          <w:szCs w:val="24"/>
        </w:rPr>
        <w:t>We acknowledge the importance of giving grantees sufficient time for thoughtful planning, consideration of community needs, and management of logistics when increasing the duration of their center-based services.  Accordingly, we adjusted the effective dates of the increased service duration provisions to better facilitate thoughtful implementation.  However, we are also mindful of moving forward to ensure more children receive the higher levels of service duration that we think are important to achieve strong child outcomes.</w:t>
      </w:r>
    </w:p>
    <w:p w:rsidR="002327A8" w:rsidRPr="00C1694A" w:rsidRDefault="002327A8" w:rsidP="009A526A">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The requirements for Early Head Start center-based and home-based service duration in §</w:t>
      </w:r>
      <w:r w:rsidR="001E2DBC">
        <w:rPr>
          <w:rFonts w:ascii="Times New Roman" w:hAnsi="Times New Roman" w:cs="Times New Roman"/>
          <w:sz w:val="24"/>
          <w:szCs w:val="24"/>
        </w:rPr>
        <w:t>§</w:t>
      </w:r>
      <w:r w:rsidRPr="00C1694A">
        <w:rPr>
          <w:rFonts w:ascii="Times New Roman" w:hAnsi="Times New Roman" w:cs="Times New Roman"/>
          <w:sz w:val="24"/>
          <w:szCs w:val="24"/>
        </w:rPr>
        <w:t>1302.21(c)(1) and 1302.22(c)(1) are effective August 1, 2018</w:t>
      </w:r>
      <w:r w:rsidR="00B72826" w:rsidRPr="00C1694A">
        <w:rPr>
          <w:rFonts w:ascii="Times New Roman" w:hAnsi="Times New Roman" w:cs="Times New Roman"/>
          <w:sz w:val="24"/>
          <w:szCs w:val="24"/>
        </w:rPr>
        <w:t xml:space="preserve"> and August 1, 2017, respectively</w:t>
      </w:r>
      <w:r w:rsidRPr="00C1694A">
        <w:rPr>
          <w:rFonts w:ascii="Times New Roman" w:hAnsi="Times New Roman" w:cs="Times New Roman"/>
          <w:sz w:val="24"/>
          <w:szCs w:val="24"/>
        </w:rPr>
        <w:t xml:space="preserve">.  The majority of Early Head Start programs already operate in accordance with the service duration requirements we establish in this final rule. Therefore, only a small share of Early Head Start programs must increase their service duration to meet the new requirements.  Additionally, funding in FY 2016 is available to support all Early Head Start center-based programs that need to increase their service duration and there should be time and resources for them to meet these minimums by 2018. </w:t>
      </w:r>
    </w:p>
    <w:p w:rsidR="002327A8" w:rsidRPr="00C1694A" w:rsidRDefault="002327A8" w:rsidP="009A526A">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The requirement for 50 percent of each grantee’s Head Start center-based slots to operate for a full school day and full school year in §1302.21(c)(2)(iii) is effective on August 1, 201</w:t>
      </w:r>
      <w:r w:rsidR="00CE745E" w:rsidRPr="00C1694A">
        <w:rPr>
          <w:rFonts w:ascii="Times New Roman" w:hAnsi="Times New Roman" w:cs="Times New Roman"/>
          <w:sz w:val="24"/>
          <w:szCs w:val="24"/>
        </w:rPr>
        <w:t>9</w:t>
      </w:r>
      <w:r w:rsidRPr="00C1694A">
        <w:rPr>
          <w:rFonts w:ascii="Times New Roman" w:hAnsi="Times New Roman" w:cs="Times New Roman"/>
          <w:sz w:val="24"/>
          <w:szCs w:val="24"/>
        </w:rPr>
        <w:t xml:space="preserve">, which is approximately </w:t>
      </w:r>
      <w:r w:rsidR="00CE745E" w:rsidRPr="00C1694A">
        <w:rPr>
          <w:rFonts w:ascii="Times New Roman" w:hAnsi="Times New Roman" w:cs="Times New Roman"/>
          <w:sz w:val="24"/>
          <w:szCs w:val="24"/>
        </w:rPr>
        <w:t>three</w:t>
      </w:r>
      <w:r w:rsidRPr="00C1694A">
        <w:rPr>
          <w:rFonts w:ascii="Times New Roman" w:hAnsi="Times New Roman" w:cs="Times New Roman"/>
          <w:sz w:val="24"/>
          <w:szCs w:val="24"/>
        </w:rPr>
        <w:t xml:space="preserve"> years following the publication of this final rule.  This interim requirement will mean many more families will have access to the educational services for a full school day and full school year within </w:t>
      </w:r>
      <w:r w:rsidR="00503018" w:rsidRPr="00C1694A">
        <w:rPr>
          <w:rFonts w:ascii="Times New Roman" w:hAnsi="Times New Roman" w:cs="Times New Roman"/>
          <w:sz w:val="24"/>
          <w:szCs w:val="24"/>
        </w:rPr>
        <w:t xml:space="preserve">three </w:t>
      </w:r>
      <w:r w:rsidRPr="00C1694A">
        <w:rPr>
          <w:rFonts w:ascii="Times New Roman" w:hAnsi="Times New Roman" w:cs="Times New Roman"/>
          <w:sz w:val="24"/>
          <w:szCs w:val="24"/>
        </w:rPr>
        <w:t xml:space="preserve">years.  This requirement will increase from 50 percent to 100 percent effective August 1, 2021, as described in §1302.21(c)(2)(iv).  This effective date is approximately </w:t>
      </w:r>
      <w:r w:rsidR="006B6A4E" w:rsidRPr="00C1694A">
        <w:rPr>
          <w:rFonts w:ascii="Times New Roman" w:hAnsi="Times New Roman" w:cs="Times New Roman"/>
          <w:sz w:val="24"/>
          <w:szCs w:val="24"/>
        </w:rPr>
        <w:t>five</w:t>
      </w:r>
      <w:r w:rsidRPr="00C1694A">
        <w:rPr>
          <w:rFonts w:ascii="Times New Roman" w:hAnsi="Times New Roman" w:cs="Times New Roman"/>
          <w:sz w:val="24"/>
          <w:szCs w:val="24"/>
        </w:rPr>
        <w:t xml:space="preserve"> years following the publication of this final rule.  The gradual phase-in allows ample time for grantees to plan implementation and align changes with their </w:t>
      </w:r>
      <w:r w:rsidR="000C6312" w:rsidRPr="00C1694A">
        <w:rPr>
          <w:rFonts w:ascii="Times New Roman" w:hAnsi="Times New Roman" w:cs="Times New Roman"/>
          <w:sz w:val="24"/>
          <w:szCs w:val="24"/>
        </w:rPr>
        <w:t>five</w:t>
      </w:r>
      <w:r w:rsidRPr="00C1694A">
        <w:rPr>
          <w:rFonts w:ascii="Times New Roman" w:hAnsi="Times New Roman" w:cs="Times New Roman"/>
          <w:sz w:val="24"/>
          <w:szCs w:val="24"/>
        </w:rPr>
        <w:t>-year grant cycle if they choose.  The service duration provisions for the Head Start home-based option described in §1302.22(c)(2), which are unchanged from the previous performance standards, do not require a delayed phase-in.</w:t>
      </w:r>
    </w:p>
    <w:p w:rsidR="002327A8" w:rsidRPr="00C1694A" w:rsidRDefault="002327A8" w:rsidP="009A526A">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also </w:t>
      </w:r>
      <w:r w:rsidR="007B4182" w:rsidRPr="00C1694A">
        <w:rPr>
          <w:rFonts w:ascii="Times New Roman" w:hAnsi="Times New Roman" w:cs="Times New Roman"/>
          <w:sz w:val="24"/>
          <w:szCs w:val="24"/>
        </w:rPr>
        <w:t xml:space="preserve">revised the </w:t>
      </w:r>
      <w:r w:rsidRPr="00C1694A">
        <w:rPr>
          <w:rFonts w:ascii="Times New Roman" w:hAnsi="Times New Roman" w:cs="Times New Roman"/>
          <w:sz w:val="24"/>
          <w:szCs w:val="24"/>
        </w:rPr>
        <w:t xml:space="preserve">service duration requirement for the family child care option described in §1302.23(c) </w:t>
      </w:r>
      <w:r w:rsidR="00CA409C" w:rsidRPr="00C1694A">
        <w:rPr>
          <w:rFonts w:ascii="Times New Roman" w:hAnsi="Times New Roman" w:cs="Times New Roman"/>
          <w:sz w:val="24"/>
          <w:szCs w:val="24"/>
        </w:rPr>
        <w:t xml:space="preserve">to reflect language </w:t>
      </w:r>
      <w:r w:rsidRPr="00C1694A">
        <w:rPr>
          <w:rFonts w:ascii="Times New Roman" w:hAnsi="Times New Roman" w:cs="Times New Roman"/>
          <w:sz w:val="24"/>
          <w:szCs w:val="24"/>
        </w:rPr>
        <w:t>from previous standards</w:t>
      </w:r>
      <w:r w:rsidR="007B4182" w:rsidRPr="00C1694A">
        <w:rPr>
          <w:rFonts w:ascii="Times New Roman" w:hAnsi="Times New Roman" w:cs="Times New Roman"/>
          <w:sz w:val="24"/>
          <w:szCs w:val="24"/>
        </w:rPr>
        <w:t xml:space="preserve"> to state that programs must meet the </w:t>
      </w:r>
      <w:r w:rsidR="00CA409C" w:rsidRPr="00C1694A">
        <w:rPr>
          <w:rFonts w:ascii="Times New Roman" w:hAnsi="Times New Roman" w:cs="Times New Roman"/>
          <w:sz w:val="24"/>
          <w:szCs w:val="24"/>
        </w:rPr>
        <w:t xml:space="preserve">child care </w:t>
      </w:r>
      <w:r w:rsidR="007B4182" w:rsidRPr="00C1694A">
        <w:rPr>
          <w:rFonts w:ascii="Times New Roman" w:hAnsi="Times New Roman" w:cs="Times New Roman"/>
          <w:sz w:val="24"/>
          <w:szCs w:val="24"/>
        </w:rPr>
        <w:t>needs of</w:t>
      </w:r>
      <w:r w:rsidR="00D1694D" w:rsidRPr="00C1694A">
        <w:rPr>
          <w:rFonts w:ascii="Times New Roman" w:hAnsi="Times New Roman" w:cs="Times New Roman"/>
          <w:sz w:val="24"/>
          <w:szCs w:val="24"/>
        </w:rPr>
        <w:t xml:space="preserve"> </w:t>
      </w:r>
      <w:r w:rsidR="00CA409C" w:rsidRPr="00C1694A">
        <w:rPr>
          <w:rFonts w:ascii="Times New Roman" w:hAnsi="Times New Roman" w:cs="Times New Roman"/>
          <w:sz w:val="24"/>
          <w:szCs w:val="24"/>
        </w:rPr>
        <w:t>families.</w:t>
      </w:r>
      <w:r w:rsidR="007B4182" w:rsidRPr="00C1694A">
        <w:rPr>
          <w:rFonts w:ascii="Times New Roman" w:hAnsi="Times New Roman" w:cs="Times New Roman"/>
          <w:sz w:val="24"/>
          <w:szCs w:val="24"/>
        </w:rPr>
        <w:t xml:space="preserve"> </w:t>
      </w:r>
      <w:r w:rsidR="00CA409C" w:rsidRPr="00C1694A">
        <w:rPr>
          <w:rFonts w:ascii="Times New Roman" w:hAnsi="Times New Roman" w:cs="Times New Roman"/>
          <w:sz w:val="24"/>
          <w:szCs w:val="24"/>
        </w:rPr>
        <w:t xml:space="preserve">Although the provision is not explicit that family child care programs must operate for a minimum of 1,380 annual hours, most family child care programs provide many more hours than this to meet family needs </w:t>
      </w:r>
      <w:r w:rsidRPr="00C1694A">
        <w:rPr>
          <w:rFonts w:ascii="Times New Roman" w:hAnsi="Times New Roman" w:cs="Times New Roman"/>
          <w:sz w:val="24"/>
          <w:szCs w:val="24"/>
        </w:rPr>
        <w:t xml:space="preserve">and therefore </w:t>
      </w:r>
      <w:r w:rsidR="00CA409C" w:rsidRPr="00C1694A">
        <w:rPr>
          <w:rFonts w:ascii="Times New Roman" w:hAnsi="Times New Roman" w:cs="Times New Roman"/>
          <w:sz w:val="24"/>
          <w:szCs w:val="24"/>
        </w:rPr>
        <w:t>this provision</w:t>
      </w:r>
      <w:r w:rsidRPr="00C1694A">
        <w:rPr>
          <w:rFonts w:ascii="Times New Roman" w:hAnsi="Times New Roman" w:cs="Times New Roman"/>
          <w:sz w:val="24"/>
          <w:szCs w:val="24"/>
        </w:rPr>
        <w:t xml:space="preserve"> does not require a delayed phase-in.</w:t>
      </w:r>
    </w:p>
    <w:p w:rsidR="002327A8" w:rsidRPr="00C1694A" w:rsidRDefault="00A74F11" w:rsidP="009A526A">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We clarify in §1302.24(d) that p</w:t>
      </w:r>
      <w:r w:rsidR="002327A8" w:rsidRPr="00C1694A">
        <w:rPr>
          <w:rFonts w:ascii="Times New Roman" w:hAnsi="Times New Roman" w:cs="Times New Roman"/>
          <w:sz w:val="24"/>
          <w:szCs w:val="24"/>
        </w:rPr>
        <w:t xml:space="preserve">rograms currently approved to operate program models that do not meet the requirements described in subpart B of this rule, such as combination options, may continue to operate in their existing approved program option until </w:t>
      </w:r>
      <w:r w:rsidRPr="00C1694A">
        <w:rPr>
          <w:rFonts w:ascii="Times New Roman" w:hAnsi="Times New Roman" w:cs="Times New Roman"/>
          <w:sz w:val="24"/>
          <w:szCs w:val="24"/>
        </w:rPr>
        <w:t>July 31</w:t>
      </w:r>
      <w:r w:rsidR="002327A8" w:rsidRPr="00C1694A">
        <w:rPr>
          <w:rFonts w:ascii="Times New Roman" w:hAnsi="Times New Roman" w:cs="Times New Roman"/>
          <w:sz w:val="24"/>
          <w:szCs w:val="24"/>
        </w:rPr>
        <w:t xml:space="preserve">, 2018.  However, programs must have either an approved waiver to operate a locally designed program option that meets the requirements in §1302.24 or adopt one or more of the standard program options described in §§1302.21 through 1302.23 no later than August 1, 2018.       </w:t>
      </w:r>
    </w:p>
    <w:p w:rsidR="002327A8" w:rsidRPr="00C1694A" w:rsidRDefault="002327A8" w:rsidP="009A526A">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While we believe the </w:t>
      </w:r>
      <w:r w:rsidR="00CA409C" w:rsidRPr="00C1694A">
        <w:rPr>
          <w:rFonts w:ascii="Times New Roman" w:hAnsi="Times New Roman" w:cs="Times New Roman"/>
          <w:sz w:val="24"/>
          <w:szCs w:val="24"/>
        </w:rPr>
        <w:t xml:space="preserve">respective </w:t>
      </w:r>
      <w:r w:rsidRPr="00C1694A">
        <w:rPr>
          <w:rFonts w:ascii="Times New Roman" w:hAnsi="Times New Roman" w:cs="Times New Roman"/>
          <w:sz w:val="24"/>
          <w:szCs w:val="24"/>
        </w:rPr>
        <w:t>August 1, 2018</w:t>
      </w:r>
      <w:r w:rsidR="00CA409C" w:rsidRPr="00C1694A">
        <w:rPr>
          <w:rFonts w:ascii="Times New Roman" w:hAnsi="Times New Roman" w:cs="Times New Roman"/>
          <w:sz w:val="24"/>
          <w:szCs w:val="24"/>
        </w:rPr>
        <w:t xml:space="preserve"> and August 1, 2019</w:t>
      </w:r>
      <w:r w:rsidRPr="00C1694A">
        <w:rPr>
          <w:rFonts w:ascii="Times New Roman" w:hAnsi="Times New Roman" w:cs="Times New Roman"/>
          <w:sz w:val="24"/>
          <w:szCs w:val="24"/>
        </w:rPr>
        <w:t xml:space="preserve"> effective date</w:t>
      </w:r>
      <w:r w:rsidR="00CA409C" w:rsidRPr="00C1694A">
        <w:rPr>
          <w:rFonts w:ascii="Times New Roman" w:hAnsi="Times New Roman" w:cs="Times New Roman"/>
          <w:sz w:val="24"/>
          <w:szCs w:val="24"/>
        </w:rPr>
        <w:t>s</w:t>
      </w:r>
      <w:r w:rsidRPr="00C1694A">
        <w:rPr>
          <w:rFonts w:ascii="Times New Roman" w:hAnsi="Times New Roman" w:cs="Times New Roman"/>
          <w:sz w:val="24"/>
          <w:szCs w:val="24"/>
        </w:rPr>
        <w:t xml:space="preserve"> of the center-based service duration provisions described in §</w:t>
      </w:r>
      <w:r w:rsidR="001E2DBC">
        <w:rPr>
          <w:rFonts w:ascii="Times New Roman" w:hAnsi="Times New Roman" w:cs="Times New Roman"/>
          <w:sz w:val="24"/>
          <w:szCs w:val="24"/>
        </w:rPr>
        <w:t>§</w:t>
      </w:r>
      <w:r w:rsidRPr="00C1694A">
        <w:rPr>
          <w:rFonts w:ascii="Times New Roman" w:hAnsi="Times New Roman" w:cs="Times New Roman"/>
          <w:sz w:val="24"/>
          <w:szCs w:val="24"/>
        </w:rPr>
        <w:t>1302.21(c)(1) and (c)(2)(iii) should give the vast majority of programs enough time to make changes to their service delivery, there may be unforeseen circumstances that arise which may necessitate additional time to complete the transition without disrupting services to children.  Therefore, under §1302.</w:t>
      </w:r>
      <w:r w:rsidR="0004739D" w:rsidRPr="00C1694A">
        <w:rPr>
          <w:rFonts w:ascii="Times New Roman" w:hAnsi="Times New Roman" w:cs="Times New Roman"/>
          <w:sz w:val="24"/>
          <w:szCs w:val="24"/>
        </w:rPr>
        <w:t>21</w:t>
      </w:r>
      <w:r w:rsidRPr="00C1694A">
        <w:rPr>
          <w:rFonts w:ascii="Times New Roman" w:hAnsi="Times New Roman" w:cs="Times New Roman"/>
          <w:sz w:val="24"/>
          <w:szCs w:val="24"/>
        </w:rPr>
        <w:t>(c)</w:t>
      </w:r>
      <w:r w:rsidR="0004739D" w:rsidRPr="00C1694A">
        <w:rPr>
          <w:rFonts w:ascii="Times New Roman" w:hAnsi="Times New Roman" w:cs="Times New Roman"/>
          <w:sz w:val="24"/>
          <w:szCs w:val="24"/>
        </w:rPr>
        <w:t>(4)</w:t>
      </w:r>
      <w:r w:rsidRPr="00C1694A">
        <w:rPr>
          <w:rFonts w:ascii="Times New Roman" w:hAnsi="Times New Roman" w:cs="Times New Roman"/>
          <w:sz w:val="24"/>
          <w:szCs w:val="24"/>
        </w:rPr>
        <w:t xml:space="preserve">, programs may request a one-year extension of the increased service duration requirements for center-based Head Start and Early Head Start described in </w:t>
      </w:r>
      <w:r w:rsidR="00ED7C06" w:rsidRPr="00C1694A">
        <w:rPr>
          <w:rFonts w:ascii="Times New Roman" w:hAnsi="Times New Roman" w:cs="Times New Roman"/>
          <w:sz w:val="24"/>
          <w:szCs w:val="24"/>
        </w:rPr>
        <w:t>§</w:t>
      </w:r>
      <w:r w:rsidRPr="00C1694A">
        <w:rPr>
          <w:rFonts w:ascii="Times New Roman" w:hAnsi="Times New Roman" w:cs="Times New Roman"/>
          <w:sz w:val="24"/>
          <w:szCs w:val="24"/>
        </w:rPr>
        <w:t xml:space="preserve">1302.21(c)(1) and (c)(2)(iii) if necessary to prevent displacement of children </w:t>
      </w:r>
      <w:r w:rsidR="0086554A" w:rsidRPr="00C1694A">
        <w:rPr>
          <w:rFonts w:ascii="Times New Roman" w:hAnsi="Times New Roman" w:cs="Times New Roman"/>
          <w:sz w:val="24"/>
          <w:szCs w:val="24"/>
        </w:rPr>
        <w:t xml:space="preserve">enrolled in </w:t>
      </w:r>
      <w:r w:rsidRPr="00C1694A">
        <w:rPr>
          <w:rFonts w:ascii="Times New Roman" w:hAnsi="Times New Roman" w:cs="Times New Roman"/>
          <w:sz w:val="24"/>
          <w:szCs w:val="24"/>
        </w:rPr>
        <w:t>the program</w:t>
      </w:r>
      <w:r w:rsidR="0086554A" w:rsidRPr="00C1694A">
        <w:rPr>
          <w:rFonts w:ascii="Times New Roman" w:hAnsi="Times New Roman" w:cs="Times New Roman"/>
          <w:sz w:val="24"/>
          <w:szCs w:val="24"/>
        </w:rPr>
        <w:t xml:space="preserve"> at the time this rule becomes effective</w:t>
      </w:r>
      <w:r w:rsidRPr="00C1694A">
        <w:rPr>
          <w:rFonts w:ascii="Times New Roman" w:hAnsi="Times New Roman" w:cs="Times New Roman"/>
          <w:sz w:val="24"/>
          <w:szCs w:val="24"/>
        </w:rPr>
        <w:t xml:space="preserve">. </w:t>
      </w:r>
    </w:p>
    <w:p w:rsidR="00A74F11" w:rsidRPr="00C1694A" w:rsidRDefault="00A74F11" w:rsidP="009A526A">
      <w:pPr>
        <w:autoSpaceDE w:val="0"/>
        <w:autoSpaceDN w:val="0"/>
        <w:adjustRightInd w:val="0"/>
        <w:spacing w:after="0" w:line="240" w:lineRule="auto"/>
        <w:rPr>
          <w:rFonts w:ascii="Times New Roman" w:hAnsi="Times New Roman" w:cs="Times New Roman"/>
          <w:b/>
          <w:sz w:val="24"/>
          <w:szCs w:val="24"/>
        </w:rPr>
      </w:pPr>
    </w:p>
    <w:p w:rsidR="00894DA5" w:rsidRPr="00C1694A" w:rsidRDefault="00894DA5"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Education and Child Development Program Services</w:t>
      </w:r>
      <w:r w:rsidR="00480E74" w:rsidRPr="00C1694A">
        <w:rPr>
          <w:rFonts w:ascii="Times New Roman" w:hAnsi="Times New Roman" w:cs="Times New Roman"/>
          <w:b/>
          <w:sz w:val="24"/>
          <w:szCs w:val="24"/>
        </w:rPr>
        <w:t>; Subpart C</w:t>
      </w:r>
      <w:r w:rsidRPr="00C1694A">
        <w:rPr>
          <w:rFonts w:ascii="Times New Roman" w:hAnsi="Times New Roman" w:cs="Times New Roman"/>
          <w:b/>
          <w:sz w:val="24"/>
          <w:szCs w:val="24"/>
        </w:rPr>
        <w:t xml:space="preserve"> </w:t>
      </w:r>
    </w:p>
    <w:p w:rsidR="00894DA5" w:rsidRPr="00C1694A" w:rsidRDefault="00894DA5" w:rsidP="009A526A">
      <w:pPr>
        <w:autoSpaceDE w:val="0"/>
        <w:autoSpaceDN w:val="0"/>
        <w:adjustRightInd w:val="0"/>
        <w:spacing w:after="0" w:line="240" w:lineRule="auto"/>
        <w:rPr>
          <w:rFonts w:ascii="Times New Roman" w:hAnsi="Times New Roman" w:cs="Times New Roman"/>
          <w:sz w:val="24"/>
          <w:szCs w:val="24"/>
        </w:rPr>
      </w:pP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subpart, we combined all previous program standards related to education and child development services.  We significantly updated and restructured these requirements to reflect the Act, current research, and best practices in teaching and learning, to strengthen curriculum requirements, and to integrate the </w:t>
      </w:r>
      <w:r w:rsidR="003B4016" w:rsidRPr="00C1694A">
        <w:rPr>
          <w:rFonts w:ascii="Times New Roman" w:hAnsi="Times New Roman" w:cs="Times New Roman"/>
          <w:sz w:val="24"/>
          <w:szCs w:val="24"/>
          <w:u w:val="single"/>
        </w:rPr>
        <w:t>Head Start Early Learning Outcomes Framework: Ages Birth to</w:t>
      </w:r>
      <w:r w:rsidR="006B6A4E" w:rsidRPr="00C1694A">
        <w:rPr>
          <w:rFonts w:ascii="Times New Roman" w:hAnsi="Times New Roman" w:cs="Times New Roman"/>
          <w:sz w:val="24"/>
          <w:szCs w:val="24"/>
          <w:u w:val="single"/>
        </w:rPr>
        <w:t xml:space="preserve"> Five</w:t>
      </w:r>
      <w:r w:rsidRPr="00C1694A">
        <w:rPr>
          <w:rFonts w:ascii="Times New Roman" w:hAnsi="Times New Roman" w:cs="Times New Roman"/>
          <w:sz w:val="24"/>
          <w:szCs w:val="24"/>
        </w:rPr>
        <w:t>.  We also corrected an imbalance between Early Head Start and Head Start education s</w:t>
      </w:r>
      <w:r w:rsidR="006B6A4E" w:rsidRPr="00C1694A">
        <w:rPr>
          <w:rFonts w:ascii="Times New Roman" w:hAnsi="Times New Roman" w:cs="Times New Roman"/>
          <w:sz w:val="24"/>
          <w:szCs w:val="24"/>
        </w:rPr>
        <w:t>tandards with a unifying birth to five</w:t>
      </w:r>
      <w:r w:rsidRPr="00C1694A">
        <w:rPr>
          <w:rFonts w:ascii="Times New Roman" w:hAnsi="Times New Roman" w:cs="Times New Roman"/>
          <w:sz w:val="24"/>
          <w:szCs w:val="24"/>
        </w:rPr>
        <w:t xml:space="preserve"> approach.</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received comments on all sections of this subpart.  Overall, commenters were supportive and positive about the provisions in subpart C.  Commenters noted the subpart provided a much clearer picture of what high-quality early education looks like, reflected research on how children learn, and appreciated our strong focus on practices that promote intentional and effective teaching.  Commenters also expressed their support for our focus on intentional teaching practices but recognizing and requiring play and exploration as important to developing school readiness.  Commenters supported the curriculum requirements, including the integration of professional development into curriculum implementation.  They also agreed with our provisions to use assessments to individualize services.  Commenters supported the integration of the </w:t>
      </w:r>
      <w:r w:rsidR="006B6A4E" w:rsidRPr="00C1694A">
        <w:rPr>
          <w:rFonts w:ascii="Times New Roman" w:hAnsi="Times New Roman" w:cs="Times New Roman"/>
          <w:sz w:val="24"/>
          <w:szCs w:val="24"/>
          <w:u w:val="single"/>
        </w:rPr>
        <w:t>Head Start Early Learning Outcomes Framework: Ages Birth to Five</w:t>
      </w:r>
      <w:r w:rsidR="006B6A4E"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through subpart C and appreciated our birth to five approach.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We made some changes in response to public comments that further strengthen this subpart.  For example, we modified some language and structure to ensure the subpart consistently and appropriately addressed children from birth to age five.  In addition, we made changes to further strengthen and clarify effective services for DLLs. There were some recommendations we thought were too prescriptive, did not reflect best practice or research, were outside the scope of this regulation, sought guidance more appropriate for technical assistance, or were not consistent with current research-based practices.  Therefore, we did not make changes based on these comments. We address additional comments below.</w:t>
      </w:r>
    </w:p>
    <w:p w:rsidR="00894DA5" w:rsidRPr="00C1694A" w:rsidRDefault="006B6A4E" w:rsidP="009A526A">
      <w:pPr>
        <w:autoSpaceDE w:val="0"/>
        <w:autoSpaceDN w:val="0"/>
        <w:adjustRightInd w:val="0"/>
        <w:spacing w:after="0" w:line="480" w:lineRule="auto"/>
        <w:ind w:firstLine="720"/>
        <w:rPr>
          <w:rFonts w:ascii="Times New Roman" w:hAnsi="Times New Roman" w:cs="Times New Roman"/>
          <w:i/>
          <w:sz w:val="24"/>
          <w:szCs w:val="24"/>
        </w:rPr>
      </w:pPr>
      <w:r w:rsidRPr="00C1694A">
        <w:rPr>
          <w:rFonts w:ascii="Times New Roman" w:hAnsi="Times New Roman" w:cs="Times New Roman"/>
          <w:i/>
          <w:sz w:val="24"/>
          <w:szCs w:val="24"/>
        </w:rPr>
        <w:t xml:space="preserve">General </w:t>
      </w:r>
      <w:r w:rsidR="0078221A" w:rsidRPr="00C1694A">
        <w:rPr>
          <w:rFonts w:ascii="Times New Roman" w:hAnsi="Times New Roman" w:cs="Times New Roman"/>
          <w:i/>
          <w:sz w:val="24"/>
          <w:szCs w:val="24"/>
        </w:rPr>
        <w:t>C</w:t>
      </w:r>
      <w:r w:rsidR="00894DA5" w:rsidRPr="00C1694A">
        <w:rPr>
          <w:rFonts w:ascii="Times New Roman" w:hAnsi="Times New Roman" w:cs="Times New Roman"/>
          <w:i/>
          <w:sz w:val="24"/>
          <w:szCs w:val="24"/>
        </w:rPr>
        <w:t>omments.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adding language throughout this subpart to recognize family child care providers separately from teachers.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While we recognize the unique role of family child care providers, we believe that it is important that family child care providers be recognized as the teachers of the children they serve, and therefore use the term teachers in §§1302.30 through 1302.34 to be inclusive of family child care providers.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expressed concern there were instances throughout this subpart that did not use language appropriate for infants and toddlers.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This subpart addresses Head Start children of all ages.  We only included separate standards when developmental differences made it appropriate to do so.  We made revisions throughout the subpart</w:t>
      </w:r>
      <w:r w:rsidR="004C2D1E" w:rsidRPr="00C1694A">
        <w:rPr>
          <w:rFonts w:ascii="Times New Roman" w:hAnsi="Times New Roman" w:cs="Times New Roman"/>
          <w:sz w:val="24"/>
          <w:szCs w:val="24"/>
        </w:rPr>
        <w:t>, including for example, requirements for responsive care, a broader reference to children’s learning experiences as well as activities, and changes discussed in detail below above developmental scope and sequence in curricula.  These changes</w:t>
      </w:r>
      <w:r w:rsidRPr="00C1694A">
        <w:rPr>
          <w:rFonts w:ascii="Times New Roman" w:hAnsi="Times New Roman" w:cs="Times New Roman"/>
          <w:sz w:val="24"/>
          <w:szCs w:val="24"/>
        </w:rPr>
        <w:t xml:space="preserve"> ensure all sections </w:t>
      </w:r>
      <w:r w:rsidR="004C2D1E" w:rsidRPr="00C1694A">
        <w:rPr>
          <w:rFonts w:ascii="Times New Roman" w:hAnsi="Times New Roman" w:cs="Times New Roman"/>
          <w:sz w:val="24"/>
          <w:szCs w:val="24"/>
        </w:rPr>
        <w:t>a</w:t>
      </w:r>
      <w:r w:rsidRPr="00C1694A">
        <w:rPr>
          <w:rFonts w:ascii="Times New Roman" w:hAnsi="Times New Roman" w:cs="Times New Roman"/>
          <w:sz w:val="24"/>
          <w:szCs w:val="24"/>
        </w:rPr>
        <w:t xml:space="preserve">re appropriate for children from birth to age 5. </w:t>
      </w:r>
    </w:p>
    <w:p w:rsidR="00894DA5" w:rsidRPr="00C1694A" w:rsidRDefault="00894DA5" w:rsidP="009A526A">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suggested we specifically include the principles of universal design (UD) and universal design for learning (UDL) in requirements for curriculum objectives, learning materials and spaces, teaching practices, and assessments.</w:t>
      </w:r>
    </w:p>
    <w:p w:rsidR="00894DA5" w:rsidRPr="00C1694A" w:rsidRDefault="00894DA5" w:rsidP="009A526A">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Though we did not revise the regulation to specifically reference UDL, many of its principles are long standing Head Start and Early Head Start requirements that are expanded and enhanced in this final rule.  We also did not incorporate the suggestion to require that programs adhere to UD.  We agree that UD principles are beneficial for all users of a facility but think we can effectively promote the principles of UD through technical assistance provided for renovation and construction projects.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suggested that we needed to address teacher compensation in order for this subpart to be effectively implemented.</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teacher compensation is vitally important to attracting and retaining effective teachers.  However, addressing compensation is outside the scope of this regulation</w:t>
      </w:r>
      <w:r w:rsidR="00B22B33" w:rsidRPr="00C1694A">
        <w:rPr>
          <w:rFonts w:ascii="Times New Roman" w:hAnsi="Times New Roman" w:cs="Times New Roman"/>
          <w:sz w:val="24"/>
          <w:szCs w:val="24"/>
        </w:rPr>
        <w:t xml:space="preserve"> because teacher compensation is determined by Congressional appropriations and local decisions</w:t>
      </w:r>
      <w:r w:rsidRPr="00C1694A">
        <w:rPr>
          <w:rFonts w:ascii="Times New Roman" w:hAnsi="Times New Roman" w:cs="Times New Roman"/>
          <w:sz w:val="24"/>
          <w:szCs w:val="24"/>
        </w:rPr>
        <w:t>.</w:t>
      </w:r>
    </w:p>
    <w:p w:rsidR="00AE0039" w:rsidRPr="00C1694A" w:rsidRDefault="00AE0039" w:rsidP="00AE0039">
      <w:pPr>
        <w:tabs>
          <w:tab w:val="left" w:pos="360"/>
        </w:tabs>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stated that the regulation failed to recognize that supporting the home language of DLLs is important in and of itself, separate from the goal of supporting English acquisition. </w:t>
      </w:r>
    </w:p>
    <w:p w:rsidR="00AE0039" w:rsidRPr="00C1694A" w:rsidRDefault="00AE0039" w:rsidP="00AE0039">
      <w:pPr>
        <w:tabs>
          <w:tab w:val="left" w:pos="360"/>
        </w:tabs>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there is clear language </w:t>
      </w:r>
      <w:r w:rsidR="00B22B33" w:rsidRPr="00C1694A">
        <w:rPr>
          <w:rFonts w:ascii="Times New Roman" w:hAnsi="Times New Roman" w:cs="Times New Roman"/>
          <w:sz w:val="24"/>
          <w:szCs w:val="24"/>
        </w:rPr>
        <w:t xml:space="preserve">in §1302.31(b)(2) </w:t>
      </w:r>
      <w:r w:rsidRPr="00C1694A">
        <w:rPr>
          <w:rFonts w:ascii="Times New Roman" w:hAnsi="Times New Roman" w:cs="Times New Roman"/>
          <w:sz w:val="24"/>
          <w:szCs w:val="24"/>
        </w:rPr>
        <w:t xml:space="preserve">that </w:t>
      </w:r>
      <w:r w:rsidR="00B22B33" w:rsidRPr="00C1694A">
        <w:rPr>
          <w:rFonts w:ascii="Times New Roman" w:hAnsi="Times New Roman" w:cs="Times New Roman"/>
          <w:sz w:val="24"/>
          <w:szCs w:val="24"/>
        </w:rPr>
        <w:t>emphasizes</w:t>
      </w:r>
      <w:r w:rsidRPr="00C1694A">
        <w:rPr>
          <w:rFonts w:ascii="Times New Roman" w:hAnsi="Times New Roman" w:cs="Times New Roman"/>
          <w:sz w:val="24"/>
          <w:szCs w:val="24"/>
        </w:rPr>
        <w:t xml:space="preserve"> the importance of supporting the home language of DLLs, separate from the goal of English acquisition.  The Act requires that Head Start programs support the acquisition of English for children who are DLLs.  </w:t>
      </w:r>
    </w:p>
    <w:p w:rsidR="00894DA5" w:rsidRPr="00C1694A" w:rsidRDefault="00894DA5"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§1302.30 </w:t>
      </w:r>
      <w:r w:rsidR="00E45E2A">
        <w:rPr>
          <w:rFonts w:ascii="Times New Roman" w:hAnsi="Times New Roman" w:cs="Times New Roman"/>
          <w:i/>
          <w:sz w:val="24"/>
          <w:szCs w:val="24"/>
        </w:rPr>
        <w:t>Purpose</w:t>
      </w:r>
      <w:r w:rsidRPr="00C1694A">
        <w:rPr>
          <w:rFonts w:ascii="Times New Roman" w:hAnsi="Times New Roman" w:cs="Times New Roman"/>
          <w:i/>
          <w:sz w:val="24"/>
          <w:szCs w:val="24"/>
        </w:rPr>
        <w: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provides an overarching statement of the general purpose and goals for education services in center-based</w:t>
      </w:r>
      <w:r w:rsidR="00D86132" w:rsidRPr="00C1694A">
        <w:rPr>
          <w:rFonts w:ascii="Times New Roman" w:hAnsi="Times New Roman" w:cs="Times New Roman"/>
          <w:sz w:val="24"/>
          <w:szCs w:val="24"/>
        </w:rPr>
        <w:t xml:space="preserve">, </w:t>
      </w:r>
      <w:r w:rsidRPr="00C1694A">
        <w:rPr>
          <w:rFonts w:ascii="Times New Roman" w:hAnsi="Times New Roman" w:cs="Times New Roman"/>
          <w:sz w:val="24"/>
          <w:szCs w:val="24"/>
        </w:rPr>
        <w:t>family child care</w:t>
      </w:r>
      <w:r w:rsidR="00D86132" w:rsidRPr="00C1694A">
        <w:rPr>
          <w:rFonts w:ascii="Times New Roman" w:hAnsi="Times New Roman" w:cs="Times New Roman"/>
          <w:sz w:val="24"/>
          <w:szCs w:val="24"/>
        </w:rPr>
        <w:t>, and home-based</w:t>
      </w:r>
      <w:r w:rsidRPr="00C1694A">
        <w:rPr>
          <w:rFonts w:ascii="Times New Roman" w:hAnsi="Times New Roman" w:cs="Times New Roman"/>
          <w:sz w:val="24"/>
          <w:szCs w:val="24"/>
        </w:rPr>
        <w:t xml:space="preserve"> settings for Early Head Start and Head Start programs.  We received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suggestions for this section.</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recommended the section include a statement that the goal of Head Start is to close the achievement gap.</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purpose of Head Start is stated in the Act and is the foundation for this section, so we made no changes.</w:t>
      </w:r>
    </w:p>
    <w:p w:rsidR="00894DA5" w:rsidRPr="00C1694A" w:rsidRDefault="00894DA5"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§1302.31 Teaching and the learning environment.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includes the key research-based elements of teaching practices and the learning environment and is central to preparing children to succeed in school.  It provides programs with the elements for delivering a more intentional and focused education and learning experience that will better promote skill growth and stronger child outcomes without micromanaging local decision-making and creating undue burden.</w:t>
      </w:r>
      <w:r w:rsidRPr="00C1694A">
        <w:rPr>
          <w:rFonts w:ascii="Times New Roman" w:hAnsi="Times New Roman" w:cs="Times New Roman"/>
          <w:sz w:val="24"/>
          <w:szCs w:val="24"/>
        </w:rPr>
        <w:tab/>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Commenters were very supportive and expressed that the section appropriately reflected best practice and effectively elevated the research-based teaching practices that support children’s learning and development.</w:t>
      </w:r>
      <w:r w:rsidR="009D4549" w:rsidRPr="00C1694A">
        <w:rPr>
          <w:rStyle w:val="FootnoteReference"/>
          <w:rFonts w:ascii="Times New Roman" w:hAnsi="Times New Roman" w:cs="Times New Roman"/>
          <w:sz w:val="24"/>
          <w:szCs w:val="24"/>
        </w:rPr>
        <w:footnoteReference w:id="72"/>
      </w:r>
      <w:r w:rsidR="009D4549" w:rsidRPr="00C1694A">
        <w:rPr>
          <w:rFonts w:ascii="Times New Roman" w:hAnsi="Times New Roman" w:cs="Times New Roman"/>
          <w:sz w:val="24"/>
          <w:szCs w:val="24"/>
          <w:vertAlign w:val="superscript"/>
        </w:rPr>
        <w:t>,</w:t>
      </w:r>
      <w:r w:rsidR="009D4549" w:rsidRPr="00C1694A">
        <w:rPr>
          <w:rStyle w:val="FootnoteReference"/>
          <w:rFonts w:ascii="Times New Roman" w:hAnsi="Times New Roman" w:cs="Times New Roman"/>
          <w:sz w:val="24"/>
          <w:szCs w:val="24"/>
        </w:rPr>
        <w:footnoteReference w:id="73"/>
      </w:r>
      <w:r w:rsidR="009D4549" w:rsidRPr="00C1694A">
        <w:rPr>
          <w:rFonts w:ascii="Times New Roman" w:hAnsi="Times New Roman" w:cs="Times New Roman"/>
          <w:sz w:val="24"/>
          <w:szCs w:val="24"/>
          <w:vertAlign w:val="superscript"/>
        </w:rPr>
        <w:t>,</w:t>
      </w:r>
      <w:r w:rsidR="009D4549" w:rsidRPr="00C1694A">
        <w:rPr>
          <w:rStyle w:val="FootnoteReference"/>
          <w:rFonts w:ascii="Times New Roman" w:hAnsi="Times New Roman" w:cs="Times New Roman"/>
          <w:sz w:val="24"/>
          <w:szCs w:val="24"/>
        </w:rPr>
        <w:footnoteReference w:id="74"/>
      </w:r>
      <w:r w:rsidR="009D4549" w:rsidRPr="00C1694A">
        <w:rPr>
          <w:rFonts w:ascii="Times New Roman" w:hAnsi="Times New Roman" w:cs="Times New Roman"/>
          <w:sz w:val="24"/>
          <w:szCs w:val="24"/>
          <w:vertAlign w:val="superscript"/>
        </w:rPr>
        <w:t>,</w:t>
      </w:r>
      <w:r w:rsidR="009D4549" w:rsidRPr="00C1694A">
        <w:rPr>
          <w:rStyle w:val="FootnoteReference"/>
          <w:rFonts w:ascii="Times New Roman" w:hAnsi="Times New Roman" w:cs="Times New Roman"/>
          <w:sz w:val="24"/>
          <w:szCs w:val="24"/>
        </w:rPr>
        <w:footnoteReference w:id="75"/>
      </w:r>
      <w:r w:rsidR="009D4549" w:rsidRPr="00C1694A">
        <w:rPr>
          <w:rFonts w:ascii="Times New Roman" w:hAnsi="Times New Roman" w:cs="Times New Roman"/>
          <w:sz w:val="24"/>
          <w:szCs w:val="24"/>
          <w:vertAlign w:val="superscript"/>
        </w:rPr>
        <w:t>,</w:t>
      </w:r>
      <w:r w:rsidR="009D4549" w:rsidRPr="00C1694A">
        <w:rPr>
          <w:rStyle w:val="FootnoteReference"/>
          <w:rFonts w:ascii="Times New Roman" w:hAnsi="Times New Roman" w:cs="Times New Roman"/>
          <w:sz w:val="24"/>
          <w:szCs w:val="24"/>
        </w:rPr>
        <w:footnoteReference w:id="76"/>
      </w:r>
      <w:r w:rsidRPr="00C1694A">
        <w:rPr>
          <w:rFonts w:ascii="Times New Roman" w:hAnsi="Times New Roman" w:cs="Times New Roman"/>
          <w:sz w:val="24"/>
          <w:szCs w:val="24"/>
          <w:vertAlign w:val="superscript"/>
        </w:rPr>
        <w:t xml:space="preserve"> </w:t>
      </w:r>
      <w:r w:rsidRPr="00C1694A">
        <w:rPr>
          <w:rFonts w:ascii="Times New Roman" w:hAnsi="Times New Roman" w:cs="Times New Roman"/>
          <w:sz w:val="24"/>
          <w:szCs w:val="24"/>
        </w:rPr>
        <w:t xml:space="preserve"> Commenters supported the alignment with the Framework as well as the explicit recognition of nurturing and responsive interactions as components of effective teaching practices. Commenters noted the benefits of integrating each child’s assessment information into teaching practices and supported the focus on development of skills children need to enter kindergarten ready to succeed.  Commenters also appreciated the inclusion of play and exploration as key aspects of effective education programming.  Others </w:t>
      </w:r>
      <w:r w:rsidR="00B22B33" w:rsidRPr="00C1694A">
        <w:rPr>
          <w:rFonts w:ascii="Times New Roman" w:hAnsi="Times New Roman" w:cs="Times New Roman"/>
          <w:sz w:val="24"/>
          <w:szCs w:val="24"/>
        </w:rPr>
        <w:t xml:space="preserve">praised our approach to </w:t>
      </w:r>
      <w:r w:rsidRPr="00C1694A">
        <w:rPr>
          <w:rFonts w:ascii="Times New Roman" w:hAnsi="Times New Roman" w:cs="Times New Roman"/>
          <w:sz w:val="24"/>
          <w:szCs w:val="24"/>
        </w:rPr>
        <w:t>includ</w:t>
      </w:r>
      <w:r w:rsidR="00B22B33" w:rsidRPr="00C1694A">
        <w:rPr>
          <w:rFonts w:ascii="Times New Roman" w:hAnsi="Times New Roman" w:cs="Times New Roman"/>
          <w:sz w:val="24"/>
          <w:szCs w:val="24"/>
        </w:rPr>
        <w:t>e</w:t>
      </w:r>
      <w:r w:rsidRPr="00C1694A">
        <w:rPr>
          <w:rFonts w:ascii="Times New Roman" w:hAnsi="Times New Roman" w:cs="Times New Roman"/>
          <w:sz w:val="24"/>
          <w:szCs w:val="24"/>
        </w:rPr>
        <w:t xml:space="preserve"> meals and daily routines in the education section because it denoted their importance as opportunities for learning experiences and activities.  We made some changes in response to comments, including minor structural changes to clarify our intent.   Additional comments are addressed below.</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thought this section should include additional integration of professional development.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integration of professional development to support effective teaching practices is a key component of a high-quality early education program.  Therefore, we specifically addressed this in paragraph (a) to ensure the system of individualized and ongoing professional development supports teachers and in curriculum requirements in §1302.32.  While professional development revisions to this section were limited to those changes, we also increased the </w:t>
      </w:r>
      <w:r w:rsidR="00B22B33" w:rsidRPr="00C1694A">
        <w:rPr>
          <w:rFonts w:ascii="Times New Roman" w:hAnsi="Times New Roman" w:cs="Times New Roman"/>
          <w:sz w:val="24"/>
          <w:szCs w:val="24"/>
        </w:rPr>
        <w:t xml:space="preserve">standards for the </w:t>
      </w:r>
      <w:r w:rsidRPr="00C1694A">
        <w:rPr>
          <w:rFonts w:ascii="Times New Roman" w:hAnsi="Times New Roman" w:cs="Times New Roman"/>
          <w:sz w:val="24"/>
          <w:szCs w:val="24"/>
        </w:rPr>
        <w:t>quality of professional development in subpart I.</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suggested that paragraph (b)(2) include a focus on “biliteracy” in addition to bilingualism. Commenters noted that the term biliteracy expands on the goals of bilingualism to include a focus on reading, and eventually writing, in the home language.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with this suggestion and we incorporated “biliteracy” into paragraph (b)(2) as well as in the home-based option in §1302.35(c)(4).</w:t>
      </w:r>
      <w:r w:rsidRPr="00C1694A">
        <w:rPr>
          <w:rFonts w:ascii="Times New Roman" w:hAnsi="Times New Roman" w:cs="Times New Roman"/>
          <w:b/>
          <w:bCs/>
          <w:sz w:val="24"/>
          <w:szCs w:val="24"/>
        </w:rPr>
        <w:t xml:space="preserve">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asked for clarification and raised concerns about paragraphs (b)(2)(i) and (ii) related to finding bilingual staff or interpreters to work with DLLs, such as lack of bilingual staff with appropriate credentials, especially in rural areas; lack of interpreters due to the rarity of some languages; and a high diversity of languages in the same class.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this may be particularly challenging with refugee populations.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Based on the best research available, we believe it is critically important to support the development of both English and the home language for children who are DLLs.</w:t>
      </w:r>
      <w:r w:rsidR="008D5AEF" w:rsidRPr="00C1694A">
        <w:rPr>
          <w:rStyle w:val="FootnoteReference"/>
          <w:rFonts w:ascii="Times New Roman" w:hAnsi="Times New Roman" w:cs="Times New Roman"/>
          <w:sz w:val="24"/>
          <w:szCs w:val="24"/>
        </w:rPr>
        <w:footnoteReference w:id="77"/>
      </w:r>
      <w:r w:rsidR="008D5AEF" w:rsidRPr="00C1694A">
        <w:rPr>
          <w:rFonts w:ascii="Times New Roman" w:hAnsi="Times New Roman" w:cs="Times New Roman"/>
          <w:sz w:val="24"/>
          <w:szCs w:val="24"/>
          <w:vertAlign w:val="superscript"/>
        </w:rPr>
        <w:t>,</w:t>
      </w:r>
      <w:r w:rsidR="008D5AEF" w:rsidRPr="00C1694A">
        <w:rPr>
          <w:rStyle w:val="FootnoteReference"/>
          <w:rFonts w:ascii="Times New Roman" w:hAnsi="Times New Roman" w:cs="Times New Roman"/>
          <w:sz w:val="24"/>
          <w:szCs w:val="24"/>
        </w:rPr>
        <w:footnoteReference w:id="78"/>
      </w:r>
      <w:r w:rsidR="008D5AEF" w:rsidRPr="00C1694A">
        <w:rPr>
          <w:rFonts w:ascii="Times New Roman" w:hAnsi="Times New Roman" w:cs="Times New Roman"/>
          <w:sz w:val="24"/>
          <w:szCs w:val="24"/>
          <w:vertAlign w:val="superscript"/>
        </w:rPr>
        <w:t>,</w:t>
      </w:r>
      <w:r w:rsidR="008D5AEF" w:rsidRPr="00C1694A">
        <w:rPr>
          <w:rStyle w:val="FootnoteReference"/>
          <w:rFonts w:ascii="Times New Roman" w:hAnsi="Times New Roman" w:cs="Times New Roman"/>
          <w:sz w:val="24"/>
          <w:szCs w:val="24"/>
        </w:rPr>
        <w:footnoteReference w:id="79"/>
      </w:r>
      <w:r w:rsidR="008D5AEF" w:rsidRPr="00C1694A">
        <w:rPr>
          <w:rFonts w:ascii="Times New Roman" w:hAnsi="Times New Roman" w:cs="Times New Roman"/>
          <w:sz w:val="24"/>
          <w:szCs w:val="24"/>
          <w:vertAlign w:val="superscript"/>
        </w:rPr>
        <w:t>,</w:t>
      </w:r>
      <w:r w:rsidR="008D5AEF" w:rsidRPr="00C1694A">
        <w:rPr>
          <w:rStyle w:val="FootnoteReference"/>
          <w:rFonts w:ascii="Times New Roman" w:hAnsi="Times New Roman" w:cs="Times New Roman"/>
          <w:sz w:val="24"/>
          <w:szCs w:val="24"/>
        </w:rPr>
        <w:footnoteReference w:id="80"/>
      </w:r>
      <w:r w:rsidR="008D5AEF" w:rsidRPr="00C1694A">
        <w:rPr>
          <w:rFonts w:ascii="Times New Roman" w:hAnsi="Times New Roman" w:cs="Times New Roman"/>
          <w:sz w:val="24"/>
          <w:szCs w:val="24"/>
          <w:vertAlign w:val="superscript"/>
        </w:rPr>
        <w:t>,</w:t>
      </w:r>
      <w:r w:rsidR="008D5AEF" w:rsidRPr="00C1694A">
        <w:rPr>
          <w:rStyle w:val="FootnoteReference"/>
          <w:rFonts w:ascii="Times New Roman" w:hAnsi="Times New Roman" w:cs="Times New Roman"/>
          <w:sz w:val="24"/>
          <w:szCs w:val="24"/>
        </w:rPr>
        <w:footnoteReference w:id="81"/>
      </w:r>
      <w:r w:rsidRPr="00C1694A">
        <w:rPr>
          <w:rFonts w:ascii="Times New Roman" w:hAnsi="Times New Roman" w:cs="Times New Roman"/>
          <w:sz w:val="24"/>
          <w:szCs w:val="24"/>
        </w:rPr>
        <w:t xml:space="preserve"> Additionally, we believe that all teachers, including those who only speak English, can support the development of DLLs. However, we also understand that in certain instances, such as when there are multiple non-English languages in the same class, it may be difficult to have program staff or interpreters present that speak all languages. In these instances, we encourage programs to collaborate with outside entities to ensure the presence of multiple languages in the class</w:t>
      </w:r>
      <w:r w:rsidR="00FF1C5C" w:rsidRPr="00C1694A">
        <w:rPr>
          <w:rFonts w:ascii="Times New Roman" w:hAnsi="Times New Roman" w:cs="Times New Roman"/>
          <w:sz w:val="24"/>
          <w:szCs w:val="24"/>
        </w:rPr>
        <w:t xml:space="preserve">. Further we require programs to </w:t>
      </w:r>
      <w:r w:rsidR="00583B5F" w:rsidRPr="00C1694A">
        <w:rPr>
          <w:rFonts w:ascii="Times New Roman" w:hAnsi="Times New Roman" w:cs="Times New Roman"/>
          <w:sz w:val="24"/>
          <w:szCs w:val="24"/>
        </w:rPr>
        <w:t>work to identify</w:t>
      </w:r>
      <w:r w:rsidR="00FF1C5C" w:rsidRPr="00C1694A">
        <w:rPr>
          <w:rFonts w:ascii="Times New Roman" w:hAnsi="Times New Roman" w:cs="Times New Roman"/>
          <w:sz w:val="24"/>
          <w:szCs w:val="24"/>
        </w:rPr>
        <w:t xml:space="preserve"> </w:t>
      </w:r>
      <w:r w:rsidRPr="00C1694A">
        <w:rPr>
          <w:rFonts w:ascii="Times New Roman" w:hAnsi="Times New Roman" w:cs="Times New Roman"/>
          <w:sz w:val="24"/>
          <w:szCs w:val="24"/>
        </w:rPr>
        <w:t>e  volunteers</w:t>
      </w:r>
      <w:r w:rsidR="00583B5F" w:rsidRPr="00C1694A">
        <w:rPr>
          <w:rFonts w:ascii="Times New Roman" w:hAnsi="Times New Roman" w:cs="Times New Roman"/>
          <w:sz w:val="24"/>
          <w:szCs w:val="24"/>
        </w:rPr>
        <w:t xml:space="preserve"> who can be trained to work</w:t>
      </w:r>
      <w:r w:rsidRPr="00C1694A">
        <w:rPr>
          <w:rFonts w:ascii="Times New Roman" w:hAnsi="Times New Roman" w:cs="Times New Roman"/>
          <w:sz w:val="24"/>
          <w:szCs w:val="24"/>
        </w:rPr>
        <w:t xml:space="preserve"> </w:t>
      </w:r>
      <w:r w:rsidR="00FF1C5C" w:rsidRPr="00C1694A">
        <w:rPr>
          <w:rFonts w:ascii="Times New Roman" w:hAnsi="Times New Roman" w:cs="Times New Roman"/>
          <w:sz w:val="24"/>
          <w:szCs w:val="24"/>
        </w:rPr>
        <w:t xml:space="preserve">in the classroom </w:t>
      </w:r>
      <w:r w:rsidRPr="00C1694A">
        <w:rPr>
          <w:rFonts w:ascii="Times New Roman" w:hAnsi="Times New Roman" w:cs="Times New Roman"/>
          <w:sz w:val="24"/>
          <w:szCs w:val="24"/>
        </w:rPr>
        <w:t>that can provide high-quality input in children’s home language(s).  We added new language to the final rule under paragraph (b)(2)(iii) to reflect these realities.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recommended we add more specificity to paragraphs (b) and (c), including on the structure of the day, the data teachers use to plan, and the types of learning experiences provided.</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it is important to include the key elements of the teaching and learning environment so programs clearly understand the components they need to implement to have high-quality education programming.  However, flexibility is also needed to allow for innovation, individualization for a class or a child, and effective implementation.  Therefore, we did not incorporate the suggested revision.</w:t>
      </w:r>
    </w:p>
    <w:p w:rsidR="00A74F11" w:rsidRPr="00C1694A" w:rsidRDefault="00A74F11"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noted the term “classroom” in paragraph (c) was not inclusive of family child care terminology.</w:t>
      </w:r>
    </w:p>
    <w:p w:rsidR="00A74F11" w:rsidRPr="00C1694A" w:rsidRDefault="00A74F11"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and revised paragraph (c) to reference “learning environments” instead of “classrooms.”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opposed or expressed concern about the proposal in paragraph (e)(1) to require an age appropriate approach that accommodates children’s need to nap or rest.  Some were concerned about logistical challenges such as cost, staffing, and space.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supported the proposal to promote learning through approaches to rest, noting that adequate rest is closely tied to learning and health.</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made no changes to the requirements to have an intentional and age appropriate approach to children’s need to nap or rest except to clarify for programs serving preschoolers, it applied for programs operating 6 or more hours per day.  Though maximizing learning time is important, research shows a clear link between adequate sleep and learning.</w:t>
      </w:r>
      <w:r w:rsidR="008D5AEF" w:rsidRPr="00C1694A">
        <w:rPr>
          <w:rStyle w:val="FootnoteReference"/>
          <w:rFonts w:ascii="Times New Roman" w:hAnsi="Times New Roman" w:cs="Times New Roman"/>
          <w:sz w:val="24"/>
          <w:szCs w:val="24"/>
        </w:rPr>
        <w:footnoteReference w:id="82"/>
      </w:r>
      <w:r w:rsidR="008D5AEF" w:rsidRPr="00C1694A">
        <w:rPr>
          <w:rFonts w:ascii="Times New Roman" w:hAnsi="Times New Roman" w:cs="Times New Roman"/>
          <w:sz w:val="24"/>
          <w:szCs w:val="24"/>
          <w:vertAlign w:val="superscript"/>
        </w:rPr>
        <w:t>,</w:t>
      </w:r>
      <w:r w:rsidR="008D5AEF" w:rsidRPr="00C1694A">
        <w:rPr>
          <w:rStyle w:val="FootnoteReference"/>
          <w:rFonts w:ascii="Times New Roman" w:hAnsi="Times New Roman" w:cs="Times New Roman"/>
          <w:sz w:val="24"/>
          <w:szCs w:val="24"/>
        </w:rPr>
        <w:footnoteReference w:id="83"/>
      </w:r>
      <w:r w:rsidR="008D5AEF" w:rsidRPr="00C1694A">
        <w:rPr>
          <w:rFonts w:ascii="Times New Roman" w:hAnsi="Times New Roman" w:cs="Times New Roman"/>
          <w:sz w:val="24"/>
          <w:szCs w:val="24"/>
          <w:vertAlign w:val="superscript"/>
        </w:rPr>
        <w:t>,</w:t>
      </w:r>
      <w:r w:rsidR="008D5AEF" w:rsidRPr="00C1694A">
        <w:rPr>
          <w:rStyle w:val="FootnoteReference"/>
          <w:rFonts w:ascii="Times New Roman" w:hAnsi="Times New Roman" w:cs="Times New Roman"/>
          <w:sz w:val="24"/>
          <w:szCs w:val="24"/>
        </w:rPr>
        <w:footnoteReference w:id="84"/>
      </w:r>
      <w:r w:rsidRPr="00C1694A">
        <w:rPr>
          <w:rFonts w:ascii="Times New Roman" w:hAnsi="Times New Roman" w:cs="Times New Roman"/>
          <w:sz w:val="24"/>
          <w:szCs w:val="24"/>
        </w:rPr>
        <w:t xml:space="preserve">  We believe this provision will support children’s health and increase the learning children can gain from other portions of the day.  Moreover, </w:t>
      </w:r>
      <w:r w:rsidR="00B22B33" w:rsidRPr="00C1694A">
        <w:rPr>
          <w:rFonts w:ascii="Times New Roman" w:hAnsi="Times New Roman" w:cs="Times New Roman"/>
          <w:sz w:val="24"/>
          <w:szCs w:val="24"/>
        </w:rPr>
        <w:t xml:space="preserve">most </w:t>
      </w:r>
      <w:r w:rsidRPr="00C1694A">
        <w:rPr>
          <w:rFonts w:ascii="Times New Roman" w:hAnsi="Times New Roman" w:cs="Times New Roman"/>
          <w:sz w:val="24"/>
          <w:szCs w:val="24"/>
        </w:rPr>
        <w:t>state</w:t>
      </w:r>
      <w:r w:rsidR="00B22B33" w:rsidRPr="00C1694A">
        <w:rPr>
          <w:rFonts w:ascii="Times New Roman" w:hAnsi="Times New Roman" w:cs="Times New Roman"/>
          <w:sz w:val="24"/>
          <w:szCs w:val="24"/>
        </w:rPr>
        <w:t>s</w:t>
      </w:r>
      <w:r w:rsidRPr="00C1694A">
        <w:rPr>
          <w:rFonts w:ascii="Times New Roman" w:hAnsi="Times New Roman" w:cs="Times New Roman"/>
          <w:sz w:val="24"/>
          <w:szCs w:val="24"/>
        </w:rPr>
        <w:t xml:space="preserve"> already require </w:t>
      </w:r>
      <w:r w:rsidR="00B22B33" w:rsidRPr="00C1694A">
        <w:rPr>
          <w:rFonts w:ascii="Times New Roman" w:hAnsi="Times New Roman" w:cs="Times New Roman"/>
          <w:sz w:val="24"/>
          <w:szCs w:val="24"/>
        </w:rPr>
        <w:t xml:space="preserve">center-based </w:t>
      </w:r>
      <w:r w:rsidRPr="00C1694A">
        <w:rPr>
          <w:rFonts w:ascii="Times New Roman" w:hAnsi="Times New Roman" w:cs="Times New Roman"/>
          <w:sz w:val="24"/>
          <w:szCs w:val="24"/>
        </w:rPr>
        <w:t>programs to provide nap</w:t>
      </w:r>
      <w:r w:rsidR="00B22B33" w:rsidRPr="00C1694A">
        <w:rPr>
          <w:rFonts w:ascii="Times New Roman" w:hAnsi="Times New Roman" w:cs="Times New Roman"/>
          <w:sz w:val="24"/>
          <w:szCs w:val="24"/>
        </w:rPr>
        <w:t>s</w:t>
      </w:r>
      <w:r w:rsidRPr="00C1694A">
        <w:rPr>
          <w:rFonts w:ascii="Times New Roman" w:hAnsi="Times New Roman" w:cs="Times New Roman"/>
          <w:sz w:val="24"/>
          <w:szCs w:val="24"/>
        </w:rPr>
        <w:t xml:space="preserve"> </w:t>
      </w:r>
      <w:r w:rsidR="00B22B33" w:rsidRPr="00C1694A">
        <w:rPr>
          <w:rFonts w:ascii="Times New Roman" w:hAnsi="Times New Roman" w:cs="Times New Roman"/>
          <w:sz w:val="24"/>
          <w:szCs w:val="24"/>
        </w:rPr>
        <w:t>if they operate for fewer hours than the</w:t>
      </w:r>
      <w:r w:rsidRPr="00C1694A">
        <w:rPr>
          <w:rFonts w:ascii="Times New Roman" w:hAnsi="Times New Roman" w:cs="Times New Roman"/>
          <w:sz w:val="24"/>
          <w:szCs w:val="24"/>
        </w:rPr>
        <w:t xml:space="preserve"> 6-hour threshold.  </w:t>
      </w:r>
      <w:r w:rsidR="00B22B33" w:rsidRPr="00C1694A">
        <w:rPr>
          <w:rFonts w:ascii="Times New Roman" w:hAnsi="Times New Roman" w:cs="Times New Roman"/>
          <w:sz w:val="24"/>
          <w:szCs w:val="24"/>
        </w:rPr>
        <w:t>Therefore, many programs are already subject to a more stringent requirement.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opposed the proposal in paragraph (e)(2) that replaced the requirement for family style meals with an approach that was less prescriptive but retained most of the key characteristics of family style meals and ensured mealtimes were considered part of the learning day.  Some commenters felt strongly that family style meals were integral to Head Start’s culture.  Commenters also raised concerns about eliminating an important research-based requirement because family style meals are important to teach lifelong healthy food habits and they support socialization and conversation during mealtime.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w:t>
      </w:r>
      <w:r w:rsidR="00A74F11" w:rsidRPr="00C1694A">
        <w:rPr>
          <w:rFonts w:ascii="Times New Roman" w:hAnsi="Times New Roman" w:cs="Times New Roman"/>
          <w:sz w:val="24"/>
          <w:szCs w:val="24"/>
        </w:rPr>
        <w:t xml:space="preserve">rs seemed concerned that family </w:t>
      </w:r>
      <w:r w:rsidRPr="00C1694A">
        <w:rPr>
          <w:rFonts w:ascii="Times New Roman" w:hAnsi="Times New Roman" w:cs="Times New Roman"/>
          <w:sz w:val="24"/>
          <w:szCs w:val="24"/>
        </w:rPr>
        <w:t>style meals would be prohibited under our proposal or that the proposal conflicted with requirements in the Child and Adult Care Food Program (CACFP).</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Some commenters wrote in support of our proposal to replace the family style meal requirement with a less prescriptive proposal that focused on meals as a time for learning, socialization, and conversation.  Some commenters stated that our proposal allowed for better collaboration with community partners like schools, while still retaining important parts of family style meals. </w:t>
      </w:r>
      <w:r w:rsidR="00A74F11" w:rsidRPr="00C1694A">
        <w:rPr>
          <w:rFonts w:ascii="Times New Roman" w:hAnsi="Times New Roman" w:cs="Times New Roman"/>
          <w:sz w:val="24"/>
          <w:szCs w:val="24"/>
        </w:rPr>
        <w:t xml:space="preserve"> Others agreed it would support</w:t>
      </w:r>
      <w:r w:rsidRPr="00C1694A">
        <w:rPr>
          <w:rFonts w:ascii="Times New Roman" w:hAnsi="Times New Roman" w:cs="Times New Roman"/>
          <w:sz w:val="24"/>
          <w:szCs w:val="24"/>
        </w:rPr>
        <w:t xml:space="preserve"> intentional teacher practices, focus on conversations, learning, and socialization, and eliminate overly prescriptive requirements.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Many commenters recommended we change the provision to explicitly encourage family style meals.  Some of these commenters noted that the proposal included many central characteristics of family style meals and appreciated our focus on mealtime as a learning activity. They also noted they understood the benefits of our approach since it made it easier to partner with other programs because some of the specifics of family style meals were logistically challenging for some partnerships.  However, these commenters strongly recommended we add language to encourage use of family style meal so it would be consistent with CACFP and because the benefits were important.</w:t>
      </w:r>
    </w:p>
    <w:p w:rsidR="00A74F11"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it is essential that programs structure and implement meals and snacks in ways that support development and learning.  Family style meal service is one effective method of accomplishing this goal.  Therefore, we revised the provision in paragraph (e)(2) to make clear that programs are encouraged but not required to meet the requirement to support development and learning during meals times through the use family style meals when children are old enough for this to be developmentally appropriate practice.  This is consistent with CACFP, which encourages but does not require family style meals.  However, we also believe it is appropriate to not be overly prescriptive, to support partnerships, and to allow flexibility in how a program promotes learning during meals.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expressed support for our retention of requirements in paragraph (e)(2) that children be given sufficient time to eat, should not be forced to finish their food, and that food should not be used as a reward or punishment.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wrote that we should add requirements around food activities, including retaining a requirement from the previous program standards about participating in food activities.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participating in food activities can be part of good practice but think this is overly prescriptive and did not make these suggested changes.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recommended we add requirements for physical activity, including parameters about how much time children should be physically active.  They suggested requirements based on the </w:t>
      </w:r>
      <w:r w:rsidRPr="00C1694A">
        <w:rPr>
          <w:rFonts w:ascii="Times New Roman" w:hAnsi="Times New Roman" w:cs="Times New Roman"/>
          <w:sz w:val="24"/>
          <w:szCs w:val="24"/>
          <w:u w:val="single"/>
        </w:rPr>
        <w:t>National Health and Safety Performance Standards: Guidelines for Out-of-Home Childcare</w:t>
      </w:r>
      <w:r w:rsidRPr="00C1694A">
        <w:rPr>
          <w:rFonts w:ascii="Times New Roman" w:hAnsi="Times New Roman" w:cs="Times New Roman"/>
          <w:sz w:val="24"/>
          <w:szCs w:val="24"/>
        </w:rPr>
        <w:t>, including that we require at least 60 minutes of moderate to vigorous physical activity for children in Early Head Start and at least 90 minutes of moderate to vigorous physical activity for children in Head Start.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physical activity is important for young children.  Not only is it important for children’s health, but movement and physical activity are important to children’s learning and development.</w:t>
      </w:r>
      <w:r w:rsidR="008D5AEF" w:rsidRPr="00C1694A">
        <w:rPr>
          <w:rStyle w:val="FootnoteReference"/>
          <w:rFonts w:ascii="Times New Roman" w:hAnsi="Times New Roman" w:cs="Times New Roman"/>
          <w:sz w:val="24"/>
          <w:szCs w:val="24"/>
        </w:rPr>
        <w:footnoteReference w:id="85"/>
      </w:r>
      <w:r w:rsidR="008D5AEF" w:rsidRPr="00C1694A">
        <w:rPr>
          <w:rFonts w:ascii="Times New Roman" w:hAnsi="Times New Roman" w:cs="Times New Roman"/>
          <w:sz w:val="24"/>
          <w:szCs w:val="24"/>
          <w:vertAlign w:val="superscript"/>
        </w:rPr>
        <w:t>,</w:t>
      </w:r>
      <w:r w:rsidR="008D5AEF" w:rsidRPr="00C1694A">
        <w:rPr>
          <w:rStyle w:val="FootnoteReference"/>
          <w:rFonts w:ascii="Times New Roman" w:hAnsi="Times New Roman" w:cs="Times New Roman"/>
          <w:sz w:val="24"/>
          <w:szCs w:val="24"/>
        </w:rPr>
        <w:footnoteReference w:id="86"/>
      </w:r>
      <w:r w:rsidR="008D5AEF" w:rsidRPr="00C1694A">
        <w:rPr>
          <w:rFonts w:ascii="Times New Roman" w:hAnsi="Times New Roman" w:cs="Times New Roman"/>
          <w:sz w:val="24"/>
          <w:szCs w:val="24"/>
          <w:vertAlign w:val="superscript"/>
        </w:rPr>
        <w:t>,</w:t>
      </w:r>
      <w:r w:rsidR="008D5AEF" w:rsidRPr="00C1694A">
        <w:rPr>
          <w:rStyle w:val="FootnoteReference"/>
          <w:rFonts w:ascii="Times New Roman" w:hAnsi="Times New Roman" w:cs="Times New Roman"/>
          <w:sz w:val="24"/>
          <w:szCs w:val="24"/>
        </w:rPr>
        <w:footnoteReference w:id="87"/>
      </w:r>
      <w:r w:rsidRPr="00C1694A">
        <w:rPr>
          <w:rFonts w:ascii="Times New Roman" w:hAnsi="Times New Roman" w:cs="Times New Roman"/>
          <w:sz w:val="24"/>
          <w:szCs w:val="24"/>
        </w:rPr>
        <w:t xml:space="preserve">  Developmentally appropriate practice is clear that young children need to move and be physically active.  For example, the Office of Head Start’s initiative </w:t>
      </w:r>
      <w:r w:rsidRPr="00C1694A">
        <w:rPr>
          <w:rFonts w:ascii="Times New Roman" w:hAnsi="Times New Roman" w:cs="Times New Roman"/>
          <w:sz w:val="24"/>
          <w:szCs w:val="24"/>
          <w:u w:val="single"/>
        </w:rPr>
        <w:t>I Am Moving I Am Learning</w:t>
      </w:r>
      <w:r w:rsidRPr="00C1694A">
        <w:rPr>
          <w:rFonts w:ascii="Times New Roman" w:hAnsi="Times New Roman" w:cs="Times New Roman"/>
          <w:sz w:val="24"/>
          <w:szCs w:val="24"/>
        </w:rPr>
        <w:t xml:space="preserve"> has been well-received by programs and helped institute healthy practices.  However, we do not believe we should dictate to local programs the amount of time children should engage in such activities.  To ensure that programs recognize the role of physical activity in children’s learning and health, we added a new provision in paragraph (e)(4) that reads: “A program must recognize physical activity as important to learning and integrate intentional movement and physical activity into curricular activities and daily routines in ways that support health and learning.  A program must not use physical activity as a reward or punishment.” We believe this provision will allow local programs to implement policies appropriate to their program design and the needs of their children.</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we include new requirements with specific limitations on screen time.</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children should have limited exposure to screen time and believe that if programs are implementing the standards in this section for nurturing, responsive, rich learning environments and experiences that effectively support strong child outcomes, screen time will, by necessity, not be available or will be appropriately limited to interactive educational activities that evidence shows support learning.  However, as even the meaning of screen time is currently evolving and the research on technology use and children’s learning is an emerging field, we chose not to add any specific requirements.</w:t>
      </w:r>
    </w:p>
    <w:p w:rsidR="00894DA5" w:rsidRPr="00C1694A" w:rsidRDefault="00102F9A"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§1302.32  Curricula</w:t>
      </w:r>
      <w:r w:rsidR="00894DA5" w:rsidRPr="00C1694A">
        <w:rPr>
          <w:rFonts w:ascii="Times New Roman" w:hAnsi="Times New Roman" w:cs="Times New Roman"/>
          <w:i/>
          <w:sz w:val="24"/>
          <w:szCs w:val="24"/>
        </w:rPr>
        <w: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includes requirements for the curriculum or curricula programs use.  It reflects new requirements from the Act, the current role and use of curricula in the early education field, and a deeper understanding of the curriculum qualities associated with improved child outcomes.  This applies to center-based and family child care programs.  Curriculum requirements for home-based programs are found in §1302.35. Some commenters were supportive of the curriculum provisions. We also received comments with concerns and suggestions that we discuss below.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were generally supportive of our curriculum provisions.  They stated the section included important changes that would raise the quality of curriculum and its implementation.  Commenters noted the importance of the requirements for content rich curricula, and the benefits of requiring a clear scope and sequence and integration of professional development and support for teachers.  They also supported the focus on implementation fidelity and the qualities of an effective curriculum, including alignment with early learning standards.  </w:t>
      </w:r>
    </w:p>
    <w:p w:rsidR="00894DA5" w:rsidRPr="00C1694A" w:rsidRDefault="00894DA5"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 </w:t>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it is essential that programs intentionally review the curriculum or curricula they are using to ensure it meets each criterion in the final rule and appropriately supports children’s development and learning.  In some instances, we believe it will be necessary for programs to use curricula enhancements to ensure their programming is sufficiently content rich and to achieve strong child outcomes.  We expect programs to be thorough in reviewing their curriculum and the professional development system that supports teachers’ implementation of curriculum.  For this reason, </w:t>
      </w:r>
      <w:r w:rsidR="00B22B33" w:rsidRPr="00C1694A">
        <w:rPr>
          <w:rFonts w:ascii="Times New Roman" w:hAnsi="Times New Roman" w:cs="Times New Roman"/>
          <w:sz w:val="24"/>
          <w:szCs w:val="24"/>
        </w:rPr>
        <w:t xml:space="preserve">as proposed in the NPRM, </w:t>
      </w:r>
      <w:r w:rsidRPr="00C1694A">
        <w:rPr>
          <w:rFonts w:ascii="Times New Roman" w:hAnsi="Times New Roman" w:cs="Times New Roman"/>
          <w:sz w:val="24"/>
          <w:szCs w:val="24"/>
        </w:rPr>
        <w:t xml:space="preserve">programs have approximately one year after publication of this rule to implement this standard.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we include a list of acceptable curricula to ensure programs use effective ones and to help guide state pre-kindergarten curriculum choices.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Development of curricula that can effectively impact child outcomes is a</w:t>
      </w:r>
      <w:r w:rsidR="00B22B33" w:rsidRPr="00C1694A">
        <w:rPr>
          <w:rFonts w:ascii="Times New Roman" w:hAnsi="Times New Roman" w:cs="Times New Roman"/>
          <w:sz w:val="24"/>
          <w:szCs w:val="24"/>
        </w:rPr>
        <w:t xml:space="preserve"> growing</w:t>
      </w:r>
      <w:r w:rsidR="009C28FB"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field. Programs should not just accept the publisher’s word that their curriculum meets Head Start standards, but should continuously evaluate its effectiveness as part of the program management approach. We did not include a specific list of acceptable curriculum so programs have the flexibility to implement appropriate curricula for the children they enroll, supplement curricula as needed, and make changes as the field advances.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w:t>
      </w:r>
      <w:r w:rsidR="00A74F11" w:rsidRPr="00C1694A">
        <w:rPr>
          <w:rFonts w:ascii="Times New Roman" w:hAnsi="Times New Roman" w:cs="Times New Roman"/>
          <w:sz w:val="24"/>
          <w:szCs w:val="24"/>
        </w:rPr>
        <w:t>expressed concerns about</w:t>
      </w:r>
      <w:r w:rsidRPr="00C1694A">
        <w:rPr>
          <w:rFonts w:ascii="Times New Roman" w:hAnsi="Times New Roman" w:cs="Times New Roman"/>
          <w:sz w:val="24"/>
          <w:szCs w:val="24"/>
        </w:rPr>
        <w:t xml:space="preserve"> the provision in paragraph (a)(1)(iii) that requires curriculum to include an “organized developmental scope and sequence.” </w:t>
      </w:r>
      <w:r w:rsidR="00A74F11" w:rsidRPr="00C1694A">
        <w:rPr>
          <w:rFonts w:ascii="Times New Roman" w:hAnsi="Times New Roman" w:cs="Times New Roman"/>
          <w:sz w:val="24"/>
          <w:szCs w:val="24"/>
        </w:rPr>
        <w:t xml:space="preserve"> Others supported this standard.  </w:t>
      </w:r>
      <w:r w:rsidR="00AC4618" w:rsidRPr="00C1694A">
        <w:rPr>
          <w:rFonts w:ascii="Times New Roman" w:hAnsi="Times New Roman" w:cs="Times New Roman"/>
          <w:sz w:val="24"/>
          <w:szCs w:val="24"/>
        </w:rPr>
        <w:t xml:space="preserve">Some </w:t>
      </w:r>
      <w:r w:rsidR="00A74F11" w:rsidRPr="00C1694A">
        <w:rPr>
          <w:rFonts w:ascii="Times New Roman" w:hAnsi="Times New Roman" w:cs="Times New Roman"/>
          <w:sz w:val="24"/>
          <w:szCs w:val="24"/>
        </w:rPr>
        <w:t xml:space="preserve">commenters </w:t>
      </w:r>
      <w:r w:rsidRPr="00C1694A">
        <w:rPr>
          <w:rFonts w:ascii="Times New Roman" w:hAnsi="Times New Roman" w:cs="Times New Roman"/>
          <w:sz w:val="24"/>
          <w:szCs w:val="24"/>
        </w:rPr>
        <w:t>were concerned that “scope and sequence” would not be interpreted in a developmentally appropriate manner.  Others were concerned its interpretation was not clear for infants and toddlers.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(a)(1)(iii) to clarify our meaning of developmental scope and sequence.  This standard now reads: “has an organized developmental scope and sequence that includes plans and materials for learning experiences based on developmental progressions and how children learn.” We made similar changes to the comparable provision for curricula in home-based programs in §1302.35 for the same reasons.  As part of this revision, we moved our requirement that curricula be sufficiently content-rich to promote measurable progress to paragraph (a)(1)(ii).  This reorganization was for clarity; we did not change the substance.</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were concerned the curriculum requirements were not developmentally appropriate.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were confused about narrative in the NPRM’s preamble that noted that research finds that strong child outcomes for children are supported by activities that intentionally engage children in activities like math or language for 15</w:t>
      </w:r>
      <w:r w:rsidR="00B22B33" w:rsidRPr="00C1694A">
        <w:rPr>
          <w:rFonts w:ascii="Times New Roman" w:hAnsi="Times New Roman" w:cs="Times New Roman"/>
          <w:sz w:val="24"/>
          <w:szCs w:val="24"/>
        </w:rPr>
        <w:t xml:space="preserve"> to </w:t>
      </w:r>
      <w:r w:rsidRPr="00C1694A">
        <w:rPr>
          <w:rFonts w:ascii="Times New Roman" w:hAnsi="Times New Roman" w:cs="Times New Roman"/>
          <w:sz w:val="24"/>
          <w:szCs w:val="24"/>
        </w:rPr>
        <w:t xml:space="preserve">20 minutes multiple times each week.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are clear in paragraph (a)(1) that programs must implement developmentally appropriate curricula and we do not believe any of the criteria required in paragraph (a)(1) are developmentally inappropriate.  Therefore, we do not need to revise this section to address this concern.  Neither the proposed rule nor the final rule included any requirements about the specific amount of time teachers should spend on any particular activity.  Content-rich curriculum, in which children intentionally engage in a math activity (for example), does not require children sit still or be passive recipients of rote instruction.  For example, if implemented correctly, content-rich learning activities are interesting, appropriate</w:t>
      </w:r>
      <w:r w:rsidR="003F5B56"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engaging for children.  Developmentally appropriate practice and effective intentional teaching with young children does not mean rote instruction, sitting still for lengthy periods while adults talk at them, or “drill and kill.”  Such teaching practices would not meet the requirements in this subpart.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supported the provisions in wha</w:t>
      </w:r>
      <w:r w:rsidR="00535E9D" w:rsidRPr="00C1694A">
        <w:rPr>
          <w:rFonts w:ascii="Times New Roman" w:hAnsi="Times New Roman" w:cs="Times New Roman"/>
          <w:sz w:val="24"/>
          <w:szCs w:val="24"/>
        </w:rPr>
        <w:t xml:space="preserve">t were paragraphs (a)(2) and </w:t>
      </w:r>
      <w:r w:rsidRPr="00C1694A">
        <w:rPr>
          <w:rFonts w:ascii="Times New Roman" w:hAnsi="Times New Roman" w:cs="Times New Roman"/>
          <w:sz w:val="24"/>
          <w:szCs w:val="24"/>
        </w:rPr>
        <w:t xml:space="preserve">(3) that addressed professional development support for curriculum implementation and fidelity of implementation.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offered suggestions for further clarifying and strengthening the goals of these provisions.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retained the two key concepts of the provisions in paragraph (a)(2) – professional development</w:t>
      </w:r>
      <w:r w:rsidR="005A547C" w:rsidRPr="00C1694A">
        <w:rPr>
          <w:rFonts w:ascii="Times New Roman" w:hAnsi="Times New Roman" w:cs="Times New Roman"/>
          <w:sz w:val="24"/>
          <w:szCs w:val="24"/>
        </w:rPr>
        <w:t xml:space="preserve"> – </w:t>
      </w:r>
      <w:r w:rsidRPr="00C1694A">
        <w:rPr>
          <w:rFonts w:ascii="Times New Roman" w:hAnsi="Times New Roman" w:cs="Times New Roman"/>
          <w:sz w:val="24"/>
          <w:szCs w:val="24"/>
        </w:rPr>
        <w:t xml:space="preserve">and paragraph (a)(3) – curriculum fidelity, but integrated and streamlined them into paragraph (a)(2) to improve clarity and implementation.  Our revisions place more focus on staff support and are less compliance </w:t>
      </w:r>
      <w:r w:rsidR="00FD585E" w:rsidRPr="00C1694A">
        <w:rPr>
          <w:rFonts w:ascii="Times New Roman" w:hAnsi="Times New Roman" w:cs="Times New Roman"/>
          <w:sz w:val="24"/>
          <w:szCs w:val="24"/>
        </w:rPr>
        <w:t>oriented.</w:t>
      </w:r>
      <w:r w:rsidRPr="00C1694A">
        <w:rPr>
          <w:rFonts w:ascii="Times New Roman" w:hAnsi="Times New Roman" w:cs="Times New Roman"/>
          <w:sz w:val="24"/>
          <w:szCs w:val="24"/>
        </w:rPr>
        <w:t xml:space="preserve">  In paragraph (a)(2), we more clearly articulate the important requirement of supporting all teachers with support, feedback, and supervision in order to continuously improve curriculum implementation.  In addition, whereas in the proposed rule, curriculum fidelity kits were likely the main way programs would comply with paragraph (a)(3), we revised paragraph (a)(2) to focus on the requirement not the method. We made similar changes to the comparable provisions for home-based programs in §1302.35 for the same reasons.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expressed concern or sought clarity on the provisions in paragraph (b) that proposed requirements for when programs sought to make significant adaptations to curriculum.  Many commenters requested greater flexibility in curriculum requirements in paragraphs (a) and (b) so programs who serve culturally diverse communities for whom curricula have not been designed or validated.  Some commenters were not clear how much adaptation would necessitate partnerships with researchers.  Others thought the provision was too burdensome and unnecessary.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supported the requirement and suggested we make it more stringent.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our proposal </w:t>
      </w:r>
      <w:r w:rsidR="00F27085" w:rsidRPr="00C1694A">
        <w:rPr>
          <w:rFonts w:ascii="Times New Roman" w:hAnsi="Times New Roman" w:cs="Times New Roman"/>
          <w:sz w:val="24"/>
          <w:szCs w:val="24"/>
        </w:rPr>
        <w:t xml:space="preserve">in paragraph (b) </w:t>
      </w:r>
      <w:r w:rsidRPr="00C1694A">
        <w:rPr>
          <w:rFonts w:ascii="Times New Roman" w:hAnsi="Times New Roman" w:cs="Times New Roman"/>
          <w:sz w:val="24"/>
          <w:szCs w:val="24"/>
        </w:rPr>
        <w:t>lacked sufficient clarity and flexibility</w:t>
      </w:r>
      <w:r w:rsidR="00F27085" w:rsidRPr="00C1694A">
        <w:rPr>
          <w:rFonts w:ascii="Times New Roman" w:hAnsi="Times New Roman" w:cs="Times New Roman"/>
          <w:sz w:val="24"/>
          <w:szCs w:val="24"/>
        </w:rPr>
        <w:t>.  We revised p</w:t>
      </w:r>
      <w:r w:rsidRPr="00C1694A">
        <w:rPr>
          <w:rFonts w:ascii="Times New Roman" w:hAnsi="Times New Roman" w:cs="Times New Roman"/>
          <w:sz w:val="24"/>
          <w:szCs w:val="24"/>
        </w:rPr>
        <w:t xml:space="preserve">aragraph (b) </w:t>
      </w:r>
      <w:r w:rsidR="00F27085" w:rsidRPr="00C1694A">
        <w:rPr>
          <w:rFonts w:ascii="Times New Roman" w:hAnsi="Times New Roman" w:cs="Times New Roman"/>
          <w:sz w:val="24"/>
          <w:szCs w:val="24"/>
        </w:rPr>
        <w:t>to</w:t>
      </w:r>
      <w:r w:rsidRPr="00C1694A">
        <w:rPr>
          <w:rFonts w:ascii="Times New Roman" w:hAnsi="Times New Roman" w:cs="Times New Roman"/>
          <w:sz w:val="24"/>
          <w:szCs w:val="24"/>
        </w:rPr>
        <w:t xml:space="preserve"> require that programs that need to make significant adaptations to a curricu</w:t>
      </w:r>
      <w:r w:rsidR="00FD585E" w:rsidRPr="00C1694A">
        <w:rPr>
          <w:rFonts w:ascii="Times New Roman" w:hAnsi="Times New Roman" w:cs="Times New Roman"/>
          <w:sz w:val="24"/>
          <w:szCs w:val="24"/>
        </w:rPr>
        <w:t xml:space="preserve">lum or curriculum enhancement, </w:t>
      </w:r>
      <w:r w:rsidRPr="00C1694A">
        <w:rPr>
          <w:rFonts w:ascii="Times New Roman" w:hAnsi="Times New Roman" w:cs="Times New Roman"/>
          <w:sz w:val="24"/>
          <w:szCs w:val="24"/>
        </w:rPr>
        <w:t xml:space="preserve">must partner with early childhood education curriculum or content experts.  </w:t>
      </w:r>
      <w:r w:rsidR="00583B5F" w:rsidRPr="00C1694A">
        <w:rPr>
          <w:rFonts w:ascii="Times New Roman" w:hAnsi="Times New Roman" w:cs="Times New Roman"/>
          <w:sz w:val="24"/>
          <w:szCs w:val="24"/>
        </w:rPr>
        <w:t xml:space="preserve">For example, programs would not need to seek external expertise if they are adding a research-based curriculum supplement to an underlying curriculum in order to make it sufficiently content rich.  Programs would also not need to seek external expertise if they were supplementing the curriculum’s set of picture books if they were replacing them with books that reflect the diversity of culture and languages spoken in the classroom. However, a program seeking to significantly adapt a curriculum by translating major portions of it to respond to the needs of children learning more than one language would need to seek external </w:t>
      </w:r>
      <w:r w:rsidR="00D1694D" w:rsidRPr="00C1694A">
        <w:rPr>
          <w:rFonts w:ascii="Times New Roman" w:hAnsi="Times New Roman" w:cs="Times New Roman"/>
          <w:sz w:val="24"/>
          <w:szCs w:val="24"/>
        </w:rPr>
        <w:t xml:space="preserve">review by a </w:t>
      </w:r>
      <w:r w:rsidR="00583B5F" w:rsidRPr="00C1694A">
        <w:rPr>
          <w:rFonts w:ascii="Times New Roman" w:hAnsi="Times New Roman" w:cs="Times New Roman"/>
          <w:sz w:val="24"/>
          <w:szCs w:val="24"/>
        </w:rPr>
        <w:t xml:space="preserve">curriculum expert to ensure such translation maintained the scientifically valid characteristics of the underlying curriculum. </w:t>
      </w:r>
      <w:r w:rsidRPr="00C1694A">
        <w:rPr>
          <w:rFonts w:ascii="Times New Roman" w:hAnsi="Times New Roman" w:cs="Times New Roman"/>
          <w:sz w:val="24"/>
          <w:szCs w:val="24"/>
        </w:rPr>
        <w:t>This will</w:t>
      </w:r>
      <w:r w:rsidR="00535E9D" w:rsidRPr="00C1694A">
        <w:rPr>
          <w:rFonts w:ascii="Times New Roman" w:hAnsi="Times New Roman" w:cs="Times New Roman"/>
          <w:sz w:val="24"/>
          <w:szCs w:val="24"/>
        </w:rPr>
        <w:t xml:space="preserve"> ensure programs implement high-</w:t>
      </w:r>
      <w:r w:rsidRPr="00C1694A">
        <w:rPr>
          <w:rFonts w:ascii="Times New Roman" w:hAnsi="Times New Roman" w:cs="Times New Roman"/>
          <w:sz w:val="24"/>
          <w:szCs w:val="24"/>
        </w:rPr>
        <w:t>quality curricula that meet the requirements in paragraph (a). We eliminated the proposed requirement for a research evaluation of the adaptation to improve flexibility</w:t>
      </w:r>
      <w:r w:rsidR="00D57162" w:rsidRPr="00C1694A">
        <w:rPr>
          <w:rFonts w:ascii="Times New Roman" w:hAnsi="Times New Roman" w:cs="Times New Roman"/>
          <w:sz w:val="24"/>
          <w:szCs w:val="24"/>
        </w:rPr>
        <w:t>, but still encourage programs to partner with outside evaluators</w:t>
      </w:r>
      <w:r w:rsidRPr="00C1694A">
        <w:rPr>
          <w:rFonts w:ascii="Times New Roman" w:hAnsi="Times New Roman" w:cs="Times New Roman"/>
          <w:sz w:val="24"/>
          <w:szCs w:val="24"/>
        </w:rPr>
        <w:t xml:space="preserve">. To ensure accountability, paragraph (b) requires programs to </w:t>
      </w:r>
      <w:r w:rsidR="00D929B6" w:rsidRPr="00C1694A">
        <w:rPr>
          <w:rFonts w:ascii="Times New Roman" w:hAnsi="Times New Roman" w:cs="Times New Roman"/>
          <w:sz w:val="24"/>
          <w:szCs w:val="24"/>
        </w:rPr>
        <w:t xml:space="preserve">assess whether </w:t>
      </w:r>
      <w:r w:rsidRPr="00C1694A">
        <w:rPr>
          <w:rFonts w:ascii="Times New Roman" w:hAnsi="Times New Roman" w:cs="Times New Roman"/>
          <w:sz w:val="24"/>
          <w:szCs w:val="24"/>
        </w:rPr>
        <w:t xml:space="preserve">the adaptation </w:t>
      </w:r>
      <w:r w:rsidR="00D929B6" w:rsidRPr="00C1694A">
        <w:rPr>
          <w:rFonts w:ascii="Times New Roman" w:hAnsi="Times New Roman" w:cs="Times New Roman"/>
          <w:sz w:val="24"/>
          <w:szCs w:val="24"/>
        </w:rPr>
        <w:t>adequately facilitates progress toward</w:t>
      </w:r>
      <w:r w:rsidRPr="00C1694A">
        <w:rPr>
          <w:rFonts w:ascii="Times New Roman" w:hAnsi="Times New Roman" w:cs="Times New Roman"/>
          <w:sz w:val="24"/>
          <w:szCs w:val="24"/>
        </w:rPr>
        <w:t xml:space="preserve"> meeting school readiness goals as part of the program management process described in subpart J.  We believe this provision provides better clarity and strikes the right balance between flexibility and maintaining high standards for curriculum quality.  We made similar changes to the comparable provision for home-based programs in §1302.35 for the same reasons.  We note that paragraph (a)(1) allows curricular enhancements and does not require the partnerships described in paragraph (b).  Likewise, small changes to curricula to make them more culturally appropriate for the children being served do not require </w:t>
      </w:r>
      <w:r w:rsidR="00F27085" w:rsidRPr="00C1694A">
        <w:rPr>
          <w:rFonts w:ascii="Times New Roman" w:hAnsi="Times New Roman" w:cs="Times New Roman"/>
          <w:sz w:val="24"/>
          <w:szCs w:val="24"/>
        </w:rPr>
        <w:t xml:space="preserve">the </w:t>
      </w:r>
      <w:r w:rsidRPr="00C1694A">
        <w:rPr>
          <w:rFonts w:ascii="Times New Roman" w:hAnsi="Times New Roman" w:cs="Times New Roman"/>
          <w:sz w:val="24"/>
          <w:szCs w:val="24"/>
        </w:rPr>
        <w:t>partnerships</w:t>
      </w:r>
      <w:r w:rsidR="00F27085" w:rsidRPr="00C1694A">
        <w:rPr>
          <w:rFonts w:ascii="Times New Roman" w:hAnsi="Times New Roman" w:cs="Times New Roman"/>
          <w:sz w:val="24"/>
          <w:szCs w:val="24"/>
        </w:rPr>
        <w:t xml:space="preserve"> described in paragraph (b)</w:t>
      </w:r>
      <w:r w:rsidRPr="00C1694A">
        <w:rPr>
          <w:rFonts w:ascii="Times New Roman" w:hAnsi="Times New Roman" w:cs="Times New Roman"/>
          <w:sz w:val="24"/>
          <w:szCs w:val="24"/>
        </w:rPr>
        <w:t>.</w:t>
      </w:r>
      <w:r w:rsidR="00D929B6" w:rsidRPr="00C1694A">
        <w:rPr>
          <w:rFonts w:ascii="Times New Roman" w:hAnsi="Times New Roman" w:cs="Times New Roman"/>
          <w:sz w:val="24"/>
          <w:szCs w:val="24"/>
        </w:rPr>
        <w:t xml:space="preserve">  While not required, we encourage programs to work with a researcher or evaluator to examine their adaptations, if possible.  </w:t>
      </w:r>
      <w:r w:rsidR="00CF76B0" w:rsidRPr="00C1694A">
        <w:rPr>
          <w:rFonts w:ascii="Times New Roman" w:hAnsi="Times New Roman" w:cs="Times New Roman"/>
          <w:sz w:val="24"/>
          <w:szCs w:val="24"/>
        </w:rPr>
        <w:t>We retain the requirement from the NPRM that programs must report curricula variations to the responsible HHS official.</w:t>
      </w:r>
    </w:p>
    <w:p w:rsidR="00894DA5" w:rsidRPr="00C1694A" w:rsidRDefault="006B6A4E"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§1302.33 Child s</w:t>
      </w:r>
      <w:r w:rsidR="00894DA5" w:rsidRPr="00C1694A">
        <w:rPr>
          <w:rFonts w:ascii="Times New Roman" w:hAnsi="Times New Roman" w:cs="Times New Roman"/>
          <w:i/>
          <w:sz w:val="24"/>
          <w:szCs w:val="24"/>
        </w:rPr>
        <w:t>creening</w:t>
      </w:r>
      <w:r w:rsidRPr="00C1694A">
        <w:rPr>
          <w:rFonts w:ascii="Times New Roman" w:hAnsi="Times New Roman" w:cs="Times New Roman"/>
          <w:i/>
          <w:sz w:val="24"/>
          <w:szCs w:val="24"/>
        </w:rPr>
        <w:t>s</w:t>
      </w:r>
      <w:r w:rsidR="00894DA5" w:rsidRPr="00C1694A">
        <w:rPr>
          <w:rFonts w:ascii="Times New Roman" w:hAnsi="Times New Roman" w:cs="Times New Roman"/>
          <w:i/>
          <w:sz w:val="24"/>
          <w:szCs w:val="24"/>
        </w:rPr>
        <w:t xml:space="preserve"> and assessment</w:t>
      </w:r>
      <w:r w:rsidRPr="00C1694A">
        <w:rPr>
          <w:rFonts w:ascii="Times New Roman" w:hAnsi="Times New Roman" w:cs="Times New Roman"/>
          <w:i/>
          <w:sz w:val="24"/>
          <w:szCs w:val="24"/>
        </w:rPr>
        <w:t>s</w:t>
      </w:r>
      <w:r w:rsidR="00894DA5" w:rsidRPr="00C1694A">
        <w:rPr>
          <w:rFonts w:ascii="Times New Roman" w:hAnsi="Times New Roman" w:cs="Times New Roman"/>
          <w:i/>
          <w:sz w:val="24"/>
          <w:szCs w:val="24"/>
        </w:rPr>
        <w: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applies screening and assessment requirements to all program options and includes significant revisions to the previous program performance standards in order to integrate advances from research, reflect best practice, and implement provisions from the Act.  It includes requirements for the appropriate use of developmental screening and ongoing child assessment that are integral to high-quality programs.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Commenters supported many of the changes in this section, including the clear process for referral for formal evaluation and the updates to individualize services for children.  We made changes to strengthen and clarify the provisions in this section.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noted the importance of maintaining the 45-day requirement for developmental screenings in paragraph (a)(1), but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stated the timeline for screening was too short and </w:t>
      </w:r>
      <w:r w:rsidR="00AC4618"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stated it was too long.  Some commenters noted we dropped the timeline from the previous regulation for developmental screenings in Migrant and Seasonal Head Start programs, and many commenters noted we inadvertently dropped the requirement to programs to obtain screenings instead of only explicitly completing them.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final rule retains the 45-day timeline for developmental screening.  We believe it is both reasonable and important to complete screenings quickly so that individualized needs can be promptly identified.  We restored the 30-calendar day timeline for Migrant and Seasonal Head Start programs to paragraph (a)(1), which is consistent with the previous regulation and was inadvertently dropped from the proposed rule.  In addition, in paragraph (a)(1), we clarified that a program can meet the development screening requirement either by completing it themselves or obtaining the results from another source, and that the screening must be current.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noted that what was paragraph (a)(2) </w:t>
      </w:r>
      <w:r w:rsidR="00F27085" w:rsidRPr="00C1694A">
        <w:rPr>
          <w:rFonts w:ascii="Times New Roman" w:hAnsi="Times New Roman" w:cs="Times New Roman"/>
          <w:sz w:val="24"/>
          <w:szCs w:val="24"/>
        </w:rPr>
        <w:t>in the NPRM for</w:t>
      </w:r>
      <w:r w:rsidRPr="00C1694A">
        <w:rPr>
          <w:rFonts w:ascii="Times New Roman" w:hAnsi="Times New Roman" w:cs="Times New Roman"/>
          <w:sz w:val="24"/>
          <w:szCs w:val="24"/>
        </w:rPr>
        <w:t xml:space="preserve"> programs</w:t>
      </w:r>
      <w:r w:rsidR="00F27085" w:rsidRPr="00C1694A">
        <w:rPr>
          <w:rFonts w:ascii="Times New Roman" w:hAnsi="Times New Roman" w:cs="Times New Roman"/>
          <w:sz w:val="24"/>
          <w:szCs w:val="24"/>
        </w:rPr>
        <w:t xml:space="preserve"> to</w:t>
      </w:r>
      <w:r w:rsidRPr="00C1694A">
        <w:rPr>
          <w:rFonts w:ascii="Times New Roman" w:hAnsi="Times New Roman" w:cs="Times New Roman"/>
          <w:sz w:val="24"/>
          <w:szCs w:val="24"/>
        </w:rPr>
        <w:t xml:space="preserve"> adhere to a prompt timeline for referrals that they cannot control.</w:t>
      </w:r>
    </w:p>
    <w:p w:rsidR="00D118C5" w:rsidRPr="00C1694A" w:rsidRDefault="00D118C5" w:rsidP="00D118C5">
      <w:pPr>
        <w:spacing w:after="0" w:line="480" w:lineRule="auto"/>
        <w:rPr>
          <w:rFonts w:ascii="Times New Roman" w:hAnsi="Times New Roman" w:cs="Times New Roman"/>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made revisions in paragraph (a)(3) to address these concerns.  We believe it is important for programs to refer children to the local agency responsible for determining IDEA eligibility for a formal evaluation</w:t>
      </w:r>
      <w:r w:rsidR="00A234E6" w:rsidRPr="00C1694A">
        <w:rPr>
          <w:rFonts w:ascii="Times New Roman" w:hAnsi="Times New Roman" w:cs="Times New Roman"/>
          <w:sz w:val="24"/>
          <w:szCs w:val="24"/>
        </w:rPr>
        <w:t xml:space="preserve"> as </w:t>
      </w:r>
      <w:r w:rsidR="00A234E6" w:rsidRPr="00DC44D0">
        <w:rPr>
          <w:rFonts w:ascii="Times New Roman" w:eastAsia="Times New Roman" w:hAnsi="Times New Roman" w:cs="Times New Roman"/>
          <w:sz w:val="24"/>
          <w:szCs w:val="24"/>
        </w:rPr>
        <w:t>soon as possible, and not to exceed timelines required under IDEA,</w:t>
      </w:r>
      <w:r w:rsidRPr="00C1694A">
        <w:rPr>
          <w:rFonts w:ascii="Times New Roman" w:hAnsi="Times New Roman" w:cs="Times New Roman"/>
          <w:sz w:val="24"/>
          <w:szCs w:val="24"/>
        </w:rPr>
        <w:t xml:space="preserve"> but understand programs cannot control how quickly the IDEA agency completes the formal evaluation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both in support and opposition of the proposal in what was paragraph (a)(3) in the NPRM to waive the 45-day developmental screening requirement for children with a current </w:t>
      </w:r>
      <w:r w:rsidR="00D0552F" w:rsidRPr="00C1694A">
        <w:rPr>
          <w:rFonts w:ascii="Times New Roman" w:hAnsi="Times New Roman" w:cs="Times New Roman"/>
          <w:sz w:val="24"/>
          <w:szCs w:val="24"/>
        </w:rPr>
        <w:t>individualized f</w:t>
      </w:r>
      <w:r w:rsidR="00D118C5" w:rsidRPr="00C1694A">
        <w:rPr>
          <w:rFonts w:ascii="Times New Roman" w:hAnsi="Times New Roman" w:cs="Times New Roman"/>
          <w:sz w:val="24"/>
          <w:szCs w:val="24"/>
        </w:rPr>
        <w:t>amily service plan</w:t>
      </w:r>
      <w:r w:rsidR="00D0552F" w:rsidRPr="00C1694A">
        <w:rPr>
          <w:rFonts w:ascii="Times New Roman" w:hAnsi="Times New Roman" w:cs="Times New Roman"/>
          <w:sz w:val="24"/>
          <w:szCs w:val="24"/>
        </w:rPr>
        <w:t xml:space="preserve"> (</w:t>
      </w:r>
      <w:r w:rsidRPr="00C1694A">
        <w:rPr>
          <w:rFonts w:ascii="Times New Roman" w:hAnsi="Times New Roman" w:cs="Times New Roman"/>
          <w:sz w:val="24"/>
          <w:szCs w:val="24"/>
        </w:rPr>
        <w:t>IFSP</w:t>
      </w:r>
      <w:r w:rsidR="00D0552F" w:rsidRPr="00C1694A">
        <w:rPr>
          <w:rFonts w:ascii="Times New Roman" w:hAnsi="Times New Roman" w:cs="Times New Roman"/>
          <w:sz w:val="24"/>
          <w:szCs w:val="24"/>
        </w:rPr>
        <w:t>)</w:t>
      </w:r>
      <w:r w:rsidRPr="00C1694A">
        <w:rPr>
          <w:rFonts w:ascii="Times New Roman" w:hAnsi="Times New Roman" w:cs="Times New Roman"/>
          <w:sz w:val="24"/>
          <w:szCs w:val="24"/>
        </w:rPr>
        <w:t xml:space="preserve"> or IEP.  Some commenters supported the proposal and noted it was good to eliminate redundant and unnecessary screening.  Some commen</w:t>
      </w:r>
      <w:r w:rsidR="00F27085" w:rsidRPr="00C1694A">
        <w:rPr>
          <w:rFonts w:ascii="Times New Roman" w:hAnsi="Times New Roman" w:cs="Times New Roman"/>
          <w:sz w:val="24"/>
          <w:szCs w:val="24"/>
        </w:rPr>
        <w:t xml:space="preserve">ters opposed the provision and </w:t>
      </w:r>
      <w:r w:rsidRPr="00C1694A">
        <w:rPr>
          <w:rFonts w:ascii="Times New Roman" w:hAnsi="Times New Roman" w:cs="Times New Roman"/>
          <w:sz w:val="24"/>
          <w:szCs w:val="24"/>
        </w:rPr>
        <w:t>stated that relying only on an IFSP or IEP would lead programs to miss important information about the children they serve.</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F27085" w:rsidRPr="00C1694A">
        <w:rPr>
          <w:rFonts w:ascii="Times New Roman" w:hAnsi="Times New Roman" w:cs="Times New Roman"/>
          <w:sz w:val="24"/>
          <w:szCs w:val="24"/>
        </w:rPr>
        <w:t xml:space="preserve">  We revised the final rule to </w:t>
      </w:r>
      <w:r w:rsidRPr="00C1694A">
        <w:rPr>
          <w:rFonts w:ascii="Times New Roman" w:hAnsi="Times New Roman" w:cs="Times New Roman"/>
          <w:sz w:val="24"/>
          <w:szCs w:val="24"/>
        </w:rPr>
        <w:t xml:space="preserve">remove the provision to waive the 45-day screening for children with a current IFSP or IEP.  We note that developmental screenings are not overly time consuming, are not a burden for children, and agree that there is the potential for developmental issues to be missed if a program only relies on an IFSP or IEP.  </w:t>
      </w:r>
      <w:r w:rsidR="002117C5" w:rsidRPr="00C1694A">
        <w:rPr>
          <w:rFonts w:ascii="Times New Roman" w:hAnsi="Times New Roman" w:cs="Times New Roman"/>
          <w:sz w:val="24"/>
          <w:szCs w:val="24"/>
        </w:rPr>
        <w:t>We believe that screenings can also serve as an important mechanism to build teacher-family partnerships</w:t>
      </w:r>
      <w:r w:rsidR="004F0890" w:rsidRPr="00C1694A">
        <w:rPr>
          <w:rFonts w:ascii="Times New Roman" w:hAnsi="Times New Roman" w:cs="Times New Roman"/>
          <w:sz w:val="24"/>
          <w:szCs w:val="24"/>
        </w:rPr>
        <w:t xml:space="preserve">, </w:t>
      </w:r>
      <w:r w:rsidR="002117C5" w:rsidRPr="00C1694A">
        <w:rPr>
          <w:rFonts w:ascii="Times New Roman" w:hAnsi="Times New Roman" w:cs="Times New Roman"/>
          <w:sz w:val="24"/>
          <w:szCs w:val="24"/>
        </w:rPr>
        <w:t xml:space="preserve">celebrate children’s developmental milestones, and provide valuable information to both teachers and families on supporting children’s holistic development, across settings.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supported our proposal in paragraph (a)(5) for programs to help parents access services and support if their child has a significant delay in one or more areas of development that were likely to interfere with the child’s development and school success.  Some commenters suggested this was an important provision because it would ensure a specific at-risk population was better served.  Some commenters supported the provision but stated that it was too vague and that further information or definitions were needed to clarify what we meant by “significant delay” and “supports and services.”  Some commenters also recommended referencing </w:t>
      </w:r>
      <w:r w:rsidR="003F2178">
        <w:rPr>
          <w:rFonts w:ascii="Times New Roman" w:hAnsi="Times New Roman" w:cs="Times New Roman"/>
          <w:sz w:val="24"/>
          <w:szCs w:val="24"/>
        </w:rPr>
        <w:t xml:space="preserve">Section </w:t>
      </w:r>
      <w:r w:rsidRPr="00C1694A">
        <w:rPr>
          <w:rFonts w:ascii="Times New Roman" w:hAnsi="Times New Roman" w:cs="Times New Roman"/>
          <w:sz w:val="24"/>
          <w:szCs w:val="24"/>
        </w:rPr>
        <w:t xml:space="preserve">504 and </w:t>
      </w:r>
      <w:r w:rsidR="00E5749E" w:rsidRPr="00C1694A">
        <w:rPr>
          <w:rFonts w:ascii="Times New Roman" w:hAnsi="Times New Roman" w:cs="Times New Roman"/>
          <w:sz w:val="24"/>
          <w:szCs w:val="24"/>
        </w:rPr>
        <w:t>the Americans with Disabilities Act (</w:t>
      </w:r>
      <w:r w:rsidRPr="00C1694A">
        <w:rPr>
          <w:rFonts w:ascii="Times New Roman" w:hAnsi="Times New Roman" w:cs="Times New Roman"/>
          <w:sz w:val="24"/>
          <w:szCs w:val="24"/>
        </w:rPr>
        <w:t>ADA</w:t>
      </w:r>
      <w:r w:rsidR="00E5749E" w:rsidRPr="00C1694A">
        <w:rPr>
          <w:rFonts w:ascii="Times New Roman" w:hAnsi="Times New Roman" w:cs="Times New Roman"/>
          <w:sz w:val="24"/>
          <w:szCs w:val="24"/>
        </w:rPr>
        <w:t>)</w:t>
      </w:r>
      <w:r w:rsidRPr="00C1694A">
        <w:rPr>
          <w:rFonts w:ascii="Times New Roman" w:hAnsi="Times New Roman" w:cs="Times New Roman"/>
          <w:sz w:val="24"/>
          <w:szCs w:val="24"/>
        </w:rPr>
        <w:t xml:space="preserve"> requirements or clarity about these services being provided in the natural environment.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who supported the provision stated that these children should be counted in the program’s calculation for meeting the requirement that 10 percent of children in Head Start be eligible for services under IDEA.  </w:t>
      </w:r>
    </w:p>
    <w:p w:rsidR="00894DA5" w:rsidRPr="00C1694A" w:rsidRDefault="00894DA5" w:rsidP="008A55F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Many commenters were opposed to our proposal in paragraph (a)(5).  They acknowledged it would be an important service but opposed it because of associated costs.  Other commenters opposed the provision for reasons that included: they did not think programs had the expertise to make the decision or provide the services; they believed it was inappropriate if other specialists already deemed special education services unnecessary; or they were concerned it would undermine their partnerships with local educational agencies.  Some commenters felt it was unnecessary because programs already individualize services.  Some commenters agreed it could be helpful to children but that it should be a recommendation not a requirement.  Other commenters who opposed the requirement requested that if we implemented the provision, the children should count toward the program’s 10 percent disability enrollment requirement.</w:t>
      </w:r>
    </w:p>
    <w:p w:rsidR="00985699" w:rsidRPr="00C1694A" w:rsidRDefault="00985699" w:rsidP="008A55FA">
      <w:pPr>
        <w:spacing w:after="0" w:line="480" w:lineRule="auto"/>
        <w:rPr>
          <w:rFonts w:ascii="Times New Roman" w:hAnsi="Times New Roman" w:cs="Times New Roman"/>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that when a formal assessment finds a child has a significant delay, it is important that the program work with parents to address the identified needs, even if the child is not found eligible for </w:t>
      </w:r>
      <w:r>
        <w:rPr>
          <w:rFonts w:ascii="Times New Roman" w:hAnsi="Times New Roman" w:cs="Times New Roman"/>
          <w:sz w:val="24"/>
          <w:szCs w:val="24"/>
        </w:rPr>
        <w:t xml:space="preserve">early intervention or </w:t>
      </w:r>
      <w:r w:rsidRPr="00C1694A">
        <w:rPr>
          <w:rFonts w:ascii="Times New Roman" w:hAnsi="Times New Roman" w:cs="Times New Roman"/>
          <w:sz w:val="24"/>
          <w:szCs w:val="24"/>
        </w:rPr>
        <w:t xml:space="preserve">special education and related services under IDEA.  Therefore, the final rule retains the policy in paragraph (a)(5) but makes changes to the provision to better clarify what is and is not expected of the program.  We clarified that programs are required to partner with parents to determine if needed supports and services are available through a child’s health insurance and/or whether it is appropriate to provide supports for the child pursuant to Section 504 of the Rehabilitation Act if the child satisfies the definition of disability in section 705(9)(b) of the Rehabilitation Act.  </w:t>
      </w:r>
    </w:p>
    <w:p w:rsidR="00985699" w:rsidRPr="00C1694A" w:rsidRDefault="00985699" w:rsidP="008A55F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 xml:space="preserve">A program may use Head Start funds for such services and supports when other funding is not available but the program is not required to do so.  Family service, health, or other appropriate staff, together with the parents, must try to identify resources that can help provide the child with the services and supports they need. We think this clarifies what we mean by “supports and services” and did not define the term.  We also note that the provision explicitly requires this determination be made with guidance from a mental health or child development professional to ensure staff with appropriate expertise guide the determination of the child’s needs.  We did not define “significant delay” so the mental health consultant and local experts can have appropriate flexibility. </w:t>
      </w:r>
    </w:p>
    <w:p w:rsidR="00985699" w:rsidRPr="00985699" w:rsidRDefault="00985699" w:rsidP="00985699">
      <w:pPr>
        <w:autoSpaceDE w:val="0"/>
        <w:autoSpaceDN w:val="0"/>
        <w:adjustRightInd w:val="0"/>
        <w:spacing w:after="0" w:line="480" w:lineRule="auto"/>
        <w:ind w:firstLine="720"/>
        <w:rPr>
          <w:rFonts w:ascii="Times New Roman" w:hAnsi="Times New Roman" w:cs="Times New Roman"/>
          <w:sz w:val="24"/>
          <w:szCs w:val="24"/>
          <w:u w:val="single"/>
        </w:rPr>
      </w:pP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wrote in support of the general approach to child assessment in paragraph (b), including its research base and its clarity on using and integrating assessment information into individualization and </w:t>
      </w:r>
      <w:r w:rsidR="002450D3" w:rsidRPr="00C1694A">
        <w:rPr>
          <w:rFonts w:ascii="Times New Roman" w:hAnsi="Times New Roman" w:cs="Times New Roman"/>
          <w:sz w:val="24"/>
          <w:szCs w:val="24"/>
        </w:rPr>
        <w:t>teaching</w:t>
      </w:r>
      <w:r w:rsidRPr="00C1694A">
        <w:rPr>
          <w:rFonts w:ascii="Times New Roman" w:hAnsi="Times New Roman" w:cs="Times New Roman"/>
          <w:sz w:val="24"/>
          <w:szCs w:val="24"/>
        </w:rPr>
        <w:t xml:space="preserve"> practices.  However, many commenters expressed concern about the term “standardized and structured assessment” in paragraph (b)(1) and sought greater clarity on its meaning.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added language to paragraph (b)(1) to clarify that the standardized and structured assessments may be “observation-based or direct.”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 xml:space="preserve">Comment: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recommended we add requirements about the frequency of assessments or made other suggestions for paragraph (b), such as how the data are reported.</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revise paragraph (b) to include requirements about the frequency of assessments because we believe those determinations are best made at the local level.  However, we made small changes in paragraph (b)(2) to further strengthen how programs use assessments.  Specifically, paragraph (b)(2) was revised to require program “regularly” use assessment and other information to support individualized learning and that such assessment data be used to “inform” strategies for individualization.</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were unclear about the need to assess DLLs in multiple languages if they are proficient in English, as proposed in paragraph (c)(2). Some recommended that DLLs only be assessed in their non-English language if they struggle with English.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stated that assessment in both languages should not be required for program participation and asked whether programs will seek parental input or consent for screenings and assessments in both languages.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Assessing the language development of a DLL child in both English and his/her home language provides a more complete picture of the child’s language development, including potential strengths or concerns, even if the child is proficient in English. Additionally, as stated in §1302.34(b)(6), program staff must inform parents and family members about the purposes and results of screenings and assessments and discuss children’s progress.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were concerned with the feasibility of assessing DLLs in their home language as proposed in paragraph (c)(2). Commenters raised concerns such as: lack of valid, reliable assessments in less common languages; feasibility of having interpreters for all languages; and burden on staff to assess children in both languages.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requested clarification, such as if it is acceptable for an English-speaking staff person to use a Spanish interpreter to conduct assessments with DLLs and, for assessments conducted in both languages, if teachers should record the higher of the two scores.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strongly believe that programs should assess DLLs in their home language with valid, reliable assessments, when feasible. </w:t>
      </w:r>
      <w:r w:rsidR="00CB473E" w:rsidRPr="00C1694A">
        <w:rPr>
          <w:rFonts w:ascii="Times New Roman" w:hAnsi="Times New Roman" w:cs="Times New Roman"/>
          <w:sz w:val="24"/>
          <w:szCs w:val="24"/>
        </w:rPr>
        <w:t xml:space="preserve">While </w:t>
      </w:r>
      <w:r w:rsidR="004F0890" w:rsidRPr="00C1694A">
        <w:rPr>
          <w:rFonts w:ascii="Times New Roman" w:hAnsi="Times New Roman" w:cs="Times New Roman"/>
          <w:sz w:val="24"/>
          <w:szCs w:val="24"/>
        </w:rPr>
        <w:t xml:space="preserve">Spanish is the home language of </w:t>
      </w:r>
      <w:r w:rsidR="00CB473E" w:rsidRPr="00C1694A">
        <w:rPr>
          <w:rFonts w:ascii="Times New Roman" w:hAnsi="Times New Roman" w:cs="Times New Roman"/>
          <w:sz w:val="24"/>
          <w:szCs w:val="24"/>
        </w:rPr>
        <w:t xml:space="preserve">most DLLs in Head Start, we recognize that there are </w:t>
      </w:r>
      <w:r w:rsidR="004F0890" w:rsidRPr="00C1694A">
        <w:rPr>
          <w:rFonts w:ascii="Times New Roman" w:hAnsi="Times New Roman" w:cs="Times New Roman"/>
          <w:sz w:val="24"/>
          <w:szCs w:val="24"/>
        </w:rPr>
        <w:t>over 140</w:t>
      </w:r>
      <w:r w:rsidR="00CB473E" w:rsidRPr="00C1694A">
        <w:rPr>
          <w:rFonts w:ascii="Times New Roman" w:hAnsi="Times New Roman" w:cs="Times New Roman"/>
          <w:sz w:val="24"/>
          <w:szCs w:val="24"/>
        </w:rPr>
        <w:t xml:space="preserve"> other languages spoken by Head Start children</w:t>
      </w:r>
      <w:r w:rsidR="00FB600F" w:rsidRPr="00C1694A">
        <w:rPr>
          <w:rFonts w:ascii="Times New Roman" w:hAnsi="Times New Roman" w:cs="Times New Roman"/>
          <w:sz w:val="24"/>
          <w:szCs w:val="24"/>
        </w:rPr>
        <w:t xml:space="preserve"> and </w:t>
      </w:r>
      <w:r w:rsidRPr="00C1694A">
        <w:rPr>
          <w:rFonts w:ascii="Times New Roman" w:hAnsi="Times New Roman" w:cs="Times New Roman"/>
          <w:sz w:val="24"/>
          <w:szCs w:val="24"/>
        </w:rPr>
        <w:t>that valid, reliable assessments are not available in every language spoken by children in Head Start. We revised paragraph (c)(2)(ii) and added new language at paragraph (c)(2)(iii) in the final rule to reflect this reality</w:t>
      </w:r>
      <w:r w:rsidR="00291557" w:rsidRPr="00C1694A">
        <w:rPr>
          <w:rFonts w:ascii="Times New Roman" w:hAnsi="Times New Roman" w:cs="Times New Roman"/>
          <w:sz w:val="24"/>
          <w:szCs w:val="24"/>
        </w:rPr>
        <w:t xml:space="preserve"> including  mechanisms that support accurate and appropriate assessment processes. We also revised paragraph (c)(3) to acknowledge when interpreters may be necessary to work in conjunction with qualified staff that do not speak the language.  </w:t>
      </w:r>
      <w:r w:rsidRPr="00C1694A">
        <w:rPr>
          <w:rFonts w:ascii="Times New Roman" w:hAnsi="Times New Roman" w:cs="Times New Roman"/>
          <w:sz w:val="24"/>
          <w:szCs w:val="24"/>
        </w:rPr>
        <w:t xml:space="preserve"> </w:t>
      </w:r>
      <w:r w:rsidR="00291557" w:rsidRPr="00C1694A">
        <w:rPr>
          <w:rFonts w:ascii="Times New Roman" w:hAnsi="Times New Roman" w:cs="Times New Roman"/>
          <w:sz w:val="24"/>
          <w:szCs w:val="24"/>
        </w:rPr>
        <w:t>Finally in paragraph (c)(4) we</w:t>
      </w:r>
      <w:r w:rsidR="00B653C2" w:rsidRPr="00C1694A">
        <w:rPr>
          <w:rFonts w:ascii="Times New Roman" w:hAnsi="Times New Roman" w:cs="Times New Roman"/>
          <w:sz w:val="24"/>
          <w:szCs w:val="24"/>
        </w:rPr>
        <w:t xml:space="preserve"> </w:t>
      </w:r>
      <w:r w:rsidR="00291557" w:rsidRPr="00C1694A">
        <w:rPr>
          <w:rFonts w:ascii="Times New Roman" w:hAnsi="Times New Roman" w:cs="Times New Roman"/>
          <w:sz w:val="24"/>
          <w:szCs w:val="24"/>
        </w:rPr>
        <w:t>clarified</w:t>
      </w:r>
      <w:r w:rsidR="00B653C2" w:rsidRPr="00C1694A">
        <w:rPr>
          <w:rFonts w:ascii="Times New Roman" w:hAnsi="Times New Roman" w:cs="Times New Roman"/>
          <w:sz w:val="24"/>
          <w:szCs w:val="24"/>
        </w:rPr>
        <w:t xml:space="preserve"> that </w:t>
      </w:r>
      <w:r w:rsidR="00291557" w:rsidRPr="00C1694A">
        <w:rPr>
          <w:rFonts w:ascii="Times New Roman" w:hAnsi="Times New Roman" w:cs="Times New Roman"/>
          <w:sz w:val="24"/>
          <w:szCs w:val="24"/>
        </w:rPr>
        <w:t>only in</w:t>
      </w:r>
      <w:r w:rsidR="00B653C2" w:rsidRPr="00C1694A">
        <w:rPr>
          <w:rFonts w:ascii="Times New Roman" w:hAnsi="Times New Roman" w:cs="Times New Roman"/>
          <w:sz w:val="24"/>
          <w:szCs w:val="24"/>
        </w:rPr>
        <w:t xml:space="preserve"> instances </w:t>
      </w:r>
      <w:r w:rsidR="00291557" w:rsidRPr="00C1694A">
        <w:rPr>
          <w:rFonts w:ascii="Times New Roman" w:hAnsi="Times New Roman" w:cs="Times New Roman"/>
          <w:sz w:val="24"/>
          <w:szCs w:val="24"/>
        </w:rPr>
        <w:t xml:space="preserve">where </w:t>
      </w:r>
      <w:r w:rsidR="00BA0B61" w:rsidRPr="00C1694A">
        <w:rPr>
          <w:rFonts w:ascii="Times New Roman" w:hAnsi="Times New Roman" w:cs="Times New Roman"/>
          <w:sz w:val="24"/>
          <w:szCs w:val="24"/>
        </w:rPr>
        <w:t>an interpreter and qualified staff are not available</w:t>
      </w:r>
      <w:r w:rsidR="00291557" w:rsidRPr="00C1694A">
        <w:rPr>
          <w:rFonts w:ascii="Times New Roman" w:hAnsi="Times New Roman" w:cs="Times New Roman"/>
          <w:sz w:val="24"/>
          <w:szCs w:val="24"/>
        </w:rPr>
        <w:t xml:space="preserve"> </w:t>
      </w:r>
      <w:r w:rsidR="00521361">
        <w:rPr>
          <w:rFonts w:ascii="Times New Roman" w:hAnsi="Times New Roman" w:cs="Times New Roman"/>
          <w:sz w:val="24"/>
          <w:szCs w:val="24"/>
        </w:rPr>
        <w:t xml:space="preserve">can </w:t>
      </w:r>
      <w:r w:rsidR="00291557" w:rsidRPr="00C1694A">
        <w:rPr>
          <w:rFonts w:ascii="Times New Roman" w:hAnsi="Times New Roman" w:cs="Times New Roman"/>
          <w:sz w:val="24"/>
          <w:szCs w:val="24"/>
        </w:rPr>
        <w:t xml:space="preserve">screenings and assessments be done in English, but </w:t>
      </w:r>
      <w:r w:rsidR="00B653C2" w:rsidRPr="00C1694A">
        <w:rPr>
          <w:rFonts w:ascii="Times New Roman" w:hAnsi="Times New Roman" w:cs="Times New Roman"/>
          <w:sz w:val="24"/>
          <w:szCs w:val="24"/>
        </w:rPr>
        <w:t xml:space="preserve">it is particularly important that programs </w:t>
      </w:r>
      <w:r w:rsidR="00291557" w:rsidRPr="00C1694A">
        <w:rPr>
          <w:rFonts w:ascii="Times New Roman" w:hAnsi="Times New Roman" w:cs="Times New Roman"/>
          <w:sz w:val="24"/>
          <w:szCs w:val="24"/>
        </w:rPr>
        <w:t xml:space="preserve">gather and use other information and </w:t>
      </w:r>
      <w:r w:rsidR="00BB4151" w:rsidRPr="00C1694A">
        <w:rPr>
          <w:rFonts w:ascii="Times New Roman" w:hAnsi="Times New Roman" w:cs="Times New Roman"/>
          <w:sz w:val="24"/>
          <w:szCs w:val="24"/>
        </w:rPr>
        <w:t xml:space="preserve">structured </w:t>
      </w:r>
      <w:r w:rsidR="00291557" w:rsidRPr="00C1694A">
        <w:rPr>
          <w:rFonts w:ascii="Times New Roman" w:hAnsi="Times New Roman" w:cs="Times New Roman"/>
          <w:sz w:val="24"/>
          <w:szCs w:val="24"/>
        </w:rPr>
        <w:t xml:space="preserve">observations </w:t>
      </w:r>
      <w:r w:rsidR="00BB4151" w:rsidRPr="00C1694A">
        <w:rPr>
          <w:rFonts w:ascii="Times New Roman" w:hAnsi="Times New Roman" w:cs="Times New Roman"/>
          <w:sz w:val="24"/>
          <w:szCs w:val="24"/>
        </w:rPr>
        <w:t>over time</w:t>
      </w:r>
      <w:r w:rsidR="00291557" w:rsidRPr="00C1694A">
        <w:rPr>
          <w:rFonts w:ascii="Times New Roman" w:hAnsi="Times New Roman" w:cs="Times New Roman"/>
          <w:sz w:val="24"/>
          <w:szCs w:val="24"/>
        </w:rPr>
        <w:t xml:space="preserve"> about the child development, including information from the family about home language use</w:t>
      </w:r>
      <w:r w:rsidR="00B653C2" w:rsidRPr="00C1694A">
        <w:rPr>
          <w:rFonts w:ascii="Times New Roman" w:hAnsi="Times New Roman" w:cs="Times New Roman"/>
          <w:sz w:val="24"/>
          <w:szCs w:val="24"/>
        </w:rPr>
        <w:t xml:space="preserve">. </w:t>
      </w:r>
      <w:r w:rsidRPr="00C1694A">
        <w:rPr>
          <w:rFonts w:ascii="Times New Roman" w:hAnsi="Times New Roman" w:cs="Times New Roman"/>
          <w:sz w:val="24"/>
          <w:szCs w:val="24"/>
        </w:rPr>
        <w:t>Assessments with DLLs should be conducted with the same frequency as that for all children – as noted in paragraph (b)(1), assessments must be conducted with sufficient frequency to allow for individualization within the program year.</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were concerned that requirements for serving DLLs might not support parental choice, including the requirement in paragraph (b)(2) to assess children in both languages, and the focus on exposure to English for infants and toddlers in §1302</w:t>
      </w:r>
      <w:r w:rsidR="00F27085" w:rsidRPr="00C1694A">
        <w:rPr>
          <w:rFonts w:ascii="Times New Roman" w:hAnsi="Times New Roman" w:cs="Times New Roman"/>
          <w:sz w:val="24"/>
          <w:szCs w:val="24"/>
        </w:rPr>
        <w:t>.31(b)</w:t>
      </w:r>
      <w:r w:rsidRPr="00C1694A">
        <w:rPr>
          <w:rFonts w:ascii="Times New Roman" w:hAnsi="Times New Roman" w:cs="Times New Roman"/>
          <w:sz w:val="24"/>
          <w:szCs w:val="24"/>
        </w:rPr>
        <w:t>(2)(i).</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assessing children’s language skills in both English and their home language is necessary to accurately capture DLL children’s language development. Additionally, the Act requires Head Start programs support the acquisition of English for DLL children.</w:t>
      </w:r>
    </w:p>
    <w:p w:rsidR="00894DA5" w:rsidRPr="00C1694A" w:rsidRDefault="00894DA5" w:rsidP="009A526A">
      <w:pPr>
        <w:autoSpaceDE w:val="0"/>
        <w:autoSpaceDN w:val="0"/>
        <w:adjustRightInd w:val="0"/>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§1302.34 Parent and family engagement in education and child development services.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includes provisions to ensure that center-based and family child care programs structure their education services to recognize parents’ important roles in their child’s education.  It primarily reflects the previous requirements replaced by the final rule but reorganizes them for better clarity and implementation.</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Many commenters expressed an over-arching concern that the proposed rule diminished the role of the parents, though commenters generally supported this section and noted it retained the important philosophy that parents are children’s first and most important teachers.  Some commenters </w:t>
      </w:r>
      <w:r w:rsidR="003F5B56" w:rsidRPr="00C1694A">
        <w:rPr>
          <w:rFonts w:ascii="Times New Roman" w:hAnsi="Times New Roman" w:cs="Times New Roman"/>
          <w:sz w:val="24"/>
          <w:szCs w:val="24"/>
        </w:rPr>
        <w:t xml:space="preserve">also </w:t>
      </w:r>
      <w:r w:rsidRPr="00C1694A">
        <w:rPr>
          <w:rFonts w:ascii="Times New Roman" w:hAnsi="Times New Roman" w:cs="Times New Roman"/>
          <w:sz w:val="24"/>
          <w:szCs w:val="24"/>
        </w:rPr>
        <w:t>recommended changes</w:t>
      </w:r>
      <w:r w:rsidR="003F5B56" w:rsidRPr="00C1694A">
        <w:rPr>
          <w:rFonts w:ascii="Times New Roman" w:hAnsi="Times New Roman" w:cs="Times New Roman"/>
          <w:sz w:val="24"/>
          <w:szCs w:val="24"/>
        </w:rPr>
        <w:t>, some of which w</w:t>
      </w:r>
      <w:r w:rsidRPr="00C1694A">
        <w:rPr>
          <w:rFonts w:ascii="Times New Roman" w:hAnsi="Times New Roman" w:cs="Times New Roman"/>
          <w:sz w:val="24"/>
          <w:szCs w:val="24"/>
        </w:rPr>
        <w:t>e felt were too prescriptive or unnecessary to support best practice.  Other comments are discussed below.</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changes to further clarify the important role of parents and suggested </w:t>
      </w:r>
      <w:r w:rsidR="003F5B56" w:rsidRPr="00C1694A">
        <w:rPr>
          <w:rFonts w:ascii="Times New Roman" w:hAnsi="Times New Roman" w:cs="Times New Roman"/>
          <w:sz w:val="24"/>
          <w:szCs w:val="24"/>
        </w:rPr>
        <w:t xml:space="preserve">greater </w:t>
      </w:r>
      <w:r w:rsidRPr="00C1694A">
        <w:rPr>
          <w:rFonts w:ascii="Times New Roman" w:hAnsi="Times New Roman" w:cs="Times New Roman"/>
          <w:sz w:val="24"/>
          <w:szCs w:val="24"/>
        </w:rPr>
        <w:t>alignment with the Parent Family and Community Engagement Framework.</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this section to clarify and strengthen the standards.  For example, the section heading has been changed from “Parent involvement” to “Parent and family engagement in education and child development services” to better reflect the intent of this section and align the work programs have done with the Parent, Family, and Community Engagement Framework.  In addition, changes were made in paragraph (a) to better reflect parents’ central role in children’s education.  We added a new provision in paragraph (b)(2) to strengthen the engagement between teaching staff and parent.  In addition, we made chan</w:t>
      </w:r>
      <w:r w:rsidR="00535E9D" w:rsidRPr="00C1694A">
        <w:rPr>
          <w:rFonts w:ascii="Times New Roman" w:hAnsi="Times New Roman" w:cs="Times New Roman"/>
          <w:sz w:val="24"/>
          <w:szCs w:val="24"/>
        </w:rPr>
        <w:t>ges in paragraphs (b)(4)</w:t>
      </w:r>
      <w:r w:rsidR="00F27085" w:rsidRPr="00C1694A">
        <w:rPr>
          <w:rFonts w:ascii="Times New Roman" w:hAnsi="Times New Roman" w:cs="Times New Roman"/>
          <w:sz w:val="24"/>
          <w:szCs w:val="24"/>
        </w:rPr>
        <w:t>, (6),</w:t>
      </w:r>
      <w:r w:rsidR="00535E9D" w:rsidRPr="00C1694A">
        <w:rPr>
          <w:rFonts w:ascii="Times New Roman" w:hAnsi="Times New Roman" w:cs="Times New Roman"/>
          <w:sz w:val="24"/>
          <w:szCs w:val="24"/>
        </w:rPr>
        <w:t xml:space="preserve"> and </w:t>
      </w:r>
      <w:r w:rsidR="00F27085" w:rsidRPr="00C1694A">
        <w:rPr>
          <w:rFonts w:ascii="Times New Roman" w:hAnsi="Times New Roman" w:cs="Times New Roman"/>
          <w:sz w:val="24"/>
          <w:szCs w:val="24"/>
        </w:rPr>
        <w:t>(7</w:t>
      </w:r>
      <w:r w:rsidRPr="00C1694A">
        <w:rPr>
          <w:rFonts w:ascii="Times New Roman" w:hAnsi="Times New Roman" w:cs="Times New Roman"/>
          <w:sz w:val="24"/>
          <w:szCs w:val="24"/>
        </w:rPr>
        <w:t xml:space="preserve">) to better distinguish which engagement activities are appropriate for parents as opposed to families.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stated </w:t>
      </w:r>
      <w:r w:rsidR="003F5B56" w:rsidRPr="00C1694A">
        <w:rPr>
          <w:rFonts w:ascii="Times New Roman" w:hAnsi="Times New Roman" w:cs="Times New Roman"/>
          <w:sz w:val="24"/>
          <w:szCs w:val="24"/>
        </w:rPr>
        <w:t xml:space="preserve">that </w:t>
      </w:r>
      <w:r w:rsidRPr="00C1694A">
        <w:rPr>
          <w:rFonts w:ascii="Times New Roman" w:hAnsi="Times New Roman" w:cs="Times New Roman"/>
          <w:sz w:val="24"/>
          <w:szCs w:val="24"/>
        </w:rPr>
        <w:t>we require</w:t>
      </w:r>
      <w:r w:rsidR="003F5B56" w:rsidRPr="00C1694A">
        <w:rPr>
          <w:rFonts w:ascii="Times New Roman" w:hAnsi="Times New Roman" w:cs="Times New Roman"/>
          <w:sz w:val="24"/>
          <w:szCs w:val="24"/>
        </w:rPr>
        <w:t>d</w:t>
      </w:r>
      <w:r w:rsidRPr="00C1694A">
        <w:rPr>
          <w:rFonts w:ascii="Times New Roman" w:hAnsi="Times New Roman" w:cs="Times New Roman"/>
          <w:sz w:val="24"/>
          <w:szCs w:val="24"/>
        </w:rPr>
        <w:t xml:space="preserve"> too many home visits, and others suggested we require more home visits.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opposed the requirement in paragraph (b)(7) for teachers to complete a home visit before the start of the program year, if possible</w:t>
      </w:r>
      <w:r w:rsidR="003F5B56" w:rsidRPr="00C1694A">
        <w:rPr>
          <w:rFonts w:ascii="Times New Roman" w:hAnsi="Times New Roman" w:cs="Times New Roman"/>
          <w:sz w:val="24"/>
          <w:szCs w:val="24"/>
        </w:rPr>
        <w:t>, while o</w:t>
      </w:r>
      <w:r w:rsidRPr="00C1694A">
        <w:rPr>
          <w:rFonts w:ascii="Times New Roman" w:hAnsi="Times New Roman" w:cs="Times New Roman"/>
          <w:sz w:val="24"/>
          <w:szCs w:val="24"/>
        </w:rPr>
        <w:t xml:space="preserve">thers supported it.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3F5B56"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In response to comments seeking some clarification, we made a few small structural changes to the provision that is now found in paragraph (b)(7) to </w:t>
      </w:r>
      <w:r w:rsidR="003F5B56" w:rsidRPr="00C1694A">
        <w:rPr>
          <w:rFonts w:ascii="Times New Roman" w:hAnsi="Times New Roman" w:cs="Times New Roman"/>
          <w:sz w:val="24"/>
          <w:szCs w:val="24"/>
        </w:rPr>
        <w:t xml:space="preserve">clarify </w:t>
      </w:r>
      <w:r w:rsidRPr="00C1694A">
        <w:rPr>
          <w:rFonts w:ascii="Times New Roman" w:hAnsi="Times New Roman" w:cs="Times New Roman"/>
          <w:sz w:val="24"/>
          <w:szCs w:val="24"/>
        </w:rPr>
        <w:t>the home visit requirement.  However, we did not revise the number of required teacher home visits.  Further, we note that paragraph (b)(7) states that one visit should take place before the program year begins “if feasible.”  We believe that home visits before the start of the program year reflects best practice but that sufficient flexibility is provided when it truly is not feasible.  As before, teachers can do more than two home visits if they feel that is appropriate.</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combining the provisions in this section with those in §1302.51.  </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both this section and §1302.51 address activities to engage parents and families in their children’s learning.  However, we did not combine the sections because this section specifically addresses services and philosophies related to children’s educational services and §1302.51 includes parent services and are better organized in the parent engagement subpart.</w:t>
      </w:r>
    </w:p>
    <w:p w:rsidR="00894DA5" w:rsidRPr="00C1694A" w:rsidRDefault="00894DA5"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§1302.35 Education in home-based programs.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includes the requirements for education services in home-based programs.  It codifies and builds upon the guidance and technical assistance we provided to home-based programs for many years.  We discuss comments and changes we made to the proposed rule below.</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supported the use of research or evidenced-based home visiting curriculum, the use of promising practices, and recommended we specify particular home visiting programs or curricula</w:t>
      </w:r>
      <w:r w:rsidR="003B4016" w:rsidRPr="00C1694A">
        <w:rPr>
          <w:rFonts w:ascii="Times New Roman" w:hAnsi="Times New Roman" w:cs="Times New Roman"/>
          <w:sz w:val="24"/>
          <w:szCs w:val="24"/>
        </w:rPr>
        <w:t xml:space="preserve"> or asked for clarifications about the requirement</w:t>
      </w:r>
      <w:r w:rsidRPr="00C1694A">
        <w:rPr>
          <w:rFonts w:ascii="Times New Roman" w:hAnsi="Times New Roman" w:cs="Times New Roman"/>
          <w:sz w:val="24"/>
          <w:szCs w:val="24"/>
        </w:rPr>
        <w:t>.</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the use of a research-based home visiting curriculum is critical to ensuring home-based services improve child and family outcomes. We did not revise the section to require a particular curriculum for serving children in the home-based program because we believe programs should have local flexibility to select a curriculum that best meets the needs of the children and families they serve.  </w:t>
      </w:r>
      <w:r w:rsidR="003B4016" w:rsidRPr="00C1694A">
        <w:rPr>
          <w:rFonts w:ascii="Times New Roman" w:hAnsi="Times New Roman" w:cs="Times New Roman"/>
          <w:sz w:val="24"/>
          <w:szCs w:val="24"/>
        </w:rPr>
        <w:t>We clarified the language around adaptations of curricula in the same way as in §1302.32 for center-based and family child care programs.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include language that clearly states home visits are to help parents understand their child</w:t>
      </w:r>
      <w:r w:rsidR="003F5B56" w:rsidRPr="00C1694A">
        <w:rPr>
          <w:rFonts w:ascii="Times New Roman" w:hAnsi="Times New Roman" w:cs="Times New Roman"/>
          <w:sz w:val="24"/>
          <w:szCs w:val="24"/>
        </w:rPr>
        <w:t>’s development</w:t>
      </w:r>
      <w:r w:rsidRPr="00C1694A">
        <w:rPr>
          <w:rFonts w:ascii="Times New Roman" w:hAnsi="Times New Roman" w:cs="Times New Roman"/>
          <w:sz w:val="24"/>
          <w:szCs w:val="24"/>
        </w:rPr>
        <w:t xml:space="preserve"> and to support responsive interactions between parent and child.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further requested clarification about how the </w:t>
      </w:r>
      <w:r w:rsidR="00F42D11" w:rsidRPr="00C1694A">
        <w:rPr>
          <w:rFonts w:ascii="Times New Roman" w:hAnsi="Times New Roman" w:cs="Times New Roman"/>
          <w:sz w:val="24"/>
          <w:szCs w:val="24"/>
          <w:u w:val="single"/>
        </w:rPr>
        <w:t>Head Start Early Learning Outcomes Framework: Ages Birth to Five</w:t>
      </w:r>
      <w:r w:rsidRPr="00C1694A">
        <w:rPr>
          <w:rFonts w:ascii="Times New Roman" w:hAnsi="Times New Roman" w:cs="Times New Roman"/>
          <w:sz w:val="24"/>
          <w:szCs w:val="24"/>
        </w:rPr>
        <w:t xml:space="preserve"> applies to home-based because it does not include family goals.</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BF3458" w:rsidRPr="00C1694A">
        <w:rPr>
          <w:rFonts w:ascii="Times New Roman" w:hAnsi="Times New Roman" w:cs="Times New Roman"/>
          <w:sz w:val="24"/>
          <w:szCs w:val="24"/>
        </w:rPr>
        <w:t xml:space="preserve">We agree that home visits must reflect the critical role of helping parents support the early learning and development of their children.  Therefore, we revised paragraph (b)(1) to </w:t>
      </w:r>
      <w:r w:rsidR="000045D0" w:rsidRPr="00C1694A">
        <w:rPr>
          <w:rFonts w:ascii="Times New Roman" w:hAnsi="Times New Roman" w:cs="Times New Roman"/>
          <w:sz w:val="24"/>
          <w:szCs w:val="24"/>
        </w:rPr>
        <w:t>clarify that home visitors must be able to effectively communicate with parents directly or through an interpreter.</w:t>
      </w:r>
      <w:r w:rsidR="00BF3458" w:rsidRPr="00C1694A">
        <w:rPr>
          <w:rFonts w:ascii="Times New Roman" w:hAnsi="Times New Roman" w:cs="Times New Roman"/>
          <w:sz w:val="24"/>
          <w:szCs w:val="24"/>
        </w:rPr>
        <w:t xml:space="preserve"> </w:t>
      </w:r>
      <w:r w:rsidR="000045D0" w:rsidRPr="00C1694A">
        <w:rPr>
          <w:rFonts w:ascii="Times New Roman" w:hAnsi="Times New Roman" w:cs="Times New Roman"/>
          <w:sz w:val="24"/>
          <w:szCs w:val="24"/>
        </w:rPr>
        <w:t>In addition, w</w:t>
      </w:r>
      <w:r w:rsidRPr="00C1694A">
        <w:rPr>
          <w:rFonts w:ascii="Times New Roman" w:hAnsi="Times New Roman" w:cs="Times New Roman"/>
          <w:sz w:val="24"/>
          <w:szCs w:val="24"/>
        </w:rPr>
        <w:t xml:space="preserve">e </w:t>
      </w:r>
      <w:r w:rsidR="00975B9F" w:rsidRPr="00C1694A">
        <w:rPr>
          <w:rFonts w:ascii="Times New Roman" w:hAnsi="Times New Roman" w:cs="Times New Roman"/>
          <w:sz w:val="24"/>
          <w:szCs w:val="24"/>
        </w:rPr>
        <w:t>reordered</w:t>
      </w:r>
      <w:r w:rsidRPr="00C1694A">
        <w:rPr>
          <w:rFonts w:ascii="Times New Roman" w:hAnsi="Times New Roman" w:cs="Times New Roman"/>
          <w:sz w:val="24"/>
          <w:szCs w:val="24"/>
        </w:rPr>
        <w:t xml:space="preserve"> the home-based education section to put the parent and the home-based experiences in paragraph (c) prior to the discussion of curriculum now found in paragraph (d), to emphasize the central role of parents in successful home-based services.  We believe this addresses the comments and that further revision is not necessary.  Further, the </w:t>
      </w:r>
      <w:r w:rsidR="00F42D11" w:rsidRPr="00C1694A">
        <w:rPr>
          <w:rFonts w:ascii="Times New Roman" w:hAnsi="Times New Roman" w:cs="Times New Roman"/>
          <w:sz w:val="24"/>
          <w:szCs w:val="24"/>
          <w:u w:val="single"/>
        </w:rPr>
        <w:t>Head Start Early Learning Outcomes Framework: Ages Birth to Five</w:t>
      </w:r>
      <w:r w:rsidR="003B4016" w:rsidRPr="00C1694A">
        <w:rPr>
          <w:rFonts w:ascii="Times New Roman" w:hAnsi="Times New Roman" w:cs="Times New Roman"/>
          <w:sz w:val="24"/>
          <w:szCs w:val="24"/>
        </w:rPr>
        <w:t xml:space="preserve"> </w:t>
      </w:r>
      <w:r w:rsidRPr="00C1694A">
        <w:rPr>
          <w:rFonts w:ascii="Times New Roman" w:hAnsi="Times New Roman" w:cs="Times New Roman"/>
          <w:sz w:val="24"/>
          <w:szCs w:val="24"/>
        </w:rPr>
        <w:t>describes what children ages birth to five should know and do.  We have the same expectations for all children enrolled in any Head Start option.</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suggested tha</w:t>
      </w:r>
      <w:r w:rsidR="00975B9F" w:rsidRPr="00C1694A">
        <w:rPr>
          <w:rFonts w:ascii="Times New Roman" w:hAnsi="Times New Roman" w:cs="Times New Roman"/>
          <w:sz w:val="24"/>
          <w:szCs w:val="24"/>
        </w:rPr>
        <w:t xml:space="preserve">t we require components of the </w:t>
      </w:r>
      <w:r w:rsidRPr="00C1694A">
        <w:rPr>
          <w:rFonts w:ascii="Times New Roman" w:hAnsi="Times New Roman" w:cs="Times New Roman"/>
          <w:sz w:val="24"/>
          <w:szCs w:val="24"/>
        </w:rPr>
        <w:t>Parent, Family, and Community Engagement Framework (PFCEF) to be included in the home visit experiences in what was paragraph (d) and is now paragraph (c).</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Programs are required to use the PFCEF as part of their family engagement services, which are already required in paragraph (b)(4).  Therefore, we did not make this revision.</w:t>
      </w:r>
    </w:p>
    <w:p w:rsidR="00894DA5" w:rsidRPr="00C1694A" w:rsidRDefault="00894DA5"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§1302.36  Tribal language preservation and revitalization.</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provides support for programs serving American Indian and Alaska Native children that wish to or are already engaging in tribal language revitalization efforts. We added this as a new section based on reviewer comments about our inconsistent inclusion and meaning of the phrase "Native language" in the proposed standards in the NPRM.</w:t>
      </w:r>
    </w:p>
    <w:p w:rsidR="00894DA5"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expressed concern about the inconsistency of the inclusion of “Native language” for American Indian and Alaska Native children and requested clarity on the intent of these provisions in §</w:t>
      </w:r>
      <w:r w:rsidR="001E2DBC">
        <w:rPr>
          <w:rFonts w:ascii="Times New Roman" w:hAnsi="Times New Roman" w:cs="Times New Roman"/>
          <w:sz w:val="24"/>
          <w:szCs w:val="24"/>
        </w:rPr>
        <w:t>§</w:t>
      </w:r>
      <w:r w:rsidRPr="00C1694A">
        <w:rPr>
          <w:rFonts w:ascii="Times New Roman" w:hAnsi="Times New Roman" w:cs="Times New Roman"/>
          <w:sz w:val="24"/>
          <w:szCs w:val="24"/>
        </w:rPr>
        <w:t>1302.31 and 1302.35.</w:t>
      </w:r>
    </w:p>
    <w:p w:rsidR="00047CA6" w:rsidRPr="00C1694A" w:rsidRDefault="00894DA5"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the language in §</w:t>
      </w:r>
      <w:r w:rsidR="001E2DBC">
        <w:rPr>
          <w:rFonts w:ascii="Times New Roman" w:hAnsi="Times New Roman" w:cs="Times New Roman"/>
          <w:sz w:val="24"/>
          <w:szCs w:val="24"/>
        </w:rPr>
        <w:t>§</w:t>
      </w:r>
      <w:r w:rsidRPr="00C1694A">
        <w:rPr>
          <w:rFonts w:ascii="Times New Roman" w:hAnsi="Times New Roman" w:cs="Times New Roman"/>
          <w:sz w:val="24"/>
          <w:szCs w:val="24"/>
        </w:rPr>
        <w:t xml:space="preserve">1302.31 and 1302.35 to clarify the intent of these provisions </w:t>
      </w:r>
      <w:r w:rsidR="00BB7A28" w:rsidRPr="00C1694A">
        <w:rPr>
          <w:rFonts w:ascii="Times New Roman" w:hAnsi="Times New Roman" w:cs="Times New Roman"/>
          <w:sz w:val="24"/>
          <w:szCs w:val="24"/>
        </w:rPr>
        <w:t xml:space="preserve">with respect to American Indian and </w:t>
      </w:r>
      <w:r w:rsidRPr="00C1694A">
        <w:rPr>
          <w:rFonts w:ascii="Times New Roman" w:hAnsi="Times New Roman" w:cs="Times New Roman"/>
          <w:sz w:val="24"/>
          <w:szCs w:val="24"/>
        </w:rPr>
        <w:t>Alaska Native children. Additionally, we added this new section to clarify that program</w:t>
      </w:r>
      <w:r w:rsidR="00BB7A28" w:rsidRPr="00C1694A">
        <w:rPr>
          <w:rFonts w:ascii="Times New Roman" w:hAnsi="Times New Roman" w:cs="Times New Roman"/>
          <w:sz w:val="24"/>
          <w:szCs w:val="24"/>
        </w:rPr>
        <w:t xml:space="preserve">s serving American Indian and </w:t>
      </w:r>
      <w:r w:rsidRPr="00C1694A">
        <w:rPr>
          <w:rFonts w:ascii="Times New Roman" w:hAnsi="Times New Roman" w:cs="Times New Roman"/>
          <w:sz w:val="24"/>
          <w:szCs w:val="24"/>
        </w:rPr>
        <w:t>Alaska Native children may choose to engage in efforts to preserve, revitalize, restore, or maintain the tribal language(s) for these children.</w:t>
      </w:r>
      <w:r w:rsidR="009D7EB0" w:rsidRPr="00C1694A">
        <w:rPr>
          <w:rFonts w:ascii="Times New Roman" w:hAnsi="Times New Roman" w:cs="Times New Roman"/>
          <w:sz w:val="24"/>
          <w:szCs w:val="24"/>
        </w:rPr>
        <w:tab/>
      </w:r>
    </w:p>
    <w:p w:rsidR="00C92267" w:rsidRPr="00C1694A" w:rsidRDefault="00C92267" w:rsidP="009A526A">
      <w:pPr>
        <w:autoSpaceDE w:val="0"/>
        <w:autoSpaceDN w:val="0"/>
        <w:adjustRightInd w:val="0"/>
        <w:spacing w:after="0" w:line="240" w:lineRule="auto"/>
        <w:rPr>
          <w:rFonts w:ascii="Times New Roman" w:hAnsi="Times New Roman" w:cs="Times New Roman"/>
          <w:b/>
          <w:sz w:val="24"/>
          <w:szCs w:val="24"/>
        </w:rPr>
      </w:pPr>
    </w:p>
    <w:p w:rsidR="00C92267" w:rsidRPr="00C1694A" w:rsidRDefault="00C92267" w:rsidP="009A526A">
      <w:pPr>
        <w:autoSpaceDE w:val="0"/>
        <w:autoSpaceDN w:val="0"/>
        <w:adjustRightInd w:val="0"/>
        <w:spacing w:after="0" w:line="240" w:lineRule="auto"/>
        <w:rPr>
          <w:rFonts w:ascii="Times New Roman" w:hAnsi="Times New Roman" w:cs="Times New Roman"/>
          <w:b/>
          <w:sz w:val="24"/>
          <w:szCs w:val="24"/>
        </w:rPr>
      </w:pPr>
    </w:p>
    <w:p w:rsidR="00353E96" w:rsidRPr="00C1694A" w:rsidRDefault="00353E96"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Health Program Services</w:t>
      </w:r>
      <w:r w:rsidR="009C28FB" w:rsidRPr="00C1694A">
        <w:rPr>
          <w:rFonts w:ascii="Times New Roman" w:hAnsi="Times New Roman" w:cs="Times New Roman"/>
          <w:b/>
          <w:sz w:val="24"/>
          <w:szCs w:val="24"/>
        </w:rPr>
        <w:t>; Subpart D</w:t>
      </w:r>
    </w:p>
    <w:p w:rsidR="00BF7E02" w:rsidRPr="00C1694A" w:rsidRDefault="00BF7E02"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In this subpart, we updated program performance standards related to health, nutrition, mental health, and safety.  We retained the core health services from the previous program </w:t>
      </w:r>
      <w:r w:rsidR="00635C06" w:rsidRPr="00C1694A">
        <w:rPr>
          <w:rFonts w:ascii="Times New Roman" w:eastAsia="Times New Roman" w:hAnsi="Times New Roman" w:cs="Times New Roman"/>
          <w:bCs/>
          <w:sz w:val="24"/>
          <w:szCs w:val="24"/>
        </w:rPr>
        <w:t xml:space="preserve">performance </w:t>
      </w:r>
      <w:r w:rsidRPr="00C1694A">
        <w:rPr>
          <w:rFonts w:ascii="Times New Roman" w:eastAsia="Times New Roman" w:hAnsi="Times New Roman" w:cs="Times New Roman"/>
          <w:bCs/>
          <w:sz w:val="24"/>
          <w:szCs w:val="24"/>
        </w:rPr>
        <w:t>standards, including screening, ongoing care and follow-up care both because the Act clearly links health, mental health, and nutritional services as important supports to foster children’s school readiness and because research demonstrates a strong link between child health, school readiness, and long-term outcomes.</w:t>
      </w:r>
      <w:r w:rsidRPr="00C1694A">
        <w:rPr>
          <w:rStyle w:val="FootnoteReference"/>
          <w:rFonts w:ascii="Times New Roman" w:eastAsia="Times New Roman" w:hAnsi="Times New Roman" w:cs="Times New Roman"/>
          <w:bCs/>
          <w:sz w:val="24"/>
          <w:szCs w:val="24"/>
        </w:rPr>
        <w:footnoteReference w:id="88"/>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89"/>
      </w:r>
      <w:r w:rsidRPr="00C1694A">
        <w:rPr>
          <w:rFonts w:ascii="Times New Roman" w:eastAsia="Times New Roman" w:hAnsi="Times New Roman" w:cs="Times New Roman"/>
          <w:bCs/>
          <w:sz w:val="24"/>
          <w:szCs w:val="24"/>
          <w:vertAlign w:val="superscript"/>
        </w:rPr>
        <w:t xml:space="preserve">, </w:t>
      </w:r>
      <w:r w:rsidRPr="00C1694A">
        <w:rPr>
          <w:rStyle w:val="FootnoteReference"/>
          <w:rFonts w:ascii="Times New Roman" w:eastAsia="Times New Roman" w:hAnsi="Times New Roman" w:cs="Times New Roman"/>
          <w:bCs/>
          <w:sz w:val="24"/>
          <w:szCs w:val="24"/>
        </w:rPr>
        <w:footnoteReference w:id="90"/>
      </w:r>
      <w:r w:rsidRPr="00C1694A">
        <w:rPr>
          <w:rFonts w:ascii="Times New Roman" w:eastAsia="Times New Roman" w:hAnsi="Times New Roman" w:cs="Times New Roman"/>
          <w:bCs/>
          <w:sz w:val="24"/>
          <w:szCs w:val="24"/>
        </w:rPr>
        <w:t xml:space="preserve">  We further strengthened the requirements with an emphasis on oral health and parent education in health issue</w:t>
      </w:r>
      <w:r w:rsidR="00635C06" w:rsidRPr="00C1694A">
        <w:rPr>
          <w:rFonts w:ascii="Times New Roman" w:eastAsia="Times New Roman" w:hAnsi="Times New Roman" w:cs="Times New Roman"/>
          <w:bCs/>
          <w:sz w:val="24"/>
          <w:szCs w:val="24"/>
        </w:rPr>
        <w:t>s.</w:t>
      </w:r>
      <w:r w:rsidRPr="00C1694A">
        <w:rPr>
          <w:rFonts w:ascii="Times New Roman" w:eastAsia="Times New Roman" w:hAnsi="Times New Roman" w:cs="Times New Roman"/>
          <w:bCs/>
          <w:sz w:val="24"/>
          <w:szCs w:val="24"/>
        </w:rPr>
        <w:t xml:space="preserve"> </w:t>
      </w:r>
      <w:r w:rsidR="00635C06" w:rsidRPr="00C1694A">
        <w:rPr>
          <w:rFonts w:ascii="Times New Roman" w:eastAsia="Times New Roman" w:hAnsi="Times New Roman" w:cs="Times New Roman"/>
          <w:bCs/>
          <w:sz w:val="24"/>
          <w:szCs w:val="24"/>
        </w:rPr>
        <w:t xml:space="preserve">We also </w:t>
      </w:r>
      <w:r w:rsidRPr="00C1694A">
        <w:rPr>
          <w:rFonts w:ascii="Times New Roman" w:eastAsia="Times New Roman" w:hAnsi="Times New Roman" w:cs="Times New Roman"/>
          <w:bCs/>
          <w:sz w:val="24"/>
          <w:szCs w:val="24"/>
        </w:rPr>
        <w:t>updated the mental health requirements to reflect best practice</w:t>
      </w:r>
      <w:r w:rsidR="00635C06" w:rsidRPr="00C1694A">
        <w:rPr>
          <w:rFonts w:ascii="Times New Roman" w:eastAsia="Times New Roman" w:hAnsi="Times New Roman" w:cs="Times New Roman"/>
          <w:bCs/>
          <w:sz w:val="24"/>
          <w:szCs w:val="24"/>
        </w:rPr>
        <w:t>, to</w:t>
      </w:r>
      <w:r w:rsidRPr="00C1694A">
        <w:rPr>
          <w:rFonts w:ascii="Times New Roman" w:eastAsia="Times New Roman" w:hAnsi="Times New Roman" w:cs="Times New Roman"/>
          <w:bCs/>
          <w:sz w:val="24"/>
          <w:szCs w:val="24"/>
        </w:rPr>
        <w:t xml:space="preserve"> ensure programs use mental health services to improve classroom management</w:t>
      </w:r>
      <w:r w:rsidR="00635C06"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 xml:space="preserve"> and to support staff in effectively addressing challenging behaviors.  We also streamlined program performance standards to make it easier for programs to find what they need and to implement what we require.  We received many comments on this subpart.  Commenters generally supported our reorganization and streamlined requirements.  Some noted their support for our continued emphasis on health services as central to Head Start.  Many commenters offered recommendations for additional changes.  In response to comments, we made technical changes, clarified requirements, and further strengthened health, nutrition, and mental health services.  We also improved family support services and strengthened and clarified safety practices.  We discuss comments and our responses below.</w:t>
      </w:r>
    </w:p>
    <w:p w:rsidR="00BF7E02" w:rsidRPr="00C1694A" w:rsidRDefault="00F42D11" w:rsidP="009A526A">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General C</w:t>
      </w:r>
      <w:r w:rsidR="00BF7E02" w:rsidRPr="00C1694A">
        <w:rPr>
          <w:rFonts w:ascii="Times New Roman" w:eastAsia="Times New Roman" w:hAnsi="Times New Roman" w:cs="Times New Roman"/>
          <w:bCs/>
          <w:sz w:val="24"/>
          <w:szCs w:val="24"/>
          <w:u w:val="single"/>
        </w:rPr>
        <w:t>omments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were concerned we diminished the importance of health services in Head Start.</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do not believe we diminished the importance of health services in Head Start.  The rule is clear that programs are required to promote the health and well-being of all children in Head Start.  We believe this is central to Head Start’s mission of helping children succeed in school and in life.  The rule clearly articulates the many health services programs must provide and allows programs better flexibility to focus on improved delivery of health and well-being services instead of process-laden requirements.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we replace the word “dental” with “oral” throughout the rule to reflect current scientific and clinical terminology.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“oral” is a more appropriate description than “dental.” Therefore, we replaced the word “dental” with “oral” throughout the regulation.</w:t>
      </w:r>
    </w:p>
    <w:p w:rsidR="00BF7E02" w:rsidRPr="00C1694A" w:rsidRDefault="00BF7E0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§1302.40 </w:t>
      </w:r>
      <w:r w:rsidR="00E45E2A">
        <w:rPr>
          <w:rFonts w:ascii="Times New Roman" w:hAnsi="Times New Roman" w:cs="Times New Roman"/>
          <w:i/>
          <w:sz w:val="24"/>
          <w:szCs w:val="24"/>
        </w:rPr>
        <w:t>Purpose</w:t>
      </w:r>
      <w:r w:rsidRPr="00C1694A">
        <w:rPr>
          <w:rFonts w:ascii="Times New Roman" w:hAnsi="Times New Roman" w:cs="Times New Roman"/>
          <w:i/>
          <w:sz w:val="24"/>
          <w:szCs w:val="24"/>
        </w:rPr>
        <w:t>.</w:t>
      </w:r>
    </w:p>
    <w:p w:rsidR="00BF7E02" w:rsidRPr="00C1694A" w:rsidRDefault="00BF7E02" w:rsidP="009A526A">
      <w:pPr>
        <w:spacing w:after="0" w:line="480" w:lineRule="auto"/>
        <w:ind w:firstLine="720"/>
        <w:rPr>
          <w:rFonts w:ascii="Times New Roman" w:hAnsi="Times New Roman" w:cs="Times New Roman"/>
          <w:i/>
          <w:sz w:val="24"/>
          <w:szCs w:val="24"/>
        </w:rPr>
      </w:pPr>
      <w:r w:rsidRPr="00C1694A">
        <w:rPr>
          <w:rFonts w:ascii="Times New Roman" w:eastAsia="Times New Roman" w:hAnsi="Times New Roman" w:cs="Times New Roman"/>
          <w:bCs/>
          <w:sz w:val="24"/>
          <w:szCs w:val="24"/>
        </w:rPr>
        <w:t xml:space="preserve">In this section, we outline the overall goal of this subpart, which is to ensure programs provide </w:t>
      </w:r>
      <w:r w:rsidRPr="00C1694A">
        <w:rPr>
          <w:rFonts w:ascii="Times New Roman" w:hAnsi="Times New Roman" w:cs="Times New Roman"/>
          <w:sz w:val="24"/>
          <w:szCs w:val="24"/>
        </w:rPr>
        <w:t>high</w:t>
      </w:r>
      <w:r w:rsidR="00635C06" w:rsidRPr="00C1694A">
        <w:rPr>
          <w:rFonts w:ascii="Times New Roman" w:hAnsi="Times New Roman" w:cs="Times New Roman"/>
          <w:sz w:val="24"/>
          <w:szCs w:val="24"/>
        </w:rPr>
        <w:t>-</w:t>
      </w:r>
      <w:r w:rsidRPr="00C1694A">
        <w:rPr>
          <w:rFonts w:ascii="Times New Roman" w:hAnsi="Times New Roman" w:cs="Times New Roman"/>
          <w:sz w:val="24"/>
          <w:szCs w:val="24"/>
        </w:rPr>
        <w:t xml:space="preserve">quality health, mental health, and nutrition services that support each child’s growth and school readiness.  To improve clarity, we moved the requirement for programs to establish and maintain a Health Services Advisory Committee from subpart E to this section.  </w:t>
      </w:r>
    </w:p>
    <w:p w:rsidR="00BF7E02" w:rsidRPr="00C1694A" w:rsidRDefault="00BF7E02"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include oral health in the list of health services included under this section.  Other commenters recommended we include the word “culturally” in the description of appropriate services.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oral health is an important element of overall health and might not automatically be recognized as included under health.  So, we added “oral health” to the list of health services. We also agree health practices need to be culturally appropriate and revised paragraph (a) to improve clarity about service delivery.  </w:t>
      </w:r>
    </w:p>
    <w:p w:rsidR="00BF7E02" w:rsidRPr="00C1694A" w:rsidRDefault="00BF7E0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§1302.41 </w:t>
      </w:r>
      <w:r w:rsidR="00FA2A0E" w:rsidRPr="00C1694A">
        <w:rPr>
          <w:rFonts w:ascii="Times New Roman" w:hAnsi="Times New Roman" w:cs="Times New Roman"/>
          <w:i/>
          <w:sz w:val="24"/>
          <w:szCs w:val="24"/>
        </w:rPr>
        <w:t>Collaboration and communication with p</w:t>
      </w:r>
      <w:r w:rsidRPr="00C1694A">
        <w:rPr>
          <w:rFonts w:ascii="Times New Roman" w:hAnsi="Times New Roman" w:cs="Times New Roman"/>
          <w:i/>
          <w:sz w:val="24"/>
          <w:szCs w:val="24"/>
        </w:rPr>
        <w:t>arents.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requires programs collaborate and communicate with parents about their children’s health in a linguistically and culturally appropriate manner and communicate with them about health needs and concerns in a timely manner.  It also includes program requirements for advance authorization from parents and for sharing policies for health emergencies. We received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comments on this section.</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comments requesting clarification</w:t>
      </w:r>
      <w:r w:rsidR="003F5B56" w:rsidRPr="00C1694A">
        <w:rPr>
          <w:rFonts w:ascii="Times New Roman" w:hAnsi="Times New Roman" w:cs="Times New Roman"/>
          <w:sz w:val="24"/>
          <w:szCs w:val="24"/>
        </w:rPr>
        <w:t xml:space="preserve"> on communication and collaboration with parents</w:t>
      </w:r>
      <w:r w:rsidRPr="00C1694A">
        <w:rPr>
          <w:rFonts w:ascii="Times New Roman" w:hAnsi="Times New Roman" w:cs="Times New Roman"/>
          <w:sz w:val="24"/>
          <w:szCs w:val="24"/>
        </w:rPr>
        <w:t>.  For example, commenter</w:t>
      </w:r>
      <w:r w:rsidR="00635C06" w:rsidRPr="00C1694A">
        <w:rPr>
          <w:rFonts w:ascii="Times New Roman" w:hAnsi="Times New Roman" w:cs="Times New Roman"/>
          <w:sz w:val="24"/>
          <w:szCs w:val="24"/>
        </w:rPr>
        <w:t>s</w:t>
      </w:r>
      <w:r w:rsidRPr="00C1694A">
        <w:rPr>
          <w:rFonts w:ascii="Times New Roman" w:hAnsi="Times New Roman" w:cs="Times New Roman"/>
          <w:sz w:val="24"/>
          <w:szCs w:val="24"/>
        </w:rPr>
        <w:t xml:space="preserve"> noted </w:t>
      </w:r>
      <w:r w:rsidR="00635C06" w:rsidRPr="00C1694A">
        <w:rPr>
          <w:rFonts w:ascii="Times New Roman" w:hAnsi="Times New Roman" w:cs="Times New Roman"/>
          <w:sz w:val="24"/>
          <w:szCs w:val="24"/>
        </w:rPr>
        <w:t xml:space="preserve">that </w:t>
      </w:r>
      <w:r w:rsidRPr="00C1694A">
        <w:rPr>
          <w:rFonts w:ascii="Times New Roman" w:hAnsi="Times New Roman" w:cs="Times New Roman"/>
          <w:sz w:val="24"/>
          <w:szCs w:val="24"/>
        </w:rPr>
        <w:t>an example offered in the NPRM preamble did not appear in the regulation</w:t>
      </w:r>
      <w:r w:rsidRPr="00C1694A" w:rsidDel="002008A1">
        <w:rPr>
          <w:rFonts w:ascii="Times New Roman" w:hAnsi="Times New Roman" w:cs="Times New Roman"/>
          <w:sz w:val="24"/>
          <w:szCs w:val="24"/>
        </w:rPr>
        <w:t xml:space="preserve"> </w:t>
      </w:r>
      <w:r w:rsidR="00FA2A0E" w:rsidRPr="00C1694A">
        <w:rPr>
          <w:rFonts w:ascii="Times New Roman" w:hAnsi="Times New Roman" w:cs="Times New Roman"/>
          <w:sz w:val="24"/>
          <w:szCs w:val="24"/>
        </w:rPr>
        <w:t>text.  O</w:t>
      </w:r>
      <w:r w:rsidRPr="00C1694A">
        <w:rPr>
          <w:rFonts w:ascii="Times New Roman" w:hAnsi="Times New Roman" w:cs="Times New Roman"/>
          <w:sz w:val="24"/>
          <w:szCs w:val="24"/>
        </w:rPr>
        <w:t>ther commenter</w:t>
      </w:r>
      <w:r w:rsidR="00FA2A0E" w:rsidRPr="00C1694A">
        <w:rPr>
          <w:rFonts w:ascii="Times New Roman" w:hAnsi="Times New Roman" w:cs="Times New Roman"/>
          <w:sz w:val="24"/>
          <w:szCs w:val="24"/>
        </w:rPr>
        <w:t>s</w:t>
      </w:r>
      <w:r w:rsidRPr="00C1694A">
        <w:rPr>
          <w:rFonts w:ascii="Times New Roman" w:hAnsi="Times New Roman" w:cs="Times New Roman"/>
          <w:sz w:val="24"/>
          <w:szCs w:val="24"/>
        </w:rPr>
        <w:t xml:space="preserve"> asked which “health emergency policies” referenced in paragraph (b)(2) programs must share with parents.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preamble in the NPRM provided explanation and rationale for the proposed requirements.  We offered examples as guidance to make the rule more accessible to readers. We did not revise the requirement about sharing policies for health emergencies because we think it is appropriately described. Most programs share their health emergency policies with parents through a parent handbook or other vehicle.</w:t>
      </w:r>
      <w:r w:rsidRPr="00C1694A">
        <w:rPr>
          <w:rStyle w:val="CommentReference"/>
          <w:rFonts w:ascii="Times New Roman" w:hAnsi="Times New Roman" w:cs="Times New Roman"/>
          <w:sz w:val="24"/>
          <w:szCs w:val="24"/>
        </w:rPr>
        <w:t xml:space="preserve">  </w:t>
      </w:r>
    </w:p>
    <w:p w:rsidR="00BF7E02" w:rsidRPr="00C1694A" w:rsidRDefault="00BF7E0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§1302.42 Child health status and care.</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eastAsia="MS Mincho" w:hAnsi="Times New Roman" w:cs="Times New Roman"/>
          <w:sz w:val="24"/>
          <w:szCs w:val="24"/>
        </w:rPr>
        <w:t>This section includes requirements for programs to determine children’s source of care, to support parents in ensuring children are up-to-date for preventive and primary medical and oral health care, and to support parents to ensure children receive ongoing necessary care. It also requires programs</w:t>
      </w:r>
      <w:r w:rsidR="00FA2A0E" w:rsidRPr="00C1694A">
        <w:rPr>
          <w:rFonts w:ascii="Times New Roman" w:eastAsia="MS Mincho" w:hAnsi="Times New Roman" w:cs="Times New Roman"/>
          <w:sz w:val="24"/>
          <w:szCs w:val="24"/>
        </w:rPr>
        <w:t xml:space="preserve"> to</w:t>
      </w:r>
      <w:r w:rsidRPr="00C1694A">
        <w:rPr>
          <w:rFonts w:ascii="Times New Roman" w:eastAsia="MS Mincho" w:hAnsi="Times New Roman" w:cs="Times New Roman"/>
          <w:sz w:val="24"/>
          <w:szCs w:val="24"/>
        </w:rPr>
        <w:t xml:space="preserve"> determine if children have health insurance and supports families in accessing health insurance if they do not.  It also includes requirements for extended follow-up care where appropriate and clarifies use of program funds for medical and oral health services.  Commenters generally supported this section but also requested clarification and offered additional suggestions. We address these comments below.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about the timeli</w:t>
      </w:r>
      <w:r w:rsidR="00F27085" w:rsidRPr="00C1694A">
        <w:rPr>
          <w:rFonts w:ascii="Times New Roman" w:hAnsi="Times New Roman" w:cs="Times New Roman"/>
          <w:sz w:val="24"/>
          <w:szCs w:val="24"/>
        </w:rPr>
        <w:t>nes in paragraphs (a) and (b)</w:t>
      </w:r>
      <w:r w:rsidRPr="00C1694A">
        <w:rPr>
          <w:rFonts w:ascii="Times New Roman" w:hAnsi="Times New Roman" w:cs="Times New Roman"/>
          <w:sz w:val="24"/>
          <w:szCs w:val="24"/>
        </w:rPr>
        <w:t xml:space="preserve"> that describe requirements for determin</w:t>
      </w:r>
      <w:r w:rsidR="00521879" w:rsidRPr="00C1694A">
        <w:rPr>
          <w:rFonts w:ascii="Times New Roman" w:hAnsi="Times New Roman" w:cs="Times New Roman"/>
          <w:sz w:val="24"/>
          <w:szCs w:val="24"/>
        </w:rPr>
        <w:t>ing</w:t>
      </w:r>
      <w:r w:rsidRPr="00C1694A">
        <w:rPr>
          <w:rFonts w:ascii="Times New Roman" w:hAnsi="Times New Roman" w:cs="Times New Roman"/>
          <w:sz w:val="24"/>
          <w:szCs w:val="24"/>
        </w:rPr>
        <w:t xml:space="preserve"> whether a child has an ongoing source of health care and insurance coverage, to assist families in accessing care and health coverage, and to determine if children are up-to-date on preventive and primary medical and oral health care.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stated that the 30</w:t>
      </w:r>
      <w:r w:rsidR="00521879" w:rsidRPr="00C1694A">
        <w:rPr>
          <w:rFonts w:ascii="Times New Roman" w:hAnsi="Times New Roman" w:cs="Times New Roman"/>
          <w:sz w:val="24"/>
          <w:szCs w:val="24"/>
        </w:rPr>
        <w:t>-</w:t>
      </w:r>
      <w:r w:rsidRPr="00C1694A">
        <w:rPr>
          <w:rFonts w:ascii="Times New Roman" w:hAnsi="Times New Roman" w:cs="Times New Roman"/>
          <w:sz w:val="24"/>
          <w:szCs w:val="24"/>
        </w:rPr>
        <w:t>day and 90</w:t>
      </w:r>
      <w:r w:rsidR="00521879" w:rsidRPr="00C1694A">
        <w:rPr>
          <w:rFonts w:ascii="Times New Roman" w:hAnsi="Times New Roman" w:cs="Times New Roman"/>
          <w:sz w:val="24"/>
          <w:szCs w:val="24"/>
        </w:rPr>
        <w:t>-</w:t>
      </w:r>
      <w:r w:rsidRPr="00C1694A">
        <w:rPr>
          <w:rFonts w:ascii="Times New Roman" w:hAnsi="Times New Roman" w:cs="Times New Roman"/>
          <w:sz w:val="24"/>
          <w:szCs w:val="24"/>
        </w:rPr>
        <w:t xml:space="preserve">day timelines in paragraphs (a) and (b) were too long and would result in delayed services.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stated the 30-day timeline in paragraph (a)(1) was too short.  Many commenters requested additional clarification on the timelines.  For example, many commenters requested more specificity about what we meant by “as quickly as possible” in paragraph (a)(2).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suggested we clarify the definition for “program entry” to distinguish it from “enrollment.”  They stated that the perceived distinction between the two terms could result in unintended consequences, such as programs delaying child enrollment because they cannot obtain required health information before children actually attend the program</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3F5B56" w:rsidRPr="00C1694A">
        <w:rPr>
          <w:rFonts w:ascii="Times New Roman" w:hAnsi="Times New Roman" w:cs="Times New Roman"/>
          <w:sz w:val="24"/>
          <w:szCs w:val="24"/>
        </w:rPr>
        <w:t>We retained the 30-day and 90-day timelines from the previous standards, which we believe are appropriate to ensure children’s needs are addressed in a timely manner and have not presented problems for most programs to meet.  However, t</w:t>
      </w:r>
      <w:r w:rsidRPr="00C1694A">
        <w:rPr>
          <w:rFonts w:ascii="Times New Roman" w:hAnsi="Times New Roman" w:cs="Times New Roman"/>
          <w:sz w:val="24"/>
          <w:szCs w:val="24"/>
        </w:rPr>
        <w:t xml:space="preserve">o improve clarity about </w:t>
      </w:r>
      <w:r w:rsidR="003F5B56" w:rsidRPr="00C1694A">
        <w:rPr>
          <w:rFonts w:ascii="Times New Roman" w:hAnsi="Times New Roman" w:cs="Times New Roman"/>
          <w:sz w:val="24"/>
          <w:szCs w:val="24"/>
        </w:rPr>
        <w:t xml:space="preserve">when </w:t>
      </w:r>
      <w:r w:rsidRPr="00C1694A">
        <w:rPr>
          <w:rFonts w:ascii="Times New Roman" w:hAnsi="Times New Roman" w:cs="Times New Roman"/>
          <w:sz w:val="24"/>
          <w:szCs w:val="24"/>
        </w:rPr>
        <w:t>the timelines</w:t>
      </w:r>
      <w:r w:rsidR="003F5B56" w:rsidRPr="00C1694A">
        <w:rPr>
          <w:rFonts w:ascii="Times New Roman" w:hAnsi="Times New Roman" w:cs="Times New Roman"/>
          <w:sz w:val="24"/>
          <w:szCs w:val="24"/>
        </w:rPr>
        <w:t xml:space="preserve"> begin</w:t>
      </w:r>
      <w:r w:rsidRPr="00C1694A">
        <w:rPr>
          <w:rFonts w:ascii="Times New Roman" w:hAnsi="Times New Roman" w:cs="Times New Roman"/>
          <w:sz w:val="24"/>
          <w:szCs w:val="24"/>
        </w:rPr>
        <w:t xml:space="preserve">, we </w:t>
      </w:r>
      <w:r w:rsidR="00521879" w:rsidRPr="00C1694A">
        <w:rPr>
          <w:rFonts w:ascii="Times New Roman" w:hAnsi="Times New Roman" w:cs="Times New Roman"/>
          <w:sz w:val="24"/>
          <w:szCs w:val="24"/>
        </w:rPr>
        <w:t xml:space="preserve">replaced </w:t>
      </w:r>
      <w:r w:rsidRPr="00C1694A">
        <w:rPr>
          <w:rFonts w:ascii="Times New Roman" w:hAnsi="Times New Roman" w:cs="Times New Roman"/>
          <w:sz w:val="24"/>
          <w:szCs w:val="24"/>
        </w:rPr>
        <w:t>the phrase</w:t>
      </w:r>
      <w:r w:rsidR="00521879" w:rsidRPr="00C1694A">
        <w:rPr>
          <w:rFonts w:ascii="Times New Roman" w:hAnsi="Times New Roman" w:cs="Times New Roman"/>
          <w:sz w:val="24"/>
          <w:szCs w:val="24"/>
        </w:rPr>
        <w:t>, “from the child’s enrollment” with</w:t>
      </w:r>
      <w:r w:rsidRPr="00C1694A">
        <w:rPr>
          <w:rFonts w:ascii="Times New Roman" w:hAnsi="Times New Roman" w:cs="Times New Roman"/>
          <w:sz w:val="24"/>
          <w:szCs w:val="24"/>
        </w:rPr>
        <w:t xml:space="preserve"> “</w:t>
      </w:r>
      <w:r w:rsidR="00B21E72" w:rsidRPr="00C1694A">
        <w:rPr>
          <w:rFonts w:ascii="Times New Roman" w:hAnsi="Times New Roman" w:cs="Times New Roman"/>
          <w:sz w:val="24"/>
          <w:szCs w:val="24"/>
        </w:rPr>
        <w:t>after the child first attends the program or, for the home-based program option, receives a home visit</w:t>
      </w:r>
      <w:r w:rsidRPr="00C1694A">
        <w:rPr>
          <w:rFonts w:ascii="Times New Roman" w:eastAsia="MS Mincho" w:hAnsi="Times New Roman" w:cs="Times New Roman"/>
          <w:sz w:val="24"/>
          <w:szCs w:val="24"/>
        </w:rPr>
        <w:t xml:space="preserve">” </w:t>
      </w:r>
      <w:r w:rsidR="00521879" w:rsidRPr="00C1694A">
        <w:rPr>
          <w:rFonts w:ascii="Times New Roman" w:eastAsia="MS Mincho" w:hAnsi="Times New Roman" w:cs="Times New Roman"/>
          <w:sz w:val="24"/>
          <w:szCs w:val="24"/>
        </w:rPr>
        <w:t xml:space="preserve">in </w:t>
      </w:r>
      <w:r w:rsidRPr="00C1694A">
        <w:rPr>
          <w:rFonts w:ascii="Times New Roman" w:eastAsia="MS Mincho" w:hAnsi="Times New Roman" w:cs="Times New Roman"/>
          <w:sz w:val="24"/>
          <w:szCs w:val="24"/>
        </w:rPr>
        <w:t>paragraphs (a)(1), (b)(1), (b)(2)</w:t>
      </w:r>
      <w:r w:rsidR="00B21E72" w:rsidRPr="00C1694A">
        <w:rPr>
          <w:rFonts w:ascii="Times New Roman" w:eastAsia="MS Mincho" w:hAnsi="Times New Roman" w:cs="Times New Roman"/>
          <w:sz w:val="24"/>
          <w:szCs w:val="24"/>
        </w:rPr>
        <w:t xml:space="preserve"> and (b)(3)</w:t>
      </w:r>
      <w:r w:rsidRPr="00C1694A">
        <w:rPr>
          <w:rFonts w:ascii="Times New Roman" w:eastAsia="MS Mincho" w:hAnsi="Times New Roman" w:cs="Times New Roman"/>
          <w:sz w:val="24"/>
          <w:szCs w:val="24"/>
        </w:rPr>
        <w:t xml:space="preserve"> to </w:t>
      </w:r>
      <w:r w:rsidRPr="00C1694A">
        <w:rPr>
          <w:rFonts w:ascii="Times New Roman" w:hAnsi="Times New Roman" w:cs="Times New Roman"/>
          <w:sz w:val="24"/>
          <w:szCs w:val="24"/>
        </w:rPr>
        <w:t xml:space="preserve">clarify when requirements must be met.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we revise paragraph (a)(2) to recognize the unique role that Indian Health Services plays for many children enrolled in tribal Head Start programs.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acknowledge the role Indian Health Services plays for children enrolled in American Indian Alaska Native</w:t>
      </w:r>
      <w:r w:rsidR="00BB7A28" w:rsidRPr="00C1694A">
        <w:rPr>
          <w:rFonts w:ascii="Times New Roman" w:hAnsi="Times New Roman" w:cs="Times New Roman"/>
          <w:sz w:val="24"/>
          <w:szCs w:val="24"/>
        </w:rPr>
        <w:t xml:space="preserve"> </w:t>
      </w:r>
      <w:r w:rsidRPr="00C1694A">
        <w:rPr>
          <w:rFonts w:ascii="Times New Roman" w:hAnsi="Times New Roman" w:cs="Times New Roman"/>
          <w:sz w:val="24"/>
          <w:szCs w:val="24"/>
        </w:rPr>
        <w:t>Head Start programs.   However, we did</w:t>
      </w:r>
      <w:r w:rsidR="00FA2A0E" w:rsidRPr="00C1694A">
        <w:rPr>
          <w:rFonts w:ascii="Times New Roman" w:hAnsi="Times New Roman" w:cs="Times New Roman"/>
          <w:sz w:val="24"/>
          <w:szCs w:val="24"/>
        </w:rPr>
        <w:t xml:space="preserve"> not</w:t>
      </w:r>
      <w:r w:rsidRPr="00C1694A">
        <w:rPr>
          <w:rFonts w:ascii="Times New Roman" w:hAnsi="Times New Roman" w:cs="Times New Roman"/>
          <w:sz w:val="24"/>
          <w:szCs w:val="24"/>
        </w:rPr>
        <w:t xml:space="preserve"> think it was necessary to provide additional clarity </w:t>
      </w:r>
      <w:r w:rsidR="00521879" w:rsidRPr="00C1694A">
        <w:rPr>
          <w:rFonts w:ascii="Times New Roman" w:hAnsi="Times New Roman" w:cs="Times New Roman"/>
          <w:sz w:val="24"/>
          <w:szCs w:val="24"/>
        </w:rPr>
        <w:t xml:space="preserve">in </w:t>
      </w:r>
      <w:r w:rsidRPr="00C1694A">
        <w:rPr>
          <w:rFonts w:ascii="Times New Roman" w:hAnsi="Times New Roman" w:cs="Times New Roman"/>
          <w:sz w:val="24"/>
          <w:szCs w:val="24"/>
        </w:rPr>
        <w:t>paragraph (a)(2). Paragraph</w:t>
      </w:r>
      <w:r w:rsidRPr="00C1694A" w:rsidDel="009D23DC">
        <w:rPr>
          <w:rFonts w:ascii="Times New Roman" w:hAnsi="Times New Roman" w:cs="Times New Roman"/>
          <w:sz w:val="24"/>
          <w:szCs w:val="24"/>
        </w:rPr>
        <w:t xml:space="preserve"> </w:t>
      </w:r>
      <w:r w:rsidRPr="00C1694A">
        <w:rPr>
          <w:rFonts w:ascii="Times New Roman" w:hAnsi="Times New Roman" w:cs="Times New Roman"/>
          <w:sz w:val="24"/>
          <w:szCs w:val="24"/>
        </w:rPr>
        <w:t xml:space="preserve">(a) clearly does not exclude any source of continuous and accessible health care.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recommended changes or requested more clarity to the requirements in paragraph (b)(1)(i) to determine if children are up-to-date on preventive and primary care. For example, some commenters requested we specifically include oral health care services.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we waive the Early and Periodic Screening, Diagnostic and Treatment (EPSDT) requirement for blood lead testing because of concerns that local doctors refuse to do blood lead tests for children who are at low risk based on a lead risk assessment.  Others suggested we allow programs to substitute a lead risk assessment in lieu of blood lead testing.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requested more clarity about the meaning of “health care professional” as it relates to oral health.  Others requested more clarity about the qualifications of health care professionals.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(b)(1)(i) to improve clarity.  We amended this paragraph to include “dental periodicity schedule” to clarify programs must determine whether the child is up-to-date on both medical health and oral health care.  We agree that our use of the term “health care professional” to apply to both health and oral health was confusing.  So, we amended this provision to include “oral health </w:t>
      </w:r>
      <w:r w:rsidR="00521879" w:rsidRPr="00C1694A">
        <w:rPr>
          <w:rFonts w:ascii="Times New Roman" w:hAnsi="Times New Roman" w:cs="Times New Roman"/>
          <w:sz w:val="24"/>
          <w:szCs w:val="24"/>
        </w:rPr>
        <w:t xml:space="preserve">care </w:t>
      </w:r>
      <w:r w:rsidRPr="00C1694A">
        <w:rPr>
          <w:rFonts w:ascii="Times New Roman" w:hAnsi="Times New Roman" w:cs="Times New Roman"/>
          <w:sz w:val="24"/>
          <w:szCs w:val="24"/>
        </w:rPr>
        <w:t xml:space="preserve">professional” as well as “health </w:t>
      </w:r>
      <w:r w:rsidR="00521879" w:rsidRPr="00C1694A">
        <w:rPr>
          <w:rFonts w:ascii="Times New Roman" w:hAnsi="Times New Roman" w:cs="Times New Roman"/>
          <w:sz w:val="24"/>
          <w:szCs w:val="24"/>
        </w:rPr>
        <w:t xml:space="preserve">care </w:t>
      </w:r>
      <w:r w:rsidRPr="00C1694A">
        <w:rPr>
          <w:rFonts w:ascii="Times New Roman" w:hAnsi="Times New Roman" w:cs="Times New Roman"/>
          <w:sz w:val="24"/>
          <w:szCs w:val="24"/>
        </w:rPr>
        <w:t xml:space="preserve">professional.”  We did not specify qualifications for health care professionals, because state requirements vary.  We expect programs to ensure that health and oral health professionals are qualified in their respective areas per state requirements.  We did not make revisions to the requirements related to EPSDT because we do not have the authority to promulgate a regulation that contradicts how states implement EPSDT, especially in light of the potential serious health consequences of elevated lead levels. </w:t>
      </w:r>
    </w:p>
    <w:p w:rsidR="00BF7E02" w:rsidRPr="00C1694A" w:rsidRDefault="00BF7E0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stated th</w:t>
      </w:r>
      <w:r w:rsidR="00535E9D" w:rsidRPr="00C1694A">
        <w:rPr>
          <w:rFonts w:ascii="Times New Roman" w:hAnsi="Times New Roman" w:cs="Times New Roman"/>
          <w:sz w:val="24"/>
          <w:szCs w:val="24"/>
        </w:rPr>
        <w:t xml:space="preserve">at paragraphs (b)(1)(ii) and </w:t>
      </w:r>
      <w:r w:rsidRPr="00C1694A">
        <w:rPr>
          <w:rFonts w:ascii="Times New Roman" w:hAnsi="Times New Roman" w:cs="Times New Roman"/>
          <w:sz w:val="24"/>
          <w:szCs w:val="24"/>
        </w:rPr>
        <w:t xml:space="preserve">(iii) suggested parents were not capable of or bore no responsibility to get their children up to date on immunizations.  They believed the requirement would force programs to undermine the role of parents when they provide this service. </w:t>
      </w:r>
    </w:p>
    <w:p w:rsidR="00BF7E02" w:rsidRPr="00C1694A" w:rsidRDefault="00BF7E0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It was not our intent to undermine the role of parents in </w:t>
      </w:r>
      <w:r w:rsidR="00521879" w:rsidRPr="00C1694A">
        <w:rPr>
          <w:rFonts w:ascii="Times New Roman" w:hAnsi="Times New Roman" w:cs="Times New Roman"/>
          <w:sz w:val="24"/>
          <w:szCs w:val="24"/>
        </w:rPr>
        <w:t xml:space="preserve">getting </w:t>
      </w:r>
      <w:r w:rsidRPr="00C1694A">
        <w:rPr>
          <w:rFonts w:ascii="Times New Roman" w:hAnsi="Times New Roman" w:cs="Times New Roman"/>
          <w:sz w:val="24"/>
          <w:szCs w:val="24"/>
        </w:rPr>
        <w:t xml:space="preserve">children up-to-date with preventive and primary medical and oral health care.  We consolidated what were paragraphs (b)(1)(ii) and (iii) </w:t>
      </w:r>
      <w:r w:rsidR="007C66B9" w:rsidRPr="00C1694A">
        <w:rPr>
          <w:rFonts w:ascii="Times New Roman" w:hAnsi="Times New Roman" w:cs="Times New Roman"/>
          <w:sz w:val="24"/>
          <w:szCs w:val="24"/>
        </w:rPr>
        <w:t xml:space="preserve">in the NPRM </w:t>
      </w:r>
      <w:r w:rsidRPr="00C1694A">
        <w:rPr>
          <w:rFonts w:ascii="Times New Roman" w:hAnsi="Times New Roman" w:cs="Times New Roman"/>
          <w:sz w:val="24"/>
          <w:szCs w:val="24"/>
        </w:rPr>
        <w:t xml:space="preserve">into paragraph (b)(1)(ii) and revised the language to more clearly articulate our intent.  We expect programs to help parents, as necessary, in their efforts to ensure their children are up-to-date with preventive and primary care. For those children who are not up to date, paragraph (b)(1)(ii) requires that programs must assist parents to make arrangements to bring their children up to date and to directly facilitate health services only with parental consent.  </w:t>
      </w:r>
    </w:p>
    <w:p w:rsidR="00BF7E02" w:rsidRPr="00C1694A" w:rsidRDefault="00BF7E0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were concerned that paragraph (b)(2) required programs to conduct all hearing and vision screenings, rather than accept screening results from another source.  In addition, commenters suggested that children should be screened for </w:t>
      </w:r>
      <w:r w:rsidR="005817C4" w:rsidRPr="00C1694A">
        <w:rPr>
          <w:rFonts w:ascii="Times New Roman" w:hAnsi="Times New Roman" w:cs="Times New Roman"/>
          <w:sz w:val="24"/>
          <w:szCs w:val="24"/>
        </w:rPr>
        <w:t>“</w:t>
      </w:r>
      <w:r w:rsidRPr="00C1694A">
        <w:rPr>
          <w:rFonts w:ascii="Times New Roman" w:hAnsi="Times New Roman" w:cs="Times New Roman"/>
          <w:sz w:val="24"/>
          <w:szCs w:val="24"/>
        </w:rPr>
        <w:t>mental and physical trauma,</w:t>
      </w:r>
      <w:r w:rsidR="005817C4" w:rsidRPr="00C1694A">
        <w:rPr>
          <w:rFonts w:ascii="Times New Roman" w:hAnsi="Times New Roman" w:cs="Times New Roman"/>
          <w:sz w:val="24"/>
          <w:szCs w:val="24"/>
        </w:rPr>
        <w:t>”</w:t>
      </w:r>
      <w:r w:rsidRPr="00C1694A">
        <w:rPr>
          <w:rFonts w:ascii="Times New Roman" w:hAnsi="Times New Roman" w:cs="Times New Roman"/>
          <w:sz w:val="24"/>
          <w:szCs w:val="24"/>
        </w:rPr>
        <w:t xml:space="preserve"> as well as hearing and vision.</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(b)(2) to clarify that programs must either conduct or obtain hearing and vision screenings.  We did not make revisions to specifically include screening for mental and physical trauma. Local programs may, with parent consent, implement such screening as indicated, particularly if </w:t>
      </w:r>
      <w:r w:rsidR="00FA2A0E" w:rsidRPr="00C1694A">
        <w:rPr>
          <w:rFonts w:ascii="Times New Roman" w:hAnsi="Times New Roman" w:cs="Times New Roman"/>
          <w:sz w:val="24"/>
          <w:szCs w:val="24"/>
        </w:rPr>
        <w:t>they</w:t>
      </w:r>
      <w:r w:rsidRPr="00C1694A">
        <w:rPr>
          <w:rFonts w:ascii="Times New Roman" w:hAnsi="Times New Roman" w:cs="Times New Roman"/>
          <w:sz w:val="24"/>
          <w:szCs w:val="24"/>
        </w:rPr>
        <w:t xml:space="preserve"> serve populations with known or likely exposure to trauma.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suggested revisions to paragraph (b)(4) that requires a program to identify children’s nutritional health needs and describes specific information they must take into account.  For example, some commenters opposed requirements to collect so much specific health information because it was an unhelpful “paper chase” and unnecessarily burdensome since health care providers already collect this data and provide follow up as necessary.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opposed our requirements that programs collect hematocrit or hemoglobin for each child.  Some commenters suggested we require programs </w:t>
      </w:r>
      <w:r w:rsidR="007C66B9" w:rsidRPr="00C1694A">
        <w:rPr>
          <w:rFonts w:ascii="Times New Roman" w:hAnsi="Times New Roman" w:cs="Times New Roman"/>
          <w:sz w:val="24"/>
          <w:szCs w:val="24"/>
        </w:rPr>
        <w:t xml:space="preserve">to </w:t>
      </w:r>
      <w:r w:rsidRPr="00C1694A">
        <w:rPr>
          <w:rFonts w:ascii="Times New Roman" w:hAnsi="Times New Roman" w:cs="Times New Roman"/>
          <w:sz w:val="24"/>
          <w:szCs w:val="24"/>
        </w:rPr>
        <w:t>collect additional information about children’s health status, such as sweetened beverage consumption, physical activity</w:t>
      </w:r>
      <w:r w:rsidR="003F5B56" w:rsidRPr="00C1694A">
        <w:rPr>
          <w:rFonts w:ascii="Times New Roman" w:hAnsi="Times New Roman" w:cs="Times New Roman"/>
          <w:sz w:val="24"/>
          <w:szCs w:val="24"/>
        </w:rPr>
        <w:t>,</w:t>
      </w:r>
      <w:r w:rsidRPr="00C1694A">
        <w:rPr>
          <w:rFonts w:ascii="Times New Roman" w:hAnsi="Times New Roman" w:cs="Times New Roman"/>
          <w:sz w:val="24"/>
          <w:szCs w:val="24"/>
        </w:rPr>
        <w:t xml:space="preserve"> screen time levels</w:t>
      </w:r>
      <w:r w:rsidR="003F5B56"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consumption of healthy foods such as whole grains, fruit</w:t>
      </w:r>
      <w:r w:rsidR="007C66B9" w:rsidRPr="00C1694A">
        <w:rPr>
          <w:rFonts w:ascii="Times New Roman" w:hAnsi="Times New Roman" w:cs="Times New Roman"/>
          <w:sz w:val="24"/>
          <w:szCs w:val="24"/>
        </w:rPr>
        <w:t>s</w:t>
      </w:r>
      <w:r w:rsidR="005817C4"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vegetable</w:t>
      </w:r>
      <w:r w:rsidR="007C66B9" w:rsidRPr="00C1694A">
        <w:rPr>
          <w:rFonts w:ascii="Times New Roman" w:hAnsi="Times New Roman" w:cs="Times New Roman"/>
          <w:sz w:val="24"/>
          <w:szCs w:val="24"/>
        </w:rPr>
        <w:t>s</w:t>
      </w:r>
      <w:r w:rsidR="005817C4" w:rsidRPr="00C1694A">
        <w:rPr>
          <w:rFonts w:ascii="Times New Roman" w:hAnsi="Times New Roman" w:cs="Times New Roman"/>
          <w:sz w:val="24"/>
          <w:szCs w:val="24"/>
        </w:rPr>
        <w:t xml:space="preserve">.  </w:t>
      </w:r>
      <w:r w:rsidR="00282C7A" w:rsidRPr="00C1694A">
        <w:rPr>
          <w:rFonts w:ascii="Times New Roman" w:hAnsi="Times New Roman" w:cs="Times New Roman"/>
          <w:sz w:val="24"/>
          <w:szCs w:val="24"/>
        </w:rPr>
        <w:t xml:space="preserve">Some commenters asked for clarification about what follow-up was necessary based on the health information.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objected to the requirement accounting for all children’s body max index (BMI) when BMI is not generally used for children under age two. Other commenters expressed concern about whether Head Start staff are qualified to interpret BMI and suggested programs with concerns about children’s weight, BMI, or growth refer families to their physicians for further assessment. Commenters requested clarification, including a timeline to identify nutrition needs.  </w:t>
      </w:r>
    </w:p>
    <w:p w:rsidR="00BF7E02" w:rsidRPr="00C1694A" w:rsidRDefault="00BF7E0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it is appropriate to require programs collect some information about each child’s nutritional health status to help meet the individual needs of children.  However, we revised paragraph (b)(4) so that rather than requiring programs to collect and track data on all children, many of whom would fall within typical or acceptable ranges, we require programs </w:t>
      </w:r>
      <w:r w:rsidR="005817C4" w:rsidRPr="00C1694A">
        <w:rPr>
          <w:rFonts w:ascii="Times New Roman" w:hAnsi="Times New Roman" w:cs="Times New Roman"/>
          <w:sz w:val="24"/>
          <w:szCs w:val="24"/>
        </w:rPr>
        <w:t xml:space="preserve">to </w:t>
      </w:r>
      <w:r w:rsidR="005817C4" w:rsidRPr="00C1694A">
        <w:rPr>
          <w:rFonts w:ascii="Times New Roman" w:eastAsia="Times New Roman" w:hAnsi="Times New Roman" w:cs="Times New Roman"/>
          <w:sz w:val="24"/>
          <w:szCs w:val="24"/>
        </w:rPr>
        <w:t>identify each child’s nutritional health needs, taking into account available health information, including the child’s health records, and family and staff concerns</w:t>
      </w:r>
      <w:r w:rsidRPr="00C1694A">
        <w:rPr>
          <w:rFonts w:ascii="Times New Roman" w:hAnsi="Times New Roman" w:cs="Times New Roman"/>
          <w:sz w:val="24"/>
          <w:szCs w:val="24"/>
        </w:rPr>
        <w:t xml:space="preserve">.  In addition, in paragraph (c), we required programs to work with parents to ensure children obtain necessary referral, follow up appointments, and treatments.  </w:t>
      </w:r>
      <w:r w:rsidR="005817C4" w:rsidRPr="00C1694A">
        <w:rPr>
          <w:rFonts w:ascii="Times New Roman" w:hAnsi="Times New Roman" w:cs="Times New Roman"/>
          <w:sz w:val="24"/>
          <w:szCs w:val="24"/>
        </w:rPr>
        <w:t xml:space="preserve">Programs may </w:t>
      </w:r>
      <w:r w:rsidRPr="00C1694A">
        <w:rPr>
          <w:rFonts w:ascii="Times New Roman" w:hAnsi="Times New Roman" w:cs="Times New Roman"/>
          <w:sz w:val="24"/>
          <w:szCs w:val="24"/>
        </w:rPr>
        <w:t xml:space="preserve">collect height and weight data directly as a means to more regularly track growth and as part of the required periodic observations or use other appropriate strategies for new or recurring concerns.  </w:t>
      </w:r>
      <w:r w:rsidR="00282C7A" w:rsidRPr="00C1694A">
        <w:rPr>
          <w:rFonts w:ascii="Times New Roman" w:hAnsi="Times New Roman" w:cs="Times New Roman"/>
          <w:sz w:val="24"/>
          <w:szCs w:val="24"/>
        </w:rPr>
        <w:t>We also revised paragraph (d) to include examples of how programs would use health information that may affect children’s development, learning, or behavior.</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suggested we revise paragraph (c)(3) to state topical fluoride or varnish can be used for all children, not just for those that live in areas where the water is not fluoridated.</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(c)(3) to clarify programs must provide oral health preventive care for all children including, access to topical fluoride treatments and, as indicated, fluoride supplements.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requested we require programs to provide diapers and formula for infants and toddlers during the portion of the day they attend the program.</w:t>
      </w:r>
    </w:p>
    <w:p w:rsidR="005817C4"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 paragraph (e)</w:t>
      </w:r>
      <w:r w:rsidR="00F95E35" w:rsidRPr="00C1694A">
        <w:rPr>
          <w:rFonts w:ascii="Times New Roman" w:hAnsi="Times New Roman" w:cs="Times New Roman"/>
          <w:sz w:val="24"/>
          <w:szCs w:val="24"/>
        </w:rPr>
        <w:t>(1)</w:t>
      </w:r>
      <w:r w:rsidRPr="00C1694A">
        <w:rPr>
          <w:rFonts w:ascii="Times New Roman" w:hAnsi="Times New Roman" w:cs="Times New Roman"/>
          <w:sz w:val="24"/>
          <w:szCs w:val="24"/>
        </w:rPr>
        <w:t xml:space="preserve">, we codified a long-standing </w:t>
      </w:r>
      <w:r w:rsidR="005817C4" w:rsidRPr="00C1694A">
        <w:rPr>
          <w:rFonts w:ascii="Times New Roman" w:hAnsi="Times New Roman" w:cs="Times New Roman"/>
          <w:sz w:val="24"/>
          <w:szCs w:val="24"/>
        </w:rPr>
        <w:t>expectation</w:t>
      </w:r>
      <w:r w:rsidRPr="00C1694A">
        <w:rPr>
          <w:rFonts w:ascii="Times New Roman" w:hAnsi="Times New Roman" w:cs="Times New Roman"/>
          <w:sz w:val="24"/>
          <w:szCs w:val="24"/>
        </w:rPr>
        <w:t xml:space="preserve"> </w:t>
      </w:r>
      <w:r w:rsidR="005817C4" w:rsidRPr="00C1694A">
        <w:rPr>
          <w:rFonts w:ascii="Times New Roman" w:hAnsi="Times New Roman" w:cs="Times New Roman"/>
          <w:sz w:val="24"/>
          <w:szCs w:val="24"/>
        </w:rPr>
        <w:t xml:space="preserve">that </w:t>
      </w:r>
      <w:r w:rsidRPr="00C1694A">
        <w:rPr>
          <w:rFonts w:ascii="Times New Roman" w:hAnsi="Times New Roman" w:cs="Times New Roman"/>
          <w:sz w:val="24"/>
          <w:szCs w:val="24"/>
        </w:rPr>
        <w:t xml:space="preserve">programs must provide formula and diapers as needed by children during the time they attend the program.  </w:t>
      </w:r>
    </w:p>
    <w:p w:rsidR="00BF7E02" w:rsidRPr="00C1694A" w:rsidRDefault="00BF7E0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u w:val="single"/>
        </w:rPr>
        <w:t>§1302.43 Oral health practices.</w:t>
      </w:r>
    </w:p>
    <w:p w:rsidR="00BF7E02" w:rsidRPr="00C1694A" w:rsidRDefault="00BF7E02"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 In this section, we require programs to promote effective oral health hygiene with daily tooth brushing. Research demonstrates a link between oral health, dental pain, and children’s attendance in preschool programs, as well as their ability to effectively engage in class</w:t>
      </w:r>
      <w:r w:rsidR="002450D3" w:rsidRPr="00C1694A">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bCs/>
          <w:sz w:val="24"/>
          <w:szCs w:val="24"/>
        </w:rPr>
        <w:t>activities.</w:t>
      </w:r>
      <w:r w:rsidRPr="00C1694A">
        <w:rPr>
          <w:rFonts w:ascii="Times New Roman" w:eastAsia="Times New Roman" w:hAnsi="Times New Roman" w:cs="Times New Roman"/>
          <w:bCs/>
          <w:sz w:val="24"/>
          <w:szCs w:val="24"/>
          <w:vertAlign w:val="superscript"/>
        </w:rPr>
        <w:footnoteReference w:id="91"/>
      </w:r>
      <w:r w:rsidRPr="00C1694A">
        <w:rPr>
          <w:rFonts w:ascii="Times New Roman" w:eastAsia="Times New Roman" w:hAnsi="Times New Roman" w:cs="Times New Roman"/>
          <w:bCs/>
          <w:sz w:val="24"/>
          <w:szCs w:val="24"/>
          <w:vertAlign w:val="superscript"/>
        </w:rPr>
        <w:t>,</w:t>
      </w:r>
      <w:r w:rsidRPr="00C1694A">
        <w:rPr>
          <w:rFonts w:ascii="Times New Roman" w:eastAsia="Times New Roman" w:hAnsi="Times New Roman" w:cs="Times New Roman"/>
          <w:bCs/>
          <w:sz w:val="24"/>
          <w:szCs w:val="24"/>
          <w:vertAlign w:val="superscript"/>
        </w:rPr>
        <w:footnoteReference w:id="92"/>
      </w:r>
      <w:r w:rsidRPr="00C1694A">
        <w:rPr>
          <w:rFonts w:ascii="Times New Roman" w:eastAsia="Times New Roman" w:hAnsi="Times New Roman" w:cs="Times New Roman"/>
          <w:bCs/>
          <w:sz w:val="24"/>
          <w:szCs w:val="24"/>
          <w:vertAlign w:val="superscript"/>
        </w:rPr>
        <w:t>,</w:t>
      </w:r>
      <w:r w:rsidRPr="00C1694A">
        <w:rPr>
          <w:rFonts w:ascii="Times New Roman" w:eastAsia="Times New Roman" w:hAnsi="Times New Roman" w:cs="Times New Roman"/>
          <w:bCs/>
          <w:sz w:val="24"/>
          <w:szCs w:val="24"/>
          <w:vertAlign w:val="superscript"/>
        </w:rPr>
        <w:footnoteReference w:id="93"/>
      </w:r>
      <w:r w:rsidRPr="00C1694A">
        <w:rPr>
          <w:rFonts w:ascii="Times New Roman" w:eastAsia="Times New Roman" w:hAnsi="Times New Roman" w:cs="Times New Roman"/>
          <w:bCs/>
          <w:sz w:val="24"/>
          <w:szCs w:val="24"/>
          <w:vertAlign w:val="superscript"/>
        </w:rPr>
        <w:t>,</w:t>
      </w:r>
      <w:r w:rsidRPr="00C1694A">
        <w:rPr>
          <w:rFonts w:ascii="Times New Roman" w:eastAsia="Times New Roman" w:hAnsi="Times New Roman" w:cs="Times New Roman"/>
          <w:bCs/>
          <w:sz w:val="24"/>
          <w:szCs w:val="24"/>
          <w:vertAlign w:val="superscript"/>
        </w:rPr>
        <w:footnoteReference w:id="94"/>
      </w:r>
      <w:r w:rsidRPr="00C1694A">
        <w:rPr>
          <w:rFonts w:ascii="Times New Roman" w:eastAsia="Times New Roman" w:hAnsi="Times New Roman" w:cs="Times New Roman"/>
          <w:bCs/>
          <w:sz w:val="24"/>
          <w:szCs w:val="24"/>
        </w:rPr>
        <w:t xml:space="preserve">  We discuss the comments we received on this section below. </w:t>
      </w:r>
    </w:p>
    <w:p w:rsidR="00BF7E02" w:rsidRPr="00C1694A" w:rsidRDefault="00BF7E02"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offered a number of suggestions for this section.  Some recommended we change the title of this section to “Tooth brushing and other evidence or best practice based preventive oral health practices.” Some commenters recommend</w:t>
      </w:r>
      <w:r w:rsidR="005817C4" w:rsidRPr="00C1694A">
        <w:rPr>
          <w:rFonts w:ascii="Times New Roman" w:hAnsi="Times New Roman" w:cs="Times New Roman"/>
          <w:sz w:val="24"/>
          <w:szCs w:val="24"/>
        </w:rPr>
        <w:t>ed</w:t>
      </w:r>
      <w:r w:rsidRPr="00C1694A">
        <w:rPr>
          <w:rFonts w:ascii="Times New Roman" w:hAnsi="Times New Roman" w:cs="Times New Roman"/>
          <w:sz w:val="24"/>
          <w:szCs w:val="24"/>
        </w:rPr>
        <w:t xml:space="preserve"> we include greater specificity.  For example, some recommended we include requirements for cleaning infant gums, to use toothpaste that contains fluoride, </w:t>
      </w:r>
      <w:r w:rsidR="00152080" w:rsidRPr="00C1694A">
        <w:rPr>
          <w:rFonts w:ascii="Times New Roman" w:hAnsi="Times New Roman" w:cs="Times New Roman"/>
          <w:sz w:val="24"/>
          <w:szCs w:val="24"/>
        </w:rPr>
        <w:t xml:space="preserve">to </w:t>
      </w:r>
      <w:r w:rsidRPr="00C1694A">
        <w:rPr>
          <w:rFonts w:ascii="Times New Roman" w:hAnsi="Times New Roman" w:cs="Times New Roman"/>
          <w:sz w:val="24"/>
          <w:szCs w:val="24"/>
        </w:rPr>
        <w:t>implement tooth brushing as soon as a child’s first tooth emerges</w:t>
      </w:r>
      <w:r w:rsidR="00152080" w:rsidRPr="00C1694A">
        <w:rPr>
          <w:rFonts w:ascii="Times New Roman" w:hAnsi="Times New Roman" w:cs="Times New Roman"/>
          <w:sz w:val="24"/>
          <w:szCs w:val="24"/>
        </w:rPr>
        <w:t>,</w:t>
      </w:r>
      <w:r w:rsidRPr="00C1694A">
        <w:rPr>
          <w:rFonts w:ascii="Times New Roman" w:hAnsi="Times New Roman" w:cs="Times New Roman"/>
          <w:sz w:val="24"/>
          <w:szCs w:val="24"/>
        </w:rPr>
        <w:t xml:space="preserve"> or to ensure children brush their teeth two times per day, for two minutes each time.  </w:t>
      </w:r>
    </w:p>
    <w:p w:rsidR="00BF7E02" w:rsidRPr="00C1694A" w:rsidRDefault="00BF7E02" w:rsidP="009A526A">
      <w:pPr>
        <w:spacing w:after="0" w:line="480" w:lineRule="auto"/>
        <w:ind w:firstLine="720"/>
        <w:rPr>
          <w:rFonts w:ascii="Times New Roman" w:hAnsi="Times New Roman" w:cs="Times New Roman"/>
          <w:i/>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the title of this section from “Tooth brushing” to “Oral health practices” to better reflect the connection between tooth brushing and oral health status. We also revised this section to require that all children with teeth, not just those age one or older, have their teeth brushed at least once per day with toothpaste that contains fluoride. We did not make further revisions to this section because we did not think further specificity was appropriate or supported by strong evidence.  </w:t>
      </w:r>
      <w:r w:rsidRPr="00C1694A">
        <w:rPr>
          <w:rFonts w:ascii="Times New Roman" w:hAnsi="Times New Roman" w:cs="Times New Roman"/>
          <w:sz w:val="24"/>
          <w:szCs w:val="24"/>
        </w:rPr>
        <w:br/>
      </w:r>
      <w:r w:rsidRPr="00C1694A">
        <w:rPr>
          <w:rFonts w:ascii="Times New Roman" w:hAnsi="Times New Roman" w:cs="Times New Roman"/>
          <w:i/>
          <w:sz w:val="24"/>
          <w:szCs w:val="24"/>
        </w:rPr>
        <w:t xml:space="preserve">§1302.44 Child </w:t>
      </w:r>
      <w:r w:rsidR="00152080" w:rsidRPr="00C1694A">
        <w:rPr>
          <w:rFonts w:ascii="Times New Roman" w:hAnsi="Times New Roman" w:cs="Times New Roman"/>
          <w:i/>
          <w:sz w:val="24"/>
          <w:szCs w:val="24"/>
        </w:rPr>
        <w:t>n</w:t>
      </w:r>
      <w:r w:rsidRPr="00C1694A">
        <w:rPr>
          <w:rFonts w:ascii="Times New Roman" w:hAnsi="Times New Roman" w:cs="Times New Roman"/>
          <w:i/>
          <w:sz w:val="24"/>
          <w:szCs w:val="24"/>
        </w:rPr>
        <w:t>utrition.</w:t>
      </w:r>
    </w:p>
    <w:p w:rsidR="00BF7E02" w:rsidRPr="00C1694A" w:rsidRDefault="00BF7E02"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This section details program performance standards for Head Start programs to meet each child’s nutritional requirements and feeding needs.  This section includes nutrition service requirements, including how much food should be offered and requirements for supporting breastfeeding. It also includes requirements about use of funds.  Nutrition is one of the founding principles of Head Start programs. Good nutrition supports children’s ability to grow, develop, and achieve and maintain a healthy weight.  Commenters suggested revisions and sought clarification. Based on comments we received, we made some changes to improve clarity and further strengthen requirements. We address comments below.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we specify in paragraph (a)(1) that nutrition services must be culturally and developmentally appropriate to ensure they respond to the needs of enrolled children.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and made this revision.</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recommended we add additional requirements to paragraph (a)(2). For example,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suggested we require programs to make drinking water available to children.  They stated that if children were able to satisfy thirst with water, they may be less likely to consume large amounts of sugar sweetened beverages. Other comments suggested we require programs to serve a varied diet with an emphasis on fruits, vegetable</w:t>
      </w:r>
      <w:r w:rsidR="00152080" w:rsidRPr="00C1694A">
        <w:rPr>
          <w:rFonts w:ascii="Times New Roman" w:hAnsi="Times New Roman" w:cs="Times New Roman"/>
          <w:sz w:val="24"/>
          <w:szCs w:val="24"/>
        </w:rPr>
        <w:t>s,</w:t>
      </w:r>
      <w:r w:rsidRPr="00C1694A">
        <w:rPr>
          <w:rFonts w:ascii="Times New Roman" w:hAnsi="Times New Roman" w:cs="Times New Roman"/>
          <w:sz w:val="24"/>
          <w:szCs w:val="24"/>
        </w:rPr>
        <w:t xml:space="preserve"> and whole grains rather than meet a proportion of </w:t>
      </w:r>
      <w:r w:rsidR="00152080" w:rsidRPr="00C1694A">
        <w:rPr>
          <w:rFonts w:ascii="Times New Roman" w:hAnsi="Times New Roman" w:cs="Times New Roman"/>
          <w:sz w:val="24"/>
          <w:szCs w:val="24"/>
        </w:rPr>
        <w:t xml:space="preserve">children’s </w:t>
      </w:r>
      <w:r w:rsidRPr="00C1694A">
        <w:rPr>
          <w:rFonts w:ascii="Times New Roman" w:hAnsi="Times New Roman" w:cs="Times New Roman"/>
          <w:sz w:val="24"/>
          <w:szCs w:val="24"/>
        </w:rPr>
        <w:t xml:space="preserve">daily nutritional needs.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this section to add a new requirement at paragraph (a)(</w:t>
      </w:r>
      <w:r w:rsidR="00152080" w:rsidRPr="00C1694A">
        <w:rPr>
          <w:rFonts w:ascii="Times New Roman" w:hAnsi="Times New Roman" w:cs="Times New Roman"/>
          <w:sz w:val="24"/>
          <w:szCs w:val="24"/>
        </w:rPr>
        <w:t>2</w:t>
      </w:r>
      <w:r w:rsidRPr="00C1694A">
        <w:rPr>
          <w:rFonts w:ascii="Times New Roman" w:hAnsi="Times New Roman" w:cs="Times New Roman"/>
          <w:sz w:val="24"/>
          <w:szCs w:val="24"/>
        </w:rPr>
        <w:t xml:space="preserve">)(ix) to require programs make </w:t>
      </w:r>
      <w:r w:rsidR="00295575" w:rsidRPr="00C1694A">
        <w:rPr>
          <w:rFonts w:ascii="Times New Roman" w:hAnsi="Times New Roman" w:cs="Times New Roman"/>
          <w:sz w:val="24"/>
          <w:szCs w:val="24"/>
        </w:rPr>
        <w:t xml:space="preserve">safe </w:t>
      </w:r>
      <w:r w:rsidRPr="00C1694A">
        <w:rPr>
          <w:rFonts w:ascii="Times New Roman" w:hAnsi="Times New Roman" w:cs="Times New Roman"/>
          <w:sz w:val="24"/>
          <w:szCs w:val="24"/>
        </w:rPr>
        <w:t>drinking water available to children during the program day.  We did not make revisions to emphasize fruits, vegetable</w:t>
      </w:r>
      <w:r w:rsidR="00152080" w:rsidRPr="00C1694A">
        <w:rPr>
          <w:rFonts w:ascii="Times New Roman" w:hAnsi="Times New Roman" w:cs="Times New Roman"/>
          <w:sz w:val="24"/>
          <w:szCs w:val="24"/>
        </w:rPr>
        <w:t>s,</w:t>
      </w:r>
      <w:r w:rsidRPr="00C1694A">
        <w:rPr>
          <w:rFonts w:ascii="Times New Roman" w:hAnsi="Times New Roman" w:cs="Times New Roman"/>
          <w:sz w:val="24"/>
          <w:szCs w:val="24"/>
        </w:rPr>
        <w:t xml:space="preserve"> and whole grains because we think the requirement that programs meet the nutritional needs of children and adhere with CACFP requirements on meal patterns is sufficiently prescriptive.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some comments about how our requirements in this section interact with CACFP requirements.  For example,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requested we remove the requirement in paragraph (a)(2)(iii) about food being high in nutrients and low in fat, sugar, and salt because it is redundant with CACFP.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other commenters expressed concern or sought clarification about or exemption from CACFP requirements because of burden and cost.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revise paragraph (a)(2)(iii) because we believe it is </w:t>
      </w:r>
      <w:r w:rsidR="005817C4" w:rsidRPr="00C1694A">
        <w:rPr>
          <w:rFonts w:ascii="Times New Roman" w:hAnsi="Times New Roman" w:cs="Times New Roman"/>
          <w:sz w:val="24"/>
          <w:szCs w:val="24"/>
        </w:rPr>
        <w:t>necessary</w:t>
      </w:r>
      <w:r w:rsidRPr="00C1694A">
        <w:rPr>
          <w:rFonts w:ascii="Times New Roman" w:hAnsi="Times New Roman" w:cs="Times New Roman"/>
          <w:sz w:val="24"/>
          <w:szCs w:val="24"/>
        </w:rPr>
        <w:t xml:space="preserve"> to emphasize </w:t>
      </w:r>
      <w:r w:rsidR="005817C4" w:rsidRPr="00C1694A">
        <w:rPr>
          <w:rFonts w:ascii="Times New Roman" w:hAnsi="Times New Roman" w:cs="Times New Roman"/>
          <w:sz w:val="24"/>
          <w:szCs w:val="24"/>
        </w:rPr>
        <w:t xml:space="preserve">the importance of healthy </w:t>
      </w:r>
      <w:r w:rsidRPr="00C1694A">
        <w:rPr>
          <w:rFonts w:ascii="Times New Roman" w:hAnsi="Times New Roman" w:cs="Times New Roman"/>
          <w:sz w:val="24"/>
          <w:szCs w:val="24"/>
        </w:rPr>
        <w:t xml:space="preserve">food </w:t>
      </w:r>
      <w:r w:rsidR="005817C4" w:rsidRPr="00C1694A">
        <w:rPr>
          <w:rFonts w:ascii="Times New Roman" w:hAnsi="Times New Roman" w:cs="Times New Roman"/>
          <w:sz w:val="24"/>
          <w:szCs w:val="24"/>
        </w:rPr>
        <w:t>that is</w:t>
      </w:r>
      <w:r w:rsidRPr="00C1694A">
        <w:rPr>
          <w:rFonts w:ascii="Times New Roman" w:hAnsi="Times New Roman" w:cs="Times New Roman"/>
          <w:sz w:val="24"/>
          <w:szCs w:val="24"/>
        </w:rPr>
        <w:t xml:space="preserve"> high in nutrients and low in salt, fat and sugar over and above CACFP requirements regarding the nutrition content of food. We did not revise paragraph (a)(1)(iv) because we think it is sufficiently clear.  In addition, we note that we require programs to use reimbursement from CACFP, unless, as might occur in a home</w:t>
      </w:r>
      <w:r w:rsidR="00152080" w:rsidRPr="00C1694A">
        <w:rPr>
          <w:rFonts w:ascii="Times New Roman" w:hAnsi="Times New Roman" w:cs="Times New Roman"/>
          <w:sz w:val="24"/>
          <w:szCs w:val="24"/>
        </w:rPr>
        <w:t>-</w:t>
      </w:r>
      <w:r w:rsidRPr="00C1694A">
        <w:rPr>
          <w:rFonts w:ascii="Times New Roman" w:hAnsi="Times New Roman" w:cs="Times New Roman"/>
          <w:sz w:val="24"/>
          <w:szCs w:val="24"/>
        </w:rPr>
        <w:t xml:space="preserve">based option, CACFP is not available.  In that case, programs may use Head Start or Early Head Start funds for allowable food costs as we state in paragraph (b).  We have no authority to </w:t>
      </w:r>
      <w:r w:rsidR="005817C4" w:rsidRPr="00C1694A">
        <w:rPr>
          <w:rFonts w:ascii="Times New Roman" w:hAnsi="Times New Roman" w:cs="Times New Roman"/>
          <w:sz w:val="24"/>
          <w:szCs w:val="24"/>
        </w:rPr>
        <w:t xml:space="preserve">change </w:t>
      </w:r>
      <w:r w:rsidRPr="00C1694A">
        <w:rPr>
          <w:rFonts w:ascii="Times New Roman" w:hAnsi="Times New Roman" w:cs="Times New Roman"/>
          <w:sz w:val="24"/>
          <w:szCs w:val="24"/>
        </w:rPr>
        <w:t>CACFP requirements and made no revisions.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75867" w:rsidRPr="00C1694A">
        <w:rPr>
          <w:rFonts w:ascii="Times New Roman" w:hAnsi="Times New Roman" w:cs="Times New Roman"/>
          <w:sz w:val="24"/>
          <w:szCs w:val="24"/>
        </w:rPr>
        <w:t>C</w:t>
      </w:r>
      <w:r w:rsidRPr="00C1694A">
        <w:rPr>
          <w:rFonts w:ascii="Times New Roman" w:hAnsi="Times New Roman" w:cs="Times New Roman"/>
          <w:sz w:val="24"/>
          <w:szCs w:val="24"/>
        </w:rPr>
        <w:t>ommenters suggested we retain the provision from the previous program performance standards that required programs to involve parents and appropriate community agencies in planning, implementing</w:t>
      </w:r>
      <w:r w:rsidR="00295575"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evaluating the program’s nutrition services.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retain the previous standard that programs engage parents and the community in nutrition services.  While we think this can be a valuable method to ensure cultural appropriateness and respond to local nutrition related issues, we recognize it may be difficult for some programs to regularly do this. We encourage programs to maintain this practice as much as they can, but we want to provide local flexibility to identify the approach.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indicated that the word “appropriate” in paragraph (a)(2)(vii) that modifies snacks could vary widely in interpretation and suggested we replace “appropriate” with “healthy.”</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this requirement is </w:t>
      </w:r>
      <w:r w:rsidR="00152080" w:rsidRPr="00C1694A">
        <w:rPr>
          <w:rFonts w:ascii="Times New Roman" w:hAnsi="Times New Roman" w:cs="Times New Roman"/>
          <w:sz w:val="24"/>
          <w:szCs w:val="24"/>
        </w:rPr>
        <w:t xml:space="preserve">clearer </w:t>
      </w:r>
      <w:r w:rsidRPr="00C1694A">
        <w:rPr>
          <w:rFonts w:ascii="Times New Roman" w:hAnsi="Times New Roman" w:cs="Times New Roman"/>
          <w:sz w:val="24"/>
          <w:szCs w:val="24"/>
        </w:rPr>
        <w:t xml:space="preserve">if we indicate snacks and meals should be </w:t>
      </w:r>
      <w:r w:rsidR="00152080" w:rsidRPr="00C1694A">
        <w:rPr>
          <w:rFonts w:ascii="Times New Roman" w:hAnsi="Times New Roman" w:cs="Times New Roman"/>
          <w:sz w:val="24"/>
          <w:szCs w:val="24"/>
        </w:rPr>
        <w:t>“</w:t>
      </w:r>
      <w:r w:rsidRPr="00C1694A">
        <w:rPr>
          <w:rFonts w:ascii="Times New Roman" w:hAnsi="Times New Roman" w:cs="Times New Roman"/>
          <w:sz w:val="24"/>
          <w:szCs w:val="24"/>
        </w:rPr>
        <w:t>healthy</w:t>
      </w:r>
      <w:r w:rsidR="00152080"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revised the paragraph accordingly.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about our requirement to promote breastfeeding in paragraph (a)(2)(viii). Commenters were generally supportive of our focus on breastfeeding.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we require programs to train staff on how to properly handle and store breast milk.  Other commenters recommended we require programs to either ensure staff complete lactation counselor training or provide referrals to lactation counselors or consultants.  Others asked us to clarify whether programs must have breastfeeding rooms in each center.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think it was necessary to add </w:t>
      </w:r>
      <w:r w:rsidR="00152080" w:rsidRPr="00C1694A">
        <w:rPr>
          <w:rFonts w:ascii="Times New Roman" w:hAnsi="Times New Roman" w:cs="Times New Roman"/>
          <w:sz w:val="24"/>
          <w:szCs w:val="24"/>
        </w:rPr>
        <w:t xml:space="preserve">a </w:t>
      </w:r>
      <w:r w:rsidRPr="00C1694A">
        <w:rPr>
          <w:rFonts w:ascii="Times New Roman" w:hAnsi="Times New Roman" w:cs="Times New Roman"/>
          <w:sz w:val="24"/>
          <w:szCs w:val="24"/>
        </w:rPr>
        <w:t xml:space="preserve">requirement </w:t>
      </w:r>
      <w:r w:rsidR="00152080" w:rsidRPr="00C1694A">
        <w:rPr>
          <w:rFonts w:ascii="Times New Roman" w:hAnsi="Times New Roman" w:cs="Times New Roman"/>
          <w:sz w:val="24"/>
          <w:szCs w:val="24"/>
        </w:rPr>
        <w:t xml:space="preserve">for </w:t>
      </w:r>
      <w:r w:rsidRPr="00C1694A">
        <w:rPr>
          <w:rFonts w:ascii="Times New Roman" w:hAnsi="Times New Roman" w:cs="Times New Roman"/>
          <w:sz w:val="24"/>
          <w:szCs w:val="24"/>
        </w:rPr>
        <w:t xml:space="preserve">programs to train staff on how to properly handle and store breast milk because we think that is unnecessarily prescriptive in detailing how a program must meet the requirement that they properly store and handle breast milk. Many programs will find state licensing already requires this. We also did not require programs to ensure staff complete lactation counselor training.  However, we amended paragraph (a)(2)(viii) to require programs provide referrals to lactation consultants or counselors if necessary.  Finally, neither the NPRM nor the final rule required programs to have separate rooms for breastfeeding in each center.  Programs may meet </w:t>
      </w:r>
      <w:r w:rsidR="00D929B6" w:rsidRPr="00C1694A">
        <w:rPr>
          <w:rFonts w:ascii="Times New Roman" w:hAnsi="Times New Roman" w:cs="Times New Roman"/>
          <w:sz w:val="24"/>
          <w:szCs w:val="24"/>
        </w:rPr>
        <w:t xml:space="preserve">the </w:t>
      </w:r>
      <w:r w:rsidR="00E5749E" w:rsidRPr="00C1694A">
        <w:rPr>
          <w:rFonts w:ascii="Times New Roman" w:hAnsi="Times New Roman" w:cs="Times New Roman"/>
          <w:sz w:val="24"/>
          <w:szCs w:val="24"/>
        </w:rPr>
        <w:t>requirement</w:t>
      </w:r>
      <w:r w:rsidR="00D929B6" w:rsidRPr="00C1694A">
        <w:rPr>
          <w:rFonts w:ascii="Times New Roman" w:hAnsi="Times New Roman" w:cs="Times New Roman"/>
          <w:sz w:val="24"/>
          <w:szCs w:val="24"/>
        </w:rPr>
        <w:t xml:space="preserve"> in §1302.44(a)(2)(viii) to promote breastfeeding</w:t>
      </w:r>
      <w:r w:rsidR="00E5749E" w:rsidRPr="00C1694A">
        <w:rPr>
          <w:rFonts w:ascii="Times New Roman" w:hAnsi="Times New Roman" w:cs="Times New Roman"/>
          <w:sz w:val="24"/>
          <w:szCs w:val="24"/>
        </w:rPr>
        <w:t xml:space="preserve"> </w:t>
      </w:r>
      <w:r w:rsidRPr="00C1694A">
        <w:rPr>
          <w:rFonts w:ascii="Times New Roman" w:hAnsi="Times New Roman" w:cs="Times New Roman"/>
          <w:sz w:val="24"/>
          <w:szCs w:val="24"/>
        </w:rPr>
        <w:t>with a designated private area with a comfortable chair, an outlet for a pump, and access to a sink for hand washing to accommodate the needs of mothers who breastfeed or pump milk.</w:t>
      </w:r>
    </w:p>
    <w:p w:rsidR="000402BE" w:rsidRPr="00C1694A" w:rsidRDefault="001D6B47"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w:t>
      </w:r>
      <w:r w:rsidR="000402BE" w:rsidRPr="00C1694A">
        <w:rPr>
          <w:rFonts w:ascii="Times New Roman" w:hAnsi="Times New Roman" w:cs="Times New Roman"/>
          <w:i/>
          <w:sz w:val="24"/>
          <w:szCs w:val="24"/>
        </w:rPr>
        <w:t>1302.45 Child mental health and social and emotional well-being.</w:t>
      </w:r>
    </w:p>
    <w:p w:rsidR="00BF744C" w:rsidRPr="00C1694A" w:rsidRDefault="00722FEF"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This section includes the</w:t>
      </w:r>
      <w:r w:rsidR="00BF744C" w:rsidRPr="00C1694A">
        <w:rPr>
          <w:rFonts w:ascii="Times New Roman" w:eastAsia="Times New Roman" w:hAnsi="Times New Roman" w:cs="Times New Roman"/>
          <w:bCs/>
          <w:sz w:val="24"/>
          <w:szCs w:val="24"/>
        </w:rPr>
        <w:t xml:space="preserve"> requirements for services </w:t>
      </w:r>
      <w:r w:rsidR="002F460E" w:rsidRPr="00C1694A">
        <w:rPr>
          <w:rFonts w:ascii="Times New Roman" w:eastAsia="Times New Roman" w:hAnsi="Times New Roman" w:cs="Times New Roman"/>
          <w:bCs/>
          <w:sz w:val="24"/>
          <w:szCs w:val="24"/>
        </w:rPr>
        <w:t xml:space="preserve">programs must provide </w:t>
      </w:r>
      <w:r w:rsidR="00BF744C" w:rsidRPr="00C1694A">
        <w:rPr>
          <w:rFonts w:ascii="Times New Roman" w:eastAsia="Times New Roman" w:hAnsi="Times New Roman" w:cs="Times New Roman"/>
          <w:bCs/>
          <w:sz w:val="24"/>
          <w:szCs w:val="24"/>
        </w:rPr>
        <w:t>related to child mental health</w:t>
      </w:r>
      <w:r w:rsidRPr="00C1694A">
        <w:rPr>
          <w:rFonts w:ascii="Times New Roman" w:eastAsia="Times New Roman" w:hAnsi="Times New Roman" w:cs="Times New Roman"/>
          <w:bCs/>
          <w:sz w:val="24"/>
          <w:szCs w:val="24"/>
        </w:rPr>
        <w:t xml:space="preserve"> and the support of children’s</w:t>
      </w:r>
      <w:r w:rsidR="00BF744C" w:rsidRPr="00C1694A">
        <w:rPr>
          <w:rFonts w:ascii="Times New Roman" w:eastAsia="Times New Roman" w:hAnsi="Times New Roman" w:cs="Times New Roman"/>
          <w:bCs/>
          <w:sz w:val="24"/>
          <w:szCs w:val="24"/>
        </w:rPr>
        <w:t xml:space="preserve"> social and emotional well</w:t>
      </w:r>
      <w:r w:rsidRPr="00C1694A">
        <w:rPr>
          <w:rFonts w:ascii="Times New Roman" w:eastAsia="Times New Roman" w:hAnsi="Times New Roman" w:cs="Times New Roman"/>
          <w:bCs/>
          <w:sz w:val="24"/>
          <w:szCs w:val="24"/>
        </w:rPr>
        <w:t>-</w:t>
      </w:r>
      <w:r w:rsidR="00BF744C" w:rsidRPr="00C1694A">
        <w:rPr>
          <w:rFonts w:ascii="Times New Roman" w:eastAsia="Times New Roman" w:hAnsi="Times New Roman" w:cs="Times New Roman"/>
          <w:bCs/>
          <w:sz w:val="24"/>
          <w:szCs w:val="24"/>
        </w:rPr>
        <w:t>being. Early childhood mental health and healthy social and emotional well</w:t>
      </w:r>
      <w:r w:rsidR="00535E9D" w:rsidRPr="00C1694A">
        <w:rPr>
          <w:rFonts w:ascii="Times New Roman" w:eastAsia="Times New Roman" w:hAnsi="Times New Roman" w:cs="Times New Roman"/>
          <w:bCs/>
          <w:sz w:val="24"/>
          <w:szCs w:val="24"/>
        </w:rPr>
        <w:t>-</w:t>
      </w:r>
      <w:r w:rsidR="00BF744C" w:rsidRPr="00C1694A">
        <w:rPr>
          <w:rFonts w:ascii="Times New Roman" w:eastAsia="Times New Roman" w:hAnsi="Times New Roman" w:cs="Times New Roman"/>
          <w:bCs/>
          <w:sz w:val="24"/>
          <w:szCs w:val="24"/>
        </w:rPr>
        <w:t>being has been clearly linked to children’s school readiness outcomes. Research estimates</w:t>
      </w:r>
      <w:r w:rsidR="00BF744C" w:rsidRPr="00C1694A">
        <w:rPr>
          <w:rFonts w:ascii="Times New Roman" w:hAnsi="Times New Roman" w:cs="Times New Roman"/>
          <w:sz w:val="24"/>
          <w:szCs w:val="24"/>
        </w:rPr>
        <w:t xml:space="preserve"> between 9 percent and 14 percent of young children experience mental health or social and emotional issues that negatively impact their development.</w:t>
      </w:r>
      <w:r w:rsidR="00BF744C" w:rsidRPr="00C1694A">
        <w:rPr>
          <w:rStyle w:val="FootnoteReference"/>
          <w:rFonts w:ascii="Times New Roman" w:hAnsi="Times New Roman" w:cs="Times New Roman"/>
          <w:sz w:val="24"/>
          <w:szCs w:val="24"/>
        </w:rPr>
        <w:footnoteReference w:id="95"/>
      </w:r>
      <w:r w:rsidR="00BF744C" w:rsidRPr="00C1694A">
        <w:rPr>
          <w:rFonts w:ascii="Times New Roman" w:eastAsia="Times New Roman" w:hAnsi="Times New Roman" w:cs="Times New Roman"/>
          <w:bCs/>
          <w:sz w:val="24"/>
          <w:szCs w:val="24"/>
        </w:rPr>
        <w:t xml:space="preserve"> The standards described in this section support programs in creating a culture that promotes</w:t>
      </w:r>
      <w:r w:rsidR="005D11AA" w:rsidRPr="00C1694A">
        <w:rPr>
          <w:rFonts w:ascii="Times New Roman" w:eastAsia="Times New Roman" w:hAnsi="Times New Roman" w:cs="Times New Roman"/>
          <w:bCs/>
          <w:sz w:val="24"/>
          <w:szCs w:val="24"/>
        </w:rPr>
        <w:t xml:space="preserve"> positive</w:t>
      </w:r>
      <w:r w:rsidR="00BF744C" w:rsidRPr="00C1694A">
        <w:rPr>
          <w:rFonts w:ascii="Times New Roman" w:eastAsia="Times New Roman" w:hAnsi="Times New Roman" w:cs="Times New Roman"/>
          <w:bCs/>
          <w:sz w:val="24"/>
          <w:szCs w:val="24"/>
        </w:rPr>
        <w:t xml:space="preserve"> mental health</w:t>
      </w:r>
      <w:r w:rsidRPr="00C1694A">
        <w:rPr>
          <w:rFonts w:ascii="Times New Roman" w:eastAsia="Times New Roman" w:hAnsi="Times New Roman" w:cs="Times New Roman"/>
          <w:bCs/>
          <w:sz w:val="24"/>
          <w:szCs w:val="24"/>
        </w:rPr>
        <w:t xml:space="preserve"> and social and emotional well-being, including supporting positive staff-child interactions and parental knowledge of mental health.</w:t>
      </w:r>
      <w:r w:rsidR="00BF744C" w:rsidRPr="00C1694A">
        <w:rPr>
          <w:rFonts w:ascii="Times New Roman" w:eastAsia="Times New Roman" w:hAnsi="Times New Roman" w:cs="Times New Roman"/>
          <w:bCs/>
          <w:sz w:val="24"/>
          <w:szCs w:val="24"/>
        </w:rPr>
        <w:t xml:space="preserve">  Research also demonstrates </w:t>
      </w:r>
      <w:r w:rsidR="005D11AA" w:rsidRPr="00C1694A">
        <w:rPr>
          <w:rFonts w:ascii="Times New Roman" w:eastAsia="Times New Roman" w:hAnsi="Times New Roman" w:cs="Times New Roman"/>
          <w:bCs/>
          <w:sz w:val="24"/>
          <w:szCs w:val="24"/>
        </w:rPr>
        <w:t xml:space="preserve">that the use of </w:t>
      </w:r>
      <w:r w:rsidR="00BF744C" w:rsidRPr="00C1694A">
        <w:rPr>
          <w:rFonts w:ascii="Times New Roman" w:eastAsia="Times New Roman" w:hAnsi="Times New Roman" w:cs="Times New Roman"/>
          <w:bCs/>
          <w:sz w:val="24"/>
          <w:szCs w:val="24"/>
        </w:rPr>
        <w:t xml:space="preserve"> mental health consultation services</w:t>
      </w:r>
      <w:r w:rsidR="005D11AA" w:rsidRPr="00C1694A">
        <w:rPr>
          <w:rFonts w:ascii="Times New Roman" w:eastAsia="Times New Roman" w:hAnsi="Times New Roman" w:cs="Times New Roman"/>
          <w:bCs/>
          <w:sz w:val="24"/>
          <w:szCs w:val="24"/>
        </w:rPr>
        <w:t xml:space="preserve"> has distinct benefits, including improved</w:t>
      </w:r>
      <w:r w:rsidR="00BF744C" w:rsidRPr="00C1694A">
        <w:rPr>
          <w:rFonts w:ascii="Times New Roman" w:eastAsia="Times New Roman" w:hAnsi="Times New Roman" w:cs="Times New Roman"/>
          <w:bCs/>
          <w:sz w:val="24"/>
          <w:szCs w:val="24"/>
        </w:rPr>
        <w:t xml:space="preserve">  child behavior,  staff job satisfaction</w:t>
      </w:r>
      <w:r w:rsidR="005D11AA" w:rsidRPr="00C1694A">
        <w:rPr>
          <w:rFonts w:ascii="Times New Roman" w:eastAsia="Times New Roman" w:hAnsi="Times New Roman" w:cs="Times New Roman"/>
          <w:bCs/>
          <w:sz w:val="24"/>
          <w:szCs w:val="24"/>
        </w:rPr>
        <w:t>,</w:t>
      </w:r>
      <w:r w:rsidR="00BF744C" w:rsidRPr="00C1694A">
        <w:rPr>
          <w:rFonts w:ascii="Times New Roman" w:eastAsia="Times New Roman" w:hAnsi="Times New Roman" w:cs="Times New Roman"/>
          <w:bCs/>
          <w:sz w:val="24"/>
          <w:szCs w:val="24"/>
        </w:rPr>
        <w:t xml:space="preserve"> and </w:t>
      </w:r>
      <w:r w:rsidR="005D11AA" w:rsidRPr="00C1694A">
        <w:rPr>
          <w:rFonts w:ascii="Times New Roman" w:eastAsia="Times New Roman" w:hAnsi="Times New Roman" w:cs="Times New Roman"/>
          <w:bCs/>
          <w:sz w:val="24"/>
          <w:szCs w:val="24"/>
        </w:rPr>
        <w:t xml:space="preserve"> overall effectiveness of</w:t>
      </w:r>
      <w:r w:rsidR="00BF744C" w:rsidRPr="00C1694A">
        <w:rPr>
          <w:rFonts w:ascii="Times New Roman" w:eastAsia="Times New Roman" w:hAnsi="Times New Roman" w:cs="Times New Roman"/>
          <w:bCs/>
          <w:sz w:val="24"/>
          <w:szCs w:val="24"/>
        </w:rPr>
        <w:t xml:space="preserve"> early childhood programs.</w:t>
      </w:r>
      <w:r w:rsidR="00BF744C" w:rsidRPr="00C1694A">
        <w:rPr>
          <w:rStyle w:val="FootnoteReference"/>
          <w:rFonts w:ascii="Times New Roman" w:eastAsia="Times New Roman" w:hAnsi="Times New Roman" w:cs="Times New Roman"/>
          <w:bCs/>
          <w:sz w:val="24"/>
          <w:szCs w:val="24"/>
        </w:rPr>
        <w:footnoteReference w:id="96"/>
      </w:r>
      <w:r w:rsidR="00BF744C" w:rsidRPr="00C1694A">
        <w:rPr>
          <w:rFonts w:ascii="Times New Roman" w:eastAsia="Times New Roman" w:hAnsi="Times New Roman" w:cs="Times New Roman"/>
          <w:bCs/>
          <w:sz w:val="24"/>
          <w:szCs w:val="24"/>
          <w:vertAlign w:val="superscript"/>
        </w:rPr>
        <w:t>,</w:t>
      </w:r>
      <w:r w:rsidR="00BF744C" w:rsidRPr="00C1694A">
        <w:rPr>
          <w:rStyle w:val="FootnoteReference"/>
          <w:rFonts w:ascii="Times New Roman" w:eastAsia="Times New Roman" w:hAnsi="Times New Roman" w:cs="Times New Roman"/>
          <w:bCs/>
          <w:sz w:val="24"/>
          <w:szCs w:val="24"/>
        </w:rPr>
        <w:footnoteReference w:id="97"/>
      </w:r>
      <w:r w:rsidR="00BF744C" w:rsidRPr="00C1694A">
        <w:rPr>
          <w:rFonts w:ascii="Times New Roman" w:eastAsia="Times New Roman" w:hAnsi="Times New Roman" w:cs="Times New Roman"/>
          <w:bCs/>
          <w:sz w:val="24"/>
          <w:szCs w:val="24"/>
          <w:vertAlign w:val="superscript"/>
        </w:rPr>
        <w:t>,</w:t>
      </w:r>
      <w:r w:rsidR="00BF744C" w:rsidRPr="00C1694A">
        <w:rPr>
          <w:rStyle w:val="FootnoteReference"/>
          <w:rFonts w:ascii="Times New Roman" w:eastAsia="Times New Roman" w:hAnsi="Times New Roman" w:cs="Times New Roman"/>
          <w:bCs/>
          <w:sz w:val="24"/>
          <w:szCs w:val="24"/>
        </w:rPr>
        <w:footnoteReference w:id="98"/>
      </w:r>
      <w:r w:rsidR="00BF744C" w:rsidRPr="00C1694A">
        <w:rPr>
          <w:rFonts w:ascii="Times New Roman" w:hAnsi="Times New Roman" w:cs="Times New Roman"/>
          <w:sz w:val="24"/>
          <w:szCs w:val="24"/>
        </w:rPr>
        <w:t xml:space="preserve">  Therefore, this section also includes</w:t>
      </w:r>
      <w:r w:rsidR="00BF744C" w:rsidRPr="00C1694A">
        <w:rPr>
          <w:rFonts w:ascii="Times New Roman" w:eastAsia="Times New Roman" w:hAnsi="Times New Roman" w:cs="Times New Roman"/>
          <w:bCs/>
          <w:sz w:val="24"/>
          <w:szCs w:val="24"/>
        </w:rPr>
        <w:t xml:space="preserve"> specific requirements for </w:t>
      </w:r>
      <w:r w:rsidRPr="00C1694A">
        <w:rPr>
          <w:rFonts w:ascii="Times New Roman" w:eastAsia="Times New Roman" w:hAnsi="Times New Roman" w:cs="Times New Roman"/>
          <w:bCs/>
          <w:sz w:val="24"/>
          <w:szCs w:val="24"/>
        </w:rPr>
        <w:t>what mental health consultants must do to assist programs, staff, and parents</w:t>
      </w:r>
      <w:r w:rsidR="00BF744C" w:rsidRPr="00C1694A">
        <w:rPr>
          <w:rFonts w:ascii="Times New Roman" w:eastAsia="Times New Roman" w:hAnsi="Times New Roman" w:cs="Times New Roman"/>
          <w:bCs/>
          <w:sz w:val="24"/>
          <w:szCs w:val="24"/>
        </w:rPr>
        <w:t>.</w:t>
      </w:r>
    </w:p>
    <w:p w:rsidR="00BF744C" w:rsidRPr="00C1694A" w:rsidRDefault="00BF744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general, commenters supported strengthening mental health consultation in Head Start, but suggested ways to improve the standards to ensure a clear understanding of the importance of mental health, the qualifications of a mental health consultant, and the role that the mental health consultant </w:t>
      </w:r>
      <w:r w:rsidR="005D11AA" w:rsidRPr="00C1694A">
        <w:rPr>
          <w:rFonts w:ascii="Times New Roman" w:hAnsi="Times New Roman" w:cs="Times New Roman"/>
          <w:sz w:val="24"/>
          <w:szCs w:val="24"/>
        </w:rPr>
        <w:t>plays</w:t>
      </w:r>
      <w:r w:rsidRPr="00C1694A">
        <w:rPr>
          <w:rFonts w:ascii="Times New Roman" w:hAnsi="Times New Roman" w:cs="Times New Roman"/>
          <w:sz w:val="24"/>
          <w:szCs w:val="24"/>
        </w:rPr>
        <w:t xml:space="preserve"> in improving programs’ ability to address mental health problems, including challenging behaviors. We address these and other comments below and describe changes </w:t>
      </w:r>
      <w:r w:rsidR="002F5A16" w:rsidRPr="00C1694A">
        <w:rPr>
          <w:rFonts w:ascii="Times New Roman" w:hAnsi="Times New Roman" w:cs="Times New Roman"/>
          <w:sz w:val="24"/>
          <w:szCs w:val="24"/>
        </w:rPr>
        <w:t xml:space="preserve">we </w:t>
      </w:r>
      <w:r w:rsidR="00722FEF" w:rsidRPr="00C1694A">
        <w:rPr>
          <w:rFonts w:ascii="Times New Roman" w:hAnsi="Times New Roman" w:cs="Times New Roman"/>
          <w:sz w:val="24"/>
          <w:szCs w:val="24"/>
        </w:rPr>
        <w:t xml:space="preserve">made </w:t>
      </w:r>
      <w:r w:rsidRPr="00C1694A">
        <w:rPr>
          <w:rFonts w:ascii="Times New Roman" w:hAnsi="Times New Roman" w:cs="Times New Roman"/>
          <w:sz w:val="24"/>
          <w:szCs w:val="24"/>
        </w:rPr>
        <w:t>to this section</w:t>
      </w:r>
      <w:r w:rsidR="002F460E" w:rsidRPr="00C1694A">
        <w:rPr>
          <w:rFonts w:ascii="Times New Roman" w:hAnsi="Times New Roman" w:cs="Times New Roman"/>
          <w:sz w:val="24"/>
          <w:szCs w:val="24"/>
        </w:rPr>
        <w:t xml:space="preserve"> </w:t>
      </w:r>
      <w:r w:rsidRPr="00C1694A">
        <w:rPr>
          <w:rFonts w:ascii="Times New Roman" w:hAnsi="Times New Roman" w:cs="Times New Roman"/>
          <w:sz w:val="24"/>
          <w:szCs w:val="24"/>
        </w:rPr>
        <w:t>to ensure</w:t>
      </w:r>
      <w:r w:rsidR="00722FEF" w:rsidRPr="00C1694A">
        <w:rPr>
          <w:rFonts w:ascii="Times New Roman" w:hAnsi="Times New Roman" w:cs="Times New Roman"/>
          <w:sz w:val="24"/>
          <w:szCs w:val="24"/>
        </w:rPr>
        <w:t xml:space="preserve"> that</w:t>
      </w:r>
      <w:r w:rsidRPr="00C1694A">
        <w:rPr>
          <w:rFonts w:ascii="Times New Roman" w:hAnsi="Times New Roman" w:cs="Times New Roman"/>
          <w:sz w:val="24"/>
          <w:szCs w:val="24"/>
        </w:rPr>
        <w:t xml:space="preserve"> program</w:t>
      </w:r>
      <w:r w:rsidR="00722FEF" w:rsidRPr="00C1694A">
        <w:rPr>
          <w:rFonts w:ascii="Times New Roman" w:hAnsi="Times New Roman" w:cs="Times New Roman"/>
          <w:sz w:val="24"/>
          <w:szCs w:val="24"/>
        </w:rPr>
        <w:t>s have th</w:t>
      </w:r>
      <w:r w:rsidR="00D94387" w:rsidRPr="00C1694A">
        <w:rPr>
          <w:rFonts w:ascii="Times New Roman" w:hAnsi="Times New Roman" w:cs="Times New Roman"/>
          <w:sz w:val="24"/>
          <w:szCs w:val="24"/>
        </w:rPr>
        <w:t>e tools to successfully promote</w:t>
      </w:r>
      <w:r w:rsidRPr="00C1694A">
        <w:rPr>
          <w:rFonts w:ascii="Times New Roman" w:hAnsi="Times New Roman" w:cs="Times New Roman"/>
          <w:sz w:val="24"/>
          <w:szCs w:val="24"/>
        </w:rPr>
        <w:t xml:space="preserve"> </w:t>
      </w:r>
      <w:r w:rsidR="00722FEF" w:rsidRPr="00C1694A">
        <w:rPr>
          <w:rFonts w:ascii="Times New Roman" w:hAnsi="Times New Roman" w:cs="Times New Roman"/>
          <w:sz w:val="24"/>
          <w:szCs w:val="24"/>
        </w:rPr>
        <w:t xml:space="preserve">the mental health and </w:t>
      </w:r>
      <w:r w:rsidRPr="00C1694A">
        <w:rPr>
          <w:rFonts w:ascii="Times New Roman" w:hAnsi="Times New Roman" w:cs="Times New Roman"/>
          <w:sz w:val="24"/>
          <w:szCs w:val="24"/>
        </w:rPr>
        <w:t>social and emotional well-being of all children</w:t>
      </w:r>
      <w:r w:rsidR="00722FEF" w:rsidRPr="00C1694A">
        <w:rPr>
          <w:rFonts w:ascii="Times New Roman" w:hAnsi="Times New Roman" w:cs="Times New Roman"/>
          <w:sz w:val="24"/>
          <w:szCs w:val="24"/>
        </w:rPr>
        <w:t>.</w:t>
      </w:r>
    </w:p>
    <w:p w:rsidR="00BF744C" w:rsidRPr="00C1694A" w:rsidRDefault="00BF744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suggested </w:t>
      </w:r>
      <w:r w:rsidR="00722FEF" w:rsidRPr="00C1694A">
        <w:rPr>
          <w:rFonts w:ascii="Times New Roman" w:hAnsi="Times New Roman" w:cs="Times New Roman"/>
          <w:sz w:val="24"/>
          <w:szCs w:val="24"/>
        </w:rPr>
        <w:t xml:space="preserve">we refer </w:t>
      </w:r>
      <w:r w:rsidRPr="00C1694A">
        <w:rPr>
          <w:rFonts w:ascii="Times New Roman" w:hAnsi="Times New Roman" w:cs="Times New Roman"/>
          <w:sz w:val="24"/>
          <w:szCs w:val="24"/>
        </w:rPr>
        <w:t xml:space="preserve">to social-emotional well-being rather than “child mental health” to reduce </w:t>
      </w:r>
      <w:r w:rsidR="005D11AA" w:rsidRPr="00C1694A">
        <w:rPr>
          <w:rFonts w:ascii="Times New Roman" w:hAnsi="Times New Roman" w:cs="Times New Roman"/>
          <w:sz w:val="24"/>
          <w:szCs w:val="24"/>
        </w:rPr>
        <w:t xml:space="preserve">the prejudice and discrimination </w:t>
      </w:r>
      <w:r w:rsidRPr="00C1694A">
        <w:rPr>
          <w:rFonts w:ascii="Times New Roman" w:hAnsi="Times New Roman" w:cs="Times New Roman"/>
          <w:sz w:val="24"/>
          <w:szCs w:val="24"/>
        </w:rPr>
        <w:t xml:space="preserve"> around mental health services and improve parent and staff understanding of </w:t>
      </w:r>
      <w:r w:rsidR="00722FEF" w:rsidRPr="00C1694A">
        <w:rPr>
          <w:rFonts w:ascii="Times New Roman" w:hAnsi="Times New Roman" w:cs="Times New Roman"/>
          <w:sz w:val="24"/>
          <w:szCs w:val="24"/>
        </w:rPr>
        <w:t>what mental health means for children</w:t>
      </w:r>
      <w:r w:rsidRPr="00C1694A">
        <w:rPr>
          <w:rFonts w:ascii="Times New Roman" w:hAnsi="Times New Roman" w:cs="Times New Roman"/>
          <w:sz w:val="24"/>
          <w:szCs w:val="24"/>
        </w:rPr>
        <w:t xml:space="preserve">. </w:t>
      </w:r>
    </w:p>
    <w:p w:rsidR="00BF744C" w:rsidRPr="00C1694A" w:rsidRDefault="00BF744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and revised the title of this section as well as the requirements throughout to more accurately mirror how the field of early childhood discusses children’s mental health and behavior</w:t>
      </w:r>
      <w:r w:rsidR="00444261" w:rsidRPr="00C1694A">
        <w:rPr>
          <w:rFonts w:ascii="Times New Roman" w:hAnsi="Times New Roman" w:cs="Times New Roman"/>
          <w:sz w:val="24"/>
          <w:szCs w:val="24"/>
        </w:rPr>
        <w:t xml:space="preserve"> </w:t>
      </w:r>
      <w:r w:rsidR="00444261" w:rsidRPr="00C1694A">
        <w:rPr>
          <w:rFonts w:ascii="Times New Roman" w:eastAsia="Times New Roman" w:hAnsi="Times New Roman" w:cs="Times New Roman"/>
          <w:bCs/>
          <w:sz w:val="24"/>
          <w:szCs w:val="24"/>
        </w:rPr>
        <w:t>by more broadly defining child mental health and social and emotional well-being</w:t>
      </w:r>
      <w:r w:rsidRPr="00C1694A">
        <w:rPr>
          <w:rFonts w:ascii="Times New Roman" w:hAnsi="Times New Roman" w:cs="Times New Roman"/>
          <w:sz w:val="24"/>
          <w:szCs w:val="24"/>
        </w:rPr>
        <w:t xml:space="preserve">.  </w:t>
      </w:r>
    </w:p>
    <w:p w:rsidR="00BD446E" w:rsidRPr="00C1694A" w:rsidRDefault="00BF744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requested clarification </w:t>
      </w:r>
      <w:r w:rsidR="00BD446E" w:rsidRPr="00C1694A">
        <w:rPr>
          <w:rFonts w:ascii="Times New Roman" w:hAnsi="Times New Roman" w:cs="Times New Roman"/>
          <w:sz w:val="24"/>
          <w:szCs w:val="24"/>
        </w:rPr>
        <w:t xml:space="preserve">about </w:t>
      </w:r>
      <w:r w:rsidR="007A7BB0" w:rsidRPr="00C1694A">
        <w:rPr>
          <w:rFonts w:ascii="Times New Roman" w:hAnsi="Times New Roman" w:cs="Times New Roman"/>
          <w:sz w:val="24"/>
          <w:szCs w:val="24"/>
        </w:rPr>
        <w:t xml:space="preserve">who can serve as mental health consultants and </w:t>
      </w:r>
      <w:r w:rsidR="00BD446E" w:rsidRPr="00C1694A">
        <w:rPr>
          <w:rFonts w:ascii="Times New Roman" w:hAnsi="Times New Roman" w:cs="Times New Roman"/>
          <w:sz w:val="24"/>
          <w:szCs w:val="24"/>
        </w:rPr>
        <w:t xml:space="preserve">the role of </w:t>
      </w:r>
      <w:r w:rsidRPr="00C1694A">
        <w:rPr>
          <w:rFonts w:ascii="Times New Roman" w:hAnsi="Times New Roman" w:cs="Times New Roman"/>
          <w:sz w:val="24"/>
          <w:szCs w:val="24"/>
        </w:rPr>
        <w:t xml:space="preserve">mental health </w:t>
      </w:r>
      <w:r w:rsidR="00BD446E" w:rsidRPr="00C1694A">
        <w:rPr>
          <w:rFonts w:ascii="Times New Roman" w:hAnsi="Times New Roman" w:cs="Times New Roman"/>
          <w:sz w:val="24"/>
          <w:szCs w:val="24"/>
        </w:rPr>
        <w:t xml:space="preserve">consultants in the program.  For example, commenters asked about </w:t>
      </w:r>
      <w:r w:rsidRPr="00C1694A">
        <w:rPr>
          <w:rFonts w:ascii="Times New Roman" w:hAnsi="Times New Roman" w:cs="Times New Roman"/>
          <w:sz w:val="24"/>
          <w:szCs w:val="24"/>
        </w:rPr>
        <w:t xml:space="preserve">the necessary qualifications of mental health consultants and the amount of time mental health consultants must spend in the program. Commenters </w:t>
      </w:r>
      <w:r w:rsidR="00BD446E" w:rsidRPr="00C1694A">
        <w:rPr>
          <w:rFonts w:ascii="Times New Roman" w:hAnsi="Times New Roman" w:cs="Times New Roman"/>
          <w:sz w:val="24"/>
          <w:szCs w:val="24"/>
        </w:rPr>
        <w:t xml:space="preserve">also </w:t>
      </w:r>
      <w:r w:rsidRPr="00C1694A">
        <w:rPr>
          <w:rFonts w:ascii="Times New Roman" w:hAnsi="Times New Roman" w:cs="Times New Roman"/>
          <w:sz w:val="24"/>
          <w:szCs w:val="24"/>
        </w:rPr>
        <w:t xml:space="preserve">noted a shortage of mental health </w:t>
      </w:r>
      <w:r w:rsidR="00B76388" w:rsidRPr="00C1694A">
        <w:rPr>
          <w:rFonts w:ascii="Times New Roman" w:hAnsi="Times New Roman" w:cs="Times New Roman"/>
          <w:sz w:val="24"/>
          <w:szCs w:val="24"/>
        </w:rPr>
        <w:t>consultants</w:t>
      </w:r>
      <w:r w:rsidRPr="00C1694A">
        <w:rPr>
          <w:rFonts w:ascii="Times New Roman" w:hAnsi="Times New Roman" w:cs="Times New Roman"/>
          <w:sz w:val="24"/>
          <w:szCs w:val="24"/>
        </w:rPr>
        <w:t xml:space="preserve"> who are licensed, particularly in rural and tribal areas, and suggested sharing best practice information about effective mental health consultation in such programs.   </w:t>
      </w:r>
      <w:r w:rsidR="00AC4618" w:rsidRPr="00C1694A">
        <w:rPr>
          <w:rFonts w:ascii="Times New Roman" w:hAnsi="Times New Roman" w:cs="Times New Roman"/>
          <w:sz w:val="24"/>
          <w:szCs w:val="24"/>
        </w:rPr>
        <w:t xml:space="preserve">Some </w:t>
      </w:r>
      <w:r w:rsidR="00BD446E" w:rsidRPr="00C1694A">
        <w:rPr>
          <w:rFonts w:ascii="Times New Roman" w:hAnsi="Times New Roman" w:cs="Times New Roman"/>
          <w:sz w:val="24"/>
          <w:szCs w:val="24"/>
        </w:rPr>
        <w:t xml:space="preserve">commenters misinterpreted this section to remove requirements for programs to use mental health consultants and were in favor of only utilizing mental health consultants on an as-needed basis. Other commenters suggested that additional funds would be needed to implement these standards.  </w:t>
      </w:r>
    </w:p>
    <w:p w:rsidR="00BD446E" w:rsidRPr="00C1694A" w:rsidRDefault="00BF744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it is important for programs to understand the importance of mental health and the role of mental health consultants in promoting the well</w:t>
      </w:r>
      <w:r w:rsidR="002F460E" w:rsidRPr="00C1694A">
        <w:rPr>
          <w:rFonts w:ascii="Times New Roman" w:hAnsi="Times New Roman" w:cs="Times New Roman"/>
          <w:sz w:val="24"/>
          <w:szCs w:val="24"/>
        </w:rPr>
        <w:t>-</w:t>
      </w:r>
      <w:r w:rsidRPr="00C1694A">
        <w:rPr>
          <w:rFonts w:ascii="Times New Roman" w:hAnsi="Times New Roman" w:cs="Times New Roman"/>
          <w:sz w:val="24"/>
          <w:szCs w:val="24"/>
        </w:rPr>
        <w:t>being of Head Start children. We revised this section to include that programs must ensure mental health consultants assist the program, staff and parents and clarified how programs must support a culture of promoting children’s mental health and social and emotional well-being. We clarified the qualifications of mental health consultants in §1302.91(e)(8)(ii). We understand that</w:t>
      </w:r>
      <w:r w:rsidR="007A7BB0" w:rsidRPr="00C1694A">
        <w:rPr>
          <w:rFonts w:ascii="Times New Roman" w:hAnsi="Times New Roman" w:cs="Times New Roman"/>
          <w:sz w:val="24"/>
          <w:szCs w:val="24"/>
        </w:rPr>
        <w:t xml:space="preserve"> access to</w:t>
      </w:r>
      <w:r w:rsidRPr="00C1694A">
        <w:rPr>
          <w:rFonts w:ascii="Times New Roman" w:hAnsi="Times New Roman" w:cs="Times New Roman"/>
          <w:sz w:val="24"/>
          <w:szCs w:val="24"/>
        </w:rPr>
        <w:t xml:space="preserve"> mental health consultants</w:t>
      </w:r>
      <w:r w:rsidR="007A7BB0" w:rsidRPr="00C1694A">
        <w:rPr>
          <w:rFonts w:ascii="Times New Roman" w:hAnsi="Times New Roman" w:cs="Times New Roman"/>
          <w:sz w:val="24"/>
          <w:szCs w:val="24"/>
        </w:rPr>
        <w:t>, particularly those</w:t>
      </w:r>
      <w:r w:rsidRPr="00C1694A">
        <w:rPr>
          <w:rFonts w:ascii="Times New Roman" w:hAnsi="Times New Roman" w:cs="Times New Roman"/>
          <w:sz w:val="24"/>
          <w:szCs w:val="24"/>
        </w:rPr>
        <w:t xml:space="preserve"> with knowledge and ex</w:t>
      </w:r>
      <w:r w:rsidR="007A7BB0" w:rsidRPr="00C1694A">
        <w:rPr>
          <w:rFonts w:ascii="Times New Roman" w:hAnsi="Times New Roman" w:cs="Times New Roman"/>
          <w:sz w:val="24"/>
          <w:szCs w:val="24"/>
        </w:rPr>
        <w:t xml:space="preserve">perience serving young children, </w:t>
      </w:r>
      <w:r w:rsidRPr="00C1694A">
        <w:rPr>
          <w:rFonts w:ascii="Times New Roman" w:hAnsi="Times New Roman" w:cs="Times New Roman"/>
          <w:sz w:val="24"/>
          <w:szCs w:val="24"/>
        </w:rPr>
        <w:t>may not be available in all communities</w:t>
      </w:r>
      <w:r w:rsidR="007A7BB0" w:rsidRPr="00C1694A">
        <w:rPr>
          <w:rFonts w:ascii="Times New Roman" w:hAnsi="Times New Roman" w:cs="Times New Roman"/>
          <w:sz w:val="24"/>
          <w:szCs w:val="24"/>
        </w:rPr>
        <w:t xml:space="preserve">, and that there may be a particular struggle in tribal and rural areas, but we believe access to mental health consultants in all programs is critically important.  In order to acknowledge this difficulty, we </w:t>
      </w:r>
      <w:r w:rsidR="00EC39CC" w:rsidRPr="00C1694A">
        <w:rPr>
          <w:rFonts w:ascii="Times New Roman" w:hAnsi="Times New Roman" w:cs="Times New Roman"/>
          <w:sz w:val="24"/>
          <w:szCs w:val="24"/>
        </w:rPr>
        <w:t xml:space="preserve">only require </w:t>
      </w:r>
      <w:r w:rsidRPr="00C1694A">
        <w:rPr>
          <w:rFonts w:ascii="Times New Roman" w:hAnsi="Times New Roman" w:cs="Times New Roman"/>
          <w:sz w:val="24"/>
          <w:szCs w:val="24"/>
        </w:rPr>
        <w:t xml:space="preserve">knowledge and experience </w:t>
      </w:r>
      <w:r w:rsidR="00EC39CC" w:rsidRPr="00C1694A">
        <w:rPr>
          <w:rFonts w:ascii="Times New Roman" w:hAnsi="Times New Roman" w:cs="Times New Roman"/>
          <w:sz w:val="24"/>
          <w:szCs w:val="24"/>
        </w:rPr>
        <w:t xml:space="preserve">working with young children </w:t>
      </w:r>
      <w:r w:rsidRPr="00C1694A">
        <w:rPr>
          <w:rFonts w:ascii="Times New Roman" w:hAnsi="Times New Roman" w:cs="Times New Roman"/>
          <w:sz w:val="24"/>
          <w:szCs w:val="24"/>
        </w:rPr>
        <w:t xml:space="preserve">if </w:t>
      </w:r>
      <w:r w:rsidR="00EC39CC" w:rsidRPr="00C1694A">
        <w:rPr>
          <w:rFonts w:ascii="Times New Roman" w:hAnsi="Times New Roman" w:cs="Times New Roman"/>
          <w:sz w:val="24"/>
          <w:szCs w:val="24"/>
        </w:rPr>
        <w:t xml:space="preserve">consultants with </w:t>
      </w:r>
      <w:r w:rsidR="005D11AA" w:rsidRPr="00C1694A">
        <w:rPr>
          <w:rFonts w:ascii="Times New Roman" w:hAnsi="Times New Roman" w:cs="Times New Roman"/>
          <w:sz w:val="24"/>
          <w:szCs w:val="24"/>
        </w:rPr>
        <w:t>this knowledge and experience</w:t>
      </w:r>
      <w:r w:rsidRPr="00C1694A">
        <w:rPr>
          <w:rFonts w:ascii="Times New Roman" w:hAnsi="Times New Roman" w:cs="Times New Roman"/>
          <w:sz w:val="24"/>
          <w:szCs w:val="24"/>
        </w:rPr>
        <w:t xml:space="preserve"> are available in the community.  </w:t>
      </w:r>
    </w:p>
    <w:p w:rsidR="00DF78DC" w:rsidRPr="00C1694A" w:rsidRDefault="00BD446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To address the </w:t>
      </w:r>
      <w:r w:rsidR="002F5A16" w:rsidRPr="00C1694A">
        <w:rPr>
          <w:rFonts w:ascii="Times New Roman" w:hAnsi="Times New Roman" w:cs="Times New Roman"/>
          <w:sz w:val="24"/>
          <w:szCs w:val="24"/>
        </w:rPr>
        <w:t xml:space="preserve">level of </w:t>
      </w:r>
      <w:r w:rsidRPr="00C1694A">
        <w:rPr>
          <w:rFonts w:ascii="Times New Roman" w:hAnsi="Times New Roman" w:cs="Times New Roman"/>
          <w:sz w:val="24"/>
          <w:szCs w:val="24"/>
        </w:rPr>
        <w:t>utilization of mental health consultants, w</w:t>
      </w:r>
      <w:r w:rsidR="00BF744C" w:rsidRPr="00C1694A">
        <w:rPr>
          <w:rFonts w:ascii="Times New Roman" w:hAnsi="Times New Roman" w:cs="Times New Roman"/>
          <w:sz w:val="24"/>
          <w:szCs w:val="24"/>
        </w:rPr>
        <w:t xml:space="preserve">e revised paragraph (a)(2) to </w:t>
      </w:r>
      <w:r w:rsidRPr="00C1694A">
        <w:rPr>
          <w:rFonts w:ascii="Times New Roman" w:hAnsi="Times New Roman" w:cs="Times New Roman"/>
          <w:sz w:val="24"/>
          <w:szCs w:val="24"/>
        </w:rPr>
        <w:t>reinstate the requirement from the previous regulation</w:t>
      </w:r>
      <w:r w:rsidR="00BF744C" w:rsidRPr="00C1694A">
        <w:rPr>
          <w:rFonts w:ascii="Times New Roman" w:hAnsi="Times New Roman" w:cs="Times New Roman"/>
          <w:sz w:val="24"/>
          <w:szCs w:val="24"/>
        </w:rPr>
        <w:t xml:space="preserve"> that a program must “secure mental health consultation services on a schedule of sufficient and consistent frequency.”  We also clarified that programs must ensure that mental health consultants</w:t>
      </w:r>
      <w:r w:rsidR="00416BA1" w:rsidRPr="00C1694A">
        <w:rPr>
          <w:rFonts w:ascii="Times New Roman" w:hAnsi="Times New Roman" w:cs="Times New Roman"/>
          <w:sz w:val="24"/>
          <w:szCs w:val="24"/>
        </w:rPr>
        <w:t xml:space="preserve"> are available to partner with staff and families in a timely and effective manner</w:t>
      </w:r>
      <w:r w:rsidR="00BF744C" w:rsidRPr="00C1694A">
        <w:rPr>
          <w:rFonts w:ascii="Times New Roman" w:hAnsi="Times New Roman" w:cs="Times New Roman"/>
          <w:sz w:val="24"/>
          <w:szCs w:val="24"/>
        </w:rPr>
        <w:t xml:space="preserve">. </w:t>
      </w:r>
      <w:r w:rsidR="00416BA1" w:rsidRPr="00C1694A">
        <w:rPr>
          <w:rFonts w:ascii="Times New Roman" w:hAnsi="Times New Roman" w:cs="Times New Roman"/>
          <w:sz w:val="24"/>
          <w:szCs w:val="24"/>
        </w:rPr>
        <w:t>Additionally, t</w:t>
      </w:r>
      <w:r w:rsidR="00416BA1" w:rsidRPr="00C1694A" w:rsidDel="00416BA1">
        <w:rPr>
          <w:rFonts w:ascii="Times New Roman" w:hAnsi="Times New Roman" w:cs="Times New Roman"/>
          <w:sz w:val="24"/>
          <w:szCs w:val="24"/>
        </w:rPr>
        <w:t xml:space="preserve">o improve clarity, we added a new paragraph (b)(6) to reference the use of mental health consultants as required in §1302.17.  </w:t>
      </w:r>
      <w:r w:rsidRPr="00C1694A">
        <w:rPr>
          <w:rFonts w:ascii="Times New Roman" w:hAnsi="Times New Roman" w:cs="Times New Roman"/>
          <w:sz w:val="24"/>
          <w:szCs w:val="24"/>
        </w:rPr>
        <w:t xml:space="preserve">While we understand the concerns some commenters describe related to cost, Head Start has a long-standing history of using mental health consultants who are certified and licensed and </w:t>
      </w:r>
      <w:r w:rsidR="007A7BB0" w:rsidRPr="00C1694A">
        <w:rPr>
          <w:rFonts w:ascii="Times New Roman" w:hAnsi="Times New Roman" w:cs="Times New Roman"/>
          <w:sz w:val="24"/>
          <w:szCs w:val="24"/>
        </w:rPr>
        <w:t xml:space="preserve">we </w:t>
      </w:r>
      <w:r w:rsidRPr="00C1694A">
        <w:rPr>
          <w:rFonts w:ascii="Times New Roman" w:hAnsi="Times New Roman" w:cs="Times New Roman"/>
          <w:sz w:val="24"/>
          <w:szCs w:val="24"/>
        </w:rPr>
        <w:t xml:space="preserve">expect programs to meet these requirements </w:t>
      </w:r>
      <w:r w:rsidR="00416BA1" w:rsidRPr="00C1694A">
        <w:rPr>
          <w:rFonts w:ascii="Times New Roman" w:hAnsi="Times New Roman" w:cs="Times New Roman"/>
          <w:sz w:val="24"/>
          <w:szCs w:val="24"/>
        </w:rPr>
        <w:t>within their existing budgets</w:t>
      </w:r>
      <w:r w:rsidR="005D11AA" w:rsidRPr="00C1694A">
        <w:rPr>
          <w:rFonts w:ascii="Times New Roman" w:hAnsi="Times New Roman" w:cs="Times New Roman"/>
          <w:sz w:val="24"/>
          <w:szCs w:val="24"/>
        </w:rPr>
        <w:t xml:space="preserve"> and may use a variety of strategies, including the use of technology, when capacity is an issue.</w:t>
      </w:r>
    </w:p>
    <w:p w:rsidR="00CB27C1" w:rsidRPr="00C1694A" w:rsidRDefault="00CB27C1"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recommended that the standards be revised to require parental consent for consultation.</w:t>
      </w:r>
    </w:p>
    <w:p w:rsidR="00CB27C1" w:rsidRPr="00C1694A" w:rsidRDefault="00CB27C1"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To help normalize the mental health consultation process and reduce</w:t>
      </w:r>
      <w:r w:rsidR="005D11AA" w:rsidRPr="00C1694A">
        <w:rPr>
          <w:rFonts w:ascii="Times New Roman" w:hAnsi="Times New Roman" w:cs="Times New Roman"/>
          <w:sz w:val="24"/>
          <w:szCs w:val="24"/>
        </w:rPr>
        <w:t xml:space="preserve"> prejudice and discrimination</w:t>
      </w:r>
      <w:r w:rsidRPr="00C1694A">
        <w:rPr>
          <w:rFonts w:ascii="Times New Roman" w:hAnsi="Times New Roman" w:cs="Times New Roman"/>
          <w:sz w:val="24"/>
          <w:szCs w:val="24"/>
        </w:rPr>
        <w:t xml:space="preserve"> around use of mental health consultants, we revised paragraph (a)(3) to require programs to obtain parental consent for mental health consultation services when they enroll children in the program.</w:t>
      </w:r>
    </w:p>
    <w:p w:rsidR="003B602D" w:rsidRPr="00C1694A" w:rsidRDefault="003B602D"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suggested </w:t>
      </w:r>
      <w:r w:rsidR="00CB27C1" w:rsidRPr="00C1694A">
        <w:rPr>
          <w:rFonts w:ascii="Times New Roman" w:hAnsi="Times New Roman" w:cs="Times New Roman"/>
          <w:sz w:val="24"/>
          <w:szCs w:val="24"/>
        </w:rPr>
        <w:t>we add</w:t>
      </w:r>
      <w:r w:rsidRPr="00C1694A">
        <w:rPr>
          <w:rFonts w:ascii="Times New Roman" w:hAnsi="Times New Roman" w:cs="Times New Roman"/>
          <w:sz w:val="24"/>
          <w:szCs w:val="24"/>
        </w:rPr>
        <w:t xml:space="preserve"> specific strategies for addressing mental health issues and challenging behaviors, including home visits, Applied Behavior Analysis, and trauma-informed care.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w:t>
      </w:r>
      <w:r w:rsidR="00CB27C1" w:rsidRPr="00C1694A">
        <w:rPr>
          <w:rFonts w:ascii="Times New Roman" w:hAnsi="Times New Roman" w:cs="Times New Roman"/>
          <w:sz w:val="24"/>
          <w:szCs w:val="24"/>
        </w:rPr>
        <w:t>we require programs</w:t>
      </w:r>
      <w:r w:rsidRPr="00C1694A">
        <w:rPr>
          <w:rFonts w:ascii="Times New Roman" w:hAnsi="Times New Roman" w:cs="Times New Roman"/>
          <w:sz w:val="24"/>
          <w:szCs w:val="24"/>
        </w:rPr>
        <w:t xml:space="preserve"> track and evaluate mental and behavioral health practices in programs.</w:t>
      </w:r>
    </w:p>
    <w:p w:rsidR="003B602D" w:rsidRPr="00C1694A" w:rsidRDefault="003B602D"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While we agree that these strategies </w:t>
      </w:r>
      <w:r w:rsidR="00CB27C1" w:rsidRPr="00C1694A">
        <w:rPr>
          <w:rFonts w:ascii="Times New Roman" w:hAnsi="Times New Roman" w:cs="Times New Roman"/>
          <w:sz w:val="24"/>
          <w:szCs w:val="24"/>
        </w:rPr>
        <w:t>can</w:t>
      </w:r>
      <w:r w:rsidRPr="00C1694A">
        <w:rPr>
          <w:rFonts w:ascii="Times New Roman" w:hAnsi="Times New Roman" w:cs="Times New Roman"/>
          <w:sz w:val="24"/>
          <w:szCs w:val="24"/>
        </w:rPr>
        <w:t xml:space="preserve"> be effective in supporting children with behavioral and mental health problems, we think it is important to give programs flexibility to address individual child needs in the most appropriate way.  Therefore</w:t>
      </w:r>
      <w:r w:rsidR="00CB27C1" w:rsidRPr="00C1694A">
        <w:rPr>
          <w:rFonts w:ascii="Times New Roman" w:hAnsi="Times New Roman" w:cs="Times New Roman"/>
          <w:sz w:val="24"/>
          <w:szCs w:val="24"/>
        </w:rPr>
        <w:t>,</w:t>
      </w:r>
      <w:r w:rsidRPr="00C1694A">
        <w:rPr>
          <w:rFonts w:ascii="Times New Roman" w:hAnsi="Times New Roman" w:cs="Times New Roman"/>
          <w:sz w:val="24"/>
          <w:szCs w:val="24"/>
        </w:rPr>
        <w:t xml:space="preserve"> we do not prescribe specific practices or strategies, but have </w:t>
      </w:r>
      <w:r w:rsidR="002F5A16" w:rsidRPr="00C1694A">
        <w:rPr>
          <w:rFonts w:ascii="Times New Roman" w:hAnsi="Times New Roman" w:cs="Times New Roman"/>
          <w:sz w:val="24"/>
          <w:szCs w:val="24"/>
        </w:rPr>
        <w:t xml:space="preserve">revised </w:t>
      </w:r>
      <w:r w:rsidRPr="00C1694A">
        <w:rPr>
          <w:rFonts w:ascii="Times New Roman" w:hAnsi="Times New Roman" w:cs="Times New Roman"/>
          <w:sz w:val="24"/>
          <w:szCs w:val="24"/>
        </w:rPr>
        <w:t xml:space="preserve">paragraph (b)(1) to </w:t>
      </w:r>
      <w:r w:rsidR="005624BB" w:rsidRPr="00C1694A">
        <w:rPr>
          <w:rFonts w:ascii="Times New Roman" w:hAnsi="Times New Roman" w:cs="Times New Roman"/>
          <w:sz w:val="24"/>
          <w:szCs w:val="24"/>
        </w:rPr>
        <w:t xml:space="preserve">reflect the concept in paragraph (a) that </w:t>
      </w:r>
      <w:r w:rsidRPr="00C1694A">
        <w:rPr>
          <w:rFonts w:ascii="Times New Roman" w:hAnsi="Times New Roman" w:cs="Times New Roman"/>
          <w:sz w:val="24"/>
          <w:szCs w:val="24"/>
        </w:rPr>
        <w:t xml:space="preserve">programs </w:t>
      </w:r>
      <w:r w:rsidR="005624BB" w:rsidRPr="00C1694A">
        <w:rPr>
          <w:rFonts w:ascii="Times New Roman" w:hAnsi="Times New Roman" w:cs="Times New Roman"/>
          <w:sz w:val="24"/>
          <w:szCs w:val="24"/>
        </w:rPr>
        <w:t>must</w:t>
      </w:r>
      <w:r w:rsidRPr="00C1694A">
        <w:rPr>
          <w:rFonts w:ascii="Times New Roman" w:hAnsi="Times New Roman" w:cs="Times New Roman"/>
          <w:sz w:val="24"/>
          <w:szCs w:val="24"/>
        </w:rPr>
        <w:t xml:space="preserve"> implement strategies to identify and support children with mental health and social and emotional concerns</w:t>
      </w:r>
      <w:r w:rsidR="005D11AA" w:rsidRPr="00C1694A">
        <w:rPr>
          <w:rFonts w:ascii="Times New Roman" w:hAnsi="Times New Roman" w:cs="Times New Roman"/>
          <w:sz w:val="24"/>
          <w:szCs w:val="24"/>
        </w:rPr>
        <w:t xml:space="preserve"> and their families</w:t>
      </w:r>
      <w:r w:rsidRPr="00C1694A">
        <w:rPr>
          <w:rFonts w:ascii="Times New Roman" w:hAnsi="Times New Roman" w:cs="Times New Roman"/>
          <w:sz w:val="24"/>
          <w:szCs w:val="24"/>
        </w:rPr>
        <w:t xml:space="preserve">. </w:t>
      </w:r>
    </w:p>
    <w:p w:rsidR="00D743EA" w:rsidRPr="00C1694A" w:rsidRDefault="00D743EA"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w:t>
      </w:r>
      <w:r w:rsidR="005624BB" w:rsidRPr="00C1694A">
        <w:rPr>
          <w:rFonts w:ascii="Times New Roman" w:hAnsi="Times New Roman" w:cs="Times New Roman"/>
          <w:sz w:val="24"/>
          <w:szCs w:val="24"/>
        </w:rPr>
        <w:t>s</w:t>
      </w:r>
      <w:r w:rsidRPr="00C1694A">
        <w:rPr>
          <w:rFonts w:ascii="Times New Roman" w:hAnsi="Times New Roman" w:cs="Times New Roman"/>
          <w:sz w:val="24"/>
          <w:szCs w:val="24"/>
        </w:rPr>
        <w:t xml:space="preserve"> recommended the inclusion of mental health services within the context of home visiting or family child care options so that these services will be more effectively integrated throughout various program settings.</w:t>
      </w:r>
    </w:p>
    <w:p w:rsidR="00D743EA" w:rsidRPr="00C1694A" w:rsidRDefault="00D743EA"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w:t>
      </w:r>
      <w:r w:rsidR="005D11AA" w:rsidRPr="00C1694A">
        <w:rPr>
          <w:rFonts w:ascii="Times New Roman" w:hAnsi="Times New Roman" w:cs="Times New Roman"/>
          <w:sz w:val="24"/>
          <w:szCs w:val="24"/>
        </w:rPr>
        <w:t xml:space="preserve">that </w:t>
      </w:r>
      <w:r w:rsidR="005624BB" w:rsidRPr="00C1694A">
        <w:rPr>
          <w:rFonts w:ascii="Times New Roman" w:hAnsi="Times New Roman" w:cs="Times New Roman"/>
          <w:sz w:val="24"/>
          <w:szCs w:val="24"/>
        </w:rPr>
        <w:t xml:space="preserve">mental health consultants should support staff in all Head Start program models and </w:t>
      </w:r>
      <w:r w:rsidRPr="00C1694A">
        <w:rPr>
          <w:rFonts w:ascii="Times New Roman" w:hAnsi="Times New Roman" w:cs="Times New Roman"/>
          <w:sz w:val="24"/>
          <w:szCs w:val="24"/>
        </w:rPr>
        <w:t xml:space="preserve">revised paragraphs (b)(2) and (3) to </w:t>
      </w:r>
      <w:r w:rsidR="005624BB" w:rsidRPr="00C1694A">
        <w:rPr>
          <w:rFonts w:ascii="Times New Roman" w:hAnsi="Times New Roman" w:cs="Times New Roman"/>
          <w:sz w:val="24"/>
          <w:szCs w:val="24"/>
        </w:rPr>
        <w:t>clarify our intent</w:t>
      </w:r>
      <w:r w:rsidRPr="00C1694A">
        <w:rPr>
          <w:rFonts w:ascii="Times New Roman" w:hAnsi="Times New Roman" w:cs="Times New Roman"/>
          <w:sz w:val="24"/>
          <w:szCs w:val="24"/>
        </w:rPr>
        <w:t>.</w:t>
      </w:r>
    </w:p>
    <w:p w:rsidR="00722FEF" w:rsidRPr="00C1694A" w:rsidRDefault="00DF78D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722FEF" w:rsidRPr="00C1694A">
        <w:rPr>
          <w:rFonts w:ascii="Times New Roman" w:hAnsi="Times New Roman" w:cs="Times New Roman"/>
          <w:sz w:val="24"/>
          <w:szCs w:val="24"/>
          <w:u w:val="single"/>
        </w:rPr>
        <w:t>Comment:</w:t>
      </w:r>
      <w:r w:rsidR="00722FEF" w:rsidRPr="00C1694A">
        <w:rPr>
          <w:rFonts w:ascii="Times New Roman" w:hAnsi="Times New Roman" w:cs="Times New Roman"/>
          <w:sz w:val="24"/>
          <w:szCs w:val="24"/>
        </w:rPr>
        <w:t xml:space="preserve"> Commenters further suggested that internalizing or withdrawn behaviors should be explicitly referenced throughout the requirements to broaden the focus of child mental health beyond behaviors that can disrupt class</w:t>
      </w:r>
      <w:r w:rsidR="002450D3" w:rsidRPr="00C1694A">
        <w:rPr>
          <w:rFonts w:ascii="Times New Roman" w:hAnsi="Times New Roman" w:cs="Times New Roman"/>
          <w:sz w:val="24"/>
          <w:szCs w:val="24"/>
        </w:rPr>
        <w:t>e</w:t>
      </w:r>
      <w:r w:rsidR="00722FEF" w:rsidRPr="00C1694A">
        <w:rPr>
          <w:rFonts w:ascii="Times New Roman" w:hAnsi="Times New Roman" w:cs="Times New Roman"/>
          <w:sz w:val="24"/>
          <w:szCs w:val="24"/>
        </w:rPr>
        <w:t>s.  Commenters also noted these problems need to be both identified as well as supported.</w:t>
      </w:r>
    </w:p>
    <w:p w:rsidR="00722FEF" w:rsidRPr="00C1694A" w:rsidRDefault="00722FEF"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also </w:t>
      </w:r>
      <w:r w:rsidR="002F5A16" w:rsidRPr="00C1694A">
        <w:rPr>
          <w:rFonts w:ascii="Times New Roman" w:hAnsi="Times New Roman" w:cs="Times New Roman"/>
          <w:sz w:val="24"/>
          <w:szCs w:val="24"/>
        </w:rPr>
        <w:t xml:space="preserve">added </w:t>
      </w:r>
      <w:r w:rsidRPr="00C1694A">
        <w:rPr>
          <w:rFonts w:ascii="Times New Roman" w:hAnsi="Times New Roman" w:cs="Times New Roman"/>
          <w:sz w:val="24"/>
          <w:szCs w:val="24"/>
        </w:rPr>
        <w:t>paragraph (b)(4) to explicitly include both internalizing and externalizing problems as issues for mental health consultants to assist staff to address.</w:t>
      </w:r>
    </w:p>
    <w:p w:rsidR="00BF744C" w:rsidRPr="00C1694A" w:rsidRDefault="00722FEF"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BF744C" w:rsidRPr="00C1694A">
        <w:rPr>
          <w:rFonts w:ascii="Times New Roman" w:hAnsi="Times New Roman" w:cs="Times New Roman"/>
          <w:sz w:val="24"/>
          <w:szCs w:val="24"/>
          <w:u w:val="single"/>
        </w:rPr>
        <w:t>Comment:</w:t>
      </w:r>
      <w:r w:rsidR="00BF744C" w:rsidRPr="00C1694A">
        <w:rPr>
          <w:rFonts w:ascii="Times New Roman" w:hAnsi="Times New Roman" w:cs="Times New Roman"/>
          <w:sz w:val="24"/>
          <w:szCs w:val="24"/>
        </w:rPr>
        <w:t xml:space="preserve"> Commenters stated that this section does not reflect the important role of parents and parental mental health.</w:t>
      </w:r>
    </w:p>
    <w:p w:rsidR="00BF744C" w:rsidRPr="00C1694A" w:rsidRDefault="00BF744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parents are </w:t>
      </w:r>
      <w:r w:rsidR="005624BB" w:rsidRPr="00C1694A">
        <w:rPr>
          <w:rFonts w:ascii="Times New Roman" w:hAnsi="Times New Roman" w:cs="Times New Roman"/>
          <w:sz w:val="24"/>
          <w:szCs w:val="24"/>
        </w:rPr>
        <w:t>critical to the promotion of</w:t>
      </w:r>
      <w:r w:rsidRPr="00C1694A">
        <w:rPr>
          <w:rFonts w:ascii="Times New Roman" w:hAnsi="Times New Roman" w:cs="Times New Roman"/>
          <w:sz w:val="24"/>
          <w:szCs w:val="24"/>
        </w:rPr>
        <w:t xml:space="preserve"> child mental health and did not intend for the requirements to exclude them. We have added paragraph (b)(5) to </w:t>
      </w:r>
      <w:r w:rsidR="00DF78DC" w:rsidRPr="00C1694A">
        <w:rPr>
          <w:rFonts w:ascii="Times New Roman" w:hAnsi="Times New Roman" w:cs="Times New Roman"/>
          <w:sz w:val="24"/>
          <w:szCs w:val="24"/>
        </w:rPr>
        <w:t xml:space="preserve">explicitly </w:t>
      </w:r>
      <w:r w:rsidRPr="00C1694A">
        <w:rPr>
          <w:rFonts w:ascii="Times New Roman" w:hAnsi="Times New Roman" w:cs="Times New Roman"/>
          <w:sz w:val="24"/>
          <w:szCs w:val="24"/>
        </w:rPr>
        <w:t xml:space="preserve">include parents. </w:t>
      </w:r>
    </w:p>
    <w:p w:rsidR="00BF7E02" w:rsidRPr="00C1694A" w:rsidRDefault="00C615F8"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w:t>
      </w:r>
      <w:r w:rsidR="00BF7E02" w:rsidRPr="00C1694A">
        <w:rPr>
          <w:rFonts w:ascii="Times New Roman" w:hAnsi="Times New Roman" w:cs="Times New Roman"/>
          <w:i/>
          <w:sz w:val="24"/>
          <w:szCs w:val="24"/>
        </w:rPr>
        <w:t xml:space="preserve">1302.46 Family support services for health, nutrition, and mental health. </w:t>
      </w:r>
    </w:p>
    <w:p w:rsidR="00BF7E02" w:rsidRPr="00C1694A" w:rsidRDefault="00BF7E02"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This section includes the requirements that address health education and support services that programs must deliver to families.  </w:t>
      </w:r>
      <w:r w:rsidR="00C615F8" w:rsidRPr="00C1694A">
        <w:rPr>
          <w:rFonts w:ascii="Times New Roman" w:eastAsia="Times New Roman" w:hAnsi="Times New Roman" w:cs="Times New Roman"/>
          <w:bCs/>
          <w:sz w:val="24"/>
          <w:szCs w:val="24"/>
        </w:rPr>
        <w:t xml:space="preserve">It </w:t>
      </w:r>
      <w:r w:rsidRPr="00C1694A">
        <w:rPr>
          <w:rFonts w:ascii="Times New Roman" w:eastAsia="Times New Roman" w:hAnsi="Times New Roman" w:cs="Times New Roman"/>
          <w:bCs/>
          <w:sz w:val="24"/>
          <w:szCs w:val="24"/>
        </w:rPr>
        <w:t>consolidated requirements from the previous rule to improve clarity and transparency.  This section highlight</w:t>
      </w:r>
      <w:r w:rsidR="00C615F8" w:rsidRPr="00C1694A">
        <w:rPr>
          <w:rFonts w:ascii="Times New Roman" w:eastAsia="Times New Roman" w:hAnsi="Times New Roman" w:cs="Times New Roman"/>
          <w:bCs/>
          <w:sz w:val="24"/>
          <w:szCs w:val="24"/>
        </w:rPr>
        <w:t>s</w:t>
      </w:r>
      <w:r w:rsidRPr="00C1694A">
        <w:rPr>
          <w:rFonts w:ascii="Times New Roman" w:eastAsia="Times New Roman" w:hAnsi="Times New Roman" w:cs="Times New Roman"/>
          <w:bCs/>
          <w:sz w:val="24"/>
          <w:szCs w:val="24"/>
        </w:rPr>
        <w:t xml:space="preserve"> the critical importance of parental health literacy, which </w:t>
      </w:r>
      <w:r w:rsidR="00C615F8" w:rsidRPr="00C1694A">
        <w:rPr>
          <w:rFonts w:ascii="Times New Roman" w:eastAsia="Times New Roman" w:hAnsi="Times New Roman" w:cs="Times New Roman"/>
          <w:bCs/>
          <w:sz w:val="24"/>
          <w:szCs w:val="24"/>
        </w:rPr>
        <w:t>h</w:t>
      </w:r>
      <w:r w:rsidRPr="00C1694A">
        <w:rPr>
          <w:rFonts w:ascii="Times New Roman" w:eastAsia="Times New Roman" w:hAnsi="Times New Roman" w:cs="Times New Roman"/>
          <w:bCs/>
          <w:sz w:val="24"/>
          <w:szCs w:val="24"/>
        </w:rPr>
        <w:t>as been linked to the health and long-term outcomes of young children.</w:t>
      </w:r>
      <w:r w:rsidRPr="00C1694A">
        <w:rPr>
          <w:rStyle w:val="FootnoteReference"/>
          <w:rFonts w:ascii="Times New Roman" w:eastAsia="Times New Roman" w:hAnsi="Times New Roman" w:cs="Times New Roman"/>
          <w:bCs/>
          <w:sz w:val="24"/>
          <w:szCs w:val="24"/>
        </w:rPr>
        <w:footnoteReference w:id="99"/>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00"/>
      </w:r>
      <w:r w:rsidRPr="00C1694A">
        <w:rPr>
          <w:rFonts w:ascii="Times New Roman" w:eastAsia="Times New Roman" w:hAnsi="Times New Roman" w:cs="Times New Roman"/>
          <w:bCs/>
          <w:sz w:val="24"/>
          <w:szCs w:val="24"/>
        </w:rPr>
        <w:t xml:space="preserve"> Commenters supported this section and our reorganization.  Commenters also offered suggestions </w:t>
      </w:r>
      <w:r w:rsidR="00C615F8" w:rsidRPr="00C1694A">
        <w:rPr>
          <w:rFonts w:ascii="Times New Roman" w:eastAsia="Times New Roman" w:hAnsi="Times New Roman" w:cs="Times New Roman"/>
          <w:bCs/>
          <w:sz w:val="24"/>
          <w:szCs w:val="24"/>
        </w:rPr>
        <w:t xml:space="preserve">to </w:t>
      </w:r>
      <w:r w:rsidRPr="00C1694A">
        <w:rPr>
          <w:rFonts w:ascii="Times New Roman" w:eastAsia="Times New Roman" w:hAnsi="Times New Roman" w:cs="Times New Roman"/>
          <w:bCs/>
          <w:sz w:val="24"/>
          <w:szCs w:val="24"/>
        </w:rPr>
        <w:t xml:space="preserve">expand, </w:t>
      </w:r>
      <w:r w:rsidR="00075867" w:rsidRPr="00C1694A">
        <w:rPr>
          <w:rFonts w:ascii="Times New Roman" w:eastAsia="Times New Roman" w:hAnsi="Times New Roman" w:cs="Times New Roman"/>
          <w:bCs/>
          <w:sz w:val="24"/>
          <w:szCs w:val="24"/>
        </w:rPr>
        <w:t>reduce</w:t>
      </w:r>
      <w:r w:rsidRPr="00C1694A">
        <w:rPr>
          <w:rFonts w:ascii="Times New Roman" w:eastAsia="Times New Roman" w:hAnsi="Times New Roman" w:cs="Times New Roman"/>
          <w:bCs/>
          <w:sz w:val="24"/>
          <w:szCs w:val="24"/>
        </w:rPr>
        <w:t>, and reorganize the requirements.  We discuss comments and our responses below.</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comments with broad suggestions for this section.  For example, commenters suggested we include a specific emphasis on father involvement.  Commenters expressed concerns that staff do not have time to comply with the section’s requirements and that the requirements are too broad. </w:t>
      </w:r>
      <w:r w:rsidR="00075867" w:rsidRPr="00C1694A">
        <w:rPr>
          <w:rFonts w:ascii="Times New Roman" w:hAnsi="Times New Roman" w:cs="Times New Roman"/>
          <w:sz w:val="24"/>
          <w:szCs w:val="24"/>
        </w:rPr>
        <w:t>Others</w:t>
      </w:r>
      <w:r w:rsidRPr="00C1694A">
        <w:rPr>
          <w:rFonts w:ascii="Times New Roman" w:hAnsi="Times New Roman" w:cs="Times New Roman"/>
          <w:sz w:val="24"/>
          <w:szCs w:val="24"/>
        </w:rPr>
        <w:t xml:space="preserve"> recommended we move this section to follow </w:t>
      </w:r>
      <w:r w:rsidR="00C615F8" w:rsidRPr="00C1694A">
        <w:rPr>
          <w:rFonts w:ascii="Times New Roman" w:hAnsi="Times New Roman" w:cs="Times New Roman"/>
          <w:sz w:val="24"/>
          <w:szCs w:val="24"/>
        </w:rPr>
        <w:t>§</w:t>
      </w:r>
      <w:r w:rsidRPr="00C1694A">
        <w:rPr>
          <w:rFonts w:ascii="Times New Roman" w:hAnsi="Times New Roman" w:cs="Times New Roman"/>
          <w:sz w:val="24"/>
          <w:szCs w:val="24"/>
        </w:rPr>
        <w:t>1302.41.</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make revisions to address these comments.  This section addresses parents, which is defined to encompass mothers and fathers.  Strategies to promote father engagement are included in subpart E. In addition, we believe these requirements are critical to supporting child and famil</w:t>
      </w:r>
      <w:r w:rsidR="00C615F8" w:rsidRPr="00C1694A">
        <w:rPr>
          <w:rFonts w:ascii="Times New Roman" w:hAnsi="Times New Roman" w:cs="Times New Roman"/>
          <w:sz w:val="24"/>
          <w:szCs w:val="24"/>
        </w:rPr>
        <w:t>y</w:t>
      </w:r>
      <w:r w:rsidRPr="00C1694A">
        <w:rPr>
          <w:rFonts w:ascii="Times New Roman" w:hAnsi="Times New Roman" w:cs="Times New Roman"/>
          <w:sz w:val="24"/>
          <w:szCs w:val="24"/>
        </w:rPr>
        <w:t xml:space="preserve"> outcomes and </w:t>
      </w:r>
      <w:r w:rsidR="00C615F8" w:rsidRPr="00C1694A">
        <w:rPr>
          <w:rFonts w:ascii="Times New Roman" w:hAnsi="Times New Roman" w:cs="Times New Roman"/>
          <w:sz w:val="24"/>
          <w:szCs w:val="24"/>
        </w:rPr>
        <w:t xml:space="preserve">are </w:t>
      </w:r>
      <w:r w:rsidRPr="00C1694A">
        <w:rPr>
          <w:rFonts w:ascii="Times New Roman" w:hAnsi="Times New Roman" w:cs="Times New Roman"/>
          <w:sz w:val="24"/>
          <w:szCs w:val="24"/>
        </w:rPr>
        <w:t>an essential part of Head Start</w:t>
      </w:r>
      <w:r w:rsidR="00075867" w:rsidRPr="00C1694A">
        <w:rPr>
          <w:rFonts w:ascii="Times New Roman" w:hAnsi="Times New Roman" w:cs="Times New Roman"/>
          <w:sz w:val="24"/>
          <w:szCs w:val="24"/>
        </w:rPr>
        <w:t>’s comprehensive two-generation</w:t>
      </w:r>
      <w:r w:rsidRPr="00C1694A">
        <w:rPr>
          <w:rFonts w:ascii="Times New Roman" w:hAnsi="Times New Roman" w:cs="Times New Roman"/>
          <w:sz w:val="24"/>
          <w:szCs w:val="24"/>
        </w:rPr>
        <w:t xml:space="preserve"> approach.  Finally, we think the organization of subpart D clearly conveys requirements and did not revise the order of </w:t>
      </w:r>
      <w:r w:rsidR="00075867" w:rsidRPr="00C1694A">
        <w:rPr>
          <w:rFonts w:ascii="Times New Roman" w:hAnsi="Times New Roman" w:cs="Times New Roman"/>
          <w:sz w:val="24"/>
          <w:szCs w:val="24"/>
        </w:rPr>
        <w:t xml:space="preserve">the </w:t>
      </w:r>
      <w:r w:rsidRPr="00C1694A">
        <w:rPr>
          <w:rFonts w:ascii="Times New Roman" w:hAnsi="Times New Roman" w:cs="Times New Roman"/>
          <w:sz w:val="24"/>
          <w:szCs w:val="24"/>
        </w:rPr>
        <w:t>sections.</w:t>
      </w:r>
    </w:p>
    <w:p w:rsidR="006A5046" w:rsidRPr="00C1694A" w:rsidRDefault="00BF7E02" w:rsidP="009A526A">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w:t>
      </w:r>
      <w:r w:rsidR="00AC4618" w:rsidRPr="00C1694A">
        <w:rPr>
          <w:rFonts w:ascii="Times New Roman" w:eastAsia="Times New Roman" w:hAnsi="Times New Roman" w:cs="Times New Roman"/>
          <w:bCs/>
          <w:sz w:val="24"/>
          <w:szCs w:val="24"/>
        </w:rPr>
        <w:t xml:space="preserve">Some </w:t>
      </w:r>
      <w:r w:rsidRPr="00C1694A">
        <w:rPr>
          <w:rFonts w:ascii="Times New Roman" w:eastAsia="Times New Roman" w:hAnsi="Times New Roman" w:cs="Times New Roman"/>
          <w:bCs/>
          <w:sz w:val="24"/>
          <w:szCs w:val="24"/>
        </w:rPr>
        <w:t>commenters suggest</w:t>
      </w:r>
      <w:r w:rsidR="00075867" w:rsidRPr="00C1694A">
        <w:rPr>
          <w:rFonts w:ascii="Times New Roman" w:eastAsia="Times New Roman" w:hAnsi="Times New Roman" w:cs="Times New Roman"/>
          <w:bCs/>
          <w:sz w:val="24"/>
          <w:szCs w:val="24"/>
        </w:rPr>
        <w:t>ed revision</w:t>
      </w:r>
      <w:r w:rsidR="006A5046" w:rsidRPr="00C1694A">
        <w:rPr>
          <w:rFonts w:ascii="Times New Roman" w:eastAsia="Times New Roman" w:hAnsi="Times New Roman" w:cs="Times New Roman"/>
          <w:bCs/>
          <w:sz w:val="24"/>
          <w:szCs w:val="24"/>
        </w:rPr>
        <w:t>s</w:t>
      </w:r>
      <w:r w:rsidR="00075867" w:rsidRPr="00C1694A">
        <w:rPr>
          <w:rFonts w:ascii="Times New Roman" w:eastAsia="Times New Roman" w:hAnsi="Times New Roman" w:cs="Times New Roman"/>
          <w:bCs/>
          <w:sz w:val="24"/>
          <w:szCs w:val="24"/>
        </w:rPr>
        <w:t xml:space="preserve"> to increase</w:t>
      </w:r>
      <w:r w:rsidRPr="00C1694A">
        <w:rPr>
          <w:rFonts w:ascii="Times New Roman" w:eastAsia="Times New Roman" w:hAnsi="Times New Roman" w:cs="Times New Roman"/>
          <w:bCs/>
          <w:sz w:val="24"/>
          <w:szCs w:val="24"/>
        </w:rPr>
        <w:t xml:space="preserve"> the emphasis on health literacy and parent collaboration.</w:t>
      </w:r>
    </w:p>
    <w:p w:rsidR="00BF7E02" w:rsidRPr="00C1694A" w:rsidRDefault="00BF7E02" w:rsidP="009A526A">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We </w:t>
      </w:r>
      <w:r w:rsidR="006A5046" w:rsidRPr="00C1694A">
        <w:rPr>
          <w:rFonts w:ascii="Times New Roman" w:eastAsia="Times New Roman" w:hAnsi="Times New Roman" w:cs="Times New Roman"/>
          <w:bCs/>
          <w:sz w:val="24"/>
          <w:szCs w:val="24"/>
        </w:rPr>
        <w:t>made slight revisions to paragraph (a), which we believe appropriately emphasizes parent collaboration, including for individuals with low health literacy</w:t>
      </w:r>
      <w:r w:rsidRPr="00C1694A">
        <w:rPr>
          <w:rFonts w:ascii="Times New Roman" w:eastAsia="Times New Roman" w:hAnsi="Times New Roman" w:cs="Times New Roman"/>
          <w:bCs/>
          <w:sz w:val="24"/>
          <w:szCs w:val="24"/>
        </w:rPr>
        <w:t>.</w:t>
      </w:r>
    </w:p>
    <w:p w:rsidR="00BF7E02" w:rsidRPr="00C1694A" w:rsidRDefault="00BF7E02" w:rsidP="009A526A">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Some commenters recommended we expand services in paragraphs (b)(</w:t>
      </w:r>
      <w:r w:rsidR="00075867" w:rsidRPr="00C1694A">
        <w:rPr>
          <w:rFonts w:ascii="Times New Roman" w:eastAsia="Times New Roman" w:hAnsi="Times New Roman" w:cs="Times New Roman"/>
          <w:bCs/>
          <w:sz w:val="24"/>
          <w:szCs w:val="24"/>
        </w:rPr>
        <w:t>1</w:t>
      </w:r>
      <w:r w:rsidRPr="00C1694A">
        <w:rPr>
          <w:rFonts w:ascii="Times New Roman" w:eastAsia="Times New Roman" w:hAnsi="Times New Roman" w:cs="Times New Roman"/>
          <w:bCs/>
          <w:sz w:val="24"/>
          <w:szCs w:val="24"/>
        </w:rPr>
        <w:t>) related to nutrition, breastfeeding</w:t>
      </w:r>
      <w:r w:rsidR="00CB6BDE" w:rsidRPr="00C1694A">
        <w:rPr>
          <w:rFonts w:ascii="Times New Roman" w:eastAsia="Times New Roman" w:hAnsi="Times New Roman" w:cs="Times New Roman"/>
          <w:bCs/>
          <w:sz w:val="24"/>
          <w:szCs w:val="24"/>
        </w:rPr>
        <w:t>, tobacco, lead exposure, safe sleep</w:t>
      </w:r>
      <w:r w:rsidRPr="00C1694A">
        <w:rPr>
          <w:rFonts w:ascii="Times New Roman" w:eastAsia="Times New Roman" w:hAnsi="Times New Roman" w:cs="Times New Roman"/>
          <w:bCs/>
          <w:sz w:val="24"/>
          <w:szCs w:val="24"/>
        </w:rPr>
        <w:t xml:space="preserve"> and mental health.  Some expressed concern that the requirements did not appropriately reflect the important role of parents and parental mental health and suggested revisions.  They also recommended we revise our terminology about mental health to more clearly indicate the breadth of issues that should be addressed.</w:t>
      </w:r>
    </w:p>
    <w:p w:rsidR="00BF7E02" w:rsidRPr="00C1694A" w:rsidRDefault="00BF7E02" w:rsidP="009A526A">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We agree and revised these three paragraphs to better clarify the topics on which programs must offer to collaborate with parents to include </w:t>
      </w:r>
      <w:r w:rsidR="00CB6BDE" w:rsidRPr="00C1694A">
        <w:rPr>
          <w:rFonts w:ascii="Times New Roman" w:eastAsia="Times New Roman" w:hAnsi="Times New Roman" w:cs="Times New Roman"/>
          <w:bCs/>
          <w:sz w:val="24"/>
          <w:szCs w:val="24"/>
        </w:rPr>
        <w:t xml:space="preserve">health and developmental consequences of tobacco and lead exposure, safe sleep, </w:t>
      </w:r>
      <w:r w:rsidRPr="00C1694A">
        <w:rPr>
          <w:rFonts w:ascii="Times New Roman" w:eastAsia="Times New Roman" w:hAnsi="Times New Roman" w:cs="Times New Roman"/>
          <w:bCs/>
          <w:sz w:val="24"/>
          <w:szCs w:val="24"/>
        </w:rPr>
        <w:t>health</w:t>
      </w:r>
      <w:r w:rsidR="00295575" w:rsidRPr="00C1694A">
        <w:rPr>
          <w:rFonts w:ascii="Times New Roman" w:eastAsia="Times New Roman" w:hAnsi="Times New Roman" w:cs="Times New Roman"/>
          <w:bCs/>
          <w:sz w:val="24"/>
          <w:szCs w:val="24"/>
        </w:rPr>
        <w:t>y</w:t>
      </w:r>
      <w:r w:rsidRPr="00C1694A">
        <w:rPr>
          <w:rFonts w:ascii="Times New Roman" w:eastAsia="Times New Roman" w:hAnsi="Times New Roman" w:cs="Times New Roman"/>
          <w:bCs/>
          <w:sz w:val="24"/>
          <w:szCs w:val="24"/>
        </w:rPr>
        <w:t xml:space="preserve"> eating and the negative health consequences of sugar-sweetened beverages; breastfeeding support and treatment options for parental mental health or substance abuse problems; and more broadly defined child mental health and social and emotional well</w:t>
      </w:r>
      <w:r w:rsidR="00C615F8"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being.</w:t>
      </w:r>
    </w:p>
    <w:p w:rsidR="00A72490" w:rsidRPr="00C1694A" w:rsidRDefault="00A72490" w:rsidP="009A526A">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Some commenters recommended we include requirements to specifically assist children and families accessing health insurance for which they are eligible.</w:t>
      </w:r>
    </w:p>
    <w:p w:rsidR="00BF7E02" w:rsidRPr="00C1694A" w:rsidRDefault="00A72490" w:rsidP="009A526A">
      <w:pPr>
        <w:spacing w:after="0" w:line="480" w:lineRule="auto"/>
        <w:rPr>
          <w:rFonts w:ascii="Times New Roman" w:hAnsi="Times New Roman" w:cs="Times New Roman"/>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We agree that programs play an important role in assisting families who need health insurance.  We revised paragraph (b)(2)(i) to specify that programs provide information about public and private health insurance and designated enrollment periods.</w:t>
      </w:r>
    </w:p>
    <w:p w:rsidR="00BF7E02" w:rsidRPr="00C1694A" w:rsidRDefault="00A72490"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§1302.47 Safety p</w:t>
      </w:r>
      <w:r w:rsidR="00BF7E02" w:rsidRPr="00C1694A">
        <w:rPr>
          <w:rFonts w:ascii="Times New Roman" w:hAnsi="Times New Roman" w:cs="Times New Roman"/>
          <w:i/>
          <w:sz w:val="24"/>
          <w:szCs w:val="24"/>
        </w:rPr>
        <w:t>ractices.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eastAsia="MS Mincho" w:hAnsi="Times New Roman" w:cs="Times New Roman"/>
          <w:sz w:val="24"/>
          <w:szCs w:val="24"/>
        </w:rPr>
        <w:t>This section includes the requirements for strong s</w:t>
      </w:r>
      <w:r w:rsidRPr="00C1694A">
        <w:rPr>
          <w:rFonts w:ascii="Times New Roman" w:eastAsia="Times New Roman" w:hAnsi="Times New Roman" w:cs="Times New Roman"/>
          <w:sz w:val="24"/>
          <w:szCs w:val="24"/>
        </w:rPr>
        <w:t xml:space="preserve">afety practices and procedures that will ensure the health and safety of all children.  </w:t>
      </w:r>
      <w:r w:rsidRPr="00C1694A">
        <w:rPr>
          <w:rFonts w:ascii="Times New Roman" w:eastAsia="MS Mincho" w:hAnsi="Times New Roman" w:cs="Times New Roman"/>
          <w:sz w:val="24"/>
          <w:szCs w:val="24"/>
        </w:rPr>
        <w:t>Basic health and safety practices are essential to ensure</w:t>
      </w:r>
      <w:r w:rsidR="00720D9B" w:rsidRPr="00C1694A">
        <w:rPr>
          <w:rFonts w:ascii="Times New Roman" w:eastAsia="MS Mincho" w:hAnsi="Times New Roman" w:cs="Times New Roman"/>
          <w:sz w:val="24"/>
          <w:szCs w:val="24"/>
        </w:rPr>
        <w:t xml:space="preserve"> high-</w:t>
      </w:r>
      <w:r w:rsidRPr="00C1694A">
        <w:rPr>
          <w:rFonts w:ascii="Times New Roman" w:eastAsia="MS Mincho" w:hAnsi="Times New Roman" w:cs="Times New Roman"/>
          <w:sz w:val="24"/>
          <w:szCs w:val="24"/>
        </w:rPr>
        <w:t xml:space="preserve">quality care.  </w:t>
      </w:r>
      <w:r w:rsidRPr="00C1694A">
        <w:rPr>
          <w:rFonts w:ascii="Times New Roman" w:eastAsia="Times New Roman" w:hAnsi="Times New Roman" w:cs="Times New Roman"/>
          <w:sz w:val="24"/>
          <w:szCs w:val="24"/>
        </w:rPr>
        <w:t xml:space="preserve">In some instances, we </w:t>
      </w:r>
      <w:r w:rsidRPr="00C1694A">
        <w:rPr>
          <w:rFonts w:ascii="Times New Roman" w:eastAsia="Times New Roman" w:hAnsi="Times New Roman" w:cs="Times New Roman"/>
          <w:bCs/>
          <w:sz w:val="24"/>
          <w:szCs w:val="24"/>
        </w:rPr>
        <w:t xml:space="preserve">moved away from prescribing extensive detail when </w:t>
      </w:r>
      <w:r w:rsidR="00720D9B" w:rsidRPr="00C1694A">
        <w:rPr>
          <w:rFonts w:ascii="Times New Roman" w:eastAsia="Times New Roman" w:hAnsi="Times New Roman" w:cs="Times New Roman"/>
          <w:bCs/>
          <w:sz w:val="24"/>
          <w:szCs w:val="24"/>
        </w:rPr>
        <w:t>it</w:t>
      </w:r>
      <w:r w:rsidRPr="00C1694A">
        <w:rPr>
          <w:rFonts w:ascii="Times New Roman" w:eastAsia="Times New Roman" w:hAnsi="Times New Roman" w:cs="Times New Roman"/>
          <w:bCs/>
          <w:sz w:val="24"/>
          <w:szCs w:val="24"/>
        </w:rPr>
        <w:t xml:space="preserve"> is unnecessary to maintain a high standard of safety.  Instead, we allow programs flexibility</w:t>
      </w:r>
      <w:r w:rsidRPr="00C1694A">
        <w:rPr>
          <w:rFonts w:ascii="Times New Roman" w:eastAsia="MS Mincho" w:hAnsi="Times New Roman" w:cs="Times New Roman"/>
          <w:sz w:val="24"/>
          <w:szCs w:val="24"/>
        </w:rPr>
        <w:t xml:space="preserve"> to adjust their policies and procedures according to the most up to date information about how to keep children safe.  To ensure programs are equipped with adequate instruction on how to keep children safe at all times, we encourage programs to consult a new ACF resource called </w:t>
      </w:r>
      <w:r w:rsidRPr="00C1694A">
        <w:rPr>
          <w:rFonts w:ascii="Times New Roman" w:eastAsia="MS Mincho" w:hAnsi="Times New Roman" w:cs="Times New Roman"/>
          <w:sz w:val="24"/>
          <w:szCs w:val="24"/>
          <w:u w:val="single"/>
        </w:rPr>
        <w:t>Caring for Our Children Basics</w:t>
      </w:r>
      <w:r w:rsidRPr="00C1694A">
        <w:rPr>
          <w:rFonts w:ascii="Times New Roman" w:eastAsia="MS Mincho" w:hAnsi="Times New Roman" w:cs="Times New Roman"/>
          <w:sz w:val="24"/>
          <w:szCs w:val="24"/>
        </w:rPr>
        <w:t xml:space="preserve"> (</w:t>
      </w:r>
      <w:r w:rsidRPr="00C1694A">
        <w:rPr>
          <w:rFonts w:ascii="Times New Roman" w:eastAsia="MS Mincho" w:hAnsi="Times New Roman" w:cs="Times New Roman"/>
          <w:sz w:val="24"/>
          <w:szCs w:val="24"/>
          <w:u w:val="single"/>
        </w:rPr>
        <w:t>Basics</w:t>
      </w:r>
      <w:r w:rsidRPr="00C1694A">
        <w:rPr>
          <w:rFonts w:ascii="Times New Roman" w:eastAsia="MS Mincho" w:hAnsi="Times New Roman" w:cs="Times New Roman"/>
          <w:sz w:val="24"/>
          <w:szCs w:val="24"/>
        </w:rPr>
        <w:t>)</w:t>
      </w:r>
      <w:r w:rsidR="0014781E" w:rsidRPr="00C1694A">
        <w:rPr>
          <w:rStyle w:val="FootnoteReference"/>
          <w:rFonts w:ascii="Times New Roman" w:eastAsia="MS Mincho" w:hAnsi="Times New Roman" w:cs="Times New Roman"/>
          <w:sz w:val="24"/>
          <w:szCs w:val="24"/>
        </w:rPr>
        <w:footnoteReference w:id="101"/>
      </w:r>
      <w:r w:rsidRPr="00C1694A">
        <w:rPr>
          <w:rFonts w:ascii="Times New Roman" w:eastAsia="MS Mincho" w:hAnsi="Times New Roman" w:cs="Times New Roman"/>
          <w:sz w:val="24"/>
          <w:szCs w:val="24"/>
        </w:rPr>
        <w:t xml:space="preserve">.  The section includes health and safety </w:t>
      </w:r>
      <w:r w:rsidR="00075867" w:rsidRPr="00C1694A">
        <w:rPr>
          <w:rFonts w:ascii="Times New Roman" w:eastAsia="MS Mincho" w:hAnsi="Times New Roman" w:cs="Times New Roman"/>
          <w:sz w:val="24"/>
          <w:szCs w:val="24"/>
        </w:rPr>
        <w:t>requirements</w:t>
      </w:r>
      <w:r w:rsidRPr="00C1694A">
        <w:rPr>
          <w:rFonts w:ascii="Times New Roman" w:eastAsia="MS Mincho" w:hAnsi="Times New Roman" w:cs="Times New Roman"/>
          <w:sz w:val="24"/>
          <w:szCs w:val="24"/>
        </w:rPr>
        <w:t xml:space="preserve"> for facilities, equipment, materials, background checks, safety training, safety practices, administrative safety procedures, and disaster preparedness plans.  These recommendations were informed by research and best practice. We received many comments on this section including suggestions to expand, </w:t>
      </w:r>
      <w:r w:rsidR="00075867" w:rsidRPr="00C1694A">
        <w:rPr>
          <w:rFonts w:ascii="Times New Roman" w:eastAsia="MS Mincho" w:hAnsi="Times New Roman" w:cs="Times New Roman"/>
          <w:sz w:val="24"/>
          <w:szCs w:val="24"/>
        </w:rPr>
        <w:t>reduce</w:t>
      </w:r>
      <w:r w:rsidRPr="00C1694A">
        <w:rPr>
          <w:rFonts w:ascii="Times New Roman" w:eastAsia="MS Mincho" w:hAnsi="Times New Roman" w:cs="Times New Roman"/>
          <w:sz w:val="24"/>
          <w:szCs w:val="24"/>
        </w:rPr>
        <w:t xml:space="preserve">, and </w:t>
      </w:r>
      <w:r w:rsidR="00075867" w:rsidRPr="00C1694A">
        <w:rPr>
          <w:rFonts w:ascii="Times New Roman" w:eastAsia="MS Mincho" w:hAnsi="Times New Roman" w:cs="Times New Roman"/>
          <w:sz w:val="24"/>
          <w:szCs w:val="24"/>
        </w:rPr>
        <w:t>clarify</w:t>
      </w:r>
      <w:r w:rsidRPr="00C1694A">
        <w:rPr>
          <w:rFonts w:ascii="Times New Roman" w:eastAsia="MS Mincho" w:hAnsi="Times New Roman" w:cs="Times New Roman"/>
          <w:sz w:val="24"/>
          <w:szCs w:val="24"/>
        </w:rPr>
        <w:t xml:space="preserve"> requirements.  We address the comments we received on this section below.  </w:t>
      </w:r>
      <w:r w:rsidRPr="00C1694A">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bCs/>
          <w:sz w:val="24"/>
          <w:szCs w:val="24"/>
        </w:rPr>
        <w:tab/>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appreciated our focus on health and safety systems instead of extensive checklists and recommended monitoring protocols reflect this approach.</w:t>
      </w:r>
    </w:p>
    <w:p w:rsidR="00BF7E02" w:rsidRPr="00C1694A" w:rsidRDefault="00BF7E02"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the systems approach reflected in this rule is preferable to a checklist approach</w:t>
      </w:r>
      <w:r w:rsidR="00282C7A" w:rsidRPr="00C1694A">
        <w:rPr>
          <w:rFonts w:ascii="Times New Roman" w:hAnsi="Times New Roman" w:cs="Times New Roman"/>
          <w:sz w:val="24"/>
          <w:szCs w:val="24"/>
        </w:rPr>
        <w:t xml:space="preserve"> and have made a number of small changes to further support the systems approach, including in paragraphs (b)(1)(ix) and (b)(2)(v) adding that programs must keep facilities and materials safe through an ongoing system of preventive maintenance.   This systems approach </w:t>
      </w:r>
      <w:r w:rsidRPr="00C1694A">
        <w:rPr>
          <w:rFonts w:ascii="Times New Roman" w:hAnsi="Times New Roman" w:cs="Times New Roman"/>
          <w:sz w:val="24"/>
          <w:szCs w:val="24"/>
        </w:rPr>
        <w:t xml:space="preserve">will </w:t>
      </w:r>
      <w:r w:rsidR="00282C7A" w:rsidRPr="00C1694A">
        <w:rPr>
          <w:rFonts w:ascii="Times New Roman" w:hAnsi="Times New Roman" w:cs="Times New Roman"/>
          <w:sz w:val="24"/>
          <w:szCs w:val="24"/>
        </w:rPr>
        <w:t xml:space="preserve">also </w:t>
      </w:r>
      <w:r w:rsidRPr="00C1694A">
        <w:rPr>
          <w:rFonts w:ascii="Times New Roman" w:hAnsi="Times New Roman" w:cs="Times New Roman"/>
          <w:sz w:val="24"/>
          <w:szCs w:val="24"/>
        </w:rPr>
        <w:t>be reflected in monitoring in the future.</w:t>
      </w:r>
      <w:r w:rsidRPr="00C1694A">
        <w:rPr>
          <w:rFonts w:ascii="Times New Roman" w:hAnsi="Times New Roman" w:cs="Times New Roman"/>
          <w:sz w:val="24"/>
          <w:szCs w:val="24"/>
          <w:u w:val="single"/>
        </w:rPr>
        <w:t xml:space="preserve">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recommended we rely on state licensing for health and safety standards and not include different health and safety standards.</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Many states have stringent health and safety regulations, but some </w:t>
      </w:r>
      <w:r w:rsidR="00C40546" w:rsidRPr="00C1694A">
        <w:rPr>
          <w:rFonts w:ascii="Times New Roman" w:hAnsi="Times New Roman" w:cs="Times New Roman"/>
          <w:sz w:val="24"/>
          <w:szCs w:val="24"/>
        </w:rPr>
        <w:t>do</w:t>
      </w:r>
      <w:r w:rsidRPr="00C1694A">
        <w:rPr>
          <w:rFonts w:ascii="Times New Roman" w:hAnsi="Times New Roman" w:cs="Times New Roman"/>
          <w:sz w:val="24"/>
          <w:szCs w:val="24"/>
        </w:rPr>
        <w:t xml:space="preserve"> not.  In addition, </w:t>
      </w:r>
      <w:r w:rsidR="00295575" w:rsidRPr="00C1694A">
        <w:rPr>
          <w:rFonts w:ascii="Times New Roman" w:hAnsi="Times New Roman" w:cs="Times New Roman"/>
          <w:sz w:val="24"/>
          <w:szCs w:val="24"/>
        </w:rPr>
        <w:t xml:space="preserve">not </w:t>
      </w:r>
      <w:r w:rsidRPr="00C1694A">
        <w:rPr>
          <w:rFonts w:ascii="Times New Roman" w:hAnsi="Times New Roman" w:cs="Times New Roman"/>
          <w:sz w:val="24"/>
          <w:szCs w:val="24"/>
        </w:rPr>
        <w:t xml:space="preserve">all Head Start programs are state licensed.  Therefore, we retained </w:t>
      </w:r>
      <w:r w:rsidR="00720D9B" w:rsidRPr="00C1694A">
        <w:rPr>
          <w:rFonts w:ascii="Times New Roman" w:hAnsi="Times New Roman" w:cs="Times New Roman"/>
          <w:sz w:val="24"/>
          <w:szCs w:val="24"/>
        </w:rPr>
        <w:t xml:space="preserve">this section </w:t>
      </w:r>
      <w:r w:rsidRPr="00C1694A">
        <w:rPr>
          <w:rFonts w:ascii="Times New Roman" w:hAnsi="Times New Roman" w:cs="Times New Roman"/>
          <w:sz w:val="24"/>
          <w:szCs w:val="24"/>
        </w:rPr>
        <w:t xml:space="preserve">in </w:t>
      </w:r>
      <w:r w:rsidR="00C40546" w:rsidRPr="00C1694A">
        <w:rPr>
          <w:rFonts w:ascii="Times New Roman" w:hAnsi="Times New Roman" w:cs="Times New Roman"/>
          <w:sz w:val="24"/>
          <w:szCs w:val="24"/>
        </w:rPr>
        <w:t>the</w:t>
      </w:r>
      <w:r w:rsidRPr="00C1694A">
        <w:rPr>
          <w:rFonts w:ascii="Times New Roman" w:hAnsi="Times New Roman" w:cs="Times New Roman"/>
          <w:sz w:val="24"/>
          <w:szCs w:val="24"/>
        </w:rPr>
        <w:t xml:space="preserve"> final rule</w:t>
      </w:r>
      <w:r w:rsidR="00AD5045" w:rsidRPr="00C1694A">
        <w:rPr>
          <w:rFonts w:ascii="Times New Roman" w:hAnsi="Times New Roman" w:cs="Times New Roman"/>
          <w:sz w:val="24"/>
          <w:szCs w:val="24"/>
        </w:rPr>
        <w:t xml:space="preserve">; however, we have made some language changes to align the health and safety training for staff to the health and safety requirements in the CCDBG Act.  This will relieve the burden of different or conflicting licensing standards.   </w:t>
      </w:r>
      <w:r w:rsidRPr="00C1694A">
        <w:rPr>
          <w:rFonts w:ascii="Times New Roman" w:hAnsi="Times New Roman" w:cs="Times New Roman"/>
          <w:sz w:val="24"/>
          <w:szCs w:val="24"/>
        </w:rPr>
        <w:t xml:space="preserve">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addressed our provision in paragraph (a) that programs should consult </w:t>
      </w:r>
      <w:r w:rsidRPr="00C1694A">
        <w:rPr>
          <w:rFonts w:ascii="Times New Roman" w:hAnsi="Times New Roman" w:cs="Times New Roman"/>
          <w:sz w:val="24"/>
          <w:szCs w:val="24"/>
          <w:u w:val="single"/>
        </w:rPr>
        <w:t>Caring for our Children Basics</w:t>
      </w:r>
      <w:r w:rsidRPr="00C1694A">
        <w:rPr>
          <w:rFonts w:ascii="Times New Roman" w:hAnsi="Times New Roman" w:cs="Times New Roman"/>
          <w:sz w:val="24"/>
          <w:szCs w:val="24"/>
        </w:rPr>
        <w:t xml:space="preserve"> for additional information to develop and implement adequate safety policies and practices detailed further in the subpart. Some commenters appreciated the flexibility we afforded programs under this section though noted that reduced specificity may compel programs to consult other authorities.  Some commenters supported our inclusion of </w:t>
      </w:r>
      <w:r w:rsidRPr="00C1694A">
        <w:rPr>
          <w:rFonts w:ascii="Times New Roman" w:hAnsi="Times New Roman" w:cs="Times New Roman"/>
          <w:sz w:val="24"/>
          <w:szCs w:val="24"/>
          <w:u w:val="single"/>
        </w:rPr>
        <w:t>Caring for Our Children Basics</w:t>
      </w:r>
      <w:r w:rsidRPr="00C1694A">
        <w:rPr>
          <w:rFonts w:ascii="Times New Roman" w:hAnsi="Times New Roman" w:cs="Times New Roman"/>
          <w:sz w:val="24"/>
          <w:szCs w:val="24"/>
        </w:rPr>
        <w:t xml:space="preserve"> and </w:t>
      </w:r>
      <w:r w:rsidR="00AC4618" w:rsidRPr="00C1694A">
        <w:rPr>
          <w:rFonts w:ascii="Times New Roman" w:hAnsi="Times New Roman" w:cs="Times New Roman"/>
          <w:sz w:val="24"/>
          <w:szCs w:val="24"/>
        </w:rPr>
        <w:t xml:space="preserve">some </w:t>
      </w:r>
      <w:r w:rsidR="00C40546" w:rsidRPr="00C1694A">
        <w:rPr>
          <w:rFonts w:ascii="Times New Roman" w:hAnsi="Times New Roman" w:cs="Times New Roman"/>
          <w:sz w:val="24"/>
          <w:szCs w:val="24"/>
        </w:rPr>
        <w:t>suggested</w:t>
      </w:r>
      <w:r w:rsidRPr="00C1694A">
        <w:rPr>
          <w:rFonts w:ascii="Times New Roman" w:hAnsi="Times New Roman" w:cs="Times New Roman"/>
          <w:sz w:val="24"/>
          <w:szCs w:val="24"/>
        </w:rPr>
        <w:t xml:space="preserve"> we require the specifics </w:t>
      </w:r>
      <w:r w:rsidR="00C40546" w:rsidRPr="00C1694A">
        <w:rPr>
          <w:rFonts w:ascii="Times New Roman" w:hAnsi="Times New Roman" w:cs="Times New Roman"/>
          <w:sz w:val="24"/>
          <w:szCs w:val="24"/>
        </w:rPr>
        <w:t>recommendations</w:t>
      </w:r>
      <w:r w:rsidRPr="00C1694A">
        <w:rPr>
          <w:rFonts w:ascii="Times New Roman" w:hAnsi="Times New Roman" w:cs="Times New Roman"/>
          <w:sz w:val="24"/>
          <w:szCs w:val="24"/>
        </w:rPr>
        <w:t xml:space="preserve"> from </w:t>
      </w:r>
      <w:r w:rsidRPr="00C1694A">
        <w:rPr>
          <w:rFonts w:ascii="Times New Roman" w:hAnsi="Times New Roman" w:cs="Times New Roman"/>
          <w:sz w:val="24"/>
          <w:szCs w:val="24"/>
          <w:u w:val="single"/>
        </w:rPr>
        <w:t>Basics</w:t>
      </w:r>
      <w:r w:rsidR="00C40546" w:rsidRPr="00C1694A">
        <w:rPr>
          <w:rFonts w:ascii="Times New Roman" w:hAnsi="Times New Roman" w:cs="Times New Roman"/>
          <w:sz w:val="24"/>
          <w:szCs w:val="24"/>
        </w:rPr>
        <w:t xml:space="preserve"> and include them in the regulation</w:t>
      </w:r>
      <w:r w:rsidRPr="00C1694A">
        <w:rPr>
          <w:rFonts w:ascii="Times New Roman" w:hAnsi="Times New Roman" w:cs="Times New Roman"/>
          <w:sz w:val="24"/>
          <w:szCs w:val="24"/>
        </w:rPr>
        <w:t xml:space="preserv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objected</w:t>
      </w:r>
      <w:r w:rsidR="00295575" w:rsidRPr="00C1694A">
        <w:rPr>
          <w:rFonts w:ascii="Times New Roman" w:hAnsi="Times New Roman" w:cs="Times New Roman"/>
          <w:sz w:val="24"/>
          <w:szCs w:val="24"/>
        </w:rPr>
        <w:t xml:space="preserve"> to</w:t>
      </w:r>
      <w:r w:rsidRPr="00C1694A">
        <w:rPr>
          <w:rFonts w:ascii="Times New Roman" w:hAnsi="Times New Roman" w:cs="Times New Roman"/>
          <w:sz w:val="24"/>
          <w:szCs w:val="24"/>
        </w:rPr>
        <w:t xml:space="preserve"> the requirement and offered alternatives.  For example,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we require programs to either “follow” </w:t>
      </w:r>
      <w:r w:rsidRPr="00C1694A">
        <w:rPr>
          <w:rFonts w:ascii="Times New Roman" w:hAnsi="Times New Roman" w:cs="Times New Roman"/>
          <w:sz w:val="24"/>
          <w:szCs w:val="24"/>
          <w:u w:val="single"/>
        </w:rPr>
        <w:t>Basics</w:t>
      </w:r>
      <w:r w:rsidRPr="00C1694A">
        <w:rPr>
          <w:rFonts w:ascii="Times New Roman" w:hAnsi="Times New Roman" w:cs="Times New Roman"/>
          <w:sz w:val="24"/>
          <w:szCs w:val="24"/>
        </w:rPr>
        <w:t xml:space="preserve"> or “consult” </w:t>
      </w:r>
      <w:r w:rsidRPr="00C1694A">
        <w:rPr>
          <w:rFonts w:ascii="Times New Roman" w:hAnsi="Times New Roman" w:cs="Times New Roman"/>
          <w:sz w:val="24"/>
          <w:szCs w:val="24"/>
          <w:u w:val="single"/>
        </w:rPr>
        <w:t>Basics</w:t>
      </w:r>
      <w:r w:rsidRPr="00C1694A">
        <w:rPr>
          <w:rFonts w:ascii="Times New Roman" w:hAnsi="Times New Roman" w:cs="Times New Roman"/>
          <w:sz w:val="24"/>
          <w:szCs w:val="24"/>
        </w:rPr>
        <w:t xml:space="preserve"> so our intent is clearer.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stated the requirements in </w:t>
      </w:r>
      <w:r w:rsidRPr="00C1694A">
        <w:rPr>
          <w:rFonts w:ascii="Times New Roman" w:hAnsi="Times New Roman" w:cs="Times New Roman"/>
          <w:sz w:val="24"/>
          <w:szCs w:val="24"/>
          <w:u w:val="single"/>
        </w:rPr>
        <w:t>Basics</w:t>
      </w:r>
      <w:r w:rsidRPr="00C1694A">
        <w:rPr>
          <w:rFonts w:ascii="Times New Roman" w:hAnsi="Times New Roman" w:cs="Times New Roman"/>
          <w:sz w:val="24"/>
          <w:szCs w:val="24"/>
        </w:rPr>
        <w:t xml:space="preserve"> were unnecessarily high and costly. Other commenters requested additional clarification or expressed concern about what would happen if there were inconsistencies between </w:t>
      </w:r>
      <w:r w:rsidRPr="00C1694A">
        <w:rPr>
          <w:rFonts w:ascii="Times New Roman" w:hAnsi="Times New Roman" w:cs="Times New Roman"/>
          <w:sz w:val="24"/>
          <w:szCs w:val="24"/>
          <w:u w:val="single"/>
        </w:rPr>
        <w:t>Basics</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 xml:space="preserve">and state or local standards.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seemed confused about the difference between </w:t>
      </w:r>
      <w:r w:rsidRPr="00C1694A">
        <w:rPr>
          <w:rFonts w:ascii="Times New Roman" w:hAnsi="Times New Roman" w:cs="Times New Roman"/>
          <w:sz w:val="24"/>
          <w:szCs w:val="24"/>
          <w:u w:val="single"/>
        </w:rPr>
        <w:t>Caring for Our Children</w:t>
      </w:r>
      <w:r w:rsidRPr="00C1694A">
        <w:rPr>
          <w:rFonts w:ascii="Times New Roman" w:hAnsi="Times New Roman" w:cs="Times New Roman"/>
          <w:sz w:val="24"/>
          <w:szCs w:val="24"/>
        </w:rPr>
        <w:t xml:space="preserve"> and </w:t>
      </w:r>
      <w:r w:rsidRPr="00C1694A">
        <w:rPr>
          <w:rFonts w:ascii="Times New Roman" w:hAnsi="Times New Roman" w:cs="Times New Roman"/>
          <w:sz w:val="24"/>
          <w:szCs w:val="24"/>
          <w:u w:val="single"/>
        </w:rPr>
        <w:t>Caring for Our Children Basics</w:t>
      </w:r>
      <w:r w:rsidRPr="00C1694A">
        <w:rPr>
          <w:rFonts w:ascii="Times New Roman" w:hAnsi="Times New Roman" w:cs="Times New Roman"/>
          <w:sz w:val="24"/>
          <w:szCs w:val="24"/>
        </w:rPr>
        <w:t xml:space="preserve"> or pointed out differences between the two documents. </w:t>
      </w:r>
      <w:r w:rsidR="00AC4618"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were concerned about potential inconsistencies if </w:t>
      </w:r>
      <w:r w:rsidRPr="00C1694A">
        <w:rPr>
          <w:rFonts w:ascii="Times New Roman" w:hAnsi="Times New Roman" w:cs="Times New Roman"/>
          <w:sz w:val="24"/>
          <w:szCs w:val="24"/>
          <w:u w:val="single"/>
        </w:rPr>
        <w:t>Basics</w:t>
      </w:r>
      <w:r w:rsidRPr="00C1694A">
        <w:rPr>
          <w:rFonts w:ascii="Times New Roman" w:hAnsi="Times New Roman" w:cs="Times New Roman"/>
          <w:sz w:val="24"/>
          <w:szCs w:val="24"/>
        </w:rPr>
        <w:t xml:space="preserve"> is updated more frequently than Head Start Program Performance Standards.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were concerned we would find programs to be out of compliance if they failed to meet all the recommendations included under </w:t>
      </w:r>
      <w:r w:rsidRPr="00C1694A">
        <w:rPr>
          <w:rFonts w:ascii="Times New Roman" w:hAnsi="Times New Roman" w:cs="Times New Roman"/>
          <w:sz w:val="24"/>
          <w:szCs w:val="24"/>
          <w:u w:val="single"/>
        </w:rPr>
        <w:t>Basics.</w:t>
      </w:r>
      <w:r w:rsidRPr="00C1694A">
        <w:rPr>
          <w:rFonts w:ascii="Times New Roman" w:hAnsi="Times New Roman" w:cs="Times New Roman"/>
          <w:sz w:val="24"/>
          <w:szCs w:val="24"/>
        </w:rPr>
        <w:t xml:space="preserve">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F44F21" w:rsidRPr="00C1694A">
        <w:rPr>
          <w:rFonts w:ascii="Times New Roman" w:hAnsi="Times New Roman" w:cs="Times New Roman"/>
          <w:sz w:val="24"/>
          <w:szCs w:val="24"/>
        </w:rPr>
        <w:t>We</w:t>
      </w:r>
      <w:r w:rsidRPr="00C1694A">
        <w:rPr>
          <w:rFonts w:ascii="Times New Roman" w:hAnsi="Times New Roman" w:cs="Times New Roman"/>
          <w:sz w:val="24"/>
          <w:szCs w:val="24"/>
        </w:rPr>
        <w:t xml:space="preserve"> believe our reference to </w:t>
      </w:r>
      <w:r w:rsidRPr="00C1694A">
        <w:rPr>
          <w:rFonts w:ascii="Times New Roman" w:hAnsi="Times New Roman" w:cs="Times New Roman"/>
          <w:sz w:val="24"/>
          <w:szCs w:val="24"/>
          <w:u w:val="single"/>
        </w:rPr>
        <w:t>Basics</w:t>
      </w:r>
      <w:r w:rsidRPr="00C1694A">
        <w:rPr>
          <w:rFonts w:ascii="Times New Roman" w:hAnsi="Times New Roman" w:cs="Times New Roman"/>
          <w:sz w:val="24"/>
          <w:szCs w:val="24"/>
        </w:rPr>
        <w:t xml:space="preserve"> will help </w:t>
      </w:r>
      <w:r w:rsidR="00F44F21" w:rsidRPr="00C1694A">
        <w:rPr>
          <w:rFonts w:ascii="Times New Roman" w:hAnsi="Times New Roman" w:cs="Times New Roman"/>
          <w:sz w:val="24"/>
          <w:szCs w:val="24"/>
        </w:rPr>
        <w:t xml:space="preserve">clarify </w:t>
      </w:r>
      <w:r w:rsidRPr="00C1694A">
        <w:rPr>
          <w:rFonts w:ascii="Times New Roman" w:hAnsi="Times New Roman" w:cs="Times New Roman"/>
          <w:sz w:val="24"/>
          <w:szCs w:val="24"/>
        </w:rPr>
        <w:t xml:space="preserve">minimum health and safety </w:t>
      </w:r>
      <w:r w:rsidR="00C40546" w:rsidRPr="00C1694A">
        <w:rPr>
          <w:rFonts w:ascii="Times New Roman" w:hAnsi="Times New Roman" w:cs="Times New Roman"/>
          <w:sz w:val="24"/>
          <w:szCs w:val="24"/>
        </w:rPr>
        <w:t>expectations</w:t>
      </w:r>
      <w:r w:rsidRPr="00C1694A">
        <w:rPr>
          <w:rFonts w:ascii="Times New Roman" w:hAnsi="Times New Roman" w:cs="Times New Roman"/>
          <w:sz w:val="24"/>
          <w:szCs w:val="24"/>
        </w:rPr>
        <w:t xml:space="preserve"> across early childhood settings.  Many programs already exceed what </w:t>
      </w:r>
      <w:r w:rsidRPr="00C1694A">
        <w:rPr>
          <w:rFonts w:ascii="Times New Roman" w:hAnsi="Times New Roman" w:cs="Times New Roman"/>
          <w:sz w:val="24"/>
          <w:szCs w:val="24"/>
          <w:u w:val="single"/>
        </w:rPr>
        <w:t>Caring for Our Children Basics</w:t>
      </w:r>
      <w:r w:rsidRPr="00C1694A">
        <w:rPr>
          <w:rFonts w:ascii="Times New Roman" w:hAnsi="Times New Roman" w:cs="Times New Roman"/>
          <w:sz w:val="24"/>
          <w:szCs w:val="24"/>
        </w:rPr>
        <w:t xml:space="preserve"> recommends as best practice.  Other program</w:t>
      </w:r>
      <w:r w:rsidR="0014781E" w:rsidRPr="00C1694A">
        <w:rPr>
          <w:rFonts w:ascii="Times New Roman" w:hAnsi="Times New Roman" w:cs="Times New Roman"/>
          <w:sz w:val="24"/>
          <w:szCs w:val="24"/>
        </w:rPr>
        <w:t>s</w:t>
      </w:r>
      <w:r w:rsidRPr="00C1694A">
        <w:rPr>
          <w:rFonts w:ascii="Times New Roman" w:hAnsi="Times New Roman" w:cs="Times New Roman"/>
          <w:sz w:val="24"/>
          <w:szCs w:val="24"/>
        </w:rPr>
        <w:t xml:space="preserve"> may need guidance in establishing their policies, procedures and systems</w:t>
      </w:r>
      <w:r w:rsidR="00F44F21" w:rsidRPr="00C1694A">
        <w:rPr>
          <w:rFonts w:ascii="Times New Roman" w:hAnsi="Times New Roman" w:cs="Times New Roman"/>
          <w:sz w:val="24"/>
          <w:szCs w:val="24"/>
        </w:rPr>
        <w:t xml:space="preserve"> and </w:t>
      </w:r>
      <w:r w:rsidR="00F44F21" w:rsidRPr="00C1694A">
        <w:rPr>
          <w:rFonts w:ascii="Times New Roman" w:hAnsi="Times New Roman" w:cs="Times New Roman"/>
          <w:sz w:val="24"/>
          <w:szCs w:val="24"/>
          <w:u w:val="single"/>
        </w:rPr>
        <w:t>Basics</w:t>
      </w:r>
      <w:r w:rsidR="00F44F21" w:rsidRPr="00C1694A">
        <w:rPr>
          <w:rFonts w:ascii="Times New Roman" w:hAnsi="Times New Roman" w:cs="Times New Roman"/>
          <w:sz w:val="24"/>
          <w:szCs w:val="24"/>
        </w:rPr>
        <w:t xml:space="preserve"> will be a useful resource guide for these programs</w:t>
      </w:r>
      <w:r w:rsidRPr="00C1694A">
        <w:rPr>
          <w:rFonts w:ascii="Times New Roman" w:hAnsi="Times New Roman" w:cs="Times New Roman"/>
          <w:sz w:val="24"/>
          <w:szCs w:val="24"/>
        </w:rPr>
        <w:t xml:space="preserve">.  Furthermore, </w:t>
      </w:r>
      <w:r w:rsidR="00720D9B" w:rsidRPr="00C1694A">
        <w:rPr>
          <w:rFonts w:ascii="Times New Roman" w:hAnsi="Times New Roman" w:cs="Times New Roman"/>
          <w:sz w:val="24"/>
          <w:szCs w:val="24"/>
          <w:u w:val="single"/>
        </w:rPr>
        <w:t>Basics</w:t>
      </w:r>
      <w:r w:rsidR="00720D9B"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represents a uniform set of health and safety standards and provides specific guidance to assist programs in achieving the standards identified in this regulation.  We believe </w:t>
      </w:r>
      <w:r w:rsidR="00720D9B" w:rsidRPr="00C1694A">
        <w:rPr>
          <w:rFonts w:ascii="Times New Roman" w:hAnsi="Times New Roman" w:cs="Times New Roman"/>
          <w:sz w:val="24"/>
          <w:szCs w:val="24"/>
          <w:u w:val="single"/>
        </w:rPr>
        <w:t xml:space="preserve">Basics </w:t>
      </w:r>
      <w:r w:rsidRPr="00C1694A">
        <w:rPr>
          <w:rFonts w:ascii="Times New Roman" w:hAnsi="Times New Roman" w:cs="Times New Roman"/>
          <w:sz w:val="24"/>
          <w:szCs w:val="24"/>
        </w:rPr>
        <w:t xml:space="preserve">will be an important resource for programs and </w:t>
      </w:r>
      <w:r w:rsidR="00295575" w:rsidRPr="00C1694A">
        <w:rPr>
          <w:rFonts w:ascii="Times New Roman" w:hAnsi="Times New Roman" w:cs="Times New Roman"/>
          <w:sz w:val="24"/>
          <w:szCs w:val="24"/>
        </w:rPr>
        <w:t xml:space="preserve">useful tool for achieving consistency across programs.  Therefore, we </w:t>
      </w:r>
      <w:r w:rsidRPr="00C1694A">
        <w:rPr>
          <w:rFonts w:ascii="Times New Roman" w:hAnsi="Times New Roman" w:cs="Times New Roman"/>
          <w:sz w:val="24"/>
          <w:szCs w:val="24"/>
        </w:rPr>
        <w:t xml:space="preserve">retained our requirement in paragraph (a) that encourages programs to </w:t>
      </w:r>
      <w:r w:rsidR="00720D9B" w:rsidRPr="00C1694A">
        <w:rPr>
          <w:rFonts w:ascii="Times New Roman" w:hAnsi="Times New Roman" w:cs="Times New Roman"/>
          <w:sz w:val="24"/>
          <w:szCs w:val="24"/>
        </w:rPr>
        <w:t xml:space="preserve">consult </w:t>
      </w:r>
      <w:r w:rsidRPr="00C1694A">
        <w:rPr>
          <w:rFonts w:ascii="Times New Roman" w:hAnsi="Times New Roman" w:cs="Times New Roman"/>
          <w:sz w:val="24"/>
          <w:szCs w:val="24"/>
          <w:u w:val="single"/>
        </w:rPr>
        <w:t>Basics</w:t>
      </w:r>
      <w:r w:rsidR="0067519C" w:rsidRPr="00C1694A">
        <w:rPr>
          <w:rFonts w:ascii="Times New Roman" w:hAnsi="Times New Roman" w:cs="Times New Roman"/>
          <w:sz w:val="24"/>
          <w:szCs w:val="24"/>
          <w:u w:val="single"/>
        </w:rPr>
        <w:t xml:space="preserve"> in developing their safety standards and training</w:t>
      </w:r>
      <w:r w:rsidRPr="00C1694A">
        <w:rPr>
          <w:rFonts w:ascii="Times New Roman" w:hAnsi="Times New Roman" w:cs="Times New Roman"/>
          <w:sz w:val="24"/>
          <w:szCs w:val="24"/>
        </w:rPr>
        <w:t>.</w:t>
      </w:r>
    </w:p>
    <w:p w:rsidR="00BF7E02" w:rsidRPr="00C1694A" w:rsidRDefault="00BF7E0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w:t>
      </w:r>
      <w:r w:rsidR="00720D9B" w:rsidRPr="00C1694A">
        <w:rPr>
          <w:rFonts w:ascii="Times New Roman" w:hAnsi="Times New Roman" w:cs="Times New Roman"/>
          <w:sz w:val="24"/>
          <w:szCs w:val="24"/>
        </w:rPr>
        <w:t xml:space="preserve">requesting </w:t>
      </w:r>
      <w:r w:rsidRPr="00C1694A">
        <w:rPr>
          <w:rFonts w:ascii="Times New Roman" w:hAnsi="Times New Roman" w:cs="Times New Roman"/>
          <w:sz w:val="24"/>
          <w:szCs w:val="24"/>
        </w:rPr>
        <w:t xml:space="preserve">clarification </w:t>
      </w:r>
      <w:r w:rsidR="00720D9B" w:rsidRPr="00C1694A">
        <w:rPr>
          <w:rFonts w:ascii="Times New Roman" w:hAnsi="Times New Roman" w:cs="Times New Roman"/>
          <w:sz w:val="24"/>
          <w:szCs w:val="24"/>
        </w:rPr>
        <w:t xml:space="preserve">on </w:t>
      </w:r>
      <w:r w:rsidR="00E45E2A">
        <w:rPr>
          <w:rFonts w:ascii="Times New Roman" w:hAnsi="Times New Roman" w:cs="Times New Roman"/>
          <w:sz w:val="24"/>
          <w:szCs w:val="24"/>
        </w:rPr>
        <w:t>the introductory text</w:t>
      </w:r>
      <w:r w:rsidR="00E45E2A" w:rsidRPr="00C1694A">
        <w:rPr>
          <w:rFonts w:ascii="Times New Roman" w:hAnsi="Times New Roman" w:cs="Times New Roman"/>
          <w:sz w:val="24"/>
          <w:szCs w:val="24"/>
        </w:rPr>
        <w:t xml:space="preserve"> </w:t>
      </w:r>
      <w:r w:rsidR="00E45E2A">
        <w:rPr>
          <w:rFonts w:ascii="Times New Roman" w:hAnsi="Times New Roman" w:cs="Times New Roman"/>
          <w:sz w:val="24"/>
          <w:szCs w:val="24"/>
        </w:rPr>
        <w:t>in</w:t>
      </w:r>
      <w:r w:rsidR="00E45E2A" w:rsidRPr="00C1694A">
        <w:rPr>
          <w:rFonts w:ascii="Times New Roman" w:hAnsi="Times New Roman" w:cs="Times New Roman"/>
          <w:sz w:val="24"/>
          <w:szCs w:val="24"/>
        </w:rPr>
        <w:t xml:space="preserve"> </w:t>
      </w:r>
      <w:r w:rsidRPr="00C1694A">
        <w:rPr>
          <w:rFonts w:ascii="Times New Roman" w:hAnsi="Times New Roman" w:cs="Times New Roman"/>
          <w:sz w:val="24"/>
          <w:szCs w:val="24"/>
        </w:rPr>
        <w:t>paragraph (b)</w:t>
      </w:r>
      <w:r w:rsidR="00F25411">
        <w:rPr>
          <w:rFonts w:ascii="Times New Roman" w:hAnsi="Times New Roman" w:cs="Times New Roman"/>
          <w:sz w:val="24"/>
          <w:szCs w:val="24"/>
        </w:rPr>
        <w:t xml:space="preserve"> </w:t>
      </w:r>
      <w:r w:rsidRPr="00C1694A">
        <w:rPr>
          <w:rFonts w:ascii="Times New Roman" w:hAnsi="Times New Roman" w:cs="Times New Roman"/>
          <w:sz w:val="24"/>
          <w:szCs w:val="24"/>
        </w:rPr>
        <w:t xml:space="preserve">and </w:t>
      </w:r>
      <w:r w:rsidR="00E45E2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(b)(1).  For example, a commenter suggested we delete “at a minimum” </w:t>
      </w:r>
      <w:r w:rsidR="00E45E2A">
        <w:rPr>
          <w:rFonts w:ascii="Times New Roman" w:hAnsi="Times New Roman" w:cs="Times New Roman"/>
          <w:sz w:val="24"/>
          <w:szCs w:val="24"/>
        </w:rPr>
        <w:t>in the introductory text</w:t>
      </w:r>
      <w:r w:rsidR="00E45E2A" w:rsidRPr="00C1694A">
        <w:rPr>
          <w:rFonts w:ascii="Times New Roman" w:hAnsi="Times New Roman" w:cs="Times New Roman"/>
          <w:sz w:val="24"/>
          <w:szCs w:val="24"/>
        </w:rPr>
        <w:t xml:space="preserve"> </w:t>
      </w:r>
      <w:r w:rsidR="00E45E2A">
        <w:rPr>
          <w:rFonts w:ascii="Times New Roman" w:hAnsi="Times New Roman" w:cs="Times New Roman"/>
          <w:sz w:val="24"/>
          <w:szCs w:val="24"/>
        </w:rPr>
        <w:t>in</w:t>
      </w:r>
      <w:r w:rsidRPr="00C1694A">
        <w:rPr>
          <w:rFonts w:ascii="Times New Roman" w:hAnsi="Times New Roman" w:cs="Times New Roman"/>
          <w:sz w:val="24"/>
          <w:szCs w:val="24"/>
        </w:rPr>
        <w:t xml:space="preserve"> paragraph (b) to improve clarity.  In addition, some commenters suggested we require family child care providers store guns and ammunition so children cannot readily access them.  They also recommended we require programs to train staff on safe gun and ammunition storage procedures.  Other commenters noted we omitted food preparation from paragraph (b)(1)(viii).  Others suggested we require smoke</w:t>
      </w:r>
      <w:r w:rsidR="00720D9B" w:rsidRPr="00C1694A">
        <w:rPr>
          <w:rFonts w:ascii="Times New Roman" w:hAnsi="Times New Roman" w:cs="Times New Roman"/>
          <w:sz w:val="24"/>
          <w:szCs w:val="24"/>
        </w:rPr>
        <w:t>-</w:t>
      </w:r>
      <w:r w:rsidRPr="00C1694A">
        <w:rPr>
          <w:rFonts w:ascii="Times New Roman" w:hAnsi="Times New Roman" w:cs="Times New Roman"/>
          <w:sz w:val="24"/>
          <w:szCs w:val="24"/>
        </w:rPr>
        <w:t>free environments and promote</w:t>
      </w:r>
      <w:r w:rsidR="00720D9B" w:rsidRPr="00C1694A">
        <w:rPr>
          <w:rFonts w:ascii="Times New Roman" w:hAnsi="Times New Roman" w:cs="Times New Roman"/>
          <w:sz w:val="24"/>
          <w:szCs w:val="24"/>
        </w:rPr>
        <w:t xml:space="preserve"> smoke-</w:t>
      </w:r>
      <w:r w:rsidRPr="00C1694A">
        <w:rPr>
          <w:rFonts w:ascii="Times New Roman" w:hAnsi="Times New Roman" w:cs="Times New Roman"/>
          <w:sz w:val="24"/>
          <w:szCs w:val="24"/>
        </w:rPr>
        <w:t xml:space="preserve">free environments for children to families and other caregivers.  </w:t>
      </w:r>
    </w:p>
    <w:p w:rsidR="00BF7E02" w:rsidRPr="00C1694A" w:rsidRDefault="00BF7E0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the placement of “at </w:t>
      </w:r>
      <w:r w:rsidR="009E4EAF" w:rsidRPr="00C1694A">
        <w:rPr>
          <w:rFonts w:ascii="Times New Roman" w:hAnsi="Times New Roman" w:cs="Times New Roman"/>
          <w:sz w:val="24"/>
          <w:szCs w:val="24"/>
        </w:rPr>
        <w:t xml:space="preserve">a </w:t>
      </w:r>
      <w:r w:rsidRPr="00C1694A">
        <w:rPr>
          <w:rFonts w:ascii="Times New Roman" w:hAnsi="Times New Roman" w:cs="Times New Roman"/>
          <w:sz w:val="24"/>
          <w:szCs w:val="24"/>
        </w:rPr>
        <w:t xml:space="preserve">minimum” in </w:t>
      </w:r>
      <w:r w:rsidR="00E45E2A">
        <w:rPr>
          <w:rFonts w:ascii="Times New Roman" w:hAnsi="Times New Roman" w:cs="Times New Roman"/>
          <w:sz w:val="24"/>
          <w:szCs w:val="24"/>
        </w:rPr>
        <w:t>the introductory text</w:t>
      </w:r>
      <w:r w:rsidR="00E45E2A" w:rsidRPr="00C1694A">
        <w:rPr>
          <w:rFonts w:ascii="Times New Roman" w:hAnsi="Times New Roman" w:cs="Times New Roman"/>
          <w:sz w:val="24"/>
          <w:szCs w:val="24"/>
        </w:rPr>
        <w:t xml:space="preserve"> </w:t>
      </w:r>
      <w:r w:rsidR="00E45E2A">
        <w:rPr>
          <w:rFonts w:ascii="Times New Roman" w:hAnsi="Times New Roman" w:cs="Times New Roman"/>
          <w:sz w:val="24"/>
          <w:szCs w:val="24"/>
        </w:rPr>
        <w:t>in</w:t>
      </w:r>
      <w:r w:rsidR="00E45E2A" w:rsidRPr="00C1694A">
        <w:rPr>
          <w:rFonts w:ascii="Times New Roman" w:hAnsi="Times New Roman" w:cs="Times New Roman"/>
          <w:sz w:val="24"/>
          <w:szCs w:val="24"/>
        </w:rPr>
        <w:t xml:space="preserve"> </w:t>
      </w:r>
      <w:r w:rsidRPr="00C1694A">
        <w:rPr>
          <w:rFonts w:ascii="Times New Roman" w:hAnsi="Times New Roman" w:cs="Times New Roman"/>
          <w:sz w:val="24"/>
          <w:szCs w:val="24"/>
        </w:rPr>
        <w:t>paragraph (b) was confusing and moved it to paragraphs (b)(1), (2), (4), (5), (6), and (7) to improve clarity.  We did not include revisions on gun safety because we think the req</w:t>
      </w:r>
      <w:r w:rsidR="00F27085" w:rsidRPr="00C1694A">
        <w:rPr>
          <w:rFonts w:ascii="Times New Roman" w:hAnsi="Times New Roman" w:cs="Times New Roman"/>
          <w:sz w:val="24"/>
          <w:szCs w:val="24"/>
        </w:rPr>
        <w:t>uirement in paragraph (b)(1)(vi</w:t>
      </w:r>
      <w:r w:rsidRPr="00C1694A">
        <w:rPr>
          <w:rFonts w:ascii="Times New Roman" w:hAnsi="Times New Roman" w:cs="Times New Roman"/>
          <w:sz w:val="24"/>
          <w:szCs w:val="24"/>
        </w:rPr>
        <w:t xml:space="preserve">i) that states facilities must be free from guns or firearms that are accessible to children is sufficient. Local programs may elect to provide training on storage safety but we did not require it.  We revised paragraph (b)(1)(viii) to </w:t>
      </w:r>
      <w:r w:rsidR="00C40546" w:rsidRPr="00C1694A">
        <w:rPr>
          <w:rFonts w:ascii="Times New Roman" w:hAnsi="Times New Roman" w:cs="Times New Roman"/>
          <w:sz w:val="24"/>
          <w:szCs w:val="24"/>
        </w:rPr>
        <w:t xml:space="preserve">clarify that facilities have </w:t>
      </w:r>
      <w:r w:rsidRPr="00C1694A">
        <w:rPr>
          <w:rFonts w:ascii="Times New Roman" w:hAnsi="Times New Roman" w:cs="Times New Roman"/>
          <w:sz w:val="24"/>
          <w:szCs w:val="24"/>
        </w:rPr>
        <w:t>separate toileting and diapering areas from areas for food preparation.  This reflects an important basic requirement from the previous program standards</w:t>
      </w:r>
      <w:r w:rsidR="009E4EAF" w:rsidRPr="00C1694A">
        <w:rPr>
          <w:rFonts w:ascii="Times New Roman" w:hAnsi="Times New Roman" w:cs="Times New Roman"/>
          <w:sz w:val="24"/>
          <w:szCs w:val="24"/>
        </w:rPr>
        <w:t>. We agree smoke-</w:t>
      </w:r>
      <w:r w:rsidRPr="00C1694A">
        <w:rPr>
          <w:rFonts w:ascii="Times New Roman" w:hAnsi="Times New Roman" w:cs="Times New Roman"/>
          <w:sz w:val="24"/>
          <w:szCs w:val="24"/>
        </w:rPr>
        <w:t xml:space="preserve">free environments are important.  We did not make revisions to address this comment because paragraph (b)(1) already requires facilities be free from pollutants and we prohibit smoking in all Head Start facilities under the terms of grant awards. </w:t>
      </w:r>
      <w:r w:rsidRPr="00C1694A">
        <w:rPr>
          <w:rFonts w:ascii="Times New Roman" w:hAnsi="Times New Roman" w:cs="Times New Roman"/>
          <w:sz w:val="24"/>
          <w:szCs w:val="24"/>
        </w:rPr>
        <w:tab/>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about our requirement in paragraph (b)(2) that all equipment and materials meet standards set by the Consumer Product Safety Commission (CPSC) and the American Society for Testing and </w:t>
      </w:r>
      <w:r w:rsidR="00C40546" w:rsidRPr="00C1694A">
        <w:rPr>
          <w:rFonts w:ascii="Times New Roman" w:hAnsi="Times New Roman" w:cs="Times New Roman"/>
          <w:sz w:val="24"/>
          <w:szCs w:val="24"/>
        </w:rPr>
        <w:t>Materials</w:t>
      </w:r>
      <w:r w:rsidRPr="00C1694A">
        <w:rPr>
          <w:rFonts w:ascii="Times New Roman" w:hAnsi="Times New Roman" w:cs="Times New Roman"/>
          <w:sz w:val="24"/>
          <w:szCs w:val="24"/>
        </w:rPr>
        <w:t xml:space="preserve">, International (ASTM).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agreed with this requirement. </w:t>
      </w:r>
      <w:r w:rsidR="00C40546" w:rsidRPr="00C1694A">
        <w:rPr>
          <w:rFonts w:ascii="Times New Roman" w:hAnsi="Times New Roman" w:cs="Times New Roman"/>
          <w:sz w:val="24"/>
          <w:szCs w:val="24"/>
        </w:rPr>
        <w:t>Commenters</w:t>
      </w:r>
      <w:r w:rsidRPr="00C1694A">
        <w:rPr>
          <w:rFonts w:ascii="Times New Roman" w:hAnsi="Times New Roman" w:cs="Times New Roman"/>
          <w:sz w:val="24"/>
          <w:szCs w:val="24"/>
        </w:rPr>
        <w:t xml:space="preserve"> were concerned about the complexity and cost of meeting CPSC and ASTM standards.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we reference the full names of the CPSC and the ASTM to improve clarity.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with commenters that it may be difficult for programs to identify </w:t>
      </w:r>
      <w:r w:rsidR="00F44F21" w:rsidRPr="00C1694A">
        <w:rPr>
          <w:rFonts w:ascii="Times New Roman" w:hAnsi="Times New Roman" w:cs="Times New Roman"/>
          <w:sz w:val="24"/>
          <w:szCs w:val="24"/>
        </w:rPr>
        <w:t xml:space="preserve">all </w:t>
      </w:r>
      <w:r w:rsidRPr="00C1694A">
        <w:rPr>
          <w:rFonts w:ascii="Times New Roman" w:hAnsi="Times New Roman" w:cs="Times New Roman"/>
          <w:sz w:val="24"/>
          <w:szCs w:val="24"/>
        </w:rPr>
        <w:t>equipment and materials</w:t>
      </w:r>
      <w:r w:rsidR="00F44F21"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that are covered by the CPSC and the ASTM.  Our </w:t>
      </w:r>
      <w:r w:rsidR="00D929B6" w:rsidRPr="00C1694A">
        <w:rPr>
          <w:rFonts w:ascii="Times New Roman" w:hAnsi="Times New Roman" w:cs="Times New Roman"/>
          <w:sz w:val="24"/>
          <w:szCs w:val="24"/>
        </w:rPr>
        <w:t>understanding is</w:t>
      </w:r>
      <w:r w:rsidRPr="00C1694A">
        <w:rPr>
          <w:rFonts w:ascii="Times New Roman" w:hAnsi="Times New Roman" w:cs="Times New Roman"/>
          <w:sz w:val="24"/>
          <w:szCs w:val="24"/>
        </w:rPr>
        <w:t xml:space="preserve"> that most equipment and material used in early childhood programs is labeled as compliant with applicable standards.   In order to reduce potential burden for programs, we struck what was paragraph (b)(2)(iii) and revised paragraph (b)(2) to specify that indoor and outdoor play equipment</w:t>
      </w:r>
      <w:r w:rsidR="00F44F21" w:rsidRPr="00C1694A">
        <w:rPr>
          <w:rFonts w:ascii="Times New Roman" w:hAnsi="Times New Roman" w:cs="Times New Roman"/>
          <w:sz w:val="24"/>
          <w:szCs w:val="24"/>
        </w:rPr>
        <w:t xml:space="preserve">, </w:t>
      </w:r>
      <w:r w:rsidR="00D42C8C">
        <w:rPr>
          <w:rFonts w:ascii="Times New Roman" w:hAnsi="Times New Roman" w:cs="Times New Roman"/>
          <w:sz w:val="24"/>
          <w:szCs w:val="24"/>
        </w:rPr>
        <w:t>feeding</w:t>
      </w:r>
      <w:r w:rsidR="00D42C8C" w:rsidRPr="00C1694A">
        <w:rPr>
          <w:rFonts w:ascii="Times New Roman" w:hAnsi="Times New Roman" w:cs="Times New Roman"/>
          <w:sz w:val="24"/>
          <w:szCs w:val="24"/>
        </w:rPr>
        <w:t xml:space="preserve"> </w:t>
      </w:r>
      <w:r w:rsidR="00F44F21" w:rsidRPr="00C1694A">
        <w:rPr>
          <w:rFonts w:ascii="Times New Roman" w:hAnsi="Times New Roman" w:cs="Times New Roman"/>
          <w:sz w:val="24"/>
          <w:szCs w:val="24"/>
        </w:rPr>
        <w:t xml:space="preserve">chairs, strollers, </w:t>
      </w:r>
      <w:r w:rsidRPr="00C1694A">
        <w:rPr>
          <w:rFonts w:ascii="Times New Roman" w:hAnsi="Times New Roman" w:cs="Times New Roman"/>
          <w:sz w:val="24"/>
          <w:szCs w:val="24"/>
        </w:rPr>
        <w:t xml:space="preserve">and cribs must meet the applicable ASTM or CPSC standards and other materials and equipment </w:t>
      </w:r>
      <w:r w:rsidR="00AB1562" w:rsidRPr="00C1694A">
        <w:rPr>
          <w:rFonts w:ascii="Times New Roman" w:hAnsi="Times New Roman" w:cs="Times New Roman"/>
          <w:sz w:val="24"/>
          <w:szCs w:val="24"/>
        </w:rPr>
        <w:t xml:space="preserve">used in the care of enrolled children must also </w:t>
      </w:r>
      <w:r w:rsidRPr="00C1694A">
        <w:rPr>
          <w:rFonts w:ascii="Times New Roman" w:hAnsi="Times New Roman" w:cs="Times New Roman"/>
          <w:sz w:val="24"/>
          <w:szCs w:val="24"/>
        </w:rPr>
        <w:t>meet those standards as applicable.</w:t>
      </w:r>
      <w:r w:rsidRPr="00C1694A">
        <w:rPr>
          <w:rStyle w:val="CommentReference"/>
          <w:rFonts w:ascii="Times New Roman" w:hAnsi="Times New Roman" w:cs="Times New Roman"/>
          <w:sz w:val="24"/>
          <w:szCs w:val="24"/>
        </w:rPr>
        <w:t xml:space="preserve">  We also included the full names of these entities for better clarity.</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we include more specificity in paragraph (b)(2)(i).  Specifically, they suggested we include specific language from </w:t>
      </w:r>
      <w:r w:rsidRPr="00C1694A">
        <w:rPr>
          <w:rFonts w:ascii="Times New Roman" w:hAnsi="Times New Roman" w:cs="Times New Roman"/>
          <w:sz w:val="24"/>
          <w:szCs w:val="24"/>
          <w:u w:val="single"/>
        </w:rPr>
        <w:t>Caring for Our Children</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about ensuring all indoor and outdoor equipment and materials and play spaces are clean and safe and appropriately disinfected.</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revise paragraph (b)(2)(i) to make </w:t>
      </w:r>
      <w:r w:rsidR="00A55CBE" w:rsidRPr="00C1694A">
        <w:rPr>
          <w:rFonts w:ascii="Times New Roman" w:hAnsi="Times New Roman" w:cs="Times New Roman"/>
          <w:sz w:val="24"/>
          <w:szCs w:val="24"/>
        </w:rPr>
        <w:t xml:space="preserve">it </w:t>
      </w:r>
      <w:r w:rsidRPr="00C1694A">
        <w:rPr>
          <w:rFonts w:ascii="Times New Roman" w:hAnsi="Times New Roman" w:cs="Times New Roman"/>
          <w:sz w:val="24"/>
          <w:szCs w:val="24"/>
        </w:rPr>
        <w:t xml:space="preserve">more specific. We expect programs to determine what they must do to provide safe and healthy environments and encourage them to consult </w:t>
      </w:r>
      <w:r w:rsidR="00222953" w:rsidRPr="00C1694A">
        <w:rPr>
          <w:rFonts w:ascii="Times New Roman" w:hAnsi="Times New Roman" w:cs="Times New Roman"/>
          <w:sz w:val="24"/>
          <w:u w:val="single"/>
        </w:rPr>
        <w:t>Caring for Our Children</w:t>
      </w:r>
      <w:r w:rsidR="00222953" w:rsidRPr="00C1694A">
        <w:rPr>
          <w:rFonts w:ascii="Times New Roman" w:hAnsi="Times New Roman" w:cs="Times New Roman"/>
          <w:sz w:val="24"/>
          <w:szCs w:val="24"/>
        </w:rPr>
        <w:t xml:space="preserve"> </w:t>
      </w:r>
      <w:r w:rsidRPr="00C1694A">
        <w:rPr>
          <w:rFonts w:ascii="Times New Roman" w:hAnsi="Times New Roman" w:cs="Times New Roman"/>
          <w:sz w:val="24"/>
          <w:szCs w:val="24"/>
          <w:u w:val="single"/>
        </w:rPr>
        <w:t>Basics</w:t>
      </w:r>
      <w:r w:rsidRPr="00C1694A">
        <w:rPr>
          <w:rFonts w:ascii="Times New Roman" w:hAnsi="Times New Roman" w:cs="Times New Roman"/>
          <w:sz w:val="24"/>
          <w:szCs w:val="24"/>
        </w:rPr>
        <w:t xml:space="preserve"> or other similar resources for additional guidance.</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on paragraph (b)(4) that address safety training. Commenters requested more clarification, such as what topics programs must include in the initial training and how often they must offer this training. They also asked us to clarify what positions are included under “all staff.”   Other comments offered recommendations for additional specificity to the required staff training topics.  For example,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additional specificity about safe sleep practices, and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 we add </w:t>
      </w:r>
      <w:r w:rsidR="00F27085" w:rsidRPr="00C1694A">
        <w:rPr>
          <w:rFonts w:ascii="Times New Roman" w:hAnsi="Times New Roman" w:cs="Times New Roman"/>
          <w:sz w:val="24"/>
          <w:szCs w:val="24"/>
        </w:rPr>
        <w:t xml:space="preserve">cold </w:t>
      </w:r>
      <w:r w:rsidR="00295575" w:rsidRPr="00C1694A">
        <w:rPr>
          <w:rFonts w:ascii="Times New Roman" w:hAnsi="Times New Roman" w:cs="Times New Roman"/>
          <w:sz w:val="24"/>
          <w:szCs w:val="24"/>
        </w:rPr>
        <w:t xml:space="preserve">weather </w:t>
      </w:r>
      <w:r w:rsidR="00F27085" w:rsidRPr="00C1694A">
        <w:rPr>
          <w:rFonts w:ascii="Times New Roman" w:hAnsi="Times New Roman" w:cs="Times New Roman"/>
          <w:sz w:val="24"/>
          <w:szCs w:val="24"/>
        </w:rPr>
        <w:t>safety</w:t>
      </w:r>
      <w:r w:rsidRPr="00C1694A">
        <w:rPr>
          <w:rFonts w:ascii="Times New Roman" w:hAnsi="Times New Roman" w:cs="Times New Roman"/>
          <w:sz w:val="24"/>
          <w:szCs w:val="24"/>
        </w:rPr>
        <w:t>.</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we were not clear enough about which staff needed safety training and whether it was necessary for all staff to be trained on all required topics. Therefore</w:t>
      </w:r>
      <w:r w:rsidR="009E4EAF" w:rsidRPr="00C1694A">
        <w:rPr>
          <w:rFonts w:ascii="Times New Roman" w:hAnsi="Times New Roman" w:cs="Times New Roman"/>
          <w:sz w:val="24"/>
          <w:szCs w:val="24"/>
        </w:rPr>
        <w:t>,</w:t>
      </w:r>
      <w:r w:rsidRPr="00C1694A">
        <w:rPr>
          <w:rFonts w:ascii="Times New Roman" w:hAnsi="Times New Roman" w:cs="Times New Roman"/>
          <w:sz w:val="24"/>
          <w:szCs w:val="24"/>
        </w:rPr>
        <w:t xml:space="preserve"> we revised paragraph (b)(4) to clarify what safety training was required for staff with regular child contact in paragraph (b)(4)(i) and what safety training was necessary for staff without regular child contact in a new requirement at paragraph (b)(4)(ii).</w:t>
      </w:r>
      <w:r w:rsidR="00D94387" w:rsidRPr="00C1694A">
        <w:rPr>
          <w:rFonts w:ascii="Times New Roman" w:hAnsi="Times New Roman" w:cs="Times New Roman"/>
          <w:sz w:val="24"/>
          <w:szCs w:val="24"/>
        </w:rPr>
        <w:t xml:space="preserve">  We have also clarified</w:t>
      </w:r>
      <w:r w:rsidRPr="00C1694A">
        <w:rPr>
          <w:rFonts w:ascii="Times New Roman" w:hAnsi="Times New Roman" w:cs="Times New Roman"/>
          <w:sz w:val="24"/>
          <w:szCs w:val="24"/>
        </w:rPr>
        <w:t xml:space="preserve"> </w:t>
      </w:r>
      <w:r w:rsidR="00D94387" w:rsidRPr="00C1694A">
        <w:rPr>
          <w:rFonts w:ascii="Times New Roman" w:hAnsi="Times New Roman" w:cs="Times New Roman"/>
          <w:sz w:val="24"/>
          <w:szCs w:val="24"/>
        </w:rPr>
        <w:t xml:space="preserve">that the areas of training provided should be </w:t>
      </w:r>
      <w:r w:rsidR="00D94387" w:rsidRPr="00C1694A">
        <w:rPr>
          <w:rFonts w:ascii="Times New Roman" w:eastAsia="Times New Roman" w:hAnsi="Times New Roman" w:cs="Times New Roman"/>
          <w:bCs/>
          <w:sz w:val="24"/>
          <w:szCs w:val="24"/>
        </w:rPr>
        <w:t xml:space="preserve">appropriate based on staff roles and ages of children they work with. </w:t>
      </w:r>
      <w:r w:rsidR="00D94387"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Further, we did not specify in paragraph (b)(4) of this section what topics programs must include in the initial training and how often must they offer this training. We expect programs to design training curricula and determine how often this training must be provided in order to ensure staff are properly trained to keep children safe. We did not make revisions to address other requests for more specificity because we did not think we </w:t>
      </w:r>
      <w:r w:rsidR="00A55CBE" w:rsidRPr="00C1694A">
        <w:rPr>
          <w:rFonts w:ascii="Times New Roman" w:hAnsi="Times New Roman" w:cs="Times New Roman"/>
          <w:sz w:val="24"/>
          <w:szCs w:val="24"/>
        </w:rPr>
        <w:t>did not believe</w:t>
      </w:r>
      <w:r w:rsidRPr="00C1694A">
        <w:rPr>
          <w:rFonts w:ascii="Times New Roman" w:hAnsi="Times New Roman" w:cs="Times New Roman"/>
          <w:sz w:val="24"/>
          <w:szCs w:val="24"/>
        </w:rPr>
        <w:t xml:space="preserve"> that level of </w:t>
      </w:r>
      <w:r w:rsidR="00A55CBE" w:rsidRPr="00C1694A">
        <w:rPr>
          <w:rFonts w:ascii="Times New Roman" w:hAnsi="Times New Roman" w:cs="Times New Roman"/>
          <w:sz w:val="24"/>
          <w:szCs w:val="24"/>
        </w:rPr>
        <w:t>prescription was necessary to ensure child safety</w:t>
      </w:r>
      <w:r w:rsidRPr="00C1694A">
        <w:rPr>
          <w:rFonts w:ascii="Times New Roman" w:hAnsi="Times New Roman" w:cs="Times New Roman"/>
          <w:sz w:val="24"/>
          <w:szCs w:val="24"/>
        </w:rPr>
        <w:t xml:space="preserve">.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recommended we replace “spills of bodily fluids,” with “exposure to blood and body fluids” in </w:t>
      </w:r>
      <w:r w:rsidR="00F27085" w:rsidRPr="00C1694A">
        <w:rPr>
          <w:rFonts w:ascii="Times New Roman" w:hAnsi="Times New Roman" w:cs="Times New Roman"/>
          <w:sz w:val="24"/>
          <w:szCs w:val="24"/>
        </w:rPr>
        <w:t>hygiene practices</w:t>
      </w:r>
      <w:r w:rsidRPr="00C1694A">
        <w:rPr>
          <w:rFonts w:ascii="Times New Roman" w:hAnsi="Times New Roman" w:cs="Times New Roman"/>
          <w:sz w:val="24"/>
          <w:szCs w:val="24"/>
        </w:rPr>
        <w:t>.</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this requirement accordingly, now found at </w:t>
      </w:r>
      <w:r w:rsidR="009E4EAF"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(b)(6)(iii).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about safety requirements for addressing child food allergies, which we addressed primarily in what was paragraph (b)(8)(vi) in the NPRM and is paragraph (b)(7)(vi) in the final rule.  Many commenters were concerned the requirement created privacy concerns and offered alternative suggestions.  Some commenters were concerned standards were not strong enough and parents might decline to enroll their child. </w:t>
      </w:r>
      <w:r w:rsidRPr="00C1694A">
        <w:rPr>
          <w:rStyle w:val="CommentReference"/>
          <w:rFonts w:ascii="Times New Roman" w:hAnsi="Times New Roman" w:cs="Times New Roman"/>
          <w:sz w:val="24"/>
          <w:szCs w:val="24"/>
        </w:rPr>
        <w:t>Specific recommendations included</w:t>
      </w:r>
      <w:r w:rsidR="00295575" w:rsidRPr="00C1694A">
        <w:rPr>
          <w:rStyle w:val="CommentReference"/>
          <w:rFonts w:ascii="Times New Roman" w:hAnsi="Times New Roman" w:cs="Times New Roman"/>
          <w:sz w:val="24"/>
          <w:szCs w:val="24"/>
        </w:rPr>
        <w:t>:</w:t>
      </w:r>
      <w:r w:rsidRPr="00C1694A">
        <w:rPr>
          <w:rStyle w:val="CommentReference"/>
          <w:rFonts w:ascii="Times New Roman" w:hAnsi="Times New Roman" w:cs="Times New Roman"/>
          <w:sz w:val="24"/>
          <w:szCs w:val="24"/>
        </w:rPr>
        <w:t xml:space="preserve"> </w:t>
      </w:r>
      <w:r w:rsidRPr="00C1694A">
        <w:rPr>
          <w:rFonts w:ascii="Times New Roman" w:hAnsi="Times New Roman" w:cs="Times New Roman"/>
          <w:sz w:val="24"/>
          <w:szCs w:val="24"/>
        </w:rPr>
        <w:t>implementation of a system to share allergy information with relevant staff</w:t>
      </w:r>
      <w:r w:rsidR="00295575" w:rsidRPr="00C1694A">
        <w:rPr>
          <w:rFonts w:ascii="Times New Roman" w:hAnsi="Times New Roman" w:cs="Times New Roman"/>
          <w:sz w:val="24"/>
          <w:szCs w:val="24"/>
        </w:rPr>
        <w:t>;</w:t>
      </w:r>
      <w:r w:rsidRPr="00C1694A">
        <w:rPr>
          <w:rFonts w:ascii="Times New Roman" w:hAnsi="Times New Roman" w:cs="Times New Roman"/>
          <w:sz w:val="24"/>
          <w:szCs w:val="24"/>
        </w:rPr>
        <w:t xml:space="preserve"> to have a training system to ensure staff are prepared to manage allergy related emergencies; posting a list under a sign indicating that there is confidential information; and making sure all staff are aware of all allergies and using scan cards that include allergy information.  </w:t>
      </w:r>
    </w:p>
    <w:p w:rsidR="009C0765"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 program’s most critical responsibility is to keep children safe.  We did not make changes to the food allergy requirements in paragraph (b)(7)(vi).  </w:t>
      </w:r>
      <w:r w:rsidR="009C0765" w:rsidRPr="00C1694A">
        <w:rPr>
          <w:rFonts w:ascii="Times New Roman" w:hAnsi="Times New Roman" w:cs="Times New Roman"/>
          <w:sz w:val="24"/>
          <w:szCs w:val="24"/>
        </w:rPr>
        <w:t xml:space="preserve">We require programs to implement administrative safety procedures, including posting child allergy information prominently where staff can view where food is served.  </w:t>
      </w:r>
      <w:r w:rsidRPr="00C1694A">
        <w:rPr>
          <w:rFonts w:ascii="Times New Roman" w:hAnsi="Times New Roman" w:cs="Times New Roman"/>
          <w:sz w:val="24"/>
          <w:szCs w:val="24"/>
        </w:rPr>
        <w:t xml:space="preserve">We do not believe this requirement creates privacy concerns.   We believe that with the very young children that Head Start serves, the threat posed by any staff or volunteer who is serving food not knowing about a child’s allergy is a far greater threat than others knowing about a child’s food allergy.  We have also made this clear in </w:t>
      </w:r>
      <w:r w:rsidR="009E4EAF" w:rsidRPr="00C1694A">
        <w:rPr>
          <w:rFonts w:ascii="Times New Roman" w:hAnsi="Times New Roman" w:cs="Times New Roman"/>
          <w:sz w:val="24"/>
          <w:szCs w:val="24"/>
        </w:rPr>
        <w:t>s</w:t>
      </w:r>
      <w:r w:rsidRPr="00C1694A">
        <w:rPr>
          <w:rFonts w:ascii="Times New Roman" w:hAnsi="Times New Roman" w:cs="Times New Roman"/>
          <w:sz w:val="24"/>
          <w:szCs w:val="24"/>
        </w:rPr>
        <w:t xml:space="preserve">ubpart C of </w:t>
      </w:r>
      <w:r w:rsidR="00F25411">
        <w:rPr>
          <w:rFonts w:ascii="Times New Roman" w:hAnsi="Times New Roman" w:cs="Times New Roman"/>
          <w:sz w:val="24"/>
          <w:szCs w:val="24"/>
        </w:rPr>
        <w:t xml:space="preserve">part </w:t>
      </w:r>
      <w:r w:rsidRPr="00C1694A">
        <w:rPr>
          <w:rFonts w:ascii="Times New Roman" w:hAnsi="Times New Roman" w:cs="Times New Roman"/>
          <w:sz w:val="24"/>
          <w:szCs w:val="24"/>
        </w:rPr>
        <w:t xml:space="preserve">1303 on Protections for the Privacy of Child Records.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comments about the requirement in paragraph (c) that programs must report any safety incidents in accordance with </w:t>
      </w:r>
      <w:r w:rsidR="009E4EAF" w:rsidRPr="00C1694A">
        <w:rPr>
          <w:rFonts w:ascii="Times New Roman" w:hAnsi="Times New Roman" w:cs="Times New Roman"/>
          <w:sz w:val="24"/>
          <w:szCs w:val="24"/>
        </w:rPr>
        <w:t>§</w:t>
      </w:r>
      <w:r w:rsidRPr="00C1694A">
        <w:rPr>
          <w:rFonts w:ascii="Times New Roman" w:hAnsi="Times New Roman" w:cs="Times New Roman"/>
          <w:sz w:val="24"/>
          <w:szCs w:val="24"/>
        </w:rPr>
        <w:t xml:space="preserve">1302.102(d)(1)(ii). For example, commenters requested clarification about the timeline or suggested the reporting requirement was unnecessary. We received many comments about </w:t>
      </w:r>
      <w:r w:rsidR="009E4EAF" w:rsidRPr="00C1694A">
        <w:rPr>
          <w:rFonts w:ascii="Times New Roman" w:hAnsi="Times New Roman" w:cs="Times New Roman"/>
          <w:sz w:val="24"/>
          <w:szCs w:val="24"/>
        </w:rPr>
        <w:t>§</w:t>
      </w:r>
      <w:r w:rsidRPr="00C1694A">
        <w:rPr>
          <w:rFonts w:ascii="Times New Roman" w:hAnsi="Times New Roman" w:cs="Times New Roman"/>
          <w:sz w:val="24"/>
          <w:szCs w:val="24"/>
        </w:rPr>
        <w:t xml:space="preserve">1302.102(d)(1)(ii) to which this requirement in paragraph (c) is aligned.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w:t>
      </w:r>
      <w:r w:rsidR="009E4EAF" w:rsidRPr="00C1694A">
        <w:rPr>
          <w:rFonts w:ascii="Times New Roman" w:hAnsi="Times New Roman" w:cs="Times New Roman"/>
          <w:sz w:val="24"/>
          <w:szCs w:val="24"/>
        </w:rPr>
        <w:t>§</w:t>
      </w:r>
      <w:r w:rsidRPr="00C1694A">
        <w:rPr>
          <w:rFonts w:ascii="Times New Roman" w:hAnsi="Times New Roman" w:cs="Times New Roman"/>
          <w:sz w:val="24"/>
          <w:szCs w:val="24"/>
        </w:rPr>
        <w:t xml:space="preserve">1302.102(d)(1)(ii) to reflect the many comments we received on that requirement. We discuss those comments and our </w:t>
      </w:r>
      <w:r w:rsidR="009C0765" w:rsidRPr="00C1694A">
        <w:rPr>
          <w:rFonts w:ascii="Times New Roman" w:hAnsi="Times New Roman" w:cs="Times New Roman"/>
          <w:sz w:val="24"/>
          <w:szCs w:val="24"/>
        </w:rPr>
        <w:t>revision in</w:t>
      </w:r>
      <w:r w:rsidRPr="00C1694A">
        <w:rPr>
          <w:rFonts w:ascii="Times New Roman" w:hAnsi="Times New Roman" w:cs="Times New Roman"/>
          <w:sz w:val="24"/>
          <w:szCs w:val="24"/>
        </w:rPr>
        <w:t xml:space="preserve"> subpart J.  We think those revisions provide sufficient clarity for this provision.</w:t>
      </w:r>
    </w:p>
    <w:p w:rsidR="00BF7E02" w:rsidRPr="00C1694A" w:rsidRDefault="00BF7E02" w:rsidP="009A526A">
      <w:pPr>
        <w:spacing w:after="0"/>
        <w:rPr>
          <w:rFonts w:ascii="Times New Roman" w:hAnsi="Times New Roman" w:cs="Times New Roman"/>
          <w:sz w:val="24"/>
          <w:szCs w:val="24"/>
        </w:rPr>
      </w:pPr>
    </w:p>
    <w:p w:rsidR="00991030" w:rsidRPr="00C1694A" w:rsidRDefault="0074445A" w:rsidP="009A526A">
      <w:pPr>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 xml:space="preserve">Family and Community </w:t>
      </w:r>
      <w:r w:rsidR="00C271B9" w:rsidRPr="00C1694A">
        <w:rPr>
          <w:rFonts w:ascii="Times New Roman" w:hAnsi="Times New Roman" w:cs="Times New Roman"/>
          <w:b/>
          <w:sz w:val="24"/>
          <w:szCs w:val="24"/>
        </w:rPr>
        <w:t xml:space="preserve">Engagement </w:t>
      </w:r>
      <w:r w:rsidRPr="00C1694A">
        <w:rPr>
          <w:rFonts w:ascii="Times New Roman" w:hAnsi="Times New Roman" w:cs="Times New Roman"/>
          <w:b/>
          <w:sz w:val="24"/>
          <w:szCs w:val="24"/>
        </w:rPr>
        <w:t>Program Services</w:t>
      </w:r>
      <w:r w:rsidR="009C28FB" w:rsidRPr="00C1694A">
        <w:rPr>
          <w:rFonts w:ascii="Times New Roman" w:hAnsi="Times New Roman" w:cs="Times New Roman"/>
          <w:b/>
          <w:sz w:val="24"/>
          <w:szCs w:val="24"/>
        </w:rPr>
        <w:t>; Subpart E</w:t>
      </w:r>
      <w:r w:rsidR="00991030" w:rsidRPr="00C1694A">
        <w:rPr>
          <w:rFonts w:ascii="Times New Roman" w:hAnsi="Times New Roman" w:cs="Times New Roman"/>
          <w:b/>
          <w:sz w:val="24"/>
          <w:szCs w:val="24"/>
        </w:rPr>
        <w:t xml:space="preserve"> </w:t>
      </w:r>
    </w:p>
    <w:p w:rsidR="00B14DF1" w:rsidRPr="00C1694A" w:rsidRDefault="00B14DF1" w:rsidP="009A526A">
      <w:pPr>
        <w:spacing w:after="0" w:line="240" w:lineRule="auto"/>
        <w:rPr>
          <w:rFonts w:ascii="Times New Roman" w:hAnsi="Times New Roman" w:cs="Times New Roman"/>
          <w:b/>
          <w:sz w:val="24"/>
          <w:szCs w:val="24"/>
        </w:rPr>
      </w:pP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subpart includes program requirements for family and community engagement services. </w:t>
      </w:r>
      <w:r w:rsidR="00B14DF1" w:rsidRPr="00C1694A">
        <w:rPr>
          <w:rFonts w:ascii="Times New Roman" w:hAnsi="Times New Roman" w:cs="Times New Roman"/>
          <w:sz w:val="24"/>
          <w:szCs w:val="24"/>
        </w:rPr>
        <w:t>It</w:t>
      </w:r>
      <w:r w:rsidRPr="00C1694A">
        <w:rPr>
          <w:rFonts w:ascii="Times New Roman" w:hAnsi="Times New Roman" w:cs="Times New Roman"/>
          <w:sz w:val="24"/>
          <w:szCs w:val="24"/>
        </w:rPr>
        <w:t xml:space="preserve"> requires programs integrate family engagement into all systems and program services. It also includes the strategies and approaches programs mu</w:t>
      </w:r>
      <w:r w:rsidR="007B7557" w:rsidRPr="00C1694A">
        <w:rPr>
          <w:rFonts w:ascii="Times New Roman" w:hAnsi="Times New Roman" w:cs="Times New Roman"/>
          <w:sz w:val="24"/>
          <w:szCs w:val="24"/>
        </w:rPr>
        <w:t>st use for family engagement and</w:t>
      </w:r>
      <w:r w:rsidRPr="00C1694A">
        <w:rPr>
          <w:rFonts w:ascii="Times New Roman" w:hAnsi="Times New Roman" w:cs="Times New Roman"/>
          <w:sz w:val="24"/>
          <w:szCs w:val="24"/>
        </w:rPr>
        <w:t xml:space="preserve"> strengthens the requirements for offering parent activities that promote child learning and development.  Further, it details the family partnership process, including identification of family strengths and needs and individualized family partnership services.  Finally, it details program requirements for community partnerships and coordination with other programs and systems.  Th</w:t>
      </w:r>
      <w:r w:rsidR="00991030" w:rsidRPr="00C1694A">
        <w:rPr>
          <w:rFonts w:ascii="Times New Roman" w:hAnsi="Times New Roman" w:cs="Times New Roman"/>
          <w:sz w:val="24"/>
          <w:szCs w:val="24"/>
        </w:rPr>
        <w:t>i</w:t>
      </w:r>
      <w:r w:rsidRPr="00C1694A">
        <w:rPr>
          <w:rFonts w:ascii="Times New Roman" w:hAnsi="Times New Roman" w:cs="Times New Roman"/>
          <w:sz w:val="24"/>
          <w:szCs w:val="24"/>
        </w:rPr>
        <w:t>s subpart retains many provisions from the previous program standards but consolidate</w:t>
      </w:r>
      <w:r w:rsidR="002C42D1" w:rsidRPr="00C1694A">
        <w:rPr>
          <w:rFonts w:ascii="Times New Roman" w:hAnsi="Times New Roman" w:cs="Times New Roman"/>
          <w:sz w:val="24"/>
          <w:szCs w:val="24"/>
        </w:rPr>
        <w:t>s</w:t>
      </w:r>
      <w:r w:rsidR="007B7557" w:rsidRPr="00C1694A">
        <w:rPr>
          <w:rFonts w:ascii="Times New Roman" w:hAnsi="Times New Roman" w:cs="Times New Roman"/>
          <w:sz w:val="24"/>
          <w:szCs w:val="24"/>
        </w:rPr>
        <w:t>, clarifies,</w:t>
      </w:r>
      <w:r w:rsidRPr="00C1694A">
        <w:rPr>
          <w:rFonts w:ascii="Times New Roman" w:hAnsi="Times New Roman" w:cs="Times New Roman"/>
          <w:sz w:val="24"/>
          <w:szCs w:val="24"/>
        </w:rPr>
        <w:t xml:space="preserve"> and reorganize</w:t>
      </w:r>
      <w:r w:rsidR="002C42D1" w:rsidRPr="00C1694A">
        <w:rPr>
          <w:rFonts w:ascii="Times New Roman" w:hAnsi="Times New Roman" w:cs="Times New Roman"/>
          <w:sz w:val="24"/>
          <w:szCs w:val="24"/>
        </w:rPr>
        <w:t>s</w:t>
      </w:r>
      <w:r w:rsidRPr="00C1694A">
        <w:rPr>
          <w:rFonts w:ascii="Times New Roman" w:hAnsi="Times New Roman" w:cs="Times New Roman"/>
          <w:sz w:val="24"/>
          <w:szCs w:val="24"/>
        </w:rPr>
        <w:t xml:space="preserve"> them and strengthen</w:t>
      </w:r>
      <w:r w:rsidR="002C42D1" w:rsidRPr="00C1694A">
        <w:rPr>
          <w:rFonts w:ascii="Times New Roman" w:hAnsi="Times New Roman" w:cs="Times New Roman"/>
          <w:sz w:val="24"/>
          <w:szCs w:val="24"/>
        </w:rPr>
        <w:t>s</w:t>
      </w:r>
      <w:r w:rsidRPr="00C1694A">
        <w:rPr>
          <w:rFonts w:ascii="Times New Roman" w:hAnsi="Times New Roman" w:cs="Times New Roman"/>
          <w:sz w:val="24"/>
          <w:szCs w:val="24"/>
        </w:rPr>
        <w:t xml:space="preserve"> them with a </w:t>
      </w:r>
      <w:r w:rsidR="000423CC" w:rsidRPr="00C1694A">
        <w:rPr>
          <w:rFonts w:ascii="Times New Roman" w:hAnsi="Times New Roman" w:cs="Times New Roman"/>
          <w:sz w:val="24"/>
          <w:szCs w:val="24"/>
        </w:rPr>
        <w:t xml:space="preserve">greater </w:t>
      </w:r>
      <w:r w:rsidRPr="00C1694A">
        <w:rPr>
          <w:rFonts w:ascii="Times New Roman" w:hAnsi="Times New Roman" w:cs="Times New Roman"/>
          <w:sz w:val="24"/>
          <w:szCs w:val="24"/>
        </w:rPr>
        <w:t>focus on family services outcomes instead of processes and a requirement to offer research-based parenting curriculum.</w:t>
      </w:r>
    </w:p>
    <w:p w:rsidR="005E5922" w:rsidRPr="00C1694A" w:rsidRDefault="00991030" w:rsidP="009A526A">
      <w:pPr>
        <w:spacing w:after="0" w:line="480" w:lineRule="auto"/>
        <w:rPr>
          <w:rFonts w:ascii="Times New Roman" w:eastAsia="Times New Roman" w:hAnsi="Times New Roman" w:cs="Times New Roman"/>
          <w:sz w:val="24"/>
          <w:szCs w:val="24"/>
        </w:rPr>
      </w:pPr>
      <w:r w:rsidRPr="00C1694A">
        <w:rPr>
          <w:rFonts w:ascii="Times New Roman" w:hAnsi="Times New Roman" w:cs="Times New Roman"/>
          <w:sz w:val="24"/>
          <w:szCs w:val="24"/>
        </w:rPr>
        <w:tab/>
      </w:r>
      <w:r w:rsidR="005E5922" w:rsidRPr="00C1694A">
        <w:rPr>
          <w:rFonts w:ascii="Times New Roman" w:hAnsi="Times New Roman" w:cs="Times New Roman"/>
          <w:sz w:val="24"/>
          <w:szCs w:val="24"/>
        </w:rPr>
        <w:t>We received many comments on this subpart.  Some commenters supported the improved flexibility, attention to children’s learning, and integration of family engagement. However, many commenters were concerned this subpart contributed to an overarching theme of a weakened role for parents.  We believe parents are foundational to Head Start’s success and th</w:t>
      </w:r>
      <w:r w:rsidR="006976F6" w:rsidRPr="00C1694A">
        <w:rPr>
          <w:rFonts w:ascii="Times New Roman" w:hAnsi="Times New Roman" w:cs="Times New Roman"/>
          <w:sz w:val="24"/>
          <w:szCs w:val="24"/>
        </w:rPr>
        <w:t>at Head Start’s two-generation</w:t>
      </w:r>
      <w:r w:rsidR="005E5922" w:rsidRPr="00C1694A">
        <w:rPr>
          <w:rFonts w:ascii="Times New Roman" w:hAnsi="Times New Roman" w:cs="Times New Roman"/>
          <w:sz w:val="24"/>
          <w:szCs w:val="24"/>
        </w:rPr>
        <w:t xml:space="preserve"> approach is integral to its impact on the children and families it serves.  </w:t>
      </w:r>
      <w:r w:rsidR="007B7557" w:rsidRPr="00C1694A">
        <w:rPr>
          <w:rFonts w:ascii="Times New Roman" w:hAnsi="Times New Roman" w:cs="Times New Roman"/>
          <w:sz w:val="24"/>
          <w:szCs w:val="24"/>
        </w:rPr>
        <w:t>I</w:t>
      </w:r>
      <w:r w:rsidR="005E5922" w:rsidRPr="00C1694A">
        <w:rPr>
          <w:rFonts w:ascii="Times New Roman" w:hAnsi="Times New Roman" w:cs="Times New Roman"/>
          <w:sz w:val="24"/>
          <w:szCs w:val="24"/>
        </w:rPr>
        <w:t>t was not our intent to diminish the role of parents in the NPRM</w:t>
      </w:r>
      <w:r w:rsidR="006976F6" w:rsidRPr="00C1694A">
        <w:rPr>
          <w:rFonts w:ascii="Times New Roman" w:hAnsi="Times New Roman" w:cs="Times New Roman"/>
          <w:sz w:val="24"/>
          <w:szCs w:val="24"/>
        </w:rPr>
        <w:t xml:space="preserve">. </w:t>
      </w:r>
      <w:r w:rsidR="005E5922" w:rsidRPr="00C1694A">
        <w:rPr>
          <w:rFonts w:ascii="Times New Roman" w:hAnsi="Times New Roman" w:cs="Times New Roman"/>
          <w:sz w:val="24"/>
          <w:szCs w:val="24"/>
        </w:rPr>
        <w:t xml:space="preserve">The NPRM built on the groundbreaking work of the Parent, Family and Community Engagement Framework (PFCEF) to focus on system-wide parent, family, and community supports that would create </w:t>
      </w:r>
      <w:r w:rsidR="002C42D1" w:rsidRPr="00C1694A">
        <w:rPr>
          <w:rFonts w:ascii="Times New Roman" w:hAnsi="Times New Roman" w:cs="Times New Roman"/>
          <w:sz w:val="24"/>
          <w:szCs w:val="24"/>
        </w:rPr>
        <w:t xml:space="preserve">a </w:t>
      </w:r>
      <w:r w:rsidR="005E5922" w:rsidRPr="00C1694A">
        <w:rPr>
          <w:rFonts w:ascii="Times New Roman" w:hAnsi="Times New Roman" w:cs="Times New Roman"/>
          <w:sz w:val="24"/>
          <w:szCs w:val="24"/>
        </w:rPr>
        <w:t xml:space="preserve">roadmap for progress in achieving the types of outcomes that lead to positive and enduring change for children and families. However, it </w:t>
      </w:r>
      <w:r w:rsidR="007B7557" w:rsidRPr="00C1694A">
        <w:rPr>
          <w:rFonts w:ascii="Times New Roman" w:hAnsi="Times New Roman" w:cs="Times New Roman"/>
          <w:sz w:val="24"/>
          <w:szCs w:val="24"/>
        </w:rPr>
        <w:t>was</w:t>
      </w:r>
      <w:r w:rsidR="005E5922" w:rsidRPr="00C1694A">
        <w:rPr>
          <w:rFonts w:ascii="Times New Roman" w:hAnsi="Times New Roman" w:cs="Times New Roman"/>
          <w:sz w:val="24"/>
          <w:szCs w:val="24"/>
        </w:rPr>
        <w:t xml:space="preserve"> clear from public comments that we needed to revise provisions to ensure the integral role of parents in Head Start is appropriately reflected in the final rule.  We discuss public comments </w:t>
      </w:r>
      <w:r w:rsidR="00B14DF1" w:rsidRPr="00C1694A">
        <w:rPr>
          <w:rFonts w:ascii="Times New Roman" w:hAnsi="Times New Roman" w:cs="Times New Roman"/>
          <w:sz w:val="24"/>
          <w:szCs w:val="24"/>
        </w:rPr>
        <w:t xml:space="preserve">as well as </w:t>
      </w:r>
      <w:r w:rsidR="005E5922" w:rsidRPr="00C1694A">
        <w:rPr>
          <w:rFonts w:ascii="Times New Roman" w:hAnsi="Times New Roman" w:cs="Times New Roman"/>
          <w:sz w:val="24"/>
          <w:szCs w:val="24"/>
        </w:rPr>
        <w:t>our responses and revisions below.</w:t>
      </w:r>
    </w:p>
    <w:p w:rsidR="005E5922" w:rsidRPr="00C1694A" w:rsidRDefault="005E592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General Comments</w:t>
      </w:r>
      <w:r w:rsidR="0078221A" w:rsidRPr="00C1694A">
        <w:rPr>
          <w:rFonts w:ascii="Times New Roman" w:hAnsi="Times New Roman" w:cs="Times New Roman"/>
          <w:i/>
          <w:sz w:val="24"/>
          <w:szCs w:val="24"/>
        </w:rPr>
        <w:t>.</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expressed concern that family partnership services were too focused on child development and learning and recommended we revise them to focus more broadly on strategies to enhance families’ social and economic well-being and leadership skills.  In addition to recommending revisions to </w:t>
      </w:r>
      <w:r w:rsidR="007B7557" w:rsidRPr="00C1694A">
        <w:rPr>
          <w:rFonts w:ascii="Times New Roman" w:hAnsi="Times New Roman" w:cs="Times New Roman"/>
          <w:sz w:val="24"/>
          <w:szCs w:val="24"/>
        </w:rPr>
        <w:t>separate</w:t>
      </w:r>
      <w:r w:rsidRPr="00C1694A">
        <w:rPr>
          <w:rFonts w:ascii="Times New Roman" w:hAnsi="Times New Roman" w:cs="Times New Roman"/>
          <w:sz w:val="24"/>
          <w:szCs w:val="24"/>
        </w:rPr>
        <w:t xml:space="preserve"> parent and family services from child learning and development, some commenters offered specific suggestions, such as identification of economic well</w:t>
      </w:r>
      <w:r w:rsidR="002C42D1" w:rsidRPr="00C1694A">
        <w:rPr>
          <w:rFonts w:ascii="Times New Roman" w:hAnsi="Times New Roman" w:cs="Times New Roman"/>
          <w:sz w:val="24"/>
          <w:szCs w:val="24"/>
        </w:rPr>
        <w:t>-</w:t>
      </w:r>
      <w:r w:rsidRPr="00C1694A">
        <w:rPr>
          <w:rFonts w:ascii="Times New Roman" w:hAnsi="Times New Roman" w:cs="Times New Roman"/>
          <w:sz w:val="24"/>
          <w:szCs w:val="24"/>
        </w:rPr>
        <w:t>being as part of family well</w:t>
      </w:r>
      <w:r w:rsidR="002C42D1" w:rsidRPr="00C1694A">
        <w:rPr>
          <w:rFonts w:ascii="Times New Roman" w:hAnsi="Times New Roman" w:cs="Times New Roman"/>
          <w:sz w:val="24"/>
          <w:szCs w:val="24"/>
        </w:rPr>
        <w:t>-</w:t>
      </w:r>
      <w:r w:rsidRPr="00C1694A">
        <w:rPr>
          <w:rFonts w:ascii="Times New Roman" w:hAnsi="Times New Roman" w:cs="Times New Roman"/>
          <w:sz w:val="24"/>
          <w:szCs w:val="24"/>
        </w:rPr>
        <w:t>being and pilot programs to support two</w:t>
      </w:r>
      <w:r w:rsidR="002C42D1" w:rsidRPr="00C1694A">
        <w:rPr>
          <w:rFonts w:ascii="Times New Roman" w:hAnsi="Times New Roman" w:cs="Times New Roman"/>
          <w:sz w:val="24"/>
          <w:szCs w:val="24"/>
        </w:rPr>
        <w:t>-</w:t>
      </w:r>
      <w:r w:rsidRPr="00C1694A">
        <w:rPr>
          <w:rFonts w:ascii="Times New Roman" w:hAnsi="Times New Roman" w:cs="Times New Roman"/>
          <w:sz w:val="24"/>
          <w:szCs w:val="24"/>
        </w:rPr>
        <w:t>generation practices.</w:t>
      </w:r>
    </w:p>
    <w:p w:rsidR="005E5922" w:rsidRPr="00C1694A" w:rsidRDefault="002C42D1"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5E5922" w:rsidRPr="00C1694A">
        <w:rPr>
          <w:rFonts w:ascii="Times New Roman" w:hAnsi="Times New Roman" w:cs="Times New Roman"/>
          <w:sz w:val="24"/>
          <w:szCs w:val="24"/>
          <w:u w:val="single"/>
        </w:rPr>
        <w:t>Response:</w:t>
      </w:r>
      <w:r w:rsidR="005E5922" w:rsidRPr="00C1694A">
        <w:rPr>
          <w:rFonts w:ascii="Times New Roman" w:hAnsi="Times New Roman" w:cs="Times New Roman"/>
          <w:sz w:val="24"/>
          <w:szCs w:val="24"/>
        </w:rPr>
        <w:t xml:space="preserve"> Section 636 of the Head Start Act </w:t>
      </w:r>
      <w:r w:rsidR="007B7557" w:rsidRPr="00C1694A">
        <w:rPr>
          <w:rFonts w:ascii="Times New Roman" w:hAnsi="Times New Roman" w:cs="Times New Roman"/>
          <w:sz w:val="24"/>
          <w:szCs w:val="24"/>
        </w:rPr>
        <w:t>specifies</w:t>
      </w:r>
      <w:r w:rsidR="005E5922" w:rsidRPr="00C1694A">
        <w:rPr>
          <w:rFonts w:ascii="Times New Roman" w:hAnsi="Times New Roman" w:cs="Times New Roman"/>
          <w:sz w:val="24"/>
          <w:szCs w:val="24"/>
        </w:rPr>
        <w:t xml:space="preserve"> the purpose of Head Start is to improve the school readiness of children and </w:t>
      </w:r>
      <w:r w:rsidR="007B7557" w:rsidRPr="00C1694A">
        <w:rPr>
          <w:rFonts w:ascii="Times New Roman" w:hAnsi="Times New Roman" w:cs="Times New Roman"/>
          <w:sz w:val="24"/>
          <w:szCs w:val="24"/>
        </w:rPr>
        <w:t>provide</w:t>
      </w:r>
      <w:r w:rsidR="005E5922" w:rsidRPr="00C1694A">
        <w:rPr>
          <w:rFonts w:ascii="Times New Roman" w:hAnsi="Times New Roman" w:cs="Times New Roman"/>
          <w:sz w:val="24"/>
          <w:szCs w:val="24"/>
        </w:rPr>
        <w:t xml:space="preserve"> services to families </w:t>
      </w:r>
      <w:r w:rsidR="007B7557" w:rsidRPr="00C1694A">
        <w:rPr>
          <w:rFonts w:ascii="Times New Roman" w:hAnsi="Times New Roman" w:cs="Times New Roman"/>
          <w:sz w:val="24"/>
          <w:szCs w:val="24"/>
        </w:rPr>
        <w:t xml:space="preserve">that </w:t>
      </w:r>
      <w:r w:rsidR="005E5922" w:rsidRPr="00C1694A">
        <w:rPr>
          <w:rFonts w:ascii="Times New Roman" w:hAnsi="Times New Roman" w:cs="Times New Roman"/>
          <w:sz w:val="24"/>
          <w:szCs w:val="24"/>
        </w:rPr>
        <w:t xml:space="preserve">support children’s </w:t>
      </w:r>
      <w:r w:rsidR="005E5922" w:rsidRPr="00C1694A">
        <w:rPr>
          <w:rFonts w:ascii="Times New Roman" w:eastAsia="Times New Roman" w:hAnsi="Times New Roman" w:cs="Times New Roman"/>
          <w:sz w:val="24"/>
          <w:szCs w:val="24"/>
        </w:rPr>
        <w:t>cognitive, social, and emotional development and school readiness.  Research shows that family social and economic well</w:t>
      </w:r>
      <w:r w:rsidRPr="00C1694A">
        <w:rPr>
          <w:rFonts w:ascii="Times New Roman" w:eastAsia="Times New Roman" w:hAnsi="Times New Roman" w:cs="Times New Roman"/>
          <w:sz w:val="24"/>
          <w:szCs w:val="24"/>
        </w:rPr>
        <w:t>-</w:t>
      </w:r>
      <w:r w:rsidR="005E5922" w:rsidRPr="00C1694A">
        <w:rPr>
          <w:rFonts w:ascii="Times New Roman" w:eastAsia="Times New Roman" w:hAnsi="Times New Roman" w:cs="Times New Roman"/>
          <w:sz w:val="24"/>
          <w:szCs w:val="24"/>
        </w:rPr>
        <w:t xml:space="preserve">being </w:t>
      </w:r>
      <w:r w:rsidR="006976F6" w:rsidRPr="00C1694A">
        <w:rPr>
          <w:rFonts w:ascii="Times New Roman" w:eastAsia="Times New Roman" w:hAnsi="Times New Roman" w:cs="Times New Roman"/>
          <w:sz w:val="24"/>
          <w:szCs w:val="24"/>
        </w:rPr>
        <w:t xml:space="preserve">greatly </w:t>
      </w:r>
      <w:r w:rsidR="005E5922" w:rsidRPr="00C1694A">
        <w:rPr>
          <w:rFonts w:ascii="Times New Roman" w:eastAsia="Times New Roman" w:hAnsi="Times New Roman" w:cs="Times New Roman"/>
          <w:sz w:val="24"/>
          <w:szCs w:val="24"/>
        </w:rPr>
        <w:t>impacts children’s development and school readiness,</w:t>
      </w:r>
      <w:r w:rsidR="009D4549" w:rsidRPr="00C1694A">
        <w:rPr>
          <w:rStyle w:val="FootnoteReference"/>
          <w:rFonts w:ascii="Times New Roman" w:eastAsia="Times New Roman" w:hAnsi="Times New Roman" w:cs="Times New Roman"/>
          <w:sz w:val="24"/>
          <w:szCs w:val="24"/>
        </w:rPr>
        <w:footnoteReference w:id="102"/>
      </w:r>
      <w:r w:rsidR="009D4549" w:rsidRPr="00C1694A">
        <w:rPr>
          <w:rStyle w:val="FootnoteReference"/>
          <w:rFonts w:ascii="Times New Roman" w:eastAsia="Times New Roman" w:hAnsi="Times New Roman" w:cs="Times New Roman"/>
          <w:sz w:val="24"/>
          <w:szCs w:val="24"/>
        </w:rPr>
        <w:t>,</w:t>
      </w:r>
      <w:r w:rsidR="009D4549" w:rsidRPr="00C1694A">
        <w:rPr>
          <w:rStyle w:val="FootnoteReference"/>
          <w:rFonts w:ascii="Times New Roman" w:eastAsia="Times New Roman" w:hAnsi="Times New Roman" w:cs="Times New Roman"/>
          <w:sz w:val="24"/>
          <w:szCs w:val="24"/>
        </w:rPr>
        <w:footnoteReference w:id="103"/>
      </w:r>
      <w:r w:rsidR="00054083" w:rsidRPr="00C1694A">
        <w:rPr>
          <w:rFonts w:ascii="Times New Roman" w:eastAsia="Times New Roman" w:hAnsi="Times New Roman" w:cs="Times New Roman"/>
          <w:sz w:val="24"/>
          <w:szCs w:val="24"/>
          <w:vertAlign w:val="superscript"/>
        </w:rPr>
        <w:t>,</w:t>
      </w:r>
      <w:r w:rsidR="00054083" w:rsidRPr="00C1694A">
        <w:rPr>
          <w:rStyle w:val="FootnoteReference"/>
          <w:rFonts w:ascii="Times New Roman" w:eastAsia="Times New Roman" w:hAnsi="Times New Roman" w:cs="Times New Roman"/>
          <w:sz w:val="24"/>
          <w:szCs w:val="24"/>
        </w:rPr>
        <w:footnoteReference w:id="104"/>
      </w:r>
      <w:r w:rsidR="00054083" w:rsidRPr="00C1694A">
        <w:rPr>
          <w:rFonts w:ascii="Times New Roman" w:eastAsia="Times New Roman" w:hAnsi="Times New Roman" w:cs="Times New Roman"/>
          <w:sz w:val="24"/>
          <w:szCs w:val="24"/>
          <w:vertAlign w:val="superscript"/>
        </w:rPr>
        <w:t>,</w:t>
      </w:r>
      <w:r w:rsidR="00054083" w:rsidRPr="00C1694A">
        <w:rPr>
          <w:rStyle w:val="FootnoteReference"/>
          <w:rFonts w:ascii="Times New Roman" w:eastAsia="Times New Roman" w:hAnsi="Times New Roman" w:cs="Times New Roman"/>
          <w:sz w:val="24"/>
          <w:szCs w:val="24"/>
        </w:rPr>
        <w:footnoteReference w:id="105"/>
      </w:r>
      <w:r w:rsidR="00054083" w:rsidRPr="00C1694A">
        <w:rPr>
          <w:rFonts w:ascii="Times New Roman" w:eastAsia="Times New Roman" w:hAnsi="Times New Roman" w:cs="Times New Roman"/>
          <w:sz w:val="24"/>
          <w:szCs w:val="24"/>
          <w:vertAlign w:val="superscript"/>
        </w:rPr>
        <w:t>,</w:t>
      </w:r>
      <w:r w:rsidR="00054083" w:rsidRPr="00C1694A">
        <w:rPr>
          <w:rStyle w:val="FootnoteReference"/>
          <w:rFonts w:ascii="Times New Roman" w:eastAsia="Times New Roman" w:hAnsi="Times New Roman" w:cs="Times New Roman"/>
          <w:sz w:val="24"/>
          <w:szCs w:val="24"/>
        </w:rPr>
        <w:footnoteReference w:id="106"/>
      </w:r>
      <w:r w:rsidR="005E5922" w:rsidRPr="00C1694A">
        <w:rPr>
          <w:rFonts w:ascii="Times New Roman" w:eastAsia="Times New Roman" w:hAnsi="Times New Roman" w:cs="Times New Roman"/>
          <w:sz w:val="24"/>
          <w:szCs w:val="24"/>
        </w:rPr>
        <w:t xml:space="preserve"> which is why two-</w:t>
      </w:r>
      <w:r w:rsidR="006976F6" w:rsidRPr="00C1694A">
        <w:rPr>
          <w:rFonts w:ascii="Times New Roman" w:eastAsia="Times New Roman" w:hAnsi="Times New Roman" w:cs="Times New Roman"/>
          <w:sz w:val="24"/>
          <w:szCs w:val="24"/>
        </w:rPr>
        <w:t>generation</w:t>
      </w:r>
      <w:r w:rsidR="005E5922" w:rsidRPr="00C1694A">
        <w:rPr>
          <w:rFonts w:ascii="Times New Roman" w:eastAsia="Times New Roman" w:hAnsi="Times New Roman" w:cs="Times New Roman"/>
          <w:sz w:val="24"/>
          <w:szCs w:val="24"/>
        </w:rPr>
        <w:t xml:space="preserve"> approaches like Head Start are so important.  </w:t>
      </w:r>
      <w:r w:rsidR="005E5922" w:rsidRPr="00C1694A">
        <w:rPr>
          <w:rFonts w:ascii="Times New Roman" w:hAnsi="Times New Roman" w:cs="Times New Roman"/>
          <w:sz w:val="24"/>
          <w:szCs w:val="24"/>
        </w:rPr>
        <w:t>We revised §1302.50(a) to further clarify the purpose of parent and family engagement as supporting children</w:t>
      </w:r>
      <w:r w:rsidR="00773FE6" w:rsidRPr="00C1694A">
        <w:rPr>
          <w:rFonts w:ascii="Times New Roman" w:hAnsi="Times New Roman" w:cs="Times New Roman"/>
          <w:sz w:val="24"/>
          <w:szCs w:val="24"/>
        </w:rPr>
        <w:t>’s learning and development</w:t>
      </w:r>
      <w:r w:rsidR="005E5922" w:rsidRPr="00C1694A">
        <w:rPr>
          <w:rFonts w:ascii="Times New Roman" w:hAnsi="Times New Roman" w:cs="Times New Roman"/>
          <w:sz w:val="24"/>
          <w:szCs w:val="24"/>
        </w:rPr>
        <w:t xml:space="preserve">.  </w:t>
      </w:r>
      <w:r w:rsidR="006976F6" w:rsidRPr="00C1694A">
        <w:rPr>
          <w:rFonts w:ascii="Times New Roman" w:hAnsi="Times New Roman" w:cs="Times New Roman"/>
          <w:sz w:val="24"/>
          <w:szCs w:val="24"/>
        </w:rPr>
        <w:t>W</w:t>
      </w:r>
      <w:r w:rsidR="005E5922" w:rsidRPr="00C1694A">
        <w:rPr>
          <w:rFonts w:ascii="Times New Roman" w:hAnsi="Times New Roman" w:cs="Times New Roman"/>
          <w:sz w:val="24"/>
          <w:szCs w:val="24"/>
        </w:rPr>
        <w:t>e made substantial revisions in §</w:t>
      </w:r>
      <w:r w:rsidR="00F25411">
        <w:rPr>
          <w:rFonts w:ascii="Times New Roman" w:hAnsi="Times New Roman" w:cs="Times New Roman"/>
          <w:sz w:val="24"/>
          <w:szCs w:val="24"/>
        </w:rPr>
        <w:t>§</w:t>
      </w:r>
      <w:r w:rsidR="005E5922" w:rsidRPr="00C1694A">
        <w:rPr>
          <w:rFonts w:ascii="Times New Roman" w:hAnsi="Times New Roman" w:cs="Times New Roman"/>
          <w:sz w:val="24"/>
          <w:szCs w:val="24"/>
        </w:rPr>
        <w:t xml:space="preserve">1302.50 and 1302.52 to clarify that family partnership services should include the depth and breadth appropriate to support families.  </w:t>
      </w:r>
      <w:r w:rsidR="007B7557" w:rsidRPr="00C1694A">
        <w:rPr>
          <w:rFonts w:ascii="Times New Roman" w:hAnsi="Times New Roman" w:cs="Times New Roman"/>
          <w:sz w:val="24"/>
          <w:szCs w:val="24"/>
        </w:rPr>
        <w:t>W</w:t>
      </w:r>
      <w:r w:rsidR="006976F6" w:rsidRPr="00C1694A">
        <w:rPr>
          <w:rFonts w:ascii="Times New Roman" w:eastAsia="Times New Roman" w:hAnsi="Times New Roman" w:cs="Times New Roman"/>
          <w:sz w:val="24"/>
          <w:szCs w:val="24"/>
        </w:rPr>
        <w:t xml:space="preserve">e also revised </w:t>
      </w:r>
      <w:r w:rsidR="00773FE6" w:rsidRPr="00C1694A">
        <w:rPr>
          <w:rFonts w:ascii="Times New Roman" w:hAnsi="Times New Roman" w:cs="Times New Roman"/>
          <w:sz w:val="24"/>
          <w:szCs w:val="24"/>
        </w:rPr>
        <w:t>§</w:t>
      </w:r>
      <w:r w:rsidR="00F25411">
        <w:rPr>
          <w:rFonts w:ascii="Times New Roman" w:hAnsi="Times New Roman" w:cs="Times New Roman"/>
          <w:sz w:val="24"/>
          <w:szCs w:val="24"/>
        </w:rPr>
        <w:t>§</w:t>
      </w:r>
      <w:r w:rsidR="00773FE6" w:rsidRPr="00C1694A">
        <w:rPr>
          <w:rFonts w:ascii="Times New Roman" w:hAnsi="Times New Roman" w:cs="Times New Roman"/>
          <w:sz w:val="24"/>
          <w:szCs w:val="24"/>
        </w:rPr>
        <w:t xml:space="preserve">1302.50(b)(3) and </w:t>
      </w:r>
      <w:r w:rsidR="006976F6" w:rsidRPr="00C1694A">
        <w:rPr>
          <w:rFonts w:ascii="Times New Roman" w:hAnsi="Times New Roman" w:cs="Times New Roman"/>
          <w:sz w:val="24"/>
          <w:szCs w:val="24"/>
        </w:rPr>
        <w:t>1302.52(a) to clarify that family well-being include</w:t>
      </w:r>
      <w:r w:rsidR="00773FE6" w:rsidRPr="00C1694A">
        <w:rPr>
          <w:rFonts w:ascii="Times New Roman" w:hAnsi="Times New Roman" w:cs="Times New Roman"/>
          <w:sz w:val="24"/>
          <w:szCs w:val="24"/>
        </w:rPr>
        <w:t>s</w:t>
      </w:r>
      <w:r w:rsidR="006976F6" w:rsidRPr="00C1694A">
        <w:rPr>
          <w:rFonts w:ascii="Times New Roman" w:hAnsi="Times New Roman" w:cs="Times New Roman"/>
          <w:sz w:val="24"/>
          <w:szCs w:val="24"/>
        </w:rPr>
        <w:t xml:space="preserve"> family safety, health, and economic stability.  </w:t>
      </w:r>
      <w:r w:rsidR="005E5922" w:rsidRPr="00C1694A">
        <w:rPr>
          <w:rFonts w:ascii="Times New Roman" w:hAnsi="Times New Roman" w:cs="Times New Roman"/>
          <w:sz w:val="24"/>
          <w:szCs w:val="24"/>
        </w:rPr>
        <w:t xml:space="preserve">Thus, we believe </w:t>
      </w:r>
      <w:r w:rsidR="005E5922" w:rsidRPr="00C1694A">
        <w:rPr>
          <w:rFonts w:ascii="Times New Roman" w:eastAsia="Times New Roman" w:hAnsi="Times New Roman" w:cs="Times New Roman"/>
          <w:sz w:val="24"/>
          <w:szCs w:val="24"/>
        </w:rPr>
        <w:t xml:space="preserve">the final rule appropriately reflects the statutory requirement that family engagement services be provided to improve </w:t>
      </w:r>
      <w:r w:rsidR="007B7557" w:rsidRPr="00C1694A">
        <w:rPr>
          <w:rFonts w:ascii="Times New Roman" w:eastAsia="Times New Roman" w:hAnsi="Times New Roman" w:cs="Times New Roman"/>
          <w:sz w:val="24"/>
          <w:szCs w:val="24"/>
        </w:rPr>
        <w:t>children’s</w:t>
      </w:r>
      <w:r w:rsidR="005E5922" w:rsidRPr="00C1694A">
        <w:rPr>
          <w:rFonts w:ascii="Times New Roman" w:eastAsia="Times New Roman" w:hAnsi="Times New Roman" w:cs="Times New Roman"/>
          <w:sz w:val="24"/>
          <w:szCs w:val="24"/>
        </w:rPr>
        <w:t xml:space="preserve"> </w:t>
      </w:r>
      <w:r w:rsidR="00773FE6" w:rsidRPr="00C1694A">
        <w:rPr>
          <w:rFonts w:ascii="Times New Roman" w:eastAsia="Times New Roman" w:hAnsi="Times New Roman" w:cs="Times New Roman"/>
          <w:sz w:val="24"/>
          <w:szCs w:val="24"/>
        </w:rPr>
        <w:t>learning and development</w:t>
      </w:r>
      <w:r w:rsidR="005E5922" w:rsidRPr="00C1694A">
        <w:rPr>
          <w:rFonts w:ascii="Times New Roman" w:eastAsia="Times New Roman" w:hAnsi="Times New Roman" w:cs="Times New Roman"/>
          <w:sz w:val="24"/>
          <w:szCs w:val="24"/>
        </w:rPr>
        <w:t xml:space="preserve"> </w:t>
      </w:r>
      <w:r w:rsidR="006976F6" w:rsidRPr="00C1694A">
        <w:rPr>
          <w:rFonts w:ascii="Times New Roman" w:eastAsia="Times New Roman" w:hAnsi="Times New Roman" w:cs="Times New Roman"/>
          <w:sz w:val="24"/>
          <w:szCs w:val="24"/>
        </w:rPr>
        <w:t>and the importance of strong family partnership services in support of that purpose</w:t>
      </w:r>
      <w:r w:rsidR="005E5922" w:rsidRPr="00C1694A">
        <w:rPr>
          <w:rFonts w:ascii="Times New Roman" w:eastAsia="Times New Roman" w:hAnsi="Times New Roman" w:cs="Times New Roman"/>
          <w:sz w:val="24"/>
          <w:szCs w:val="24"/>
        </w:rPr>
        <w:t xml:space="preserve">.  </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broadly recommended revisions to emphasize the key role of parents in all areas of program operations.</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parents should be engaged in all aspects of program operations. </w:t>
      </w:r>
      <w:r w:rsidR="006976F6" w:rsidRPr="00C1694A">
        <w:rPr>
          <w:rFonts w:ascii="Times New Roman" w:hAnsi="Times New Roman" w:cs="Times New Roman"/>
          <w:sz w:val="24"/>
          <w:szCs w:val="24"/>
        </w:rPr>
        <w:t>Effective,</w:t>
      </w:r>
      <w:r w:rsidRPr="00C1694A">
        <w:rPr>
          <w:rFonts w:ascii="Times New Roman" w:hAnsi="Times New Roman" w:cs="Times New Roman"/>
          <w:sz w:val="24"/>
          <w:szCs w:val="24"/>
        </w:rPr>
        <w:t xml:space="preserve"> comprehensive family engagement </w:t>
      </w:r>
      <w:r w:rsidR="006976F6" w:rsidRPr="00C1694A">
        <w:rPr>
          <w:rFonts w:ascii="Times New Roman" w:hAnsi="Times New Roman" w:cs="Times New Roman"/>
          <w:sz w:val="24"/>
          <w:szCs w:val="24"/>
        </w:rPr>
        <w:t>depends upon</w:t>
      </w:r>
      <w:r w:rsidRPr="00C1694A">
        <w:rPr>
          <w:rFonts w:ascii="Times New Roman" w:hAnsi="Times New Roman" w:cs="Times New Roman"/>
          <w:sz w:val="24"/>
          <w:szCs w:val="24"/>
        </w:rPr>
        <w:t xml:space="preserve"> strategies </w:t>
      </w:r>
      <w:r w:rsidR="002825E2" w:rsidRPr="00C1694A">
        <w:rPr>
          <w:rFonts w:ascii="Times New Roman" w:hAnsi="Times New Roman" w:cs="Times New Roman"/>
          <w:sz w:val="24"/>
          <w:szCs w:val="24"/>
        </w:rPr>
        <w:t>that support</w:t>
      </w:r>
      <w:r w:rsidRPr="00C1694A">
        <w:rPr>
          <w:rFonts w:ascii="Times New Roman" w:hAnsi="Times New Roman" w:cs="Times New Roman"/>
          <w:sz w:val="24"/>
          <w:szCs w:val="24"/>
        </w:rPr>
        <w:t xml:space="preserve"> family well-being and family engagement be</w:t>
      </w:r>
      <w:r w:rsidR="002825E2" w:rsidRPr="00C1694A">
        <w:rPr>
          <w:rFonts w:ascii="Times New Roman" w:hAnsi="Times New Roman" w:cs="Times New Roman"/>
          <w:sz w:val="24"/>
          <w:szCs w:val="24"/>
        </w:rPr>
        <w:t>ing</w:t>
      </w:r>
      <w:r w:rsidRPr="00C1694A">
        <w:rPr>
          <w:rFonts w:ascii="Times New Roman" w:hAnsi="Times New Roman" w:cs="Times New Roman"/>
          <w:sz w:val="24"/>
          <w:szCs w:val="24"/>
        </w:rPr>
        <w:t xml:space="preserve"> embedded throughout systems and services.  We believe the rule accomplishes this integration and note that collaboration with parents and families and parent and family engagement and services </w:t>
      </w:r>
      <w:r w:rsidR="002C42D1" w:rsidRPr="00C1694A">
        <w:rPr>
          <w:rFonts w:ascii="Times New Roman" w:hAnsi="Times New Roman" w:cs="Times New Roman"/>
          <w:sz w:val="24"/>
          <w:szCs w:val="24"/>
        </w:rPr>
        <w:t xml:space="preserve">are </w:t>
      </w:r>
      <w:r w:rsidRPr="00C1694A">
        <w:rPr>
          <w:rFonts w:ascii="Times New Roman" w:hAnsi="Times New Roman" w:cs="Times New Roman"/>
          <w:sz w:val="24"/>
          <w:szCs w:val="24"/>
        </w:rPr>
        <w:t xml:space="preserve">integrated into all program </w:t>
      </w:r>
      <w:r w:rsidR="00773FE6" w:rsidRPr="00C1694A">
        <w:rPr>
          <w:rFonts w:ascii="Times New Roman" w:hAnsi="Times New Roman" w:cs="Times New Roman"/>
          <w:sz w:val="24"/>
          <w:szCs w:val="24"/>
        </w:rPr>
        <w:t>services</w:t>
      </w:r>
      <w:r w:rsidRPr="00C1694A">
        <w:rPr>
          <w:rFonts w:ascii="Times New Roman" w:hAnsi="Times New Roman" w:cs="Times New Roman"/>
          <w:sz w:val="24"/>
          <w:szCs w:val="24"/>
        </w:rPr>
        <w:t>. In addition to the extensive parent and family services required in this subpart</w:t>
      </w:r>
      <w:r w:rsidR="00F27085" w:rsidRPr="00C1694A">
        <w:rPr>
          <w:rFonts w:ascii="Times New Roman" w:hAnsi="Times New Roman" w:cs="Times New Roman"/>
          <w:sz w:val="24"/>
          <w:szCs w:val="24"/>
        </w:rPr>
        <w:t xml:space="preserve"> and in Program Governance</w:t>
      </w:r>
      <w:r w:rsidRPr="00C1694A">
        <w:rPr>
          <w:rFonts w:ascii="Times New Roman" w:hAnsi="Times New Roman" w:cs="Times New Roman"/>
          <w:sz w:val="24"/>
          <w:szCs w:val="24"/>
        </w:rPr>
        <w:t xml:space="preserve">, parent and family engagement services are integrated throughout program operations.  For example, we integrate </w:t>
      </w:r>
      <w:r w:rsidR="002825E2" w:rsidRPr="00C1694A">
        <w:rPr>
          <w:rFonts w:ascii="Times New Roman" w:hAnsi="Times New Roman" w:cs="Times New Roman"/>
          <w:sz w:val="24"/>
          <w:szCs w:val="24"/>
        </w:rPr>
        <w:t>these services</w:t>
      </w:r>
      <w:r w:rsidRPr="00C1694A">
        <w:rPr>
          <w:rFonts w:ascii="Times New Roman" w:hAnsi="Times New Roman" w:cs="Times New Roman"/>
          <w:sz w:val="24"/>
          <w:szCs w:val="24"/>
        </w:rPr>
        <w:t xml:space="preserve"> in the education subpart (e.g., § 1302.34), the health services subpart (e.g., §§1302.41 and 1302.46), the disabilities subpart (e.g., §1302.62), the transitions subpart (§§1302.70(c) and 1302.71(b)), personnel policies (e.g., §§1302.90(a) and 1302.92(</w:t>
      </w:r>
      <w:r w:rsidR="00F27085" w:rsidRPr="00C1694A">
        <w:rPr>
          <w:rFonts w:ascii="Times New Roman" w:hAnsi="Times New Roman" w:cs="Times New Roman"/>
          <w:sz w:val="24"/>
          <w:szCs w:val="24"/>
        </w:rPr>
        <w:t>c</w:t>
      </w:r>
      <w:r w:rsidRPr="00C1694A">
        <w:rPr>
          <w:rFonts w:ascii="Times New Roman" w:hAnsi="Times New Roman" w:cs="Times New Roman"/>
          <w:sz w:val="24"/>
          <w:szCs w:val="24"/>
        </w:rPr>
        <w:t>)(</w:t>
      </w:r>
      <w:r w:rsidR="00F27085" w:rsidRPr="00C1694A">
        <w:rPr>
          <w:rFonts w:ascii="Times New Roman" w:hAnsi="Times New Roman" w:cs="Times New Roman"/>
          <w:sz w:val="24"/>
          <w:szCs w:val="24"/>
        </w:rPr>
        <w:t>3</w:t>
      </w:r>
      <w:r w:rsidRPr="00C1694A">
        <w:rPr>
          <w:rFonts w:ascii="Times New Roman" w:hAnsi="Times New Roman" w:cs="Times New Roman"/>
          <w:sz w:val="24"/>
          <w:szCs w:val="24"/>
        </w:rPr>
        <w:t>)</w:t>
      </w:r>
      <w:r w:rsidR="002825E2"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program management </w:t>
      </w:r>
      <w:r w:rsidR="006976F6" w:rsidRPr="00C1694A">
        <w:rPr>
          <w:rFonts w:ascii="Times New Roman" w:hAnsi="Times New Roman" w:cs="Times New Roman"/>
          <w:sz w:val="24"/>
          <w:szCs w:val="24"/>
        </w:rPr>
        <w:t>(</w:t>
      </w:r>
      <w:r w:rsidRPr="00C1694A">
        <w:rPr>
          <w:rFonts w:ascii="Times New Roman" w:hAnsi="Times New Roman" w:cs="Times New Roman"/>
          <w:sz w:val="24"/>
          <w:szCs w:val="24"/>
        </w:rPr>
        <w:t>subpart</w:t>
      </w:r>
      <w:r w:rsidR="006976F6" w:rsidRPr="00C1694A">
        <w:rPr>
          <w:rFonts w:ascii="Times New Roman" w:hAnsi="Times New Roman" w:cs="Times New Roman"/>
          <w:sz w:val="24"/>
          <w:szCs w:val="24"/>
        </w:rPr>
        <w:t xml:space="preserve"> J)</w:t>
      </w:r>
      <w:r w:rsidRPr="00C1694A">
        <w:rPr>
          <w:rFonts w:ascii="Times New Roman" w:hAnsi="Times New Roman" w:cs="Times New Roman"/>
          <w:sz w:val="24"/>
          <w:szCs w:val="24"/>
        </w:rPr>
        <w:t>.</w:t>
      </w:r>
      <w:r w:rsidR="002825E2" w:rsidRPr="00C1694A">
        <w:rPr>
          <w:rFonts w:ascii="Times New Roman" w:hAnsi="Times New Roman" w:cs="Times New Roman"/>
          <w:sz w:val="24"/>
          <w:szCs w:val="24"/>
        </w:rPr>
        <w:t xml:space="preserve">  However, w</w:t>
      </w:r>
      <w:r w:rsidRPr="00C1694A">
        <w:rPr>
          <w:rFonts w:ascii="Times New Roman" w:hAnsi="Times New Roman" w:cs="Times New Roman"/>
          <w:sz w:val="24"/>
          <w:szCs w:val="24"/>
        </w:rPr>
        <w:t xml:space="preserve">e did make some revisions to address this concern.  As previously noted, </w:t>
      </w:r>
      <w:r w:rsidR="002C42D1" w:rsidRPr="00C1694A">
        <w:rPr>
          <w:rFonts w:ascii="Times New Roman" w:hAnsi="Times New Roman" w:cs="Times New Roman"/>
          <w:sz w:val="24"/>
          <w:szCs w:val="24"/>
        </w:rPr>
        <w:t xml:space="preserve">we reinstated </w:t>
      </w:r>
      <w:r w:rsidRPr="00C1694A">
        <w:rPr>
          <w:rFonts w:ascii="Times New Roman" w:hAnsi="Times New Roman" w:cs="Times New Roman"/>
          <w:sz w:val="24"/>
          <w:szCs w:val="24"/>
        </w:rPr>
        <w:t>parent committees as part of the governing structure in part 1301.  Also as previously noted, we revised the family engagement section title in the Education and Child Development subpart to reflect the broader nature o</w:t>
      </w:r>
      <w:r w:rsidR="002C42D1" w:rsidRPr="00C1694A">
        <w:rPr>
          <w:rFonts w:ascii="Times New Roman" w:hAnsi="Times New Roman" w:cs="Times New Roman"/>
          <w:sz w:val="24"/>
          <w:szCs w:val="24"/>
        </w:rPr>
        <w:t>f</w:t>
      </w:r>
      <w:r w:rsidRPr="00C1694A">
        <w:rPr>
          <w:rFonts w:ascii="Times New Roman" w:hAnsi="Times New Roman" w:cs="Times New Roman"/>
          <w:sz w:val="24"/>
          <w:szCs w:val="24"/>
        </w:rPr>
        <w:t xml:space="preserve"> parent and family engagement.  In addition, to reflect that family and community program services in this subpart are not limited to partnership services, we revised the subpart title to read “Family </w:t>
      </w:r>
      <w:r w:rsidR="00222953" w:rsidRPr="00C1694A">
        <w:rPr>
          <w:rFonts w:ascii="Times New Roman" w:hAnsi="Times New Roman" w:cs="Times New Roman"/>
          <w:sz w:val="24"/>
          <w:szCs w:val="24"/>
        </w:rPr>
        <w:t xml:space="preserve">and </w:t>
      </w:r>
      <w:r w:rsidRPr="00C1694A">
        <w:rPr>
          <w:rFonts w:ascii="Times New Roman" w:hAnsi="Times New Roman" w:cs="Times New Roman"/>
          <w:sz w:val="24"/>
          <w:szCs w:val="24"/>
        </w:rPr>
        <w:t>Community Engagement Program Services.” We also revised §1302.50(</w:t>
      </w:r>
      <w:r w:rsidR="00773FE6" w:rsidRPr="00C1694A">
        <w:rPr>
          <w:rFonts w:ascii="Times New Roman" w:hAnsi="Times New Roman" w:cs="Times New Roman"/>
          <w:sz w:val="24"/>
          <w:szCs w:val="24"/>
        </w:rPr>
        <w:t>b</w:t>
      </w:r>
      <w:r w:rsidRPr="00C1694A">
        <w:rPr>
          <w:rFonts w:ascii="Times New Roman" w:hAnsi="Times New Roman" w:cs="Times New Roman"/>
          <w:sz w:val="24"/>
          <w:szCs w:val="24"/>
        </w:rPr>
        <w:t>)(1) to recognize</w:t>
      </w:r>
      <w:r w:rsidR="006976F6" w:rsidRPr="00C1694A">
        <w:rPr>
          <w:rFonts w:ascii="Times New Roman" w:hAnsi="Times New Roman" w:cs="Times New Roman"/>
          <w:sz w:val="24"/>
          <w:szCs w:val="24"/>
        </w:rPr>
        <w:t xml:space="preserve"> parents as</w:t>
      </w:r>
      <w:r w:rsidRPr="00C1694A">
        <w:rPr>
          <w:rFonts w:ascii="Times New Roman" w:hAnsi="Times New Roman" w:cs="Times New Roman"/>
          <w:sz w:val="24"/>
          <w:szCs w:val="24"/>
        </w:rPr>
        <w:t xml:space="preserve"> child</w:t>
      </w:r>
      <w:r w:rsidR="006976F6" w:rsidRPr="00C1694A">
        <w:rPr>
          <w:rFonts w:ascii="Times New Roman" w:hAnsi="Times New Roman" w:cs="Times New Roman"/>
          <w:sz w:val="24"/>
          <w:szCs w:val="24"/>
        </w:rPr>
        <w:t>ren</w:t>
      </w:r>
      <w:r w:rsidRPr="00C1694A">
        <w:rPr>
          <w:rFonts w:ascii="Times New Roman" w:hAnsi="Times New Roman" w:cs="Times New Roman"/>
          <w:sz w:val="24"/>
          <w:szCs w:val="24"/>
        </w:rPr>
        <w:t>’s primary “teacher</w:t>
      </w:r>
      <w:r w:rsidR="009B445B" w:rsidRPr="00C1694A">
        <w:rPr>
          <w:rFonts w:ascii="Times New Roman" w:hAnsi="Times New Roman" w:cs="Times New Roman"/>
          <w:sz w:val="24"/>
          <w:szCs w:val="24"/>
        </w:rPr>
        <w:t>s</w:t>
      </w:r>
      <w:r w:rsidRPr="00C1694A">
        <w:rPr>
          <w:rFonts w:ascii="Times New Roman" w:hAnsi="Times New Roman" w:cs="Times New Roman"/>
          <w:sz w:val="24"/>
          <w:szCs w:val="24"/>
        </w:rPr>
        <w:t xml:space="preserve"> and nurturer</w:t>
      </w:r>
      <w:r w:rsidR="009B445B" w:rsidRPr="00C1694A">
        <w:rPr>
          <w:rFonts w:ascii="Times New Roman" w:hAnsi="Times New Roman" w:cs="Times New Roman"/>
          <w:sz w:val="24"/>
          <w:szCs w:val="24"/>
        </w:rPr>
        <w:t>s</w:t>
      </w:r>
      <w:r w:rsidRPr="00C1694A">
        <w:rPr>
          <w:rFonts w:ascii="Times New Roman" w:hAnsi="Times New Roman" w:cs="Times New Roman"/>
          <w:sz w:val="24"/>
          <w:szCs w:val="24"/>
        </w:rPr>
        <w:t xml:space="preserve">” to more specifically define the parent’s role. </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recommend we reorganize part 1302 to place subpart E – Family and Community Engagement Program Services </w:t>
      </w:r>
      <w:r w:rsidR="002825E2" w:rsidRPr="00C1694A">
        <w:rPr>
          <w:rFonts w:ascii="Times New Roman" w:hAnsi="Times New Roman" w:cs="Times New Roman"/>
          <w:sz w:val="24"/>
          <w:szCs w:val="24"/>
        </w:rPr>
        <w:t>–</w:t>
      </w:r>
      <w:r w:rsidRPr="00C1694A">
        <w:rPr>
          <w:rFonts w:ascii="Times New Roman" w:hAnsi="Times New Roman" w:cs="Times New Roman"/>
          <w:sz w:val="24"/>
          <w:szCs w:val="24"/>
        </w:rPr>
        <w:t xml:space="preserve"> before subpart C – Education and Child Development Services.  They stated this would help convey the centrality of parent engagement to Head Start.</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parent engagement is foundational to Head Start.  We think this is appropriately reflected in this subpart as well as in parent-related provisions integrated into every other subpart in </w:t>
      </w:r>
      <w:r w:rsidR="00F25411">
        <w:rPr>
          <w:rFonts w:ascii="Times New Roman" w:hAnsi="Times New Roman" w:cs="Times New Roman"/>
          <w:sz w:val="24"/>
          <w:szCs w:val="24"/>
        </w:rPr>
        <w:t>p</w:t>
      </w:r>
      <w:r w:rsidRPr="00C1694A">
        <w:rPr>
          <w:rFonts w:ascii="Times New Roman" w:hAnsi="Times New Roman" w:cs="Times New Roman"/>
          <w:sz w:val="24"/>
          <w:szCs w:val="24"/>
        </w:rPr>
        <w:t>art 1302</w:t>
      </w:r>
      <w:r w:rsidR="00F25411">
        <w:rPr>
          <w:rFonts w:ascii="Times New Roman" w:hAnsi="Times New Roman" w:cs="Times New Roman"/>
          <w:sz w:val="24"/>
          <w:szCs w:val="24"/>
        </w:rPr>
        <w:t xml:space="preserve"> </w:t>
      </w:r>
      <w:r w:rsidR="00F25411" w:rsidRPr="00C1694A">
        <w:rPr>
          <w:rFonts w:ascii="Times New Roman" w:hAnsi="Times New Roman" w:cs="Times New Roman"/>
          <w:sz w:val="24"/>
          <w:szCs w:val="24"/>
        </w:rPr>
        <w:t>–</w:t>
      </w:r>
      <w:r w:rsidRPr="00C1694A">
        <w:rPr>
          <w:rFonts w:ascii="Times New Roman" w:hAnsi="Times New Roman" w:cs="Times New Roman"/>
          <w:sz w:val="24"/>
          <w:szCs w:val="24"/>
        </w:rPr>
        <w:t xml:space="preserve"> Program Operations.  Therefore, we do not think reorganizing the subparts is necessary to reflect parents’ essential roles in the lives of their children and as partners in the Head Start program.  We did not reorder </w:t>
      </w:r>
      <w:r w:rsidR="000B3329" w:rsidRPr="00C1694A">
        <w:rPr>
          <w:rFonts w:ascii="Times New Roman" w:hAnsi="Times New Roman" w:cs="Times New Roman"/>
          <w:sz w:val="24"/>
          <w:szCs w:val="24"/>
        </w:rPr>
        <w:t>any</w:t>
      </w:r>
      <w:r w:rsidRPr="00C1694A">
        <w:rPr>
          <w:rFonts w:ascii="Times New Roman" w:hAnsi="Times New Roman" w:cs="Times New Roman"/>
          <w:sz w:val="24"/>
          <w:szCs w:val="24"/>
        </w:rPr>
        <w:t xml:space="preserve"> subparts in part 1302.</w:t>
      </w: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recommended we do more to integrate the Parent, Family, and Community Engagement Framework (PFCEF) into the rule.  For example, some commenters recommended we </w:t>
      </w:r>
      <w:r w:rsidR="000B3329" w:rsidRPr="00C1694A">
        <w:rPr>
          <w:rFonts w:ascii="Times New Roman" w:hAnsi="Times New Roman" w:cs="Times New Roman"/>
          <w:sz w:val="24"/>
          <w:szCs w:val="24"/>
        </w:rPr>
        <w:t>include</w:t>
      </w:r>
      <w:r w:rsidRPr="00C1694A">
        <w:rPr>
          <w:rFonts w:ascii="Times New Roman" w:hAnsi="Times New Roman" w:cs="Times New Roman"/>
          <w:sz w:val="24"/>
          <w:szCs w:val="24"/>
        </w:rPr>
        <w:t xml:space="preserve"> </w:t>
      </w:r>
      <w:r w:rsidR="000B3329" w:rsidRPr="00C1694A">
        <w:rPr>
          <w:rFonts w:ascii="Times New Roman" w:hAnsi="Times New Roman" w:cs="Times New Roman"/>
          <w:sz w:val="24"/>
          <w:szCs w:val="24"/>
        </w:rPr>
        <w:t xml:space="preserve">the PFCEF </w:t>
      </w:r>
      <w:r w:rsidRPr="00C1694A">
        <w:rPr>
          <w:rFonts w:ascii="Times New Roman" w:hAnsi="Times New Roman" w:cs="Times New Roman"/>
          <w:sz w:val="24"/>
          <w:szCs w:val="24"/>
        </w:rPr>
        <w:t xml:space="preserve">title and outcomes definitions into the rule.  Others recommended we </w:t>
      </w:r>
      <w:r w:rsidR="009B445B" w:rsidRPr="00C1694A">
        <w:rPr>
          <w:rFonts w:ascii="Times New Roman" w:hAnsi="Times New Roman" w:cs="Times New Roman"/>
          <w:sz w:val="24"/>
          <w:szCs w:val="24"/>
        </w:rPr>
        <w:t xml:space="preserve">add </w:t>
      </w:r>
      <w:r w:rsidRPr="00C1694A">
        <w:rPr>
          <w:rFonts w:ascii="Times New Roman" w:hAnsi="Times New Roman" w:cs="Times New Roman"/>
          <w:sz w:val="24"/>
          <w:szCs w:val="24"/>
        </w:rPr>
        <w:t xml:space="preserve">more specificity related to </w:t>
      </w:r>
      <w:r w:rsidR="000B3329" w:rsidRPr="00C1694A">
        <w:rPr>
          <w:rFonts w:ascii="Times New Roman" w:hAnsi="Times New Roman" w:cs="Times New Roman"/>
          <w:sz w:val="24"/>
          <w:szCs w:val="24"/>
        </w:rPr>
        <w:t>the PFCEF</w:t>
      </w:r>
      <w:r w:rsidRPr="00C1694A">
        <w:rPr>
          <w:rFonts w:ascii="Times New Roman" w:hAnsi="Times New Roman" w:cs="Times New Roman"/>
          <w:sz w:val="24"/>
          <w:szCs w:val="24"/>
        </w:rPr>
        <w:t xml:space="preserve"> and/or stronger requirements to track and measure progress in the outcomes included in </w:t>
      </w:r>
      <w:r w:rsidR="000B3329" w:rsidRPr="00C1694A">
        <w:rPr>
          <w:rFonts w:ascii="Times New Roman" w:hAnsi="Times New Roman" w:cs="Times New Roman"/>
          <w:sz w:val="24"/>
          <w:szCs w:val="24"/>
        </w:rPr>
        <w:t>the PFCEF</w:t>
      </w:r>
      <w:r w:rsidRPr="00C1694A">
        <w:rPr>
          <w:rFonts w:ascii="Times New Roman" w:hAnsi="Times New Roman" w:cs="Times New Roman"/>
          <w:sz w:val="24"/>
          <w:szCs w:val="24"/>
        </w:rPr>
        <w:t>.</w:t>
      </w: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w:t>
      </w:r>
      <w:r w:rsidR="00A75BFD" w:rsidRPr="00C1694A">
        <w:rPr>
          <w:rFonts w:ascii="Times New Roman" w:hAnsi="Times New Roman" w:cs="Times New Roman"/>
          <w:sz w:val="24"/>
          <w:szCs w:val="24"/>
        </w:rPr>
        <w:t>agree</w:t>
      </w:r>
      <w:r w:rsidRPr="00C1694A">
        <w:rPr>
          <w:rFonts w:ascii="Times New Roman" w:hAnsi="Times New Roman" w:cs="Times New Roman"/>
          <w:sz w:val="24"/>
          <w:szCs w:val="24"/>
        </w:rPr>
        <w:t xml:space="preserve"> programs have made important progress in service delivery through integration of the PFCEF in their systems and services.  Therefore, this subpart included many of those key strategies and approaches, including a strong focus on family engagement outcomes.  </w:t>
      </w:r>
      <w:r w:rsidR="00A75BFD" w:rsidRPr="00C1694A">
        <w:rPr>
          <w:rFonts w:ascii="Times New Roman" w:hAnsi="Times New Roman" w:cs="Times New Roman"/>
          <w:sz w:val="24"/>
          <w:szCs w:val="24"/>
        </w:rPr>
        <w:t xml:space="preserve">In response to comments, we revised the final rule to provide </w:t>
      </w:r>
      <w:r w:rsidRPr="00C1694A">
        <w:rPr>
          <w:rFonts w:ascii="Times New Roman" w:hAnsi="Times New Roman" w:cs="Times New Roman"/>
          <w:sz w:val="24"/>
          <w:szCs w:val="24"/>
        </w:rPr>
        <w:t xml:space="preserve">clearer identification of PFCEF outcomes in </w:t>
      </w:r>
      <w:r w:rsidR="009B445B" w:rsidRPr="00C1694A">
        <w:rPr>
          <w:rFonts w:ascii="Times New Roman" w:hAnsi="Times New Roman" w:cs="Times New Roman"/>
          <w:sz w:val="24"/>
          <w:szCs w:val="24"/>
        </w:rPr>
        <w:t>§1302.52</w:t>
      </w:r>
      <w:r w:rsidRPr="00C1694A">
        <w:rPr>
          <w:rFonts w:ascii="Times New Roman" w:hAnsi="Times New Roman" w:cs="Times New Roman"/>
          <w:sz w:val="24"/>
          <w:szCs w:val="24"/>
        </w:rPr>
        <w:t xml:space="preserve">(b), alignment of the individualized family partnership services to the PFCEF outcomes in </w:t>
      </w:r>
      <w:r w:rsidR="009B445B" w:rsidRPr="00C1694A">
        <w:rPr>
          <w:rFonts w:ascii="Times New Roman" w:hAnsi="Times New Roman" w:cs="Times New Roman"/>
          <w:sz w:val="24"/>
          <w:szCs w:val="24"/>
        </w:rPr>
        <w:t>§1302.52</w:t>
      </w:r>
      <w:r w:rsidRPr="00C1694A">
        <w:rPr>
          <w:rFonts w:ascii="Times New Roman" w:hAnsi="Times New Roman" w:cs="Times New Roman"/>
          <w:sz w:val="24"/>
          <w:szCs w:val="24"/>
        </w:rPr>
        <w:t xml:space="preserve">(c)(1), </w:t>
      </w:r>
      <w:r w:rsidR="007C7EB5" w:rsidRPr="00C1694A">
        <w:rPr>
          <w:rFonts w:ascii="Times New Roman" w:hAnsi="Times New Roman" w:cs="Times New Roman"/>
          <w:sz w:val="24"/>
          <w:szCs w:val="24"/>
        </w:rPr>
        <w:t xml:space="preserve">and </w:t>
      </w:r>
      <w:r w:rsidRPr="00C1694A">
        <w:rPr>
          <w:rFonts w:ascii="Times New Roman" w:hAnsi="Times New Roman" w:cs="Times New Roman"/>
          <w:sz w:val="24"/>
          <w:szCs w:val="24"/>
        </w:rPr>
        <w:t xml:space="preserve">stronger requirements for tracking outcomes in </w:t>
      </w:r>
      <w:r w:rsidR="009B445B" w:rsidRPr="00C1694A">
        <w:rPr>
          <w:rFonts w:ascii="Times New Roman" w:hAnsi="Times New Roman" w:cs="Times New Roman"/>
          <w:sz w:val="24"/>
          <w:szCs w:val="24"/>
        </w:rPr>
        <w:t>§1302.5</w:t>
      </w:r>
      <w:r w:rsidR="000B3329" w:rsidRPr="00C1694A">
        <w:rPr>
          <w:rFonts w:ascii="Times New Roman" w:hAnsi="Times New Roman" w:cs="Times New Roman"/>
          <w:sz w:val="24"/>
          <w:szCs w:val="24"/>
        </w:rPr>
        <w:t>2</w:t>
      </w:r>
      <w:r w:rsidRPr="00C1694A">
        <w:rPr>
          <w:rFonts w:ascii="Times New Roman" w:hAnsi="Times New Roman" w:cs="Times New Roman"/>
          <w:sz w:val="24"/>
          <w:szCs w:val="24"/>
        </w:rPr>
        <w:t>(</w:t>
      </w:r>
      <w:r w:rsidR="000B3329" w:rsidRPr="00C1694A">
        <w:rPr>
          <w:rFonts w:ascii="Times New Roman" w:hAnsi="Times New Roman" w:cs="Times New Roman"/>
          <w:sz w:val="24"/>
          <w:szCs w:val="24"/>
        </w:rPr>
        <w:t>c</w:t>
      </w:r>
      <w:r w:rsidRPr="00C1694A">
        <w:rPr>
          <w:rFonts w:ascii="Times New Roman" w:hAnsi="Times New Roman" w:cs="Times New Roman"/>
          <w:sz w:val="24"/>
          <w:szCs w:val="24"/>
        </w:rPr>
        <w:t>)(3)</w:t>
      </w:r>
      <w:r w:rsidR="007C7EB5" w:rsidRPr="00C1694A">
        <w:rPr>
          <w:rFonts w:ascii="Times New Roman" w:hAnsi="Times New Roman" w:cs="Times New Roman"/>
          <w:sz w:val="24"/>
          <w:szCs w:val="24"/>
        </w:rPr>
        <w:t>.</w:t>
      </w:r>
    </w:p>
    <w:p w:rsidR="005E5922" w:rsidRPr="00C1694A" w:rsidRDefault="005E592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§1302.50 Family engagement. </w:t>
      </w: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This section included the fundamental requirements that apply broadly to all parent and family engagement activities as well as general parent and family program practices.  It requires program</w:t>
      </w:r>
      <w:r w:rsidR="009B445B" w:rsidRPr="00C1694A">
        <w:rPr>
          <w:rFonts w:ascii="Times New Roman" w:hAnsi="Times New Roman" w:cs="Times New Roman"/>
          <w:sz w:val="24"/>
          <w:szCs w:val="24"/>
        </w:rPr>
        <w:t>s</w:t>
      </w:r>
      <w:r w:rsidRPr="00C1694A">
        <w:rPr>
          <w:rFonts w:ascii="Times New Roman" w:hAnsi="Times New Roman" w:cs="Times New Roman"/>
          <w:sz w:val="24"/>
          <w:szCs w:val="24"/>
        </w:rPr>
        <w:t xml:space="preserve"> to integrate family engagement strategies into all systems and program services and details fundamental requirements for approaches to family engagement.  To address overarching concerns about conveying </w:t>
      </w:r>
      <w:r w:rsidR="000B3329" w:rsidRPr="00C1694A">
        <w:rPr>
          <w:rFonts w:ascii="Times New Roman" w:hAnsi="Times New Roman" w:cs="Times New Roman"/>
          <w:sz w:val="24"/>
          <w:szCs w:val="24"/>
        </w:rPr>
        <w:t xml:space="preserve">the </w:t>
      </w:r>
      <w:r w:rsidRPr="00C1694A">
        <w:rPr>
          <w:rFonts w:ascii="Times New Roman" w:hAnsi="Times New Roman" w:cs="Times New Roman"/>
          <w:sz w:val="24"/>
          <w:szCs w:val="24"/>
        </w:rPr>
        <w:t xml:space="preserve">centrality of family engagement and the important role of parents, we made some structural and other revisions to requirements in this section.  In addition to some of the revisions to paragraph (a) that we previously noted, we made revisions such as changing the section title from “In general” to “Family engagement” </w:t>
      </w:r>
      <w:r w:rsidR="000423CC" w:rsidRPr="00C1694A">
        <w:rPr>
          <w:rFonts w:ascii="Times New Roman" w:hAnsi="Times New Roman" w:cs="Times New Roman"/>
          <w:sz w:val="24"/>
          <w:szCs w:val="24"/>
        </w:rPr>
        <w:t xml:space="preserve">and </w:t>
      </w:r>
      <w:r w:rsidRPr="00C1694A">
        <w:rPr>
          <w:rFonts w:ascii="Times New Roman" w:hAnsi="Times New Roman" w:cs="Times New Roman"/>
          <w:sz w:val="24"/>
          <w:szCs w:val="24"/>
        </w:rPr>
        <w:t>deleting the reference to community partnerships to clearly differentiate requirements in the sections related to family engagement in §§1302.50, 1302.51, and 1302.</w:t>
      </w:r>
      <w:r w:rsidR="009B445B" w:rsidRPr="00C1694A">
        <w:rPr>
          <w:rFonts w:ascii="Times New Roman" w:hAnsi="Times New Roman" w:cs="Times New Roman"/>
          <w:sz w:val="24"/>
          <w:szCs w:val="24"/>
        </w:rPr>
        <w:t xml:space="preserve">52 </w:t>
      </w:r>
      <w:r w:rsidRPr="00C1694A">
        <w:rPr>
          <w:rFonts w:ascii="Times New Roman" w:hAnsi="Times New Roman" w:cs="Times New Roman"/>
          <w:sz w:val="24"/>
          <w:szCs w:val="24"/>
        </w:rPr>
        <w:t>from the requirements for community engagement in §1302.</w:t>
      </w:r>
      <w:r w:rsidR="009B445B" w:rsidRPr="00C1694A">
        <w:rPr>
          <w:rFonts w:ascii="Times New Roman" w:hAnsi="Times New Roman" w:cs="Times New Roman"/>
          <w:sz w:val="24"/>
          <w:szCs w:val="24"/>
        </w:rPr>
        <w:t>53</w:t>
      </w:r>
      <w:r w:rsidRPr="00C1694A">
        <w:rPr>
          <w:rFonts w:ascii="Times New Roman" w:hAnsi="Times New Roman" w:cs="Times New Roman"/>
          <w:sz w:val="24"/>
          <w:szCs w:val="24"/>
        </w:rPr>
        <w:t>.  We also added the title “</w:t>
      </w:r>
      <w:r w:rsidR="000B3329" w:rsidRPr="00C1694A">
        <w:rPr>
          <w:rFonts w:ascii="Times New Roman" w:hAnsi="Times New Roman" w:cs="Times New Roman"/>
          <w:sz w:val="24"/>
          <w:szCs w:val="24"/>
        </w:rPr>
        <w:t>F</w:t>
      </w:r>
      <w:r w:rsidRPr="00C1694A">
        <w:rPr>
          <w:rFonts w:ascii="Times New Roman" w:hAnsi="Times New Roman" w:cs="Times New Roman"/>
          <w:sz w:val="24"/>
          <w:szCs w:val="24"/>
        </w:rPr>
        <w:t xml:space="preserve">amily </w:t>
      </w:r>
      <w:r w:rsidR="00E30441" w:rsidRPr="00C1694A">
        <w:rPr>
          <w:rFonts w:ascii="Times New Roman" w:hAnsi="Times New Roman" w:cs="Times New Roman"/>
          <w:sz w:val="24"/>
          <w:szCs w:val="24"/>
        </w:rPr>
        <w:t>e</w:t>
      </w:r>
      <w:r w:rsidRPr="00C1694A">
        <w:rPr>
          <w:rFonts w:ascii="Times New Roman" w:hAnsi="Times New Roman" w:cs="Times New Roman"/>
          <w:sz w:val="24"/>
          <w:szCs w:val="24"/>
        </w:rPr>
        <w:t xml:space="preserve">ngagement </w:t>
      </w:r>
      <w:r w:rsidR="00E30441" w:rsidRPr="00C1694A">
        <w:rPr>
          <w:rFonts w:ascii="Times New Roman" w:hAnsi="Times New Roman" w:cs="Times New Roman"/>
          <w:sz w:val="24"/>
          <w:szCs w:val="24"/>
        </w:rPr>
        <w:t>a</w:t>
      </w:r>
      <w:r w:rsidRPr="00C1694A">
        <w:rPr>
          <w:rFonts w:ascii="Times New Roman" w:hAnsi="Times New Roman" w:cs="Times New Roman"/>
          <w:sz w:val="24"/>
          <w:szCs w:val="24"/>
        </w:rPr>
        <w:t>pproach” to paragraph (b) and cha</w:t>
      </w:r>
      <w:r w:rsidR="000B3329" w:rsidRPr="00C1694A">
        <w:rPr>
          <w:rFonts w:ascii="Times New Roman" w:hAnsi="Times New Roman" w:cs="Times New Roman"/>
          <w:sz w:val="24"/>
          <w:szCs w:val="24"/>
        </w:rPr>
        <w:t>nged the structure for the lead-</w:t>
      </w:r>
      <w:r w:rsidRPr="00C1694A">
        <w:rPr>
          <w:rFonts w:ascii="Times New Roman" w:hAnsi="Times New Roman" w:cs="Times New Roman"/>
          <w:sz w:val="24"/>
          <w:szCs w:val="24"/>
        </w:rPr>
        <w:t xml:space="preserve">in to paragraph (b) so that its requirements for family engagement are clearly delineated. We discuss comments and our responses below.  </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revising </w:t>
      </w:r>
      <w:r w:rsidR="006802C0" w:rsidRPr="00C1694A">
        <w:rPr>
          <w:rFonts w:ascii="Times New Roman" w:hAnsi="Times New Roman" w:cs="Times New Roman"/>
          <w:sz w:val="24"/>
          <w:szCs w:val="24"/>
        </w:rPr>
        <w:t xml:space="preserve">the requirement in </w:t>
      </w:r>
      <w:r w:rsidRPr="00C1694A">
        <w:rPr>
          <w:rFonts w:ascii="Times New Roman" w:hAnsi="Times New Roman" w:cs="Times New Roman"/>
          <w:sz w:val="24"/>
          <w:szCs w:val="24"/>
        </w:rPr>
        <w:t xml:space="preserve">what was paragraph (b)(2) in the NPRM and </w:t>
      </w:r>
      <w:r w:rsidR="006802C0" w:rsidRPr="00C1694A">
        <w:rPr>
          <w:rFonts w:ascii="Times New Roman" w:hAnsi="Times New Roman" w:cs="Times New Roman"/>
          <w:sz w:val="24"/>
          <w:szCs w:val="24"/>
        </w:rPr>
        <w:t>has been moved to</w:t>
      </w:r>
      <w:r w:rsidR="000B3329" w:rsidRPr="00C1694A">
        <w:rPr>
          <w:rFonts w:ascii="Times New Roman" w:hAnsi="Times New Roman" w:cs="Times New Roman"/>
          <w:sz w:val="24"/>
          <w:szCs w:val="24"/>
        </w:rPr>
        <w:t xml:space="preserve"> paragraph (b)(</w:t>
      </w:r>
      <w:r w:rsidR="006802C0" w:rsidRPr="00C1694A">
        <w:rPr>
          <w:rFonts w:ascii="Times New Roman" w:hAnsi="Times New Roman" w:cs="Times New Roman"/>
          <w:sz w:val="24"/>
          <w:szCs w:val="24"/>
        </w:rPr>
        <w:t>6</w:t>
      </w:r>
      <w:r w:rsidR="000B3329"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in the final rule to ensure information is provided in a family’s </w:t>
      </w:r>
      <w:r w:rsidR="000B3329" w:rsidRPr="00C1694A">
        <w:rPr>
          <w:rFonts w:ascii="Times New Roman" w:hAnsi="Times New Roman" w:cs="Times New Roman"/>
          <w:sz w:val="24"/>
          <w:szCs w:val="24"/>
        </w:rPr>
        <w:t xml:space="preserve">preferred </w:t>
      </w:r>
      <w:r w:rsidRPr="00C1694A">
        <w:rPr>
          <w:rFonts w:ascii="Times New Roman" w:hAnsi="Times New Roman" w:cs="Times New Roman"/>
          <w:sz w:val="24"/>
          <w:szCs w:val="24"/>
        </w:rPr>
        <w:t xml:space="preserve">language to ensure that they access and participate in services.  Another commenter recommended we explicitly require materials be accessible to families who are “low literacy” or not proficient in English. </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Though we agree it is important that programs make information and services available in the languages spoken by enrolled families, we also </w:t>
      </w:r>
      <w:r w:rsidR="00E90182" w:rsidRPr="00C1694A">
        <w:rPr>
          <w:rFonts w:ascii="Times New Roman" w:hAnsi="Times New Roman" w:cs="Times New Roman"/>
          <w:sz w:val="24"/>
          <w:szCs w:val="24"/>
        </w:rPr>
        <w:t>understand</w:t>
      </w:r>
      <w:r w:rsidRPr="00C1694A">
        <w:rPr>
          <w:rFonts w:ascii="Times New Roman" w:hAnsi="Times New Roman" w:cs="Times New Roman"/>
          <w:sz w:val="24"/>
          <w:szCs w:val="24"/>
        </w:rPr>
        <w:t xml:space="preserve"> that programs may have a dozen or more languages represented among their enrollment at any one time and that some languages may be spoken by only a few members of a community.  We believe that our requireme</w:t>
      </w:r>
      <w:r w:rsidR="000B3329" w:rsidRPr="00C1694A">
        <w:rPr>
          <w:rFonts w:ascii="Times New Roman" w:hAnsi="Times New Roman" w:cs="Times New Roman"/>
          <w:sz w:val="24"/>
          <w:szCs w:val="24"/>
        </w:rPr>
        <w:t xml:space="preserve">nt in </w:t>
      </w:r>
      <w:r w:rsidR="006802C0" w:rsidRPr="00C1694A">
        <w:rPr>
          <w:rFonts w:ascii="Times New Roman" w:hAnsi="Times New Roman" w:cs="Times New Roman"/>
          <w:sz w:val="24"/>
          <w:szCs w:val="24"/>
        </w:rPr>
        <w:t xml:space="preserve">what is now </w:t>
      </w:r>
      <w:r w:rsidR="000B3329" w:rsidRPr="00C1694A">
        <w:rPr>
          <w:rFonts w:ascii="Times New Roman" w:hAnsi="Times New Roman" w:cs="Times New Roman"/>
          <w:sz w:val="24"/>
          <w:szCs w:val="24"/>
        </w:rPr>
        <w:t>paragraph (b)(</w:t>
      </w:r>
      <w:r w:rsidR="006802C0" w:rsidRPr="00C1694A">
        <w:rPr>
          <w:rFonts w:ascii="Times New Roman" w:hAnsi="Times New Roman" w:cs="Times New Roman"/>
          <w:sz w:val="24"/>
          <w:szCs w:val="24"/>
        </w:rPr>
        <w:t>6</w:t>
      </w:r>
      <w:r w:rsidR="000B3329" w:rsidRPr="00C1694A">
        <w:rPr>
          <w:rFonts w:ascii="Times New Roman" w:hAnsi="Times New Roman" w:cs="Times New Roman"/>
          <w:sz w:val="24"/>
          <w:szCs w:val="24"/>
        </w:rPr>
        <w:t xml:space="preserve">) </w:t>
      </w:r>
      <w:r w:rsidR="006802C0" w:rsidRPr="00C1694A">
        <w:rPr>
          <w:rFonts w:ascii="Times New Roman" w:hAnsi="Times New Roman" w:cs="Times New Roman"/>
          <w:sz w:val="24"/>
          <w:szCs w:val="24"/>
        </w:rPr>
        <w:t xml:space="preserve">is </w:t>
      </w:r>
      <w:r w:rsidRPr="00C1694A">
        <w:rPr>
          <w:rFonts w:ascii="Times New Roman" w:hAnsi="Times New Roman" w:cs="Times New Roman"/>
          <w:sz w:val="24"/>
          <w:szCs w:val="24"/>
        </w:rPr>
        <w:t xml:space="preserve">appropriately specific.  We also have confidence that programs will consider the needs of the families they enroll, including literacy, in their interactions with families.   </w:t>
      </w:r>
    </w:p>
    <w:p w:rsidR="005E5922" w:rsidRPr="00C1694A" w:rsidRDefault="005E5922"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supported the father engagement </w:t>
      </w:r>
      <w:r w:rsidR="00A75BFD" w:rsidRPr="00C1694A">
        <w:rPr>
          <w:rFonts w:ascii="Times New Roman" w:hAnsi="Times New Roman" w:cs="Times New Roman"/>
          <w:sz w:val="24"/>
          <w:szCs w:val="24"/>
        </w:rPr>
        <w:t xml:space="preserve">requirement </w:t>
      </w:r>
      <w:r w:rsidRPr="00C1694A">
        <w:rPr>
          <w:rFonts w:ascii="Times New Roman" w:hAnsi="Times New Roman" w:cs="Times New Roman"/>
          <w:sz w:val="24"/>
          <w:szCs w:val="24"/>
        </w:rPr>
        <w:t xml:space="preserve">in what was paragraph (b)(3) in the NPRM.  </w:t>
      </w:r>
      <w:r w:rsidR="00A75BFD" w:rsidRPr="00C1694A">
        <w:rPr>
          <w:rFonts w:ascii="Times New Roman" w:hAnsi="Times New Roman" w:cs="Times New Roman"/>
          <w:sz w:val="24"/>
          <w:szCs w:val="24"/>
        </w:rPr>
        <w:t>Other</w:t>
      </w:r>
      <w:r w:rsidRPr="00C1694A">
        <w:rPr>
          <w:rFonts w:ascii="Times New Roman" w:hAnsi="Times New Roman" w:cs="Times New Roman"/>
          <w:sz w:val="24"/>
          <w:szCs w:val="24"/>
        </w:rPr>
        <w:t xml:space="preserve"> commenters stated that father engagement should not be mandated. </w:t>
      </w:r>
      <w:r w:rsidR="00A75BFD"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offered additional suggestions, such as adding the term “male” to father engagement to include the men who participate in raising children who are not their biological fathers and explicitly adding services for lesbian, gay, bisexual, and </w:t>
      </w:r>
      <w:r w:rsidR="00222953" w:rsidRPr="00C1694A">
        <w:rPr>
          <w:rFonts w:ascii="Times New Roman" w:hAnsi="Times New Roman" w:cs="Times New Roman"/>
          <w:sz w:val="24"/>
          <w:szCs w:val="24"/>
        </w:rPr>
        <w:t xml:space="preserve">transgender </w:t>
      </w:r>
      <w:r w:rsidRPr="00C1694A">
        <w:rPr>
          <w:rFonts w:ascii="Times New Roman" w:hAnsi="Times New Roman" w:cs="Times New Roman"/>
          <w:sz w:val="24"/>
          <w:szCs w:val="24"/>
        </w:rPr>
        <w:t>(LGBT) parents.</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definition</w:t>
      </w:r>
      <w:r w:rsidR="006802C0" w:rsidRPr="00C1694A">
        <w:rPr>
          <w:rFonts w:ascii="Times New Roman" w:hAnsi="Times New Roman" w:cs="Times New Roman"/>
          <w:sz w:val="24"/>
          <w:szCs w:val="24"/>
        </w:rPr>
        <w:t>s</w:t>
      </w:r>
      <w:r w:rsidRPr="00C1694A">
        <w:rPr>
          <w:rFonts w:ascii="Times New Roman" w:hAnsi="Times New Roman" w:cs="Times New Roman"/>
          <w:sz w:val="24"/>
          <w:szCs w:val="24"/>
        </w:rPr>
        <w:t xml:space="preserve"> of “family” and “parent” under part 1305 allow for many variations of people who may have the role of parents or guardians or as authorized caregivers.  We </w:t>
      </w:r>
      <w:r w:rsidR="006802C0" w:rsidRPr="00C1694A">
        <w:rPr>
          <w:rFonts w:ascii="Times New Roman" w:hAnsi="Times New Roman" w:cs="Times New Roman"/>
          <w:sz w:val="24"/>
          <w:szCs w:val="24"/>
        </w:rPr>
        <w:t>have retained</w:t>
      </w:r>
      <w:r w:rsidRPr="00C1694A">
        <w:rPr>
          <w:rFonts w:ascii="Times New Roman" w:hAnsi="Times New Roman" w:cs="Times New Roman"/>
          <w:sz w:val="24"/>
          <w:szCs w:val="24"/>
        </w:rPr>
        <w:t xml:space="preserve"> a focus on “father engagement</w:t>
      </w:r>
      <w:r w:rsidR="006802C0" w:rsidRPr="00C1694A">
        <w:rPr>
          <w:rFonts w:ascii="Times New Roman" w:hAnsi="Times New Roman" w:cs="Times New Roman"/>
          <w:sz w:val="24"/>
          <w:szCs w:val="24"/>
        </w:rPr>
        <w:t>,</w:t>
      </w:r>
      <w:r w:rsidRPr="00C1694A">
        <w:rPr>
          <w:rFonts w:ascii="Times New Roman" w:hAnsi="Times New Roman" w:cs="Times New Roman"/>
          <w:sz w:val="24"/>
          <w:szCs w:val="24"/>
        </w:rPr>
        <w:t xml:space="preserve">” </w:t>
      </w:r>
      <w:r w:rsidR="006802C0" w:rsidRPr="00C1694A">
        <w:rPr>
          <w:rFonts w:ascii="Times New Roman" w:hAnsi="Times New Roman" w:cs="Times New Roman"/>
          <w:sz w:val="24"/>
          <w:szCs w:val="24"/>
        </w:rPr>
        <w:t xml:space="preserve">which is </w:t>
      </w:r>
      <w:r w:rsidR="00F27085" w:rsidRPr="00C1694A">
        <w:rPr>
          <w:rFonts w:ascii="Times New Roman" w:hAnsi="Times New Roman" w:cs="Times New Roman"/>
          <w:sz w:val="24"/>
          <w:szCs w:val="24"/>
        </w:rPr>
        <w:t>in paragraph (b)(</w:t>
      </w:r>
      <w:r w:rsidR="006802C0" w:rsidRPr="00C1694A">
        <w:rPr>
          <w:rFonts w:ascii="Times New Roman" w:hAnsi="Times New Roman" w:cs="Times New Roman"/>
          <w:sz w:val="24"/>
          <w:szCs w:val="24"/>
        </w:rPr>
        <w:t>1</w:t>
      </w:r>
      <w:r w:rsidR="00F27085" w:rsidRPr="00C1694A">
        <w:rPr>
          <w:rFonts w:ascii="Times New Roman" w:hAnsi="Times New Roman" w:cs="Times New Roman"/>
          <w:sz w:val="24"/>
          <w:szCs w:val="24"/>
        </w:rPr>
        <w:t xml:space="preserve">) </w:t>
      </w:r>
      <w:r w:rsidR="006802C0" w:rsidRPr="00C1694A">
        <w:rPr>
          <w:rFonts w:ascii="Times New Roman" w:hAnsi="Times New Roman" w:cs="Times New Roman"/>
          <w:sz w:val="24"/>
          <w:szCs w:val="24"/>
        </w:rPr>
        <w:t xml:space="preserve">in the final rule, </w:t>
      </w:r>
      <w:r w:rsidRPr="00C1694A">
        <w:rPr>
          <w:rFonts w:ascii="Times New Roman" w:hAnsi="Times New Roman" w:cs="Times New Roman"/>
          <w:sz w:val="24"/>
          <w:szCs w:val="24"/>
        </w:rPr>
        <w:t xml:space="preserve">because research demonstrates that child outcomes improve when fathers are positively involved.  This does not preclude the engagement of other males who may have significant roles in children’s lives so we do not think we need a broader requirement.  While the regulation requires that programs implement strategies to engage fathers in their children’s learning and development, this is not the same as mandating father engagement for every father.  In fact, the requirement in </w:t>
      </w:r>
      <w:r w:rsidR="00922252" w:rsidRPr="00C1694A">
        <w:rPr>
          <w:rFonts w:ascii="Times New Roman" w:hAnsi="Times New Roman" w:cs="Times New Roman"/>
          <w:sz w:val="24"/>
          <w:szCs w:val="24"/>
        </w:rPr>
        <w:t>§1302.1</w:t>
      </w:r>
      <w:r w:rsidR="00802FF3" w:rsidRPr="00C1694A">
        <w:rPr>
          <w:rFonts w:ascii="Times New Roman" w:hAnsi="Times New Roman" w:cs="Times New Roman"/>
          <w:sz w:val="24"/>
          <w:szCs w:val="24"/>
        </w:rPr>
        <w:t>5</w:t>
      </w:r>
      <w:r w:rsidR="00922252" w:rsidRPr="00C1694A">
        <w:rPr>
          <w:rFonts w:ascii="Times New Roman" w:hAnsi="Times New Roman" w:cs="Times New Roman"/>
          <w:sz w:val="24"/>
          <w:szCs w:val="24"/>
        </w:rPr>
        <w:t>(</w:t>
      </w:r>
      <w:r w:rsidR="00802FF3" w:rsidRPr="00C1694A">
        <w:rPr>
          <w:rFonts w:ascii="Times New Roman" w:hAnsi="Times New Roman" w:cs="Times New Roman"/>
          <w:sz w:val="24"/>
          <w:szCs w:val="24"/>
        </w:rPr>
        <w:t>f</w:t>
      </w:r>
      <w:r w:rsidR="00922252" w:rsidRPr="00C1694A">
        <w:rPr>
          <w:rFonts w:ascii="Times New Roman" w:hAnsi="Times New Roman" w:cs="Times New Roman"/>
          <w:sz w:val="24"/>
          <w:szCs w:val="24"/>
        </w:rPr>
        <w:t>)</w:t>
      </w:r>
      <w:r w:rsidRPr="00C1694A">
        <w:rPr>
          <w:rFonts w:ascii="Times New Roman" w:hAnsi="Times New Roman" w:cs="Times New Roman"/>
          <w:sz w:val="24"/>
          <w:szCs w:val="24"/>
        </w:rPr>
        <w:t xml:space="preserve"> explicitly states that parent participation is not required</w:t>
      </w:r>
      <w:r w:rsidR="00E30441" w:rsidRPr="00C1694A">
        <w:rPr>
          <w:rFonts w:ascii="Times New Roman" w:hAnsi="Times New Roman" w:cs="Times New Roman"/>
          <w:sz w:val="24"/>
          <w:szCs w:val="24"/>
        </w:rPr>
        <w:t>.</w:t>
      </w:r>
      <w:r w:rsidRPr="00C1694A">
        <w:rPr>
          <w:rFonts w:ascii="Times New Roman" w:hAnsi="Times New Roman" w:cs="Times New Roman"/>
          <w:sz w:val="24"/>
          <w:szCs w:val="24"/>
        </w:rPr>
        <w:t xml:space="preserve"> </w:t>
      </w:r>
      <w:r w:rsidR="00922252"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Because of the inclusive definitions we provide for “parent” and “family,” we did not amend the section to </w:t>
      </w:r>
      <w:r w:rsidR="00922252" w:rsidRPr="00C1694A">
        <w:rPr>
          <w:rFonts w:ascii="Times New Roman" w:hAnsi="Times New Roman" w:cs="Times New Roman"/>
          <w:sz w:val="24"/>
          <w:szCs w:val="24"/>
        </w:rPr>
        <w:t xml:space="preserve">specifically </w:t>
      </w:r>
      <w:r w:rsidRPr="00C1694A">
        <w:rPr>
          <w:rFonts w:ascii="Times New Roman" w:hAnsi="Times New Roman" w:cs="Times New Roman"/>
          <w:sz w:val="24"/>
          <w:szCs w:val="24"/>
        </w:rPr>
        <w:t xml:space="preserve">list LGBT parents.  </w:t>
      </w:r>
    </w:p>
    <w:p w:rsidR="00922252" w:rsidRPr="00C1694A" w:rsidRDefault="0092225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replacing the phrase “responsive to and reflect” with “incorporates” in paragraph (b)(2). </w:t>
      </w:r>
    </w:p>
    <w:p w:rsidR="00B54487" w:rsidRPr="00C1694A" w:rsidRDefault="0092225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and made this revision.</w:t>
      </w:r>
      <w:r w:rsidR="00B54487" w:rsidRPr="00C1694A">
        <w:rPr>
          <w:rFonts w:ascii="Times New Roman" w:hAnsi="Times New Roman" w:cs="Times New Roman"/>
          <w:sz w:val="24"/>
          <w:szCs w:val="24"/>
        </w:rPr>
        <w:t xml:space="preserve"> </w:t>
      </w:r>
    </w:p>
    <w:p w:rsidR="00EA1368" w:rsidRPr="00C1694A" w:rsidRDefault="00EA1368">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believed the provisions in this section weakened </w:t>
      </w:r>
      <w:r w:rsidR="00FB6563" w:rsidRPr="00C1694A">
        <w:rPr>
          <w:rFonts w:ascii="Times New Roman" w:hAnsi="Times New Roman" w:cs="Times New Roman"/>
          <w:sz w:val="24"/>
          <w:szCs w:val="24"/>
        </w:rPr>
        <w:t>family</w:t>
      </w:r>
      <w:r w:rsidRPr="00C1694A">
        <w:rPr>
          <w:rFonts w:ascii="Times New Roman" w:hAnsi="Times New Roman" w:cs="Times New Roman"/>
          <w:sz w:val="24"/>
          <w:szCs w:val="24"/>
        </w:rPr>
        <w:t xml:space="preserve"> services, and requested changes to ensure that Head Start’s two-generation approach to addressing family needs is not diminished. Some of these commenters requested that Head Start programs be allowed to utilize innovative two-generation approaches to deliver services to families of enrolled children. </w:t>
      </w:r>
    </w:p>
    <w:p w:rsidR="00EA1368" w:rsidRPr="00C1694A" w:rsidRDefault="00EA1368">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As stated previously, it was not the intent of the NPRM to diminish or weaken the critical role that Head Start programs play in supporting families of enrolled children. In addition, Head Start programs have always been allowed to utilize two-generation approaches to deliver services to families of enrolled children, and many already do.  However, we added a provision in paragraph (b)(4) to clarify that programs should implement innovative strategies to address prevalent needs of families across the program.  This provision further acknowledges that in order to implement such strategies effectively, programs may need to leverage community partnerships or other funding sources.</w:t>
      </w:r>
    </w:p>
    <w:p w:rsidR="005E5922" w:rsidRPr="00C1694A" w:rsidRDefault="005E592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§1302.51 Parent activities to promote child learning and development.</w:t>
      </w: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section includes requirements for activities programs must provide to parents to assist them in promoting child development and learning.  </w:t>
      </w:r>
      <w:r w:rsidR="00E30441" w:rsidRPr="00C1694A">
        <w:rPr>
          <w:rFonts w:ascii="Times New Roman" w:hAnsi="Times New Roman" w:cs="Times New Roman"/>
          <w:sz w:val="24"/>
          <w:szCs w:val="24"/>
        </w:rPr>
        <w:t xml:space="preserve">It </w:t>
      </w:r>
      <w:r w:rsidRPr="00C1694A">
        <w:rPr>
          <w:rFonts w:ascii="Times New Roman" w:hAnsi="Times New Roman" w:cs="Times New Roman"/>
          <w:sz w:val="24"/>
          <w:szCs w:val="24"/>
        </w:rPr>
        <w:t xml:space="preserve">included a new requirement that programs offer the opportunity for parents to participate </w:t>
      </w:r>
      <w:r w:rsidR="00922252" w:rsidRPr="00C1694A">
        <w:rPr>
          <w:rFonts w:ascii="Times New Roman" w:hAnsi="Times New Roman" w:cs="Times New Roman"/>
          <w:sz w:val="24"/>
          <w:szCs w:val="24"/>
        </w:rPr>
        <w:t xml:space="preserve">in </w:t>
      </w:r>
      <w:r w:rsidRPr="00C1694A">
        <w:rPr>
          <w:rFonts w:ascii="Times New Roman" w:hAnsi="Times New Roman" w:cs="Times New Roman"/>
          <w:sz w:val="24"/>
          <w:szCs w:val="24"/>
        </w:rPr>
        <w:t xml:space="preserve">research-based parenting curriculum.  We revised this section to include the requirement </w:t>
      </w:r>
      <w:r w:rsidR="00A75BFD" w:rsidRPr="00C1694A">
        <w:rPr>
          <w:rFonts w:ascii="Times New Roman" w:hAnsi="Times New Roman" w:cs="Times New Roman"/>
          <w:sz w:val="24"/>
          <w:szCs w:val="24"/>
        </w:rPr>
        <w:t>for</w:t>
      </w:r>
      <w:r w:rsidRPr="00C1694A">
        <w:rPr>
          <w:rFonts w:ascii="Times New Roman" w:hAnsi="Times New Roman" w:cs="Times New Roman"/>
          <w:sz w:val="24"/>
          <w:szCs w:val="24"/>
        </w:rPr>
        <w:t xml:space="preserve"> working with parents to support regular child attendance from §1302.50(b)(1) in the NPRM.  We believe it is more appropriately placed in this section. We also addressed the concern that we did not adequately reflect the important role of parents in children’s learning with revisions in </w:t>
      </w:r>
      <w:r w:rsidR="00E45E2A">
        <w:rPr>
          <w:rFonts w:ascii="Times New Roman" w:hAnsi="Times New Roman" w:cs="Times New Roman"/>
          <w:sz w:val="24"/>
          <w:szCs w:val="24"/>
        </w:rPr>
        <w:t>the introductory text</w:t>
      </w:r>
      <w:r w:rsidR="00E45E2A" w:rsidRPr="00C1694A">
        <w:rPr>
          <w:rFonts w:ascii="Times New Roman" w:hAnsi="Times New Roman" w:cs="Times New Roman"/>
          <w:sz w:val="24"/>
          <w:szCs w:val="24"/>
        </w:rPr>
        <w:t xml:space="preserve"> </w:t>
      </w:r>
      <w:r w:rsidR="00E45E2A">
        <w:rPr>
          <w:rFonts w:ascii="Times New Roman" w:hAnsi="Times New Roman" w:cs="Times New Roman"/>
          <w:sz w:val="24"/>
          <w:szCs w:val="24"/>
        </w:rPr>
        <w:t>in</w:t>
      </w:r>
      <w:r w:rsidR="00E45E2A" w:rsidRPr="00C1694A">
        <w:rPr>
          <w:rFonts w:ascii="Times New Roman" w:hAnsi="Times New Roman" w:cs="Times New Roman"/>
          <w:sz w:val="24"/>
          <w:szCs w:val="24"/>
        </w:rPr>
        <w:t xml:space="preserve"> </w:t>
      </w:r>
      <w:r w:rsidRPr="00C1694A">
        <w:rPr>
          <w:rFonts w:ascii="Times New Roman" w:hAnsi="Times New Roman" w:cs="Times New Roman"/>
          <w:sz w:val="24"/>
          <w:szCs w:val="24"/>
        </w:rPr>
        <w:t>paragraph (a)</w:t>
      </w:r>
      <w:r w:rsidR="00F25411">
        <w:rPr>
          <w:rFonts w:ascii="Times New Roman" w:hAnsi="Times New Roman" w:cs="Times New Roman"/>
          <w:sz w:val="24"/>
          <w:szCs w:val="24"/>
        </w:rPr>
        <w:t xml:space="preserve"> </w:t>
      </w:r>
      <w:r w:rsidRPr="00C1694A">
        <w:rPr>
          <w:rFonts w:ascii="Times New Roman" w:hAnsi="Times New Roman" w:cs="Times New Roman"/>
          <w:sz w:val="24"/>
          <w:szCs w:val="24"/>
        </w:rPr>
        <w:t xml:space="preserve">and </w:t>
      </w:r>
      <w:r w:rsidR="00E45E2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(a)(1).   </w:t>
      </w: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As previously noted,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recommended we combine the requirements of this section with the requirements of §1302.34.  Others recommended a reorganization to amplify the importance of supporting children’s learning as a purpose for family engagement.  </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make this revision.  We believe §1302.34 appropriately integrates parent and family engagement into center-based and family child care education services that are focused on the child.  The activities in this section are parent-focused.  We think this organization better conveys the importance of integrated family engagement services throughout program operations and reflects which staff will primarily engage in the service delivery.  </w:t>
      </w:r>
    </w:p>
    <w:p w:rsidR="00777421" w:rsidRPr="00C1694A" w:rsidRDefault="00777421"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adding language to the regulation on informing parents about the importance of bilingualism. </w:t>
      </w:r>
    </w:p>
    <w:p w:rsidR="00777421" w:rsidRPr="00C1694A" w:rsidRDefault="00777421"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w:t>
      </w:r>
      <w:r w:rsidR="00A75BFD" w:rsidRPr="00C1694A">
        <w:rPr>
          <w:rFonts w:ascii="Times New Roman" w:hAnsi="Times New Roman" w:cs="Times New Roman"/>
          <w:sz w:val="24"/>
          <w:szCs w:val="24"/>
        </w:rPr>
        <w:t xml:space="preserve">agree that programs should provide parents with information about brain development, including bilingualism. </w:t>
      </w:r>
      <w:r w:rsidRPr="00C1694A">
        <w:rPr>
          <w:rFonts w:ascii="Times New Roman" w:hAnsi="Times New Roman" w:cs="Times New Roman"/>
          <w:sz w:val="24"/>
          <w:szCs w:val="24"/>
        </w:rPr>
        <w:t>We added paragraph (a)(3) to reflect this suggestion.</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supported the requirement in paragraph (b) for a research-based parenting curriculum, noting it would raise program quality.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requested further clarification, such as a list of acceptable curricula</w:t>
      </w:r>
      <w:r w:rsidR="00E13DCC" w:rsidRPr="00C1694A">
        <w:rPr>
          <w:rFonts w:ascii="Times New Roman" w:hAnsi="Times New Roman" w:cs="Times New Roman"/>
          <w:sz w:val="24"/>
          <w:szCs w:val="24"/>
        </w:rPr>
        <w:t xml:space="preserve"> or whether adaptations could be made to the curricula</w:t>
      </w:r>
      <w:r w:rsidRPr="00C1694A">
        <w:rPr>
          <w:rFonts w:ascii="Times New Roman" w:hAnsi="Times New Roman" w:cs="Times New Roman"/>
          <w:sz w:val="24"/>
          <w:szCs w:val="24"/>
        </w:rPr>
        <w:t>.  Others recommend</w:t>
      </w:r>
      <w:r w:rsidR="00E30441" w:rsidRPr="00C1694A">
        <w:rPr>
          <w:rFonts w:ascii="Times New Roman" w:hAnsi="Times New Roman" w:cs="Times New Roman"/>
          <w:sz w:val="24"/>
          <w:szCs w:val="24"/>
        </w:rPr>
        <w:t>ed</w:t>
      </w:r>
      <w:r w:rsidRPr="00C1694A">
        <w:rPr>
          <w:rFonts w:ascii="Times New Roman" w:hAnsi="Times New Roman" w:cs="Times New Roman"/>
          <w:sz w:val="24"/>
          <w:szCs w:val="24"/>
        </w:rPr>
        <w:t xml:space="preserve"> we add more strengths-based language to the requirement.  Some commenters opposed this requirement for reasons such as cost and concern appropriate research-based curricul</w:t>
      </w:r>
      <w:r w:rsidR="00E30441" w:rsidRPr="00C1694A">
        <w:rPr>
          <w:rFonts w:ascii="Times New Roman" w:hAnsi="Times New Roman" w:cs="Times New Roman"/>
          <w:sz w:val="24"/>
          <w:szCs w:val="24"/>
        </w:rPr>
        <w:t>a</w:t>
      </w:r>
      <w:r w:rsidRPr="00C1694A">
        <w:rPr>
          <w:rFonts w:ascii="Times New Roman" w:hAnsi="Times New Roman" w:cs="Times New Roman"/>
          <w:sz w:val="24"/>
          <w:szCs w:val="24"/>
        </w:rPr>
        <w:t xml:space="preserve"> were unavailable</w:t>
      </w:r>
      <w:r w:rsidR="00A75BFD" w:rsidRPr="00C1694A">
        <w:rPr>
          <w:rFonts w:ascii="Times New Roman" w:hAnsi="Times New Roman" w:cs="Times New Roman"/>
          <w:sz w:val="24"/>
          <w:szCs w:val="24"/>
        </w:rPr>
        <w:t xml:space="preserve"> or</w:t>
      </w:r>
      <w:r w:rsidRPr="00C1694A">
        <w:rPr>
          <w:rFonts w:ascii="Times New Roman" w:hAnsi="Times New Roman" w:cs="Times New Roman"/>
          <w:sz w:val="24"/>
          <w:szCs w:val="24"/>
        </w:rPr>
        <w:t xml:space="preserve"> suggested </w:t>
      </w:r>
      <w:r w:rsidR="00A75BFD" w:rsidRPr="00C1694A">
        <w:rPr>
          <w:rFonts w:ascii="Times New Roman" w:hAnsi="Times New Roman" w:cs="Times New Roman"/>
          <w:sz w:val="24"/>
          <w:szCs w:val="24"/>
        </w:rPr>
        <w:t>participation</w:t>
      </w:r>
      <w:r w:rsidRPr="00C1694A">
        <w:rPr>
          <w:rFonts w:ascii="Times New Roman" w:hAnsi="Times New Roman" w:cs="Times New Roman"/>
          <w:sz w:val="24"/>
          <w:szCs w:val="24"/>
        </w:rPr>
        <w:t xml:space="preserve"> be optional because it would be burdensome to working parents.</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think this requirement will improve the quality of service delivery.  We do not think further clarification is necessary</w:t>
      </w:r>
      <w:r w:rsidR="000423CC" w:rsidRPr="00C1694A">
        <w:rPr>
          <w:rFonts w:ascii="Times New Roman" w:hAnsi="Times New Roman" w:cs="Times New Roman"/>
          <w:sz w:val="24"/>
          <w:szCs w:val="24"/>
        </w:rPr>
        <w:t>,</w:t>
      </w:r>
      <w:r w:rsidRPr="00C1694A">
        <w:rPr>
          <w:rFonts w:ascii="Times New Roman" w:hAnsi="Times New Roman" w:cs="Times New Roman"/>
          <w:sz w:val="24"/>
          <w:szCs w:val="24"/>
        </w:rPr>
        <w:t xml:space="preserve"> but agree that the requirement should be strengths-based and revised paragraph (b) to reflect that characteristic.</w:t>
      </w:r>
      <w:r w:rsidR="00E13DCC" w:rsidRPr="00C1694A">
        <w:rPr>
          <w:rFonts w:ascii="Times New Roman" w:hAnsi="Times New Roman" w:cs="Times New Roman"/>
          <w:sz w:val="24"/>
          <w:szCs w:val="24"/>
        </w:rPr>
        <w:t xml:space="preserve">  We also clarified that significant adaptations could be made to better meet the needs of the populations served, but that in such cases programs must work with an expert to develop these adaptations.</w:t>
      </w:r>
      <w:r w:rsidRPr="00C1694A">
        <w:rPr>
          <w:rFonts w:ascii="Times New Roman" w:hAnsi="Times New Roman" w:cs="Times New Roman"/>
          <w:sz w:val="24"/>
          <w:szCs w:val="24"/>
        </w:rPr>
        <w:t xml:space="preserve"> </w:t>
      </w:r>
      <w:r w:rsidR="00222953" w:rsidRPr="00C1694A">
        <w:rPr>
          <w:rFonts w:ascii="Times New Roman" w:hAnsi="Times New Roman" w:cs="Times New Roman"/>
          <w:sz w:val="24"/>
          <w:szCs w:val="24"/>
        </w:rPr>
        <w:t xml:space="preserve">Technical assistance is available on available research-based parenting curricula through the Early Childhood Learning and Knowledge Center.  </w:t>
      </w:r>
      <w:r w:rsidRPr="00C1694A">
        <w:rPr>
          <w:rFonts w:ascii="Times New Roman" w:hAnsi="Times New Roman" w:cs="Times New Roman"/>
          <w:sz w:val="24"/>
          <w:szCs w:val="24"/>
        </w:rPr>
        <w:t>We note that parent participation is never required as criteria for a child’s enrollment in Head Start.</w:t>
      </w:r>
    </w:p>
    <w:p w:rsidR="005E5922" w:rsidRPr="00C1694A" w:rsidRDefault="005E592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§1302.52 Family partnership services. </w:t>
      </w: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This section details the family engagement service requirements programs must provide to identify family needs and goals and provide services and supports to help meet family needs and achieve their goals.  It requires a family partnership services approach that is initiated as early as possible, shaped by parent interest and need, focuse</w:t>
      </w:r>
      <w:r w:rsidR="00021C4E" w:rsidRPr="00C1694A">
        <w:rPr>
          <w:rFonts w:ascii="Times New Roman" w:hAnsi="Times New Roman" w:cs="Times New Roman"/>
          <w:sz w:val="24"/>
          <w:szCs w:val="24"/>
        </w:rPr>
        <w:t>d</w:t>
      </w:r>
      <w:r w:rsidRPr="00C1694A">
        <w:rPr>
          <w:rFonts w:ascii="Times New Roman" w:hAnsi="Times New Roman" w:cs="Times New Roman"/>
          <w:sz w:val="24"/>
          <w:szCs w:val="24"/>
        </w:rPr>
        <w:t xml:space="preserve"> on outcomes instead of</w:t>
      </w:r>
      <w:r w:rsidR="00021C4E" w:rsidRPr="00C1694A">
        <w:rPr>
          <w:rFonts w:ascii="Times New Roman" w:hAnsi="Times New Roman" w:cs="Times New Roman"/>
          <w:sz w:val="24"/>
          <w:szCs w:val="24"/>
        </w:rPr>
        <w:t xml:space="preserve"> process, and effectively targeted</w:t>
      </w:r>
      <w:r w:rsidRPr="00C1694A">
        <w:rPr>
          <w:rFonts w:ascii="Times New Roman" w:hAnsi="Times New Roman" w:cs="Times New Roman"/>
          <w:sz w:val="24"/>
          <w:szCs w:val="24"/>
        </w:rPr>
        <w:t xml:space="preserve"> program and staff resources </w:t>
      </w:r>
      <w:r w:rsidR="00021C4E" w:rsidRPr="00C1694A">
        <w:rPr>
          <w:rFonts w:ascii="Times New Roman" w:hAnsi="Times New Roman" w:cs="Times New Roman"/>
          <w:sz w:val="24"/>
          <w:szCs w:val="24"/>
        </w:rPr>
        <w:t xml:space="preserve">based on need </w:t>
      </w:r>
      <w:r w:rsidRPr="00C1694A">
        <w:rPr>
          <w:rFonts w:ascii="Times New Roman" w:hAnsi="Times New Roman" w:cs="Times New Roman"/>
          <w:sz w:val="24"/>
          <w:szCs w:val="24"/>
        </w:rPr>
        <w:t xml:space="preserve">to ensure appropriate levels of service intensity.  We designed this section to align with the Parent, Family, and Community Engagement Framework that has </w:t>
      </w:r>
      <w:r w:rsidR="00021C4E" w:rsidRPr="00C1694A">
        <w:rPr>
          <w:rFonts w:ascii="Times New Roman" w:hAnsi="Times New Roman" w:cs="Times New Roman"/>
          <w:sz w:val="24"/>
          <w:szCs w:val="24"/>
        </w:rPr>
        <w:t>helped programs</w:t>
      </w:r>
      <w:r w:rsidRPr="00C1694A">
        <w:rPr>
          <w:rFonts w:ascii="Times New Roman" w:hAnsi="Times New Roman" w:cs="Times New Roman"/>
          <w:sz w:val="24"/>
          <w:szCs w:val="24"/>
        </w:rPr>
        <w:t xml:space="preserve"> develop an ongoing process of individualized services based on family strengths and needs instead of </w:t>
      </w:r>
      <w:r w:rsidR="000423CC" w:rsidRPr="00C1694A">
        <w:rPr>
          <w:rFonts w:ascii="Times New Roman" w:hAnsi="Times New Roman" w:cs="Times New Roman"/>
          <w:sz w:val="24"/>
          <w:szCs w:val="24"/>
        </w:rPr>
        <w:t>the</w:t>
      </w:r>
      <w:r w:rsidRPr="00C1694A">
        <w:rPr>
          <w:rFonts w:ascii="Times New Roman" w:hAnsi="Times New Roman" w:cs="Times New Roman"/>
          <w:sz w:val="24"/>
          <w:szCs w:val="24"/>
        </w:rPr>
        <w:t xml:space="preserve"> development of a single written plan.  Many commenters strongly opposed our elimination of a specific family partnership plan.  Though we intended to strengthen family engagement services with requirements that detail an ongoing outcomes-focused process, commenters believed this section diminished family engagement services and contributed to an overall weaker role for parents in Head Start.  We address these and other comments below.</w:t>
      </w: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strongly </w:t>
      </w:r>
      <w:r w:rsidR="00021C4E" w:rsidRPr="00C1694A">
        <w:rPr>
          <w:rFonts w:ascii="Times New Roman" w:hAnsi="Times New Roman" w:cs="Times New Roman"/>
          <w:sz w:val="24"/>
          <w:szCs w:val="24"/>
        </w:rPr>
        <w:t>suggested</w:t>
      </w:r>
      <w:r w:rsidRPr="00C1694A">
        <w:rPr>
          <w:rFonts w:ascii="Times New Roman" w:hAnsi="Times New Roman" w:cs="Times New Roman"/>
          <w:sz w:val="24"/>
          <w:szCs w:val="24"/>
        </w:rPr>
        <w:t xml:space="preserve"> we restore the written family partnership agreement. Commenters articulated concern that removal of the requirement for a written agreement </w:t>
      </w:r>
      <w:r w:rsidR="00021C4E" w:rsidRPr="00C1694A">
        <w:rPr>
          <w:rFonts w:ascii="Times New Roman" w:hAnsi="Times New Roman" w:cs="Times New Roman"/>
          <w:sz w:val="24"/>
          <w:szCs w:val="24"/>
        </w:rPr>
        <w:t>weakened</w:t>
      </w:r>
      <w:r w:rsidRPr="00C1694A">
        <w:rPr>
          <w:rFonts w:ascii="Times New Roman" w:hAnsi="Times New Roman" w:cs="Times New Roman"/>
          <w:sz w:val="24"/>
          <w:szCs w:val="24"/>
        </w:rPr>
        <w:t xml:space="preserve"> family services in Head Start.  Other commenters thought that eliminating the requirement for a written agreement meant we eliminated </w:t>
      </w:r>
      <w:r w:rsidR="00021C4E" w:rsidRPr="00C1694A">
        <w:rPr>
          <w:rFonts w:ascii="Times New Roman" w:hAnsi="Times New Roman" w:cs="Times New Roman"/>
          <w:sz w:val="24"/>
          <w:szCs w:val="24"/>
        </w:rPr>
        <w:t>the</w:t>
      </w:r>
      <w:r w:rsidRPr="00C1694A">
        <w:rPr>
          <w:rFonts w:ascii="Times New Roman" w:hAnsi="Times New Roman" w:cs="Times New Roman"/>
          <w:sz w:val="24"/>
          <w:szCs w:val="24"/>
        </w:rPr>
        <w:t xml:space="preserve"> family goal setting process.  Though some commenters agreed that the paper document can become more of a </w:t>
      </w:r>
      <w:r w:rsidR="00021C4E" w:rsidRPr="00C1694A">
        <w:rPr>
          <w:rFonts w:ascii="Times New Roman" w:hAnsi="Times New Roman" w:cs="Times New Roman"/>
          <w:sz w:val="24"/>
          <w:szCs w:val="24"/>
        </w:rPr>
        <w:t>paperwork process</w:t>
      </w:r>
      <w:r w:rsidRPr="00C1694A">
        <w:rPr>
          <w:rFonts w:ascii="Times New Roman" w:hAnsi="Times New Roman" w:cs="Times New Roman"/>
          <w:sz w:val="24"/>
          <w:szCs w:val="24"/>
        </w:rPr>
        <w:t xml:space="preserve"> than the means to supporting families in identifying and achieving goals, they still felt that the written agreement is an important step in formalizing the pro</w:t>
      </w:r>
      <w:r w:rsidR="00021C4E" w:rsidRPr="00C1694A">
        <w:rPr>
          <w:rFonts w:ascii="Times New Roman" w:hAnsi="Times New Roman" w:cs="Times New Roman"/>
          <w:sz w:val="24"/>
          <w:szCs w:val="24"/>
        </w:rPr>
        <w:t>cess</w:t>
      </w:r>
      <w:r w:rsidRPr="00C1694A">
        <w:rPr>
          <w:rFonts w:ascii="Times New Roman" w:hAnsi="Times New Roman" w:cs="Times New Roman"/>
          <w:sz w:val="24"/>
          <w:szCs w:val="24"/>
        </w:rPr>
        <w:t>.  Some commenters expressed support for the increased local flexibility afforded by not requiring a written agreement.</w:t>
      </w:r>
    </w:p>
    <w:p w:rsidR="005E5922" w:rsidRPr="00C1694A" w:rsidRDefault="005E592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intended for this subpart and this section specifically to streamline requirements, place an emphasis on outcomes over process, and allow more local flexibility to implement effective processes and strategies for meeting family service outcomes.  We did not intend for this section to diminish the program’s two-generation </w:t>
      </w:r>
      <w:r w:rsidR="0085176F" w:rsidRPr="00C1694A">
        <w:rPr>
          <w:rFonts w:ascii="Times New Roman" w:hAnsi="Times New Roman" w:cs="Times New Roman"/>
          <w:sz w:val="24"/>
          <w:szCs w:val="24"/>
        </w:rPr>
        <w:t xml:space="preserve">approach </w:t>
      </w:r>
      <w:r w:rsidRPr="00C1694A">
        <w:rPr>
          <w:rFonts w:ascii="Times New Roman" w:hAnsi="Times New Roman" w:cs="Times New Roman"/>
          <w:sz w:val="24"/>
          <w:szCs w:val="24"/>
        </w:rPr>
        <w:t xml:space="preserve">or the strength and breadth of family services. </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We made revisions to this subpart and section to clarify our intent for the family partnership services</w:t>
      </w:r>
      <w:r w:rsidR="00FD5494" w:rsidRPr="00C1694A">
        <w:rPr>
          <w:rFonts w:ascii="Times New Roman" w:hAnsi="Times New Roman" w:cs="Times New Roman"/>
          <w:sz w:val="24"/>
          <w:szCs w:val="24"/>
        </w:rPr>
        <w:t>, including that it must include a family partnership agreement</w:t>
      </w:r>
      <w:r w:rsidRPr="00C1694A">
        <w:rPr>
          <w:rFonts w:ascii="Times New Roman" w:hAnsi="Times New Roman" w:cs="Times New Roman"/>
          <w:sz w:val="24"/>
          <w:szCs w:val="24"/>
        </w:rPr>
        <w:t xml:space="preserve">. </w:t>
      </w:r>
      <w:r w:rsidR="00FD5494" w:rsidRPr="00C1694A">
        <w:rPr>
          <w:rFonts w:ascii="Times New Roman" w:hAnsi="Times New Roman" w:cs="Times New Roman"/>
          <w:sz w:val="24"/>
          <w:szCs w:val="24"/>
        </w:rPr>
        <w:t xml:space="preserve"> We added this provision in §1302.50(b)(3). </w:t>
      </w:r>
      <w:r w:rsidRPr="00C1694A">
        <w:rPr>
          <w:rFonts w:ascii="Times New Roman" w:hAnsi="Times New Roman" w:cs="Times New Roman"/>
          <w:sz w:val="24"/>
          <w:szCs w:val="24"/>
        </w:rPr>
        <w:t xml:space="preserve">  </w:t>
      </w:r>
      <w:r w:rsidR="00FD5494" w:rsidRPr="00C1694A">
        <w:rPr>
          <w:rFonts w:ascii="Times New Roman" w:hAnsi="Times New Roman" w:cs="Times New Roman"/>
          <w:sz w:val="24"/>
          <w:szCs w:val="24"/>
        </w:rPr>
        <w:t>W</w:t>
      </w:r>
      <w:r w:rsidRPr="00C1694A">
        <w:rPr>
          <w:rFonts w:ascii="Times New Roman" w:hAnsi="Times New Roman" w:cs="Times New Roman"/>
          <w:sz w:val="24"/>
          <w:szCs w:val="24"/>
        </w:rPr>
        <w:t xml:space="preserve">e </w:t>
      </w:r>
      <w:r w:rsidR="00FD5494" w:rsidRPr="00C1694A">
        <w:rPr>
          <w:rFonts w:ascii="Times New Roman" w:hAnsi="Times New Roman" w:cs="Times New Roman"/>
          <w:sz w:val="24"/>
          <w:szCs w:val="24"/>
        </w:rPr>
        <w:t xml:space="preserve">also </w:t>
      </w:r>
      <w:r w:rsidR="0085176F" w:rsidRPr="00C1694A">
        <w:rPr>
          <w:rFonts w:ascii="Times New Roman" w:hAnsi="Times New Roman" w:cs="Times New Roman"/>
          <w:sz w:val="24"/>
          <w:szCs w:val="24"/>
        </w:rPr>
        <w:t>added</w:t>
      </w:r>
      <w:r w:rsidRPr="00C1694A">
        <w:rPr>
          <w:rFonts w:ascii="Times New Roman" w:hAnsi="Times New Roman" w:cs="Times New Roman"/>
          <w:sz w:val="24"/>
          <w:szCs w:val="24"/>
        </w:rPr>
        <w:t xml:space="preserve"> §1302.50</w:t>
      </w:r>
      <w:r w:rsidR="0085176F" w:rsidRPr="00C1694A">
        <w:rPr>
          <w:rFonts w:ascii="Times New Roman" w:hAnsi="Times New Roman" w:cs="Times New Roman"/>
          <w:sz w:val="24"/>
          <w:szCs w:val="24"/>
        </w:rPr>
        <w:t>(b)</w:t>
      </w:r>
      <w:r w:rsidRPr="00C1694A">
        <w:rPr>
          <w:rFonts w:ascii="Times New Roman" w:hAnsi="Times New Roman" w:cs="Times New Roman"/>
          <w:sz w:val="24"/>
          <w:szCs w:val="24"/>
        </w:rPr>
        <w:t xml:space="preserve">(5) in the final rule to require a program’s family engagement approach </w:t>
      </w:r>
      <w:r w:rsidR="0085176F" w:rsidRPr="00C1694A">
        <w:rPr>
          <w:rFonts w:ascii="Times New Roman" w:hAnsi="Times New Roman" w:cs="Times New Roman"/>
          <w:sz w:val="24"/>
          <w:szCs w:val="24"/>
        </w:rPr>
        <w:t xml:space="preserve">to </w:t>
      </w:r>
      <w:r w:rsidRPr="00C1694A">
        <w:rPr>
          <w:rFonts w:ascii="Times New Roman" w:hAnsi="Times New Roman" w:cs="Times New Roman"/>
          <w:sz w:val="24"/>
          <w:szCs w:val="24"/>
        </w:rPr>
        <w:t>include partnership with families to identify needs, interests, strengths, goal</w:t>
      </w:r>
      <w:r w:rsidR="0085176F" w:rsidRPr="00C1694A">
        <w:rPr>
          <w:rFonts w:ascii="Times New Roman" w:hAnsi="Times New Roman" w:cs="Times New Roman"/>
          <w:sz w:val="24"/>
          <w:szCs w:val="24"/>
        </w:rPr>
        <w:t>s</w:t>
      </w:r>
      <w:r w:rsidRPr="00C1694A">
        <w:rPr>
          <w:rFonts w:ascii="Times New Roman" w:hAnsi="Times New Roman" w:cs="Times New Roman"/>
          <w:sz w:val="24"/>
          <w:szCs w:val="24"/>
        </w:rPr>
        <w:t xml:space="preserve">, services and resources that support parents.  As previously noted, we revised paragraph (a) in this section to clarify that family well-being includes family safety, health, and economic stability.  Also as previously noted, we revised paragraph (b) to strengthen alignment between intake and family assessment procedures and identification of family strengths and needs to the outcomes of the Parent, Family, and Community, Engagement Framework.  </w:t>
      </w:r>
      <w:r w:rsidR="0085176F" w:rsidRPr="00C1694A">
        <w:rPr>
          <w:rFonts w:ascii="Times New Roman" w:hAnsi="Times New Roman" w:cs="Times New Roman"/>
          <w:sz w:val="24"/>
          <w:szCs w:val="24"/>
        </w:rPr>
        <w:t xml:space="preserve">These changes </w:t>
      </w:r>
      <w:r w:rsidRPr="00C1694A">
        <w:rPr>
          <w:rFonts w:ascii="Times New Roman" w:hAnsi="Times New Roman" w:cs="Times New Roman"/>
          <w:sz w:val="24"/>
          <w:szCs w:val="24"/>
        </w:rPr>
        <w:t>help clarify</w:t>
      </w:r>
      <w:r w:rsidR="0085176F" w:rsidRPr="00C1694A">
        <w:rPr>
          <w:rFonts w:ascii="Times New Roman" w:hAnsi="Times New Roman" w:cs="Times New Roman"/>
          <w:sz w:val="24"/>
          <w:szCs w:val="24"/>
        </w:rPr>
        <w:t xml:space="preserve"> that</w:t>
      </w:r>
      <w:r w:rsidRPr="00C1694A">
        <w:rPr>
          <w:rFonts w:ascii="Times New Roman" w:hAnsi="Times New Roman" w:cs="Times New Roman"/>
          <w:sz w:val="24"/>
          <w:szCs w:val="24"/>
        </w:rPr>
        <w:t xml:space="preserve"> the rule does not narrow the breadth or depth of family services </w:t>
      </w:r>
      <w:r w:rsidR="00021C4E" w:rsidRPr="00C1694A">
        <w:rPr>
          <w:rFonts w:ascii="Times New Roman" w:hAnsi="Times New Roman" w:cs="Times New Roman"/>
          <w:sz w:val="24"/>
          <w:szCs w:val="24"/>
        </w:rPr>
        <w:t>that</w:t>
      </w:r>
      <w:r w:rsidRPr="00C1694A">
        <w:rPr>
          <w:rFonts w:ascii="Times New Roman" w:hAnsi="Times New Roman" w:cs="Times New Roman"/>
          <w:sz w:val="24"/>
          <w:szCs w:val="24"/>
        </w:rPr>
        <w:t xml:space="preserve"> are ultimately aimed at promoting the school readiness of children.</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Finally, we made significant revisions to paragraph (c) to detail the full process of family partnership services.  In paragraph (c)(1), we require programs to offer individualized services that identify family interests, needs, and aspirations related to the family engagement outcomes in the PFCEF.  In paragraph (c)(2), we require programs to help families achieve their identified outcomes.  In paragraph (c)(3), we require programs to establish and implement a family partnership agreement process</w:t>
      </w:r>
      <w:r w:rsidR="00F72F87" w:rsidRPr="00C1694A">
        <w:rPr>
          <w:rFonts w:ascii="Times New Roman" w:hAnsi="Times New Roman" w:cs="Times New Roman"/>
          <w:sz w:val="24"/>
          <w:szCs w:val="24"/>
        </w:rPr>
        <w:t>, including a family partnership agreement,</w:t>
      </w:r>
      <w:r w:rsidRPr="00C1694A">
        <w:rPr>
          <w:rFonts w:ascii="Times New Roman" w:hAnsi="Times New Roman" w:cs="Times New Roman"/>
          <w:sz w:val="24"/>
          <w:szCs w:val="24"/>
        </w:rPr>
        <w:t xml:space="preserve"> to review family progress, revise goals, evaluate</w:t>
      </w:r>
      <w:r w:rsidR="007C7EB5" w:rsidRPr="00C1694A">
        <w:rPr>
          <w:rFonts w:ascii="Times New Roman" w:hAnsi="Times New Roman" w:cs="Times New Roman"/>
          <w:sz w:val="24"/>
          <w:szCs w:val="24"/>
        </w:rPr>
        <w:t xml:space="preserve"> and track</w:t>
      </w:r>
      <w:r w:rsidRPr="00C1694A">
        <w:rPr>
          <w:rFonts w:ascii="Times New Roman" w:hAnsi="Times New Roman" w:cs="Times New Roman"/>
          <w:sz w:val="24"/>
          <w:szCs w:val="24"/>
        </w:rPr>
        <w:t xml:space="preserve"> whether identified needs and goals are met, and adjust strategies on an ongoing basis.  In paragraph (c)(4), we provide programs with flexibility to target resources to ensure appropriate levels of service intensity.  </w:t>
      </w:r>
    </w:p>
    <w:p w:rsidR="005E5922" w:rsidRPr="00C1694A" w:rsidRDefault="005E592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believe the revisions to this section </w:t>
      </w:r>
      <w:r w:rsidR="00A75BFD" w:rsidRPr="00C1694A">
        <w:rPr>
          <w:rFonts w:ascii="Times New Roman" w:hAnsi="Times New Roman" w:cs="Times New Roman"/>
          <w:sz w:val="24"/>
          <w:szCs w:val="24"/>
        </w:rPr>
        <w:t>and</w:t>
      </w:r>
      <w:r w:rsidRPr="00C1694A">
        <w:rPr>
          <w:rFonts w:ascii="Times New Roman" w:hAnsi="Times New Roman" w:cs="Times New Roman"/>
          <w:sz w:val="24"/>
          <w:szCs w:val="24"/>
        </w:rPr>
        <w:t xml:space="preserve"> to §1302.50 strength</w:t>
      </w:r>
      <w:r w:rsidR="00021C4E" w:rsidRPr="00C1694A">
        <w:rPr>
          <w:rFonts w:ascii="Times New Roman" w:hAnsi="Times New Roman" w:cs="Times New Roman"/>
          <w:sz w:val="24"/>
          <w:szCs w:val="24"/>
        </w:rPr>
        <w:t>en</w:t>
      </w:r>
      <w:r w:rsidRPr="00C1694A">
        <w:rPr>
          <w:rFonts w:ascii="Times New Roman" w:hAnsi="Times New Roman" w:cs="Times New Roman"/>
          <w:sz w:val="24"/>
          <w:szCs w:val="24"/>
        </w:rPr>
        <w:t xml:space="preserve"> program quality through a focus on outcomes instead of process, dispel concerns about the rule diminishing family partnership services, and will ensure programs implement strong and effective family partnership services that strengthen families and improve child outcomes.</w:t>
      </w:r>
    </w:p>
    <w:p w:rsidR="005E5922" w:rsidRPr="00C1694A" w:rsidRDefault="005E5922"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we clarify whether parent goals should focus on the parent or the parent’s goals for the child.  Others recommended </w:t>
      </w:r>
      <w:r w:rsidR="000423CC" w:rsidRPr="00C1694A">
        <w:rPr>
          <w:rFonts w:ascii="Times New Roman" w:hAnsi="Times New Roman" w:cs="Times New Roman"/>
          <w:sz w:val="24"/>
          <w:szCs w:val="24"/>
        </w:rPr>
        <w:t xml:space="preserve">that </w:t>
      </w:r>
      <w:r w:rsidRPr="00C1694A">
        <w:rPr>
          <w:rFonts w:ascii="Times New Roman" w:hAnsi="Times New Roman" w:cs="Times New Roman"/>
          <w:sz w:val="24"/>
          <w:szCs w:val="24"/>
        </w:rPr>
        <w:t>we be more explicit about data and performance indicators related to family services and well</w:t>
      </w:r>
      <w:r w:rsidR="00535E9D" w:rsidRPr="00C1694A">
        <w:rPr>
          <w:rFonts w:ascii="Times New Roman" w:hAnsi="Times New Roman" w:cs="Times New Roman"/>
          <w:sz w:val="24"/>
          <w:szCs w:val="24"/>
        </w:rPr>
        <w:t>-</w:t>
      </w:r>
      <w:r w:rsidRPr="00C1694A">
        <w:rPr>
          <w:rFonts w:ascii="Times New Roman" w:hAnsi="Times New Roman" w:cs="Times New Roman"/>
          <w:sz w:val="24"/>
          <w:szCs w:val="24"/>
        </w:rPr>
        <w:t xml:space="preserve">being. </w:t>
      </w:r>
    </w:p>
    <w:p w:rsidR="00B96617" w:rsidRPr="00C1694A" w:rsidRDefault="005E5922" w:rsidP="009A526A">
      <w:pPr>
        <w:spacing w:after="0" w:line="480" w:lineRule="auto"/>
        <w:ind w:firstLine="720"/>
        <w:rPr>
          <w:rFonts w:ascii="Times New Roman" w:eastAsia="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w:t>
      </w:r>
      <w:r w:rsidR="00021C4E" w:rsidRPr="00C1694A">
        <w:rPr>
          <w:rFonts w:ascii="Times New Roman" w:hAnsi="Times New Roman" w:cs="Times New Roman"/>
          <w:sz w:val="24"/>
          <w:szCs w:val="24"/>
        </w:rPr>
        <w:t xml:space="preserve">lieve this subpart provides appropriate </w:t>
      </w:r>
      <w:r w:rsidRPr="00C1694A">
        <w:rPr>
          <w:rFonts w:ascii="Times New Roman" w:hAnsi="Times New Roman" w:cs="Times New Roman"/>
          <w:sz w:val="24"/>
          <w:szCs w:val="24"/>
        </w:rPr>
        <w:t xml:space="preserve">flexibility for parents to identify their needs, goals, and aspirations so we did not include additional specificity about the types of goals parents set. We revised this section to reframe a requirement that was in paragraph (c)(2) in the NPRM and paragraph </w:t>
      </w:r>
      <w:r w:rsidR="00B54487" w:rsidRPr="00C1694A">
        <w:rPr>
          <w:rFonts w:ascii="Times New Roman" w:hAnsi="Times New Roman" w:cs="Times New Roman"/>
          <w:sz w:val="24"/>
          <w:szCs w:val="24"/>
        </w:rPr>
        <w:t xml:space="preserve">(c)(3) </w:t>
      </w:r>
      <w:r w:rsidRPr="00C1694A">
        <w:rPr>
          <w:rFonts w:ascii="Times New Roman" w:hAnsi="Times New Roman" w:cs="Times New Roman"/>
          <w:sz w:val="24"/>
          <w:szCs w:val="24"/>
        </w:rPr>
        <w:t>in the final rule t</w:t>
      </w:r>
      <w:r w:rsidR="007C7EB5" w:rsidRPr="00C1694A">
        <w:rPr>
          <w:rFonts w:ascii="Times New Roman" w:hAnsi="Times New Roman" w:cs="Times New Roman"/>
          <w:sz w:val="24"/>
          <w:szCs w:val="24"/>
        </w:rPr>
        <w:t>o ensure programs review, evaluate, and track</w:t>
      </w:r>
      <w:r w:rsidRPr="00C1694A">
        <w:rPr>
          <w:rFonts w:ascii="Times New Roman" w:hAnsi="Times New Roman" w:cs="Times New Roman"/>
          <w:sz w:val="24"/>
          <w:szCs w:val="24"/>
        </w:rPr>
        <w:t xml:space="preserve"> family needs and goals and appropriate strategies on an ongoing basis. </w:t>
      </w:r>
    </w:p>
    <w:p w:rsidR="00F0076C" w:rsidRPr="00C1694A" w:rsidRDefault="00F0076C" w:rsidP="009A526A">
      <w:pPr>
        <w:autoSpaceDE w:val="0"/>
        <w:autoSpaceDN w:val="0"/>
        <w:adjustRightInd w:val="0"/>
        <w:spacing w:after="0" w:line="480" w:lineRule="auto"/>
        <w:rPr>
          <w:rFonts w:ascii="Times New Roman" w:eastAsia="Times New Roman" w:hAnsi="Times New Roman" w:cs="Times New Roman"/>
          <w:i/>
          <w:sz w:val="24"/>
          <w:szCs w:val="24"/>
        </w:rPr>
      </w:pPr>
      <w:r w:rsidRPr="00C1694A">
        <w:rPr>
          <w:rFonts w:ascii="Times New Roman" w:eastAsia="Times New Roman" w:hAnsi="Times New Roman" w:cs="Times New Roman"/>
          <w:i/>
          <w:sz w:val="24"/>
          <w:szCs w:val="24"/>
        </w:rPr>
        <w:t>§1302.53 Community partnerships and coordination with other early childhood and education programs.</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This section includes program requirements for community partnerships.  It largely maintains provisions from the previous performance standards about ongoing collaborative relationships and partnerships with community organizations.  It requires programs take an active role in promoting coordinated systems of comprehensive early childhood services.  It added a new requirement for a memorandum of understanding with the appropriate local entity responsible for managing publicly funded preschool programs to reflect requirements from the Head Start Act.  It also added new requirements for coordination with state and local Quality Rating and Improvement Systems and state data systems to ensure that we are maximizing access to services, reducing duplication and fostering informed quality improvement.  </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We reorganized and retitled this section to improve clarity.  For example, we reorganized §</w:t>
      </w:r>
      <w:r w:rsidR="00F25411">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1302.50 and 1302.54 so community partnership requirements were solely consolidated under §1302.53.  We reorg</w:t>
      </w:r>
      <w:r w:rsidR="00375C17" w:rsidRPr="00C1694A">
        <w:rPr>
          <w:rFonts w:ascii="Times New Roman" w:eastAsia="Times New Roman" w:hAnsi="Times New Roman" w:cs="Times New Roman"/>
          <w:sz w:val="24"/>
          <w:szCs w:val="24"/>
        </w:rPr>
        <w:t>anized this section to describe</w:t>
      </w:r>
      <w:r w:rsidRPr="00C1694A">
        <w:rPr>
          <w:rFonts w:ascii="Times New Roman" w:eastAsia="Times New Roman" w:hAnsi="Times New Roman" w:cs="Times New Roman"/>
          <w:sz w:val="24"/>
          <w:szCs w:val="24"/>
        </w:rPr>
        <w:t xml:space="preserve"> program requirements for ongoing collaborative relationships and partnerships with community organizations in paragraph (a).  We moved what was paragraph (a) in the NPRM to paragraph (b) in the final rule and restructured requirements for memorandum of understanding, QRIS, and data systems to fall under paragraph (b) to better articulate the linkages between these three requirements and those in paragraph (b) that require programs take an active role in promoting coordinated systems of comprehensive early childhood services.</w:t>
      </w:r>
      <w:r w:rsidR="00BA1E9D" w:rsidRPr="00C1694A">
        <w:rPr>
          <w:rFonts w:ascii="Times New Roman" w:eastAsia="Times New Roman" w:hAnsi="Times New Roman" w:cs="Times New Roman"/>
          <w:sz w:val="24"/>
          <w:szCs w:val="24"/>
        </w:rPr>
        <w:t xml:space="preserve">  We also revised and moved the requirement to participate in statewide longitudinal data systems from subpart J to this section.</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We also moved the requirement about Health Services Advisory Committees from paragraph (c) </w:t>
      </w:r>
      <w:r w:rsidR="00F25411">
        <w:rPr>
          <w:rFonts w:ascii="Times New Roman" w:eastAsia="Times New Roman" w:hAnsi="Times New Roman" w:cs="Times New Roman"/>
          <w:sz w:val="24"/>
          <w:szCs w:val="24"/>
        </w:rPr>
        <w:t xml:space="preserve">to </w:t>
      </w:r>
      <w:r w:rsidR="00375C17" w:rsidRPr="00C1694A">
        <w:rPr>
          <w:rStyle w:val="title1"/>
          <w:rFonts w:ascii="Times New Roman" w:hAnsi="Times New Roman" w:cs="Times New Roman"/>
          <w:color w:val="auto"/>
          <w:sz w:val="24"/>
          <w:szCs w:val="24"/>
          <w:specVanish w:val="0"/>
        </w:rPr>
        <w:t>§</w:t>
      </w:r>
      <w:r w:rsidR="00375C17" w:rsidRPr="00C1694A">
        <w:rPr>
          <w:rFonts w:ascii="Times New Roman" w:eastAsia="Times New Roman" w:hAnsi="Times New Roman" w:cs="Times New Roman"/>
          <w:sz w:val="24"/>
          <w:szCs w:val="24"/>
        </w:rPr>
        <w:t>1302.40(b)</w:t>
      </w:r>
      <w:r w:rsidRPr="00C1694A">
        <w:rPr>
          <w:rFonts w:ascii="Times New Roman" w:eastAsia="Times New Roman" w:hAnsi="Times New Roman" w:cs="Times New Roman"/>
          <w:sz w:val="24"/>
          <w:szCs w:val="24"/>
        </w:rPr>
        <w:t xml:space="preserve">. In addition, we renamed this </w:t>
      </w:r>
      <w:r w:rsidR="00375C17" w:rsidRPr="00C1694A">
        <w:rPr>
          <w:rFonts w:ascii="Times New Roman" w:eastAsia="Times New Roman" w:hAnsi="Times New Roman" w:cs="Times New Roman"/>
          <w:sz w:val="24"/>
          <w:szCs w:val="24"/>
        </w:rPr>
        <w:t xml:space="preserve">entire </w:t>
      </w:r>
      <w:r w:rsidRPr="00C1694A">
        <w:rPr>
          <w:rFonts w:ascii="Times New Roman" w:eastAsia="Times New Roman" w:hAnsi="Times New Roman" w:cs="Times New Roman"/>
          <w:sz w:val="24"/>
          <w:szCs w:val="24"/>
        </w:rPr>
        <w:t>section “</w:t>
      </w:r>
      <w:r w:rsidR="00375C17" w:rsidRPr="00C1694A">
        <w:rPr>
          <w:rFonts w:ascii="Times New Roman" w:eastAsia="Times New Roman" w:hAnsi="Times New Roman" w:cs="Times New Roman"/>
          <w:sz w:val="24"/>
          <w:szCs w:val="24"/>
        </w:rPr>
        <w:t>Community p</w:t>
      </w:r>
      <w:r w:rsidRPr="00C1694A">
        <w:rPr>
          <w:rFonts w:ascii="Times New Roman" w:eastAsia="Times New Roman" w:hAnsi="Times New Roman" w:cs="Times New Roman"/>
          <w:sz w:val="24"/>
          <w:szCs w:val="24"/>
        </w:rPr>
        <w:t>artnerships and coordination with other programs and systems” to more clearly identify its applicability and purpose.  We received many comments on this section.  We discuss them and our responses below.</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Pr="00C1694A">
        <w:rPr>
          <w:rFonts w:ascii="Times New Roman" w:eastAsia="Times New Roman" w:hAnsi="Times New Roman" w:cs="Times New Roman"/>
          <w:sz w:val="24"/>
          <w:szCs w:val="24"/>
        </w:rPr>
        <w:t xml:space="preserve"> We received many comments on the community partnership requirements described in what is now paragraph (a) but was paragraph (b) in the NPRM.  Many commenters suggested we add new partners with which programs should establish collaborative relationships and partnerships, such as programs funded through the Runaway Homeless Youth Act, financial partners, and school boards. </w:t>
      </w:r>
      <w:r w:rsidR="001A0685" w:rsidRPr="00C1694A">
        <w:rPr>
          <w:rFonts w:ascii="Times New Roman" w:eastAsia="Times New Roman" w:hAnsi="Times New Roman" w:cs="Times New Roman"/>
          <w:sz w:val="24"/>
          <w:szCs w:val="24"/>
        </w:rPr>
        <w:t xml:space="preserve">Other </w:t>
      </w:r>
      <w:r w:rsidRPr="00C1694A">
        <w:rPr>
          <w:rFonts w:ascii="Times New Roman" w:eastAsia="Times New Roman" w:hAnsi="Times New Roman" w:cs="Times New Roman"/>
          <w:sz w:val="24"/>
          <w:szCs w:val="24"/>
        </w:rPr>
        <w:t xml:space="preserve">commenters were concerned we removed explicit mention of nutrition and housing assistance agencies.  </w:t>
      </w:r>
      <w:r w:rsidR="00151BB1" w:rsidRPr="00C1694A">
        <w:rPr>
          <w:rFonts w:ascii="Times New Roman" w:eastAsia="Times New Roman" w:hAnsi="Times New Roman" w:cs="Times New Roman"/>
          <w:sz w:val="24"/>
          <w:szCs w:val="24"/>
        </w:rPr>
        <w:t xml:space="preserve">Some </w:t>
      </w:r>
      <w:r w:rsidRPr="00C1694A">
        <w:rPr>
          <w:rFonts w:ascii="Times New Roman" w:eastAsia="Times New Roman" w:hAnsi="Times New Roman" w:cs="Times New Roman"/>
          <w:sz w:val="24"/>
          <w:szCs w:val="24"/>
        </w:rPr>
        <w:t xml:space="preserve">commenters recommended we not add any specific community partnerships and let programs decide based on community data.  </w:t>
      </w:r>
      <w:r w:rsidR="00151BB1" w:rsidRPr="00C1694A">
        <w:rPr>
          <w:rFonts w:ascii="Times New Roman" w:eastAsia="Times New Roman" w:hAnsi="Times New Roman" w:cs="Times New Roman"/>
          <w:sz w:val="24"/>
          <w:szCs w:val="24"/>
        </w:rPr>
        <w:t xml:space="preserve">Some </w:t>
      </w:r>
      <w:r w:rsidRPr="00C1694A">
        <w:rPr>
          <w:rFonts w:ascii="Times New Roman" w:eastAsia="Times New Roman" w:hAnsi="Times New Roman" w:cs="Times New Roman"/>
          <w:sz w:val="24"/>
          <w:szCs w:val="24"/>
        </w:rPr>
        <w:t xml:space="preserve">commenters requested additional clarification, such as </w:t>
      </w:r>
      <w:r w:rsidR="001A0685" w:rsidRPr="00C1694A">
        <w:rPr>
          <w:rFonts w:ascii="Times New Roman" w:eastAsia="Times New Roman" w:hAnsi="Times New Roman" w:cs="Times New Roman"/>
          <w:sz w:val="24"/>
          <w:szCs w:val="24"/>
        </w:rPr>
        <w:t xml:space="preserve">for greater specificity for coordinating community plans or </w:t>
      </w:r>
      <w:r w:rsidRPr="00C1694A">
        <w:rPr>
          <w:rFonts w:ascii="Times New Roman" w:eastAsia="Times New Roman" w:hAnsi="Times New Roman" w:cs="Times New Roman"/>
          <w:sz w:val="24"/>
          <w:szCs w:val="24"/>
        </w:rPr>
        <w:t>whether we will allocate funds to comply with this section of the regulation.</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agree that there are </w:t>
      </w:r>
      <w:r w:rsidR="001A0685"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rPr>
        <w:t xml:space="preserve">variety of potential partners with the capacity to help meet the comprehensive needs of children and families. However, rather than continue to add to the list of potential specific partnerships, we believe programs will appropriately assess their family and community needs and identify partnerships that will support their service delivery.     In addition, we note this section promotes local flexibility in the development of community partnerships and there is no requirement for a program to have community plan. Programs may request additional assistance for guidance with the development of community plans and partnerships. Finally, Congress appropriates funds for the Head Start program.  We do not have the authority to provide additional funds.  </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Pr="00C1694A">
        <w:rPr>
          <w:rFonts w:ascii="Times New Roman" w:eastAsia="Times New Roman" w:hAnsi="Times New Roman" w:cs="Times New Roman"/>
          <w:sz w:val="24"/>
          <w:szCs w:val="24"/>
        </w:rPr>
        <w:t xml:space="preserve">  We received many comments about our proposal, now found in paragraph (</w:t>
      </w:r>
      <w:r w:rsidR="00375C17" w:rsidRPr="00C1694A">
        <w:rPr>
          <w:rFonts w:ascii="Times New Roman" w:eastAsia="Times New Roman" w:hAnsi="Times New Roman" w:cs="Times New Roman"/>
          <w:sz w:val="24"/>
          <w:szCs w:val="24"/>
        </w:rPr>
        <w:t>b)(2), that stated programs should</w:t>
      </w:r>
      <w:r w:rsidRPr="00C1694A">
        <w:rPr>
          <w:rFonts w:ascii="Times New Roman" w:eastAsia="Times New Roman" w:hAnsi="Times New Roman" w:cs="Times New Roman"/>
          <w:sz w:val="24"/>
          <w:szCs w:val="24"/>
        </w:rPr>
        <w:t xml:space="preserve"> participate in their state or local QRIS under certain conditions. Some commenters supported this requirement for reasons including: it increases a program’s marketability; it improves information available to parents; it can reduce inefficiencies and inequities by aligning Head Start programs w</w:t>
      </w:r>
      <w:r w:rsidR="00375C17" w:rsidRPr="00C1694A">
        <w:rPr>
          <w:rFonts w:ascii="Times New Roman" w:eastAsia="Times New Roman" w:hAnsi="Times New Roman" w:cs="Times New Roman"/>
          <w:sz w:val="24"/>
          <w:szCs w:val="24"/>
        </w:rPr>
        <w:t>ith other child care and state p</w:t>
      </w:r>
      <w:r w:rsidRPr="00C1694A">
        <w:rPr>
          <w:rFonts w:ascii="Times New Roman" w:eastAsia="Times New Roman" w:hAnsi="Times New Roman" w:cs="Times New Roman"/>
          <w:sz w:val="24"/>
          <w:szCs w:val="24"/>
        </w:rPr>
        <w:t>re-</w:t>
      </w:r>
      <w:r w:rsidR="00375C17" w:rsidRPr="00C1694A">
        <w:rPr>
          <w:rFonts w:ascii="Times New Roman" w:eastAsia="Times New Roman" w:hAnsi="Times New Roman" w:cs="Times New Roman"/>
          <w:sz w:val="24"/>
          <w:szCs w:val="24"/>
        </w:rPr>
        <w:t>kindergarten</w:t>
      </w:r>
      <w:r w:rsidRPr="00C1694A">
        <w:rPr>
          <w:rFonts w:ascii="Times New Roman" w:eastAsia="Times New Roman" w:hAnsi="Times New Roman" w:cs="Times New Roman"/>
          <w:sz w:val="24"/>
          <w:szCs w:val="24"/>
        </w:rPr>
        <w:t xml:space="preserve"> programs; it encourages quality improvement; it could direct more families to Head Start; and it makes progress toward common indicators of quality across programs</w:t>
      </w:r>
      <w:r w:rsidRPr="00C1694A">
        <w:rPr>
          <w:rFonts w:ascii="Times New Roman" w:eastAsia="Times New Roman" w:hAnsi="Times New Roman" w:cs="Times New Roman"/>
          <w:bCs/>
          <w:sz w:val="24"/>
          <w:szCs w:val="24"/>
        </w:rPr>
        <w:t xml:space="preserve">. </w:t>
      </w:r>
      <w:r w:rsidR="00151BB1" w:rsidRPr="00C1694A">
        <w:rPr>
          <w:rFonts w:ascii="Times New Roman" w:eastAsia="Times New Roman" w:hAnsi="Times New Roman" w:cs="Times New Roman"/>
          <w:bCs/>
          <w:sz w:val="24"/>
          <w:szCs w:val="24"/>
        </w:rPr>
        <w:t xml:space="preserve">Some </w:t>
      </w:r>
      <w:r w:rsidRPr="00C1694A">
        <w:rPr>
          <w:rFonts w:ascii="Times New Roman" w:eastAsia="Times New Roman" w:hAnsi="Times New Roman" w:cs="Times New Roman"/>
          <w:bCs/>
          <w:sz w:val="24"/>
          <w:szCs w:val="24"/>
        </w:rPr>
        <w:t xml:space="preserve">commenters asked for clarification, such as </w:t>
      </w:r>
      <w:r w:rsidRPr="00C1694A">
        <w:rPr>
          <w:rFonts w:ascii="Times New Roman" w:eastAsia="Times New Roman" w:hAnsi="Times New Roman" w:cs="Times New Roman"/>
          <w:sz w:val="24"/>
          <w:szCs w:val="24"/>
        </w:rPr>
        <w:t>how to incentivize participation in QRIS. Other commenters suggested revisions, such as moving it to another section</w:t>
      </w:r>
      <w:r w:rsidR="007B5CE7" w:rsidRPr="00C1694A">
        <w:rPr>
          <w:rFonts w:ascii="Times New Roman" w:eastAsia="Times New Roman" w:hAnsi="Times New Roman" w:cs="Times New Roman"/>
          <w:sz w:val="24"/>
          <w:szCs w:val="24"/>
        </w:rPr>
        <w:t xml:space="preserve"> or adding criteria for specific subgroups such as DLLs</w:t>
      </w:r>
      <w:r w:rsidRPr="00C1694A">
        <w:rPr>
          <w:rFonts w:ascii="Times New Roman" w:eastAsia="Times New Roman" w:hAnsi="Times New Roman" w:cs="Times New Roman"/>
          <w:sz w:val="24"/>
          <w:szCs w:val="24"/>
        </w:rPr>
        <w:t>.</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Many commenters opposed this requirement and recommended its removal.  Commenters expressed a number of reasons including: QRIS is not available in every state; it is duplicative of monitoring, licensing</w:t>
      </w:r>
      <w:r w:rsidR="000423CC" w:rsidRPr="00C1694A">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and NAEYC accreditation; it would be too costly and burdensome; and research is mixed on its benefits to programs or families.</w:t>
      </w:r>
      <w:r w:rsidR="00375C17"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 xml:space="preserve"> </w:t>
      </w:r>
    </w:p>
    <w:p w:rsidR="00FC2580"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believe it is important that Head Start programs participate in state or local quality improvement efforts and that the value of QRIS outweighs the challenges, including giving parents more informed choices about the quality of programs. While it is true that most local education agencies are exempt from licensing, </w:t>
      </w:r>
      <w:r w:rsidR="0070547F" w:rsidRPr="00C1694A">
        <w:rPr>
          <w:rFonts w:ascii="Times New Roman" w:eastAsia="Times New Roman" w:hAnsi="Times New Roman" w:cs="Times New Roman"/>
          <w:sz w:val="24"/>
          <w:szCs w:val="24"/>
        </w:rPr>
        <w:t>Preschool</w:t>
      </w:r>
      <w:r w:rsidRPr="00C1694A">
        <w:rPr>
          <w:rFonts w:ascii="Times New Roman" w:eastAsia="Times New Roman" w:hAnsi="Times New Roman" w:cs="Times New Roman"/>
          <w:sz w:val="24"/>
          <w:szCs w:val="24"/>
        </w:rPr>
        <w:t xml:space="preserve"> </w:t>
      </w:r>
      <w:r w:rsidR="0070547F" w:rsidRPr="00C1694A">
        <w:rPr>
          <w:rFonts w:ascii="Times New Roman" w:eastAsia="Times New Roman" w:hAnsi="Times New Roman" w:cs="Times New Roman"/>
          <w:sz w:val="24"/>
          <w:szCs w:val="24"/>
        </w:rPr>
        <w:t xml:space="preserve">Development Grants </w:t>
      </w:r>
      <w:r w:rsidRPr="00C1694A">
        <w:rPr>
          <w:rFonts w:ascii="Times New Roman" w:eastAsia="Times New Roman" w:hAnsi="Times New Roman" w:cs="Times New Roman"/>
          <w:sz w:val="24"/>
          <w:szCs w:val="24"/>
        </w:rPr>
        <w:t>require participation in QRIS. We believe this signals recognition of the value of QRIS participation and that as participation occurs across the spectrum of programs; it will continue to strengthen both local programs and the QRIS itself. We also recognize that there may be challenges that make it difficult for all programs to participate in QRIS, including wait times, and</w:t>
      </w:r>
      <w:r w:rsidR="00375C17" w:rsidRPr="00C1694A">
        <w:rPr>
          <w:rFonts w:ascii="Times New Roman" w:eastAsia="Times New Roman" w:hAnsi="Times New Roman" w:cs="Times New Roman"/>
          <w:sz w:val="24"/>
          <w:szCs w:val="24"/>
        </w:rPr>
        <w:t xml:space="preserve"> a lack of validated systems.  </w:t>
      </w:r>
      <w:r w:rsidR="00CB7A8C" w:rsidRPr="00C1694A">
        <w:rPr>
          <w:rFonts w:ascii="Times New Roman" w:eastAsia="Times New Roman" w:hAnsi="Times New Roman" w:cs="Times New Roman"/>
          <w:sz w:val="24"/>
          <w:szCs w:val="24"/>
        </w:rPr>
        <w:t>However, we also understand that unqualified mandated participation could lead to duplication in monitoring and rating and that the conditions as we outlined them in the NPRM may have been too stringent. Therefore, we modified this provision in the final rule. Specifically we removed the qualifier that the tiers must be validated and added a condition that the sta</w:t>
      </w:r>
      <w:r w:rsidR="0003012D" w:rsidRPr="00C1694A">
        <w:rPr>
          <w:rFonts w:ascii="Times New Roman" w:eastAsia="Times New Roman" w:hAnsi="Times New Roman" w:cs="Times New Roman"/>
          <w:sz w:val="24"/>
          <w:szCs w:val="24"/>
        </w:rPr>
        <w:t>t</w:t>
      </w:r>
      <w:r w:rsidR="00CB7A8C" w:rsidRPr="00C1694A">
        <w:rPr>
          <w:rFonts w:ascii="Times New Roman" w:eastAsia="Times New Roman" w:hAnsi="Times New Roman" w:cs="Times New Roman"/>
          <w:sz w:val="24"/>
          <w:szCs w:val="24"/>
        </w:rPr>
        <w:t xml:space="preserve">e must accept Head Start monitoring data as evidence of meeting indicators in the QRIS tiers and that participation must not impact a program’s ability to meet </w:t>
      </w:r>
      <w:r w:rsidR="000C6FE3" w:rsidRPr="00C1694A">
        <w:rPr>
          <w:rFonts w:ascii="Times New Roman" w:eastAsia="Times New Roman" w:hAnsi="Times New Roman" w:cs="Times New Roman"/>
          <w:sz w:val="24"/>
          <w:szCs w:val="24"/>
        </w:rPr>
        <w:t xml:space="preserve">Head </w:t>
      </w:r>
      <w:r w:rsidR="00CB7A8C" w:rsidRPr="00C1694A">
        <w:rPr>
          <w:rFonts w:ascii="Times New Roman" w:eastAsia="Times New Roman" w:hAnsi="Times New Roman" w:cs="Times New Roman"/>
          <w:sz w:val="24"/>
          <w:szCs w:val="24"/>
        </w:rPr>
        <w:t>Start standards.</w:t>
      </w:r>
      <w:r w:rsidR="000C6FE3" w:rsidRPr="00C1694A">
        <w:rPr>
          <w:rFonts w:ascii="Times New Roman" w:eastAsia="Times New Roman" w:hAnsi="Times New Roman" w:cs="Times New Roman"/>
          <w:sz w:val="24"/>
          <w:szCs w:val="24"/>
        </w:rPr>
        <w:t xml:space="preserve"> </w:t>
      </w:r>
      <w:r w:rsidR="00CB7A8C" w:rsidRPr="00C1694A">
        <w:rPr>
          <w:rFonts w:ascii="Times New Roman" w:eastAsia="Times New Roman" w:hAnsi="Times New Roman" w:cs="Times New Roman"/>
          <w:sz w:val="24"/>
          <w:szCs w:val="24"/>
        </w:rPr>
        <w:t xml:space="preserve">We believe the final rule sets a strong and reasonable way for Head Start programs to participate in these important state systems without duplication and burden. </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Pr="00C1694A">
        <w:rPr>
          <w:rFonts w:ascii="Times New Roman" w:eastAsia="Times New Roman" w:hAnsi="Times New Roman" w:cs="Times New Roman"/>
          <w:sz w:val="24"/>
          <w:szCs w:val="24"/>
        </w:rPr>
        <w:t xml:space="preserve"> Some commenters opposed the requirement for tribal programs specifically, stating that it was not appropriate in these service areas.</w:t>
      </w:r>
    </w:p>
    <w:p w:rsidR="0048752F" w:rsidRPr="00C1694A" w:rsidRDefault="0048752F" w:rsidP="009A526A">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agree that state and local QRIS systems are not comparably structured to serve in tribal areas as they are in other service areas.  Therefore, we revised paragraph (b) to clarify that tribal programs </w:t>
      </w:r>
      <w:r w:rsidR="00EC3BAB" w:rsidRPr="00C1694A">
        <w:rPr>
          <w:rFonts w:ascii="Times New Roman" w:eastAsia="Times New Roman" w:hAnsi="Times New Roman" w:cs="Times New Roman"/>
          <w:sz w:val="24"/>
          <w:szCs w:val="24"/>
        </w:rPr>
        <w:t xml:space="preserve">only need to </w:t>
      </w:r>
      <w:r w:rsidRPr="00C1694A">
        <w:rPr>
          <w:rFonts w:ascii="Times New Roman" w:eastAsia="Times New Roman" w:hAnsi="Times New Roman" w:cs="Times New Roman"/>
          <w:sz w:val="24"/>
          <w:szCs w:val="24"/>
        </w:rPr>
        <w:t>consider whether participation in state or local QRIS would benefit their programs and families.</w:t>
      </w:r>
    </w:p>
    <w:p w:rsidR="00797394" w:rsidRPr="00C1694A" w:rsidRDefault="00797394"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00802FF3" w:rsidRPr="00C1694A">
        <w:rPr>
          <w:rFonts w:ascii="Times New Roman" w:hAnsi="Times New Roman" w:cs="Times New Roman"/>
          <w:sz w:val="24"/>
          <w:szCs w:val="24"/>
        </w:rPr>
        <w:t xml:space="preserve">commenters requested we combine the two standards on </w:t>
      </w:r>
      <w:r w:rsidR="0070547F" w:rsidRPr="00C1694A">
        <w:rPr>
          <w:rFonts w:ascii="Times New Roman" w:hAnsi="Times New Roman" w:cs="Times New Roman"/>
          <w:sz w:val="24"/>
          <w:szCs w:val="24"/>
        </w:rPr>
        <w:t>Statewide Longitudinal Data System (</w:t>
      </w:r>
      <w:r w:rsidR="00802FF3" w:rsidRPr="00C1694A">
        <w:rPr>
          <w:rFonts w:ascii="Times New Roman" w:hAnsi="Times New Roman" w:cs="Times New Roman"/>
          <w:sz w:val="24"/>
          <w:szCs w:val="24"/>
        </w:rPr>
        <w:t>SLDS</w:t>
      </w:r>
      <w:r w:rsidR="0070547F" w:rsidRPr="00C1694A">
        <w:rPr>
          <w:rFonts w:ascii="Times New Roman" w:hAnsi="Times New Roman" w:cs="Times New Roman"/>
          <w:sz w:val="24"/>
          <w:szCs w:val="24"/>
        </w:rPr>
        <w:t>)</w:t>
      </w:r>
      <w:r w:rsidR="00802FF3" w:rsidRPr="00C1694A">
        <w:rPr>
          <w:rFonts w:ascii="Times New Roman" w:hAnsi="Times New Roman" w:cs="Times New Roman"/>
          <w:sz w:val="24"/>
          <w:szCs w:val="24"/>
        </w:rPr>
        <w:t>: one in this section and another in §1302.101 on partnering with the SLDS, and requested clarification of the requirements.</w:t>
      </w:r>
    </w:p>
    <w:p w:rsidR="00797394" w:rsidRPr="00C1694A" w:rsidRDefault="00797394"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00802FF3" w:rsidRPr="00C1694A">
        <w:rPr>
          <w:rFonts w:ascii="Times New Roman" w:hAnsi="Times New Roman" w:cs="Times New Roman"/>
          <w:sz w:val="24"/>
          <w:szCs w:val="24"/>
        </w:rPr>
        <w:t xml:space="preserve"> </w:t>
      </w:r>
      <w:r w:rsidR="006C6CA9" w:rsidRPr="00C1694A">
        <w:rPr>
          <w:rFonts w:ascii="Times New Roman" w:hAnsi="Times New Roman" w:cs="Times New Roman"/>
          <w:sz w:val="24"/>
          <w:szCs w:val="24"/>
        </w:rPr>
        <w:t>We agree with this comment and think that the two mostly duplicative requirements may lead to confusion. Thus, we removed the requirement from §1302.101 and combined it into §1302.53.</w:t>
      </w:r>
      <w:r w:rsidR="00DF1C6D" w:rsidRPr="00C1694A">
        <w:rPr>
          <w:rFonts w:ascii="Times New Roman" w:hAnsi="Times New Roman" w:cs="Times New Roman"/>
          <w:sz w:val="24"/>
          <w:szCs w:val="24"/>
        </w:rPr>
        <w:t xml:space="preserve"> </w:t>
      </w:r>
      <w:r w:rsidR="006C6CA9" w:rsidRPr="00C1694A">
        <w:rPr>
          <w:rFonts w:ascii="Times New Roman" w:hAnsi="Times New Roman" w:cs="Times New Roman"/>
          <w:sz w:val="24"/>
          <w:szCs w:val="24"/>
        </w:rPr>
        <w:t xml:space="preserve"> In the process, we dropped the terms “early childhood data systems</w:t>
      </w:r>
      <w:r w:rsidR="002F658A" w:rsidRPr="00C1694A">
        <w:rPr>
          <w:rFonts w:ascii="Times New Roman" w:hAnsi="Times New Roman" w:cs="Times New Roman"/>
          <w:sz w:val="24"/>
          <w:szCs w:val="24"/>
        </w:rPr>
        <w:t>,</w:t>
      </w:r>
      <w:r w:rsidR="006C6CA9" w:rsidRPr="00C1694A">
        <w:rPr>
          <w:rFonts w:ascii="Times New Roman" w:hAnsi="Times New Roman" w:cs="Times New Roman"/>
          <w:sz w:val="24"/>
          <w:szCs w:val="24"/>
        </w:rPr>
        <w:t>” “statewide data system</w:t>
      </w:r>
      <w:r w:rsidR="002F658A" w:rsidRPr="00C1694A">
        <w:rPr>
          <w:rFonts w:ascii="Times New Roman" w:hAnsi="Times New Roman" w:cs="Times New Roman"/>
          <w:sz w:val="24"/>
          <w:szCs w:val="24"/>
        </w:rPr>
        <w:t>,</w:t>
      </w:r>
      <w:r w:rsidR="006C6CA9" w:rsidRPr="00C1694A">
        <w:rPr>
          <w:rFonts w:ascii="Times New Roman" w:hAnsi="Times New Roman" w:cs="Times New Roman"/>
          <w:sz w:val="24"/>
          <w:szCs w:val="24"/>
        </w:rPr>
        <w:t>” and “Statewide Longitudinal Data System” and replaced them with “state education data systems” to make it non-program specific and less confusing.</w:t>
      </w:r>
    </w:p>
    <w:p w:rsidR="00797394" w:rsidRPr="00C1694A" w:rsidRDefault="00797394" w:rsidP="009A526A">
      <w:pPr>
        <w:spacing w:after="0" w:line="480" w:lineRule="auto"/>
        <w:ind w:firstLine="720"/>
        <w:rPr>
          <w:rFonts w:ascii="Times New Roman" w:hAnsi="Times New Roman" w:cs="Times New Roman"/>
          <w:sz w:val="24"/>
          <w:szCs w:val="24"/>
        </w:rPr>
      </w:pPr>
    </w:p>
    <w:p w:rsidR="003E3350" w:rsidRPr="00C1694A" w:rsidRDefault="003E3350"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Additional Services for Children with Disabilities</w:t>
      </w:r>
      <w:r w:rsidR="00DB4F24" w:rsidRPr="00C1694A">
        <w:rPr>
          <w:rFonts w:ascii="Times New Roman" w:hAnsi="Times New Roman" w:cs="Times New Roman"/>
          <w:b/>
          <w:sz w:val="24"/>
          <w:szCs w:val="24"/>
        </w:rPr>
        <w:t>; Subpart F</w:t>
      </w:r>
    </w:p>
    <w:p w:rsidR="00A93420" w:rsidRPr="00C1694A" w:rsidRDefault="00A93420" w:rsidP="009A526A">
      <w:pPr>
        <w:spacing w:after="0" w:line="240" w:lineRule="auto"/>
        <w:rPr>
          <w:rFonts w:ascii="Times New Roman" w:hAnsi="Times New Roman" w:cs="Times New Roman"/>
          <w:b/>
          <w:sz w:val="24"/>
          <w:szCs w:val="24"/>
        </w:rPr>
      </w:pP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w:t>
      </w:r>
      <w:r w:rsidR="00293C74">
        <w:rPr>
          <w:rFonts w:ascii="Times New Roman" w:hAnsi="Times New Roman" w:cs="Times New Roman"/>
          <w:sz w:val="24"/>
          <w:szCs w:val="24"/>
        </w:rPr>
        <w:t>subpart</w:t>
      </w:r>
      <w:r w:rsidR="00293C74" w:rsidRPr="00C1694A">
        <w:rPr>
          <w:rFonts w:ascii="Times New Roman" w:hAnsi="Times New Roman" w:cs="Times New Roman"/>
          <w:sz w:val="24"/>
          <w:szCs w:val="24"/>
        </w:rPr>
        <w:t xml:space="preserve"> </w:t>
      </w:r>
      <w:r w:rsidRPr="00C1694A">
        <w:rPr>
          <w:rFonts w:ascii="Times New Roman" w:hAnsi="Times New Roman" w:cs="Times New Roman"/>
          <w:sz w:val="24"/>
          <w:szCs w:val="24"/>
        </w:rPr>
        <w:t>include</w:t>
      </w:r>
      <w:r w:rsidR="007717C3" w:rsidRPr="00C1694A">
        <w:rPr>
          <w:rFonts w:ascii="Times New Roman" w:hAnsi="Times New Roman" w:cs="Times New Roman"/>
          <w:sz w:val="24"/>
          <w:szCs w:val="24"/>
        </w:rPr>
        <w:t>s</w:t>
      </w:r>
      <w:r w:rsidRPr="00C1694A">
        <w:rPr>
          <w:rFonts w:ascii="Times New Roman" w:hAnsi="Times New Roman" w:cs="Times New Roman"/>
          <w:sz w:val="24"/>
          <w:szCs w:val="24"/>
        </w:rPr>
        <w:t xml:space="preserve"> the standards for additional services for children with disabilities and their families. These provisions </w:t>
      </w:r>
      <w:r w:rsidR="007717C3" w:rsidRPr="00C1694A">
        <w:rPr>
          <w:rFonts w:ascii="Times New Roman" w:hAnsi="Times New Roman" w:cs="Times New Roman"/>
          <w:sz w:val="24"/>
          <w:szCs w:val="24"/>
        </w:rPr>
        <w:t>align with the Act and</w:t>
      </w:r>
      <w:r w:rsidRPr="00C1694A">
        <w:rPr>
          <w:rFonts w:ascii="Times New Roman" w:hAnsi="Times New Roman" w:cs="Times New Roman"/>
          <w:sz w:val="24"/>
          <w:szCs w:val="24"/>
        </w:rPr>
        <w:t xml:space="preserve"> reflect requirements that children must be identified and receive services as prescribed in IDEA, focus on effective service delivery instead of outdated or unused</w:t>
      </w:r>
      <w:r w:rsidR="007717C3" w:rsidRPr="00C1694A">
        <w:rPr>
          <w:rFonts w:ascii="Times New Roman" w:hAnsi="Times New Roman" w:cs="Times New Roman"/>
          <w:sz w:val="24"/>
          <w:szCs w:val="24"/>
        </w:rPr>
        <w:t xml:space="preserve"> documentation, and incorporate</w:t>
      </w:r>
      <w:r w:rsidRPr="00C1694A">
        <w:rPr>
          <w:rFonts w:ascii="Times New Roman" w:hAnsi="Times New Roman" w:cs="Times New Roman"/>
          <w:sz w:val="24"/>
          <w:szCs w:val="24"/>
        </w:rPr>
        <w:t xml:space="preserve"> best practice</w:t>
      </w:r>
      <w:r w:rsidR="0070547F" w:rsidRPr="00C1694A">
        <w:rPr>
          <w:rFonts w:ascii="Times New Roman" w:hAnsi="Times New Roman" w:cs="Times New Roman"/>
          <w:sz w:val="24"/>
          <w:szCs w:val="24"/>
        </w:rPr>
        <w:t>s</w:t>
      </w:r>
      <w:r w:rsidRPr="00C1694A">
        <w:rPr>
          <w:rFonts w:ascii="Times New Roman" w:hAnsi="Times New Roman" w:cs="Times New Roman"/>
          <w:sz w:val="24"/>
          <w:szCs w:val="24"/>
        </w:rPr>
        <w:t>.  In order to communicate its critical importance, we also incorporated requirements for the full inclusion and participation of children with disabilities in all program activities, including but not limited to children el</w:t>
      </w:r>
      <w:r w:rsidR="007717C3" w:rsidRPr="00C1694A">
        <w:rPr>
          <w:rFonts w:ascii="Times New Roman" w:hAnsi="Times New Roman" w:cs="Times New Roman"/>
          <w:sz w:val="24"/>
          <w:szCs w:val="24"/>
        </w:rPr>
        <w:t>igible for services under IDEA.</w:t>
      </w:r>
      <w:r w:rsidRPr="00C1694A">
        <w:rPr>
          <w:rFonts w:ascii="Times New Roman" w:hAnsi="Times New Roman" w:cs="Times New Roman"/>
          <w:sz w:val="24"/>
          <w:szCs w:val="24"/>
        </w:rPr>
        <w:t xml:space="preserve">  Commenters generally supported our overall approach to serve children with disabilities and their families.  We discuss </w:t>
      </w:r>
      <w:r w:rsidR="001E053B" w:rsidRPr="00C1694A">
        <w:rPr>
          <w:rFonts w:ascii="Times New Roman" w:hAnsi="Times New Roman" w:cs="Times New Roman"/>
          <w:sz w:val="24"/>
          <w:szCs w:val="24"/>
        </w:rPr>
        <w:t xml:space="preserve">these and </w:t>
      </w:r>
      <w:r w:rsidRPr="00C1694A">
        <w:rPr>
          <w:rFonts w:ascii="Times New Roman" w:hAnsi="Times New Roman" w:cs="Times New Roman"/>
          <w:sz w:val="24"/>
          <w:szCs w:val="24"/>
        </w:rPr>
        <w:t>additional comments below.</w:t>
      </w:r>
    </w:p>
    <w:p w:rsidR="00B05EB0" w:rsidRPr="00C1694A" w:rsidRDefault="00B05EB0"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General Comments</w:t>
      </w:r>
      <w:r w:rsidR="0078221A" w:rsidRPr="00C1694A">
        <w:rPr>
          <w:rFonts w:ascii="Times New Roman" w:hAnsi="Times New Roman" w:cs="Times New Roman"/>
          <w:i/>
          <w:sz w:val="24"/>
          <w:szCs w:val="24"/>
        </w:rPr>
        <w:t>.</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t>
      </w:r>
      <w:r w:rsidR="00F57B9E" w:rsidRPr="00C1694A">
        <w:rPr>
          <w:rFonts w:ascii="Times New Roman" w:hAnsi="Times New Roman" w:cs="Times New Roman"/>
          <w:sz w:val="24"/>
          <w:szCs w:val="24"/>
        </w:rPr>
        <w:t xml:space="preserve">were concerned </w:t>
      </w:r>
      <w:r w:rsidR="00405B4B" w:rsidRPr="00C1694A">
        <w:rPr>
          <w:rFonts w:ascii="Times New Roman" w:hAnsi="Times New Roman" w:cs="Times New Roman"/>
          <w:sz w:val="24"/>
          <w:szCs w:val="24"/>
        </w:rPr>
        <w:t>our elimination of what was p</w:t>
      </w:r>
      <w:r w:rsidRPr="00C1694A">
        <w:rPr>
          <w:rFonts w:ascii="Times New Roman" w:hAnsi="Times New Roman" w:cs="Times New Roman"/>
          <w:sz w:val="24"/>
          <w:szCs w:val="24"/>
        </w:rPr>
        <w:t>art 1308 in the prior rule mean</w:t>
      </w:r>
      <w:r w:rsidR="00F57B9E" w:rsidRPr="00C1694A">
        <w:rPr>
          <w:rFonts w:ascii="Times New Roman" w:hAnsi="Times New Roman" w:cs="Times New Roman"/>
          <w:sz w:val="24"/>
          <w:szCs w:val="24"/>
        </w:rPr>
        <w:t>t</w:t>
      </w:r>
      <w:r w:rsidRPr="00C1694A">
        <w:rPr>
          <w:rFonts w:ascii="Times New Roman" w:hAnsi="Times New Roman" w:cs="Times New Roman"/>
          <w:sz w:val="24"/>
          <w:szCs w:val="24"/>
        </w:rPr>
        <w:t xml:space="preserve"> we eliminat</w:t>
      </w:r>
      <w:r w:rsidR="00F57B9E" w:rsidRPr="00C1694A">
        <w:rPr>
          <w:rFonts w:ascii="Times New Roman" w:hAnsi="Times New Roman" w:cs="Times New Roman"/>
          <w:sz w:val="24"/>
          <w:szCs w:val="24"/>
        </w:rPr>
        <w:t>ed</w:t>
      </w:r>
      <w:r w:rsidRPr="00C1694A">
        <w:rPr>
          <w:rFonts w:ascii="Times New Roman" w:hAnsi="Times New Roman" w:cs="Times New Roman"/>
          <w:sz w:val="24"/>
          <w:szCs w:val="24"/>
        </w:rPr>
        <w:t xml:space="preserve"> requirements for services to children with disabilities.</w:t>
      </w:r>
    </w:p>
    <w:p w:rsidR="00B05EB0" w:rsidRPr="00C1694A" w:rsidRDefault="00B05EB0" w:rsidP="00D118C5">
      <w:pPr>
        <w:spacing w:after="0" w:line="480" w:lineRule="auto"/>
        <w:rPr>
          <w:rFonts w:ascii="Times New Roman" w:hAnsi="Times New Roman" w:cs="Times New Roman"/>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F57B9E" w:rsidRPr="00C1694A">
        <w:rPr>
          <w:rFonts w:ascii="Times New Roman" w:hAnsi="Times New Roman" w:cs="Times New Roman"/>
          <w:sz w:val="24"/>
          <w:szCs w:val="24"/>
        </w:rPr>
        <w:t>While there is no longer a part 1308, t</w:t>
      </w:r>
      <w:r w:rsidRPr="00C1694A">
        <w:rPr>
          <w:rFonts w:ascii="Times New Roman" w:hAnsi="Times New Roman" w:cs="Times New Roman"/>
          <w:sz w:val="24"/>
          <w:szCs w:val="24"/>
        </w:rPr>
        <w:t>he final rule preserves the critical role of Early Head Start and Head Start programs in screening and referring children with suspect</w:t>
      </w:r>
      <w:r w:rsidR="001E053B" w:rsidRPr="00C1694A">
        <w:rPr>
          <w:rFonts w:ascii="Times New Roman" w:hAnsi="Times New Roman" w:cs="Times New Roman"/>
          <w:sz w:val="24"/>
          <w:szCs w:val="24"/>
        </w:rPr>
        <w:t>ed</w:t>
      </w:r>
      <w:r w:rsidRPr="00C1694A">
        <w:rPr>
          <w:rFonts w:ascii="Times New Roman" w:hAnsi="Times New Roman" w:cs="Times New Roman"/>
          <w:sz w:val="24"/>
          <w:szCs w:val="24"/>
        </w:rPr>
        <w:t xml:space="preserve"> disabilities and as a program where children with disabilities are prioritized </w:t>
      </w:r>
      <w:r w:rsidR="007717C3" w:rsidRPr="00C1694A">
        <w:rPr>
          <w:rFonts w:ascii="Times New Roman" w:hAnsi="Times New Roman" w:cs="Times New Roman"/>
          <w:sz w:val="24"/>
          <w:szCs w:val="24"/>
        </w:rPr>
        <w:t>for services and fully integrated into every aspect of service delivery</w:t>
      </w:r>
      <w:r w:rsidRPr="00C1694A">
        <w:rPr>
          <w:rFonts w:ascii="Times New Roman" w:hAnsi="Times New Roman" w:cs="Times New Roman"/>
          <w:sz w:val="24"/>
          <w:szCs w:val="24"/>
        </w:rPr>
        <w:t>.  We believe the final rule builds upon Head Start’s long-standing commitment to serving children with disabilities and strengthens these services</w:t>
      </w:r>
      <w:r w:rsidR="00F57B9E" w:rsidRPr="00C1694A">
        <w:rPr>
          <w:rFonts w:ascii="Times New Roman" w:hAnsi="Times New Roman" w:cs="Times New Roman"/>
          <w:sz w:val="24"/>
          <w:szCs w:val="24"/>
        </w:rPr>
        <w:t xml:space="preserve"> through part 1302</w:t>
      </w:r>
      <w:r w:rsidRPr="00C1694A">
        <w:rPr>
          <w:rFonts w:ascii="Times New Roman" w:hAnsi="Times New Roman" w:cs="Times New Roman"/>
          <w:sz w:val="24"/>
          <w:szCs w:val="24"/>
        </w:rPr>
        <w:t xml:space="preserve">.  </w:t>
      </w:r>
      <w:r w:rsidR="00D118C5" w:rsidRPr="00C1694A">
        <w:rPr>
          <w:rFonts w:ascii="Times New Roman" w:hAnsi="Times New Roman" w:cs="Times New Roman"/>
          <w:sz w:val="24"/>
          <w:szCs w:val="24"/>
        </w:rPr>
        <w:t xml:space="preserve">  The final rule reflects the appropriate role of local agencies responsible for implementing IDEA, as required by IDEA, for evaluation, eligibility for services, establishment of an IFSP or IEP, and implementation of early intervention services or special education and related services, as appropriate.</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suggested we include </w:t>
      </w:r>
      <w:r w:rsidR="007717C3" w:rsidRPr="00C1694A">
        <w:rPr>
          <w:rFonts w:ascii="Times New Roman" w:hAnsi="Times New Roman" w:cs="Times New Roman"/>
          <w:sz w:val="24"/>
          <w:szCs w:val="24"/>
        </w:rPr>
        <w:t xml:space="preserve">additional services or specific approaches to service delivery in this subpart.  For example, </w:t>
      </w:r>
      <w:r w:rsidR="00151BB1" w:rsidRPr="00C1694A">
        <w:rPr>
          <w:rFonts w:ascii="Times New Roman" w:hAnsi="Times New Roman" w:cs="Times New Roman"/>
          <w:sz w:val="24"/>
          <w:szCs w:val="24"/>
        </w:rPr>
        <w:t xml:space="preserve">some </w:t>
      </w:r>
      <w:r w:rsidR="007717C3" w:rsidRPr="00C1694A">
        <w:rPr>
          <w:rFonts w:ascii="Times New Roman" w:hAnsi="Times New Roman" w:cs="Times New Roman"/>
          <w:sz w:val="24"/>
          <w:szCs w:val="24"/>
        </w:rPr>
        <w:t xml:space="preserve">commenters suggested </w:t>
      </w:r>
      <w:r w:rsidRPr="00C1694A">
        <w:rPr>
          <w:rFonts w:ascii="Times New Roman" w:hAnsi="Times New Roman" w:cs="Times New Roman"/>
          <w:sz w:val="24"/>
          <w:szCs w:val="24"/>
        </w:rPr>
        <w:t xml:space="preserve">audiology </w:t>
      </w:r>
      <w:r w:rsidR="007717C3" w:rsidRPr="00C1694A">
        <w:rPr>
          <w:rFonts w:ascii="Times New Roman" w:hAnsi="Times New Roman" w:cs="Times New Roman"/>
          <w:sz w:val="24"/>
          <w:szCs w:val="24"/>
        </w:rPr>
        <w:t xml:space="preserve">services </w:t>
      </w:r>
      <w:r w:rsidR="00F46889" w:rsidRPr="00C1694A">
        <w:rPr>
          <w:rFonts w:ascii="Times New Roman" w:hAnsi="Times New Roman" w:cs="Times New Roman"/>
          <w:sz w:val="24"/>
          <w:szCs w:val="24"/>
        </w:rPr>
        <w:t xml:space="preserve">or Applied Behavioral Analysis </w:t>
      </w:r>
      <w:r w:rsidR="007717C3" w:rsidRPr="00C1694A">
        <w:rPr>
          <w:rFonts w:ascii="Times New Roman" w:hAnsi="Times New Roman" w:cs="Times New Roman"/>
          <w:sz w:val="24"/>
          <w:szCs w:val="24"/>
        </w:rPr>
        <w:t>be added under this subpart</w:t>
      </w:r>
      <w:r w:rsidRPr="00C1694A">
        <w:rPr>
          <w:rFonts w:ascii="Times New Roman" w:hAnsi="Times New Roman" w:cs="Times New Roman"/>
          <w:sz w:val="24"/>
          <w:szCs w:val="24"/>
        </w:rPr>
        <w:t>.</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7717C3" w:rsidRPr="00C1694A">
        <w:rPr>
          <w:rFonts w:ascii="Times New Roman" w:hAnsi="Times New Roman" w:cs="Times New Roman"/>
          <w:sz w:val="24"/>
          <w:szCs w:val="24"/>
        </w:rPr>
        <w:t xml:space="preserve">It is not our role to identify the specific type of special education and related services used with children with disabilities.  </w:t>
      </w:r>
      <w:r w:rsidRPr="00C1694A">
        <w:rPr>
          <w:rFonts w:ascii="Times New Roman" w:hAnsi="Times New Roman" w:cs="Times New Roman"/>
          <w:sz w:val="24"/>
          <w:szCs w:val="24"/>
        </w:rPr>
        <w:t>We think audiology screening for all children is essential and require it under subpart D</w:t>
      </w:r>
      <w:r w:rsidR="001E053B" w:rsidRPr="00C1694A">
        <w:rPr>
          <w:rFonts w:ascii="Times New Roman" w:hAnsi="Times New Roman" w:cs="Times New Roman"/>
          <w:sz w:val="24"/>
          <w:szCs w:val="24"/>
        </w:rPr>
        <w:t>, which</w:t>
      </w:r>
      <w:r w:rsidRPr="00C1694A">
        <w:rPr>
          <w:rFonts w:ascii="Times New Roman" w:hAnsi="Times New Roman" w:cs="Times New Roman"/>
          <w:sz w:val="24"/>
          <w:szCs w:val="24"/>
        </w:rPr>
        <w:t xml:space="preserve"> addresses health services.</w:t>
      </w:r>
      <w:r w:rsidR="00F46889" w:rsidRPr="00C1694A">
        <w:rPr>
          <w:rFonts w:ascii="Times New Roman" w:hAnsi="Times New Roman" w:cs="Times New Roman"/>
          <w:sz w:val="24"/>
          <w:szCs w:val="24"/>
        </w:rPr>
        <w:t xml:space="preserve"> We did not make revisions.</w:t>
      </w:r>
    </w:p>
    <w:p w:rsidR="00946A14" w:rsidRPr="00C1694A" w:rsidRDefault="00946A14"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suggested adding a requirement to ensure DLLs struggling with English acquisition are not misidentified as having a developmental delay or disability.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suggested that staff should receive training to work with DLLs who also have disabilities.</w:t>
      </w:r>
    </w:p>
    <w:p w:rsidR="00946A14" w:rsidRPr="00C1694A" w:rsidRDefault="00946A14"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these topics are more appropriate for technical assistance or guidance.</w:t>
      </w:r>
    </w:p>
    <w:p w:rsidR="00B05EB0" w:rsidRPr="00C1694A" w:rsidRDefault="00B05EB0" w:rsidP="009A526A">
      <w:pPr>
        <w:spacing w:after="0" w:line="480" w:lineRule="auto"/>
        <w:rPr>
          <w:rFonts w:ascii="Times New Roman" w:hAnsi="Times New Roman" w:cs="Times New Roman"/>
          <w:i/>
          <w:sz w:val="24"/>
          <w:szCs w:val="24"/>
        </w:rPr>
      </w:pPr>
      <w:r w:rsidRPr="00C1694A">
        <w:rPr>
          <w:rFonts w:ascii="Times New Roman" w:hAnsi="Times New Roman" w:cs="Times New Roman"/>
          <w:b/>
          <w:i/>
          <w:sz w:val="24"/>
          <w:szCs w:val="24"/>
        </w:rPr>
        <w:t>§</w:t>
      </w:r>
      <w:r w:rsidR="00301051" w:rsidRPr="00C1694A">
        <w:rPr>
          <w:rFonts w:ascii="Times New Roman" w:hAnsi="Times New Roman" w:cs="Times New Roman"/>
          <w:i/>
          <w:sz w:val="24"/>
          <w:szCs w:val="24"/>
        </w:rPr>
        <w:t xml:space="preserve">1302.60 </w:t>
      </w:r>
      <w:r w:rsidR="00B56C65">
        <w:rPr>
          <w:rFonts w:ascii="Times New Roman" w:hAnsi="Times New Roman" w:cs="Times New Roman"/>
          <w:i/>
          <w:sz w:val="24"/>
          <w:szCs w:val="24"/>
        </w:rPr>
        <w:t>Full participation in program services and activities</w:t>
      </w:r>
      <w:r w:rsidRPr="00C1694A">
        <w:rPr>
          <w:rFonts w:ascii="Times New Roman" w:hAnsi="Times New Roman" w:cs="Times New Roman"/>
          <w:i/>
          <w:sz w:val="24"/>
          <w:szCs w:val="24"/>
        </w:rPr>
        <w:t>.</w:t>
      </w:r>
    </w:p>
    <w:p w:rsidR="00B05EB0" w:rsidRPr="00C1694A" w:rsidRDefault="00B05EB0"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include</w:t>
      </w:r>
      <w:r w:rsidR="001E053B" w:rsidRPr="00C1694A">
        <w:rPr>
          <w:rFonts w:ascii="Times New Roman" w:hAnsi="Times New Roman" w:cs="Times New Roman"/>
          <w:sz w:val="24"/>
          <w:szCs w:val="24"/>
        </w:rPr>
        <w:t>s</w:t>
      </w:r>
      <w:r w:rsidRPr="00C1694A">
        <w:rPr>
          <w:rFonts w:ascii="Times New Roman" w:hAnsi="Times New Roman" w:cs="Times New Roman"/>
          <w:sz w:val="24"/>
          <w:szCs w:val="24"/>
        </w:rPr>
        <w:t xml:space="preserve"> an outline of the requirements contained in </w:t>
      </w:r>
      <w:r w:rsidR="00F46889" w:rsidRPr="00C1694A">
        <w:rPr>
          <w:rFonts w:ascii="Times New Roman" w:hAnsi="Times New Roman" w:cs="Times New Roman"/>
          <w:sz w:val="24"/>
          <w:szCs w:val="24"/>
        </w:rPr>
        <w:t>this subpart</w:t>
      </w:r>
      <w:r w:rsidRPr="00C1694A">
        <w:rPr>
          <w:rFonts w:ascii="Times New Roman" w:hAnsi="Times New Roman" w:cs="Times New Roman"/>
          <w:sz w:val="24"/>
          <w:szCs w:val="24"/>
        </w:rPr>
        <w:t xml:space="preserve"> and an assurance that all children with disabilities, including but not limited to those who are eligible for services under IDEA</w:t>
      </w:r>
      <w:r w:rsidR="001E053B" w:rsidRPr="00C1694A">
        <w:rPr>
          <w:rFonts w:ascii="Times New Roman" w:hAnsi="Times New Roman" w:cs="Times New Roman"/>
          <w:sz w:val="24"/>
          <w:szCs w:val="24"/>
        </w:rPr>
        <w:t>,</w:t>
      </w:r>
      <w:r w:rsidRPr="00C1694A">
        <w:rPr>
          <w:rFonts w:ascii="Times New Roman" w:hAnsi="Times New Roman" w:cs="Times New Roman"/>
          <w:sz w:val="24"/>
          <w:szCs w:val="24"/>
        </w:rPr>
        <w:t xml:space="preserve"> receive all applicable program services and are able to fully participate in all program activities.</w:t>
      </w:r>
    </w:p>
    <w:p w:rsidR="00B05EB0" w:rsidRPr="00C1694A" w:rsidRDefault="00B05EB0"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recommended we revise this section to include specific reference to inclusive program practices.</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it is essential to specify that services should be provided in the least restrictive possible setting and made revisions to reflect this clarification.</w:t>
      </w:r>
    </w:p>
    <w:p w:rsidR="00B05EB0" w:rsidRPr="00C1694A" w:rsidRDefault="00B05EB0" w:rsidP="00D118C5">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w:t>
      </w:r>
      <w:r w:rsidR="00301051" w:rsidRPr="00C1694A">
        <w:rPr>
          <w:rFonts w:ascii="Times New Roman" w:hAnsi="Times New Roman" w:cs="Times New Roman"/>
          <w:i/>
          <w:sz w:val="24"/>
          <w:szCs w:val="24"/>
        </w:rPr>
        <w:t xml:space="preserve">1302.61 </w:t>
      </w:r>
      <w:r w:rsidRPr="00C1694A">
        <w:rPr>
          <w:rFonts w:ascii="Times New Roman" w:hAnsi="Times New Roman" w:cs="Times New Roman"/>
          <w:i/>
          <w:sz w:val="24"/>
          <w:szCs w:val="24"/>
        </w:rPr>
        <w:t>Additional services for children.</w:t>
      </w:r>
    </w:p>
    <w:p w:rsidR="00B05EB0" w:rsidRPr="00C1694A" w:rsidRDefault="00D118C5" w:rsidP="00D118C5">
      <w:pPr>
        <w:spacing w:after="0" w:line="480" w:lineRule="auto"/>
        <w:rPr>
          <w:rFonts w:ascii="Times New Roman" w:hAnsi="Times New Roman" w:cs="Times New Roman"/>
        </w:rPr>
      </w:pPr>
      <w:r w:rsidRPr="00C1694A">
        <w:rPr>
          <w:rFonts w:ascii="Times New Roman" w:hAnsi="Times New Roman" w:cs="Times New Roman"/>
          <w:sz w:val="24"/>
          <w:szCs w:val="24"/>
        </w:rPr>
        <w:tab/>
      </w:r>
      <w:r w:rsidR="00F46889" w:rsidRPr="00C1694A">
        <w:rPr>
          <w:rFonts w:ascii="Times New Roman" w:hAnsi="Times New Roman" w:cs="Times New Roman"/>
          <w:sz w:val="24"/>
          <w:szCs w:val="24"/>
        </w:rPr>
        <w:t>This section describes</w:t>
      </w:r>
      <w:r w:rsidR="00B05EB0" w:rsidRPr="00C1694A">
        <w:rPr>
          <w:rFonts w:ascii="Times New Roman" w:hAnsi="Times New Roman" w:cs="Times New Roman"/>
          <w:sz w:val="24"/>
          <w:szCs w:val="24"/>
        </w:rPr>
        <w:t xml:space="preserve"> the additional services programs must provide to children with disabilities and children referred for but awaiting the determination of IDEA eligibility by the local agency respons</w:t>
      </w:r>
      <w:r w:rsidR="00F46889" w:rsidRPr="00C1694A">
        <w:rPr>
          <w:rFonts w:ascii="Times New Roman" w:hAnsi="Times New Roman" w:cs="Times New Roman"/>
          <w:sz w:val="24"/>
          <w:szCs w:val="24"/>
        </w:rPr>
        <w:t xml:space="preserve">ible for </w:t>
      </w:r>
      <w:r w:rsidR="009261FB" w:rsidRPr="00C1694A">
        <w:rPr>
          <w:rFonts w:ascii="Times New Roman" w:hAnsi="Times New Roman" w:cs="Times New Roman"/>
          <w:sz w:val="24"/>
          <w:szCs w:val="24"/>
        </w:rPr>
        <w:t xml:space="preserve">implementing </w:t>
      </w:r>
      <w:r w:rsidR="00F46889" w:rsidRPr="00C1694A">
        <w:rPr>
          <w:rFonts w:ascii="Times New Roman" w:hAnsi="Times New Roman" w:cs="Times New Roman"/>
          <w:sz w:val="24"/>
          <w:szCs w:val="24"/>
        </w:rPr>
        <w:t xml:space="preserve">IDEA.   </w:t>
      </w:r>
      <w:r w:rsidRPr="00C1694A">
        <w:rPr>
          <w:rFonts w:ascii="Times New Roman" w:hAnsi="Times New Roman" w:cs="Times New Roman"/>
          <w:sz w:val="24"/>
          <w:szCs w:val="24"/>
        </w:rPr>
        <w:t xml:space="preserve">It requires programs meet the individualized needs of children with disabilities and provide any necessary modifications and supports necessary to support the full participation of children with disabilities.  </w:t>
      </w:r>
      <w:r w:rsidR="00B05EB0" w:rsidRPr="00C1694A">
        <w:rPr>
          <w:rFonts w:ascii="Times New Roman" w:hAnsi="Times New Roman" w:cs="Times New Roman"/>
          <w:sz w:val="24"/>
          <w:szCs w:val="24"/>
        </w:rPr>
        <w:t xml:space="preserve">It </w:t>
      </w:r>
      <w:r w:rsidR="00F46889" w:rsidRPr="00C1694A">
        <w:rPr>
          <w:rFonts w:ascii="Times New Roman" w:hAnsi="Times New Roman" w:cs="Times New Roman"/>
          <w:sz w:val="24"/>
          <w:szCs w:val="24"/>
        </w:rPr>
        <w:t>includes a new requirement for</w:t>
      </w:r>
      <w:r w:rsidR="00B05EB0" w:rsidRPr="00C1694A">
        <w:rPr>
          <w:rFonts w:ascii="Times New Roman" w:hAnsi="Times New Roman" w:cs="Times New Roman"/>
          <w:sz w:val="24"/>
          <w:szCs w:val="24"/>
        </w:rPr>
        <w:t xml:space="preserve"> programs </w:t>
      </w:r>
      <w:r w:rsidR="00F46889" w:rsidRPr="00C1694A">
        <w:rPr>
          <w:rFonts w:ascii="Times New Roman" w:hAnsi="Times New Roman" w:cs="Times New Roman"/>
          <w:sz w:val="24"/>
          <w:szCs w:val="24"/>
        </w:rPr>
        <w:t xml:space="preserve">to </w:t>
      </w:r>
      <w:r w:rsidR="00B05EB0" w:rsidRPr="00C1694A">
        <w:rPr>
          <w:rFonts w:ascii="Times New Roman" w:hAnsi="Times New Roman" w:cs="Times New Roman"/>
          <w:sz w:val="24"/>
          <w:szCs w:val="24"/>
        </w:rPr>
        <w:t>provide individualized services and supports to the maximum extent possible to children awaiting determination of IDEA eligibility.  Further, it include</w:t>
      </w:r>
      <w:r w:rsidR="00F46889" w:rsidRPr="00C1694A">
        <w:rPr>
          <w:rFonts w:ascii="Times New Roman" w:hAnsi="Times New Roman" w:cs="Times New Roman"/>
          <w:sz w:val="24"/>
          <w:szCs w:val="24"/>
        </w:rPr>
        <w:t>s</w:t>
      </w:r>
      <w:r w:rsidR="00B05EB0" w:rsidRPr="00C1694A">
        <w:rPr>
          <w:rFonts w:ascii="Times New Roman" w:hAnsi="Times New Roman" w:cs="Times New Roman"/>
          <w:sz w:val="24"/>
          <w:szCs w:val="24"/>
        </w:rPr>
        <w:t xml:space="preserve"> additional services for children with an IFSP or IEP.  Commenters were generally supportive of th</w:t>
      </w:r>
      <w:r w:rsidR="00F46889" w:rsidRPr="00C1694A">
        <w:rPr>
          <w:rFonts w:ascii="Times New Roman" w:hAnsi="Times New Roman" w:cs="Times New Roman"/>
          <w:sz w:val="24"/>
          <w:szCs w:val="24"/>
        </w:rPr>
        <w:t>is</w:t>
      </w:r>
      <w:r w:rsidR="00B05EB0" w:rsidRPr="00C1694A">
        <w:rPr>
          <w:rFonts w:ascii="Times New Roman" w:hAnsi="Times New Roman" w:cs="Times New Roman"/>
          <w:sz w:val="24"/>
          <w:szCs w:val="24"/>
        </w:rPr>
        <w:t xml:space="preserve"> section but raised some concerns and suggestions</w:t>
      </w:r>
      <w:r w:rsidR="004C6C24" w:rsidRPr="00C1694A">
        <w:rPr>
          <w:rFonts w:ascii="Times New Roman" w:hAnsi="Times New Roman" w:cs="Times New Roman"/>
          <w:sz w:val="24"/>
          <w:szCs w:val="24"/>
        </w:rPr>
        <w:t>, which w</w:t>
      </w:r>
      <w:r w:rsidR="00B05EB0" w:rsidRPr="00C1694A">
        <w:rPr>
          <w:rFonts w:ascii="Times New Roman" w:hAnsi="Times New Roman" w:cs="Times New Roman"/>
          <w:sz w:val="24"/>
          <w:szCs w:val="24"/>
        </w:rPr>
        <w:t>e discuss below.</w:t>
      </w:r>
    </w:p>
    <w:p w:rsidR="008A55FA" w:rsidRPr="00C1694A" w:rsidRDefault="008A55FA" w:rsidP="008A55F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offered unqualified support for this section, but others expressed concerns about the proposal in paragraph (b) to provide services and supports while children are awaiting determination of IDEA eligibility.  For example, concerns included program staff may not have the expertise to know what services should be provided, the cost of services.  Some commenters stated the standard was unnecessary because programs already individualize services for children.</w:t>
      </w:r>
    </w:p>
    <w:p w:rsidR="00D118C5"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D118C5" w:rsidRPr="00C1694A">
        <w:rPr>
          <w:rFonts w:ascii="Times New Roman" w:hAnsi="Times New Roman" w:cs="Times New Roman"/>
          <w:sz w:val="24"/>
          <w:szCs w:val="24"/>
          <w:u w:val="single"/>
        </w:rPr>
        <w:t>Response:</w:t>
      </w:r>
      <w:r w:rsidR="00D118C5" w:rsidRPr="00C1694A">
        <w:rPr>
          <w:rFonts w:ascii="Times New Roman" w:hAnsi="Times New Roman" w:cs="Times New Roman"/>
          <w:sz w:val="24"/>
          <w:szCs w:val="24"/>
        </w:rPr>
        <w:t xml:space="preserve"> There is sometimes a significant delay in local agencies determining eligibility for IDEA and the development of an IFSP or IEP; even though both IDEA Part C and Part B have timelines for conducting evaluations, and for developing an IFSP or IEP once the eligibility determination has been made.  Therefore, we think it is important that programs review all reasonable avenues for providing services that maximally support a child’s individual needs, including services and supports for which the child may be eligible through insurance pending an eligibility determination under IDEA and the development of an IFSP or IEP.  </w:t>
      </w:r>
      <w:r w:rsidR="008A55FA" w:rsidRPr="00C1694A">
        <w:rPr>
          <w:rFonts w:ascii="Times New Roman" w:hAnsi="Times New Roman" w:cs="Times New Roman"/>
          <w:sz w:val="24"/>
          <w:szCs w:val="24"/>
        </w:rPr>
        <w:t>However, we made revisions to paragraph (b) to clarify our expectations including that programs should work with parents to determine if services and supports are available through a child’s health insurance</w:t>
      </w:r>
      <w:r w:rsidR="008A55FA" w:rsidRPr="00DC44D0">
        <w:rPr>
          <w:rFonts w:ascii="Times New Roman" w:hAnsi="Times New Roman" w:cs="Times New Roman"/>
        </w:rPr>
        <w:t xml:space="preserve"> </w:t>
      </w:r>
      <w:r w:rsidR="008A55FA" w:rsidRPr="00C1694A">
        <w:rPr>
          <w:rFonts w:ascii="Times New Roman" w:hAnsi="Times New Roman" w:cs="Times New Roman"/>
          <w:sz w:val="24"/>
          <w:szCs w:val="24"/>
        </w:rPr>
        <w:t xml:space="preserve">and/or whether </w:t>
      </w:r>
      <w:r w:rsidR="00562297" w:rsidRPr="00C1694A">
        <w:rPr>
          <w:rFonts w:ascii="Times New Roman" w:hAnsi="Times New Roman" w:cs="Times New Roman"/>
          <w:sz w:val="24"/>
          <w:szCs w:val="24"/>
        </w:rPr>
        <w:t xml:space="preserve">they should be provided pursuant to Section 504 of the Rehabilitation Act </w:t>
      </w:r>
      <w:r w:rsidR="008A55FA" w:rsidRPr="00C1694A">
        <w:rPr>
          <w:rFonts w:ascii="Times New Roman" w:hAnsi="Times New Roman" w:cs="Times New Roman"/>
          <w:sz w:val="24"/>
          <w:szCs w:val="24"/>
        </w:rPr>
        <w:t xml:space="preserve">if the child satisfies the definition of disability in section 705(9)(b) of the Rehabilitation Act. </w:t>
      </w:r>
      <w:r w:rsidR="00D118C5" w:rsidRPr="00C1694A">
        <w:rPr>
          <w:rFonts w:ascii="Times New Roman" w:hAnsi="Times New Roman" w:cs="Times New Roman"/>
          <w:sz w:val="24"/>
          <w:szCs w:val="24"/>
        </w:rPr>
        <w:t xml:space="preserve"> When such supports are not available through alternate means while the evaluation results are pending, though staff are not required to provide early intervention services or special education and related services, programs must individualize program services based on available information such as parent input and child observation, screening, and assessment data. We also clarify in paragraph (b) that program funds may be used for this purpose. </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stated they would like to be able to include children who receive services while IDEA eligibility is pending, as described in paragraph (b), in the calculation to meet the requirement tha</w:t>
      </w:r>
      <w:r w:rsidR="00C70867" w:rsidRPr="00C1694A">
        <w:rPr>
          <w:rFonts w:ascii="Times New Roman" w:hAnsi="Times New Roman" w:cs="Times New Roman"/>
          <w:sz w:val="24"/>
          <w:szCs w:val="24"/>
        </w:rPr>
        <w:t>t</w:t>
      </w:r>
      <w:r w:rsidRPr="00C1694A">
        <w:rPr>
          <w:rFonts w:ascii="Times New Roman" w:hAnsi="Times New Roman" w:cs="Times New Roman"/>
          <w:sz w:val="24"/>
          <w:szCs w:val="24"/>
        </w:rPr>
        <w:t xml:space="preserve"> </w:t>
      </w:r>
      <w:r w:rsidR="00C70867" w:rsidRPr="00C1694A">
        <w:rPr>
          <w:rFonts w:ascii="Times New Roman" w:hAnsi="Times New Roman" w:cs="Times New Roman"/>
          <w:sz w:val="24"/>
          <w:szCs w:val="24"/>
        </w:rPr>
        <w:t xml:space="preserve">ten </w:t>
      </w:r>
      <w:r w:rsidRPr="00C1694A">
        <w:rPr>
          <w:rFonts w:ascii="Times New Roman" w:hAnsi="Times New Roman" w:cs="Times New Roman"/>
          <w:sz w:val="24"/>
          <w:szCs w:val="24"/>
        </w:rPr>
        <w:t>percent of total enrollment are children with disabilities.</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D118C5" w:rsidRPr="00C1694A">
        <w:rPr>
          <w:rFonts w:ascii="Times New Roman" w:hAnsi="Times New Roman" w:cs="Times New Roman"/>
          <w:sz w:val="24"/>
          <w:szCs w:val="24"/>
          <w:u w:val="single"/>
        </w:rPr>
        <w:t>Response:</w:t>
      </w:r>
      <w:r w:rsidR="00D118C5" w:rsidRPr="00C1694A">
        <w:rPr>
          <w:rFonts w:ascii="Times New Roman" w:hAnsi="Times New Roman" w:cs="Times New Roman"/>
          <w:sz w:val="24"/>
          <w:szCs w:val="24"/>
        </w:rPr>
        <w:t xml:space="preserve"> Though we understand that not all children with disabilities are eligible for services under IDEA, the Act stipulates that children must have an IFSP or IEP under IDEA to be counted as a child with a disability.  Therefore, we have no authority to change how the ten percent requirement is calculated.  We did not revise this provision.</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require the local educational agency to operate and coordinate with </w:t>
      </w:r>
      <w:r w:rsidR="004C6C24" w:rsidRPr="00C1694A">
        <w:rPr>
          <w:rFonts w:ascii="Times New Roman" w:hAnsi="Times New Roman" w:cs="Times New Roman"/>
          <w:sz w:val="24"/>
          <w:szCs w:val="24"/>
        </w:rPr>
        <w:t xml:space="preserve">the </w:t>
      </w:r>
      <w:r w:rsidRPr="00C1694A">
        <w:rPr>
          <w:rFonts w:ascii="Times New Roman" w:hAnsi="Times New Roman" w:cs="Times New Roman"/>
          <w:sz w:val="24"/>
          <w:szCs w:val="24"/>
        </w:rPr>
        <w:t>Head Start program, similar to how Head Start is required to form agreements with the local educational agency.</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appreciate that this would foster collaboration but we have no authority over local educational agencies.  Programs are encouraged to develop ongoing working relationships with local agencies responsible for implementing IDEA.  </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offered suggestions to further strengthen and clarify the standards for additional services for children with an IFSP or IEP.</w:t>
      </w:r>
    </w:p>
    <w:p w:rsidR="00D118C5" w:rsidRPr="00C1694A" w:rsidRDefault="00B05EB0" w:rsidP="00D118C5">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 response to these comments, we revised paragraph (c)(1)(iii) and added a new standard at </w:t>
      </w:r>
      <w:r w:rsidR="009503AC">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(c)(1)(v).  The revision to paragraph (c)(1)(iii) clarifies that </w:t>
      </w:r>
      <w:r w:rsidR="00F46889" w:rsidRPr="00C1694A">
        <w:rPr>
          <w:rFonts w:ascii="Times New Roman" w:hAnsi="Times New Roman" w:cs="Times New Roman"/>
          <w:sz w:val="24"/>
          <w:szCs w:val="24"/>
        </w:rPr>
        <w:t xml:space="preserve">many </w:t>
      </w:r>
      <w:r w:rsidRPr="00C1694A">
        <w:rPr>
          <w:rFonts w:ascii="Times New Roman" w:hAnsi="Times New Roman" w:cs="Times New Roman"/>
          <w:sz w:val="24"/>
          <w:szCs w:val="24"/>
        </w:rPr>
        <w:t xml:space="preserve">elements of an IFSP or IEP </w:t>
      </w:r>
      <w:r w:rsidR="00F46889" w:rsidRPr="00C1694A">
        <w:rPr>
          <w:rFonts w:ascii="Times New Roman" w:hAnsi="Times New Roman" w:cs="Times New Roman"/>
          <w:sz w:val="24"/>
          <w:szCs w:val="24"/>
        </w:rPr>
        <w:t>will be implemented</w:t>
      </w:r>
      <w:r w:rsidRPr="00C1694A">
        <w:rPr>
          <w:rFonts w:ascii="Times New Roman" w:hAnsi="Times New Roman" w:cs="Times New Roman"/>
          <w:sz w:val="24"/>
          <w:szCs w:val="24"/>
        </w:rPr>
        <w:t xml:space="preserve"> by “other appropriate agencies, related service providers and specialists.”  Our addition at paragraph (c)(1)(v) clarifies that most services can be effectively delivered within the classroom setting.  Providing services in the “natural environment” reduces transitions, increases inclusion, and increases the opportunity for gains to be generalized.  </w:t>
      </w:r>
      <w:r w:rsidR="00D118C5" w:rsidRPr="00C1694A">
        <w:rPr>
          <w:rFonts w:ascii="Times New Roman" w:hAnsi="Times New Roman" w:cs="Times New Roman"/>
          <w:sz w:val="24"/>
          <w:szCs w:val="24"/>
        </w:rPr>
        <w:t>We think it is an important stipulation that programs should work with parents and agencies responsible for implementing IDEA so that IFSPs and IEPs specify that services be delivered within children’s own classes or family child care homes, if determined appropriate for the child.</w:t>
      </w:r>
    </w:p>
    <w:p w:rsidR="00B05EB0" w:rsidRPr="00C1694A" w:rsidRDefault="00B05EB0"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w:t>
      </w:r>
      <w:r w:rsidR="00301051" w:rsidRPr="00C1694A">
        <w:rPr>
          <w:rFonts w:ascii="Times New Roman" w:hAnsi="Times New Roman" w:cs="Times New Roman"/>
          <w:i/>
          <w:sz w:val="24"/>
          <w:szCs w:val="24"/>
        </w:rPr>
        <w:t xml:space="preserve">1302.62 </w:t>
      </w:r>
      <w:r w:rsidRPr="00C1694A">
        <w:rPr>
          <w:rFonts w:ascii="Times New Roman" w:hAnsi="Times New Roman" w:cs="Times New Roman"/>
          <w:i/>
          <w:sz w:val="24"/>
          <w:szCs w:val="24"/>
        </w:rPr>
        <w:t>Additional services for parents.</w:t>
      </w:r>
    </w:p>
    <w:p w:rsidR="00C70867"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section described the additional services programs must implement to support the parents of children with disabilities.  These standards </w:t>
      </w:r>
      <w:r w:rsidR="00F46889" w:rsidRPr="00C1694A">
        <w:rPr>
          <w:rFonts w:ascii="Times New Roman" w:hAnsi="Times New Roman" w:cs="Times New Roman"/>
          <w:sz w:val="24"/>
          <w:szCs w:val="24"/>
        </w:rPr>
        <w:t>reorganize, clarify, and build</w:t>
      </w:r>
      <w:r w:rsidRPr="00C1694A">
        <w:rPr>
          <w:rFonts w:ascii="Times New Roman" w:hAnsi="Times New Roman" w:cs="Times New Roman"/>
          <w:sz w:val="24"/>
          <w:szCs w:val="24"/>
        </w:rPr>
        <w:t xml:space="preserve"> upon previous regulations.  </w:t>
      </w:r>
    </w:p>
    <w:p w:rsidR="00C70867" w:rsidRPr="00C1694A" w:rsidRDefault="00C70867"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B05EB0" w:rsidRPr="00C1694A">
        <w:rPr>
          <w:rFonts w:ascii="Times New Roman" w:hAnsi="Times New Roman" w:cs="Times New Roman"/>
          <w:sz w:val="24"/>
          <w:szCs w:val="24"/>
        </w:rPr>
        <w:t xml:space="preserve">A commenter recommended that programs be required to provide information to their state parent and health assistance centers.  </w:t>
      </w:r>
      <w:r w:rsidRPr="00C1694A">
        <w:rPr>
          <w:rFonts w:ascii="Times New Roman" w:hAnsi="Times New Roman" w:cs="Times New Roman"/>
          <w:sz w:val="24"/>
          <w:szCs w:val="24"/>
        </w:rPr>
        <w:t xml:space="preserve">Another commenter recommended we clarify some of the difference between Parts B and C of IDEA.  </w:t>
      </w:r>
    </w:p>
    <w:p w:rsidR="00B05EB0" w:rsidRPr="00C1694A" w:rsidRDefault="00C70867"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B05EB0" w:rsidRPr="00C1694A">
        <w:rPr>
          <w:rFonts w:ascii="Times New Roman" w:hAnsi="Times New Roman" w:cs="Times New Roman"/>
          <w:sz w:val="24"/>
          <w:szCs w:val="24"/>
        </w:rPr>
        <w:t>Though we agree this can be useful information, it is not universally applicable and can be effectively provided as guidance or technical assistance</w:t>
      </w:r>
      <w:r w:rsidR="00B56F31" w:rsidRPr="00C1694A">
        <w:rPr>
          <w:rFonts w:ascii="Times New Roman" w:hAnsi="Times New Roman" w:cs="Times New Roman"/>
          <w:sz w:val="24"/>
          <w:szCs w:val="24"/>
        </w:rPr>
        <w:t xml:space="preserve"> so we did not make revisions</w:t>
      </w:r>
      <w:r w:rsidR="00B05EB0" w:rsidRPr="00C1694A">
        <w:rPr>
          <w:rFonts w:ascii="Times New Roman" w:hAnsi="Times New Roman" w:cs="Times New Roman"/>
          <w:sz w:val="24"/>
          <w:szCs w:val="24"/>
        </w:rPr>
        <w:t>.  We believe our definition of “</w:t>
      </w:r>
      <w:r w:rsidR="009261FB" w:rsidRPr="00C1694A">
        <w:rPr>
          <w:rFonts w:ascii="Times New Roman" w:hAnsi="Times New Roman" w:cs="Times New Roman"/>
          <w:sz w:val="24"/>
          <w:szCs w:val="24"/>
        </w:rPr>
        <w:t xml:space="preserve">local agency </w:t>
      </w:r>
      <w:r w:rsidR="00B05EB0" w:rsidRPr="00C1694A">
        <w:rPr>
          <w:rFonts w:ascii="Times New Roman" w:hAnsi="Times New Roman" w:cs="Times New Roman"/>
          <w:sz w:val="24"/>
          <w:szCs w:val="24"/>
        </w:rPr>
        <w:t>responsible for implementing IDEA” is sufficiently clear and did not add further clarification.</w:t>
      </w:r>
      <w:r w:rsidR="004C6C24" w:rsidRPr="00C1694A">
        <w:rPr>
          <w:rFonts w:ascii="Times New Roman" w:hAnsi="Times New Roman" w:cs="Times New Roman"/>
          <w:sz w:val="24"/>
          <w:szCs w:val="24"/>
        </w:rPr>
        <w:t xml:space="preserve"> </w:t>
      </w:r>
    </w:p>
    <w:p w:rsidR="00B05EB0" w:rsidRPr="00C1694A" w:rsidRDefault="00B05EB0"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w:t>
      </w:r>
      <w:r w:rsidR="00301051" w:rsidRPr="00C1694A">
        <w:rPr>
          <w:rFonts w:ascii="Times New Roman" w:hAnsi="Times New Roman" w:cs="Times New Roman"/>
          <w:i/>
          <w:sz w:val="24"/>
          <w:szCs w:val="24"/>
        </w:rPr>
        <w:t xml:space="preserve">1302.63 </w:t>
      </w:r>
      <w:r w:rsidRPr="00C1694A">
        <w:rPr>
          <w:rFonts w:ascii="Times New Roman" w:hAnsi="Times New Roman" w:cs="Times New Roman"/>
          <w:i/>
          <w:sz w:val="24"/>
          <w:szCs w:val="24"/>
        </w:rPr>
        <w:t>Coordination and collaboration with the local agency responsible for implementing IDEA.</w:t>
      </w:r>
    </w:p>
    <w:p w:rsidR="00B05EB0" w:rsidRPr="00C1694A" w:rsidRDefault="00B05EB0"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describe</w:t>
      </w:r>
      <w:r w:rsidR="00D140AF" w:rsidRPr="00C1694A">
        <w:rPr>
          <w:rFonts w:ascii="Times New Roman" w:hAnsi="Times New Roman" w:cs="Times New Roman"/>
          <w:sz w:val="24"/>
          <w:szCs w:val="24"/>
        </w:rPr>
        <w:t>s</w:t>
      </w:r>
      <w:r w:rsidRPr="00C1694A">
        <w:rPr>
          <w:rFonts w:ascii="Times New Roman" w:hAnsi="Times New Roman" w:cs="Times New Roman"/>
          <w:sz w:val="24"/>
          <w:szCs w:val="24"/>
        </w:rPr>
        <w:t xml:space="preserve"> program requirements to coordinate and collaborate with the local agency (or agencies) responsible </w:t>
      </w:r>
      <w:r w:rsidR="00D140AF" w:rsidRPr="00C1694A">
        <w:rPr>
          <w:rFonts w:ascii="Times New Roman" w:hAnsi="Times New Roman" w:cs="Times New Roman"/>
          <w:sz w:val="24"/>
          <w:szCs w:val="24"/>
        </w:rPr>
        <w:t>f</w:t>
      </w:r>
      <w:r w:rsidRPr="00C1694A">
        <w:rPr>
          <w:rFonts w:ascii="Times New Roman" w:hAnsi="Times New Roman" w:cs="Times New Roman"/>
          <w:sz w:val="24"/>
          <w:szCs w:val="24"/>
        </w:rPr>
        <w:t>or implementing IDEA.  This section retain</w:t>
      </w:r>
      <w:r w:rsidR="00F46889" w:rsidRPr="00C1694A">
        <w:rPr>
          <w:rFonts w:ascii="Times New Roman" w:hAnsi="Times New Roman" w:cs="Times New Roman"/>
          <w:sz w:val="24"/>
          <w:szCs w:val="24"/>
        </w:rPr>
        <w:t>s</w:t>
      </w:r>
      <w:r w:rsidRPr="00C1694A">
        <w:rPr>
          <w:rFonts w:ascii="Times New Roman" w:hAnsi="Times New Roman" w:cs="Times New Roman"/>
          <w:sz w:val="24"/>
          <w:szCs w:val="24"/>
        </w:rPr>
        <w:t xml:space="preserve"> many provisions from the previous regulation but streamline</w:t>
      </w:r>
      <w:r w:rsidR="00F46889" w:rsidRPr="00C1694A">
        <w:rPr>
          <w:rFonts w:ascii="Times New Roman" w:hAnsi="Times New Roman" w:cs="Times New Roman"/>
          <w:sz w:val="24"/>
          <w:szCs w:val="24"/>
        </w:rPr>
        <w:t>s</w:t>
      </w:r>
      <w:r w:rsidRPr="00C1694A">
        <w:rPr>
          <w:rFonts w:ascii="Times New Roman" w:hAnsi="Times New Roman" w:cs="Times New Roman"/>
          <w:sz w:val="24"/>
          <w:szCs w:val="24"/>
        </w:rPr>
        <w:t xml:space="preserve"> and update</w:t>
      </w:r>
      <w:r w:rsidR="00F46889" w:rsidRPr="00C1694A">
        <w:rPr>
          <w:rFonts w:ascii="Times New Roman" w:hAnsi="Times New Roman" w:cs="Times New Roman"/>
          <w:sz w:val="24"/>
          <w:szCs w:val="24"/>
        </w:rPr>
        <w:t>s</w:t>
      </w:r>
      <w:r w:rsidRPr="00C1694A">
        <w:rPr>
          <w:rFonts w:ascii="Times New Roman" w:hAnsi="Times New Roman" w:cs="Times New Roman"/>
          <w:sz w:val="24"/>
          <w:szCs w:val="24"/>
        </w:rPr>
        <w:t xml:space="preserve"> them to focus less on planning and more on service delivery.  We believe coordination and collaboration with the local agencies responsible for implementing IDEA reflect an essential partnership in meeting the needs of children with disabilities in Head Start.  Commenters generally supported this section.</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expressed concern that children with disabilities sometimes are required to leave Early Head Start or Head Start </w:t>
      </w:r>
      <w:r w:rsidR="00B56F31" w:rsidRPr="00C1694A">
        <w:rPr>
          <w:rFonts w:ascii="Times New Roman" w:hAnsi="Times New Roman" w:cs="Times New Roman"/>
          <w:sz w:val="24"/>
          <w:szCs w:val="24"/>
        </w:rPr>
        <w:t xml:space="preserve">or be dually enrolled </w:t>
      </w:r>
      <w:r w:rsidRPr="00C1694A">
        <w:rPr>
          <w:rFonts w:ascii="Times New Roman" w:hAnsi="Times New Roman" w:cs="Times New Roman"/>
          <w:sz w:val="24"/>
          <w:szCs w:val="24"/>
        </w:rPr>
        <w:t>to receive special education and related services at another site and offered recommendations to strengthen our standards.</w:t>
      </w:r>
    </w:p>
    <w:p w:rsidR="00B05EB0"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fully support the requirements of IDEA that services must be provided in the least restrictive possible environment.  We revised paragraph (b) to address concerns about dually enrolled children and the setting </w:t>
      </w:r>
      <w:r w:rsidR="00D140AF" w:rsidRPr="00C1694A">
        <w:rPr>
          <w:rFonts w:ascii="Times New Roman" w:hAnsi="Times New Roman" w:cs="Times New Roman"/>
          <w:sz w:val="24"/>
          <w:szCs w:val="24"/>
        </w:rPr>
        <w:t xml:space="preserve">in which </w:t>
      </w:r>
      <w:r w:rsidRPr="00C1694A">
        <w:rPr>
          <w:rFonts w:ascii="Times New Roman" w:hAnsi="Times New Roman" w:cs="Times New Roman"/>
          <w:sz w:val="24"/>
          <w:szCs w:val="24"/>
        </w:rPr>
        <w:t xml:space="preserve">children receive services. </w:t>
      </w:r>
    </w:p>
    <w:p w:rsidR="00B05EB0" w:rsidRPr="00C1694A" w:rsidRDefault="00B05EB0" w:rsidP="009A526A">
      <w:pPr>
        <w:spacing w:after="0" w:line="240" w:lineRule="auto"/>
        <w:rPr>
          <w:rFonts w:ascii="Times New Roman" w:hAnsi="Times New Roman" w:cs="Times New Roman"/>
          <w:b/>
          <w:sz w:val="24"/>
          <w:szCs w:val="24"/>
        </w:rPr>
      </w:pPr>
    </w:p>
    <w:p w:rsidR="003E3350" w:rsidRPr="00C1694A" w:rsidRDefault="003E3350" w:rsidP="009A526A">
      <w:pPr>
        <w:spacing w:after="0" w:line="240" w:lineRule="auto"/>
        <w:rPr>
          <w:rFonts w:ascii="Times New Roman" w:hAnsi="Times New Roman" w:cs="Times New Roman"/>
          <w:b/>
          <w:sz w:val="24"/>
          <w:szCs w:val="24"/>
        </w:rPr>
      </w:pPr>
    </w:p>
    <w:p w:rsidR="00061E6D" w:rsidRPr="00C1694A" w:rsidRDefault="00AC133D" w:rsidP="009A526A">
      <w:pPr>
        <w:spacing w:after="0" w:line="480" w:lineRule="auto"/>
        <w:rPr>
          <w:rFonts w:ascii="Times New Roman" w:hAnsi="Times New Roman" w:cs="Times New Roman"/>
          <w:sz w:val="24"/>
          <w:szCs w:val="24"/>
        </w:rPr>
      </w:pPr>
      <w:r w:rsidRPr="00C1694A">
        <w:rPr>
          <w:rFonts w:ascii="Times New Roman" w:hAnsi="Times New Roman" w:cs="Times New Roman"/>
          <w:b/>
          <w:iCs/>
          <w:sz w:val="24"/>
          <w:szCs w:val="24"/>
        </w:rPr>
        <w:t>Transition Services</w:t>
      </w:r>
      <w:r w:rsidR="00DB4F24" w:rsidRPr="00C1694A">
        <w:rPr>
          <w:rFonts w:ascii="Times New Roman" w:hAnsi="Times New Roman" w:cs="Times New Roman"/>
          <w:b/>
          <w:iCs/>
          <w:sz w:val="24"/>
          <w:szCs w:val="24"/>
        </w:rPr>
        <w:t>; Subpart G</w:t>
      </w:r>
    </w:p>
    <w:p w:rsidR="00AC133D" w:rsidRPr="00C1694A" w:rsidRDefault="008A7B1D"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sz w:val="24"/>
          <w:szCs w:val="24"/>
        </w:rPr>
        <w:t xml:space="preserve">This subpart describes requirements for supporting transitions for children and families as they move between programs and settings.  </w:t>
      </w:r>
      <w:r w:rsidR="00646A0C" w:rsidRPr="00C1694A">
        <w:rPr>
          <w:rFonts w:ascii="Times New Roman" w:hAnsi="Times New Roman" w:cs="Times New Roman"/>
          <w:sz w:val="24"/>
          <w:szCs w:val="24"/>
        </w:rPr>
        <w:t>This subpart</w:t>
      </w:r>
      <w:r w:rsidRPr="00C1694A">
        <w:rPr>
          <w:rFonts w:ascii="Times New Roman" w:hAnsi="Times New Roman" w:cs="Times New Roman"/>
          <w:sz w:val="24"/>
          <w:szCs w:val="24"/>
        </w:rPr>
        <w:t xml:space="preserve"> reorganize</w:t>
      </w:r>
      <w:r w:rsidR="00646A0C" w:rsidRPr="00C1694A">
        <w:rPr>
          <w:rFonts w:ascii="Times New Roman" w:hAnsi="Times New Roman" w:cs="Times New Roman"/>
          <w:sz w:val="24"/>
          <w:szCs w:val="24"/>
        </w:rPr>
        <w:t>s</w:t>
      </w:r>
      <w:r w:rsidRPr="00C1694A">
        <w:rPr>
          <w:rFonts w:ascii="Times New Roman" w:hAnsi="Times New Roman" w:cs="Times New Roman"/>
          <w:sz w:val="24"/>
          <w:szCs w:val="24"/>
        </w:rPr>
        <w:t xml:space="preserve"> and update</w:t>
      </w:r>
      <w:r w:rsidR="00646A0C" w:rsidRPr="00C1694A">
        <w:rPr>
          <w:rFonts w:ascii="Times New Roman" w:hAnsi="Times New Roman" w:cs="Times New Roman"/>
          <w:sz w:val="24"/>
          <w:szCs w:val="24"/>
        </w:rPr>
        <w:t>s</w:t>
      </w:r>
      <w:r w:rsidRPr="00C1694A">
        <w:rPr>
          <w:rFonts w:ascii="Times New Roman" w:hAnsi="Times New Roman" w:cs="Times New Roman"/>
          <w:sz w:val="24"/>
          <w:szCs w:val="24"/>
        </w:rPr>
        <w:t xml:space="preserve"> previous standards to reflect best practice for better clarity and implementation. </w:t>
      </w:r>
      <w:r w:rsidR="00AC133D" w:rsidRPr="00C1694A">
        <w:rPr>
          <w:rFonts w:ascii="Times New Roman" w:hAnsi="Times New Roman" w:cs="Times New Roman"/>
          <w:iCs/>
          <w:sz w:val="24"/>
          <w:szCs w:val="24"/>
        </w:rPr>
        <w:t xml:space="preserve">Commenters </w:t>
      </w:r>
      <w:r w:rsidR="00646A0C" w:rsidRPr="00C1694A">
        <w:rPr>
          <w:rFonts w:ascii="Times New Roman" w:hAnsi="Times New Roman" w:cs="Times New Roman"/>
          <w:iCs/>
          <w:sz w:val="24"/>
          <w:szCs w:val="24"/>
        </w:rPr>
        <w:t>supported</w:t>
      </w:r>
      <w:r w:rsidR="00AC133D" w:rsidRPr="00C1694A">
        <w:rPr>
          <w:rFonts w:ascii="Times New Roman" w:hAnsi="Times New Roman" w:cs="Times New Roman"/>
          <w:iCs/>
          <w:sz w:val="24"/>
          <w:szCs w:val="24"/>
        </w:rPr>
        <w:t xml:space="preserve"> many of the provisions in </w:t>
      </w:r>
      <w:r w:rsidR="00D140AF" w:rsidRPr="00C1694A">
        <w:rPr>
          <w:rFonts w:ascii="Times New Roman" w:hAnsi="Times New Roman" w:cs="Times New Roman"/>
          <w:iCs/>
          <w:sz w:val="24"/>
          <w:szCs w:val="24"/>
        </w:rPr>
        <w:t>s</w:t>
      </w:r>
      <w:r w:rsidR="00AC133D" w:rsidRPr="00C1694A">
        <w:rPr>
          <w:rFonts w:ascii="Times New Roman" w:hAnsi="Times New Roman" w:cs="Times New Roman"/>
          <w:iCs/>
          <w:sz w:val="24"/>
          <w:szCs w:val="24"/>
        </w:rPr>
        <w:t xml:space="preserve">ubpart G, </w:t>
      </w:r>
      <w:r w:rsidRPr="00C1694A">
        <w:rPr>
          <w:rFonts w:ascii="Times New Roman" w:hAnsi="Times New Roman" w:cs="Times New Roman"/>
          <w:iCs/>
          <w:sz w:val="24"/>
          <w:szCs w:val="24"/>
        </w:rPr>
        <w:t xml:space="preserve">such as the </w:t>
      </w:r>
      <w:r w:rsidR="00AC133D" w:rsidRPr="00C1694A">
        <w:rPr>
          <w:rFonts w:ascii="Times New Roman" w:hAnsi="Times New Roman" w:cs="Times New Roman"/>
          <w:iCs/>
          <w:sz w:val="24"/>
          <w:szCs w:val="24"/>
        </w:rPr>
        <w:t>detailed requirements for activities to support transitions into kindergarten or other early childhood programs</w:t>
      </w:r>
      <w:r w:rsidRPr="00C1694A">
        <w:rPr>
          <w:rFonts w:ascii="Times New Roman" w:hAnsi="Times New Roman" w:cs="Times New Roman"/>
          <w:iCs/>
          <w:sz w:val="24"/>
          <w:szCs w:val="24"/>
        </w:rPr>
        <w:t xml:space="preserve">, the </w:t>
      </w:r>
      <w:r w:rsidR="00AC133D" w:rsidRPr="00C1694A">
        <w:rPr>
          <w:rFonts w:ascii="Times New Roman" w:hAnsi="Times New Roman" w:cs="Times New Roman"/>
          <w:iCs/>
          <w:sz w:val="24"/>
          <w:szCs w:val="24"/>
        </w:rPr>
        <w:t>requirements for transitions of children with IEPs or IFSPs</w:t>
      </w:r>
      <w:r w:rsidRPr="00C1694A">
        <w:rPr>
          <w:rFonts w:ascii="Times New Roman" w:hAnsi="Times New Roman" w:cs="Times New Roman"/>
          <w:iCs/>
          <w:sz w:val="24"/>
          <w:szCs w:val="24"/>
        </w:rPr>
        <w:t>, the</w:t>
      </w:r>
      <w:r w:rsidR="00AC133D" w:rsidRPr="00C1694A">
        <w:rPr>
          <w:rFonts w:ascii="Times New Roman" w:hAnsi="Times New Roman" w:cs="Times New Roman"/>
          <w:iCs/>
          <w:sz w:val="24"/>
          <w:szCs w:val="24"/>
        </w:rPr>
        <w:t xml:space="preserve"> language focused on supporting transitions for children in migrant and seasonal Head Start programs</w:t>
      </w:r>
      <w:r w:rsidRPr="00C1694A">
        <w:rPr>
          <w:rFonts w:ascii="Times New Roman" w:hAnsi="Times New Roman" w:cs="Times New Roman"/>
          <w:iCs/>
          <w:sz w:val="24"/>
          <w:szCs w:val="24"/>
        </w:rPr>
        <w:t xml:space="preserve">, </w:t>
      </w:r>
      <w:r w:rsidR="00AC133D" w:rsidRPr="00C1694A">
        <w:rPr>
          <w:rFonts w:ascii="Times New Roman" w:hAnsi="Times New Roman" w:cs="Times New Roman"/>
          <w:iCs/>
          <w:sz w:val="24"/>
          <w:szCs w:val="24"/>
        </w:rPr>
        <w:t xml:space="preserve">and </w:t>
      </w:r>
      <w:r w:rsidRPr="00C1694A">
        <w:rPr>
          <w:rFonts w:ascii="Times New Roman" w:hAnsi="Times New Roman" w:cs="Times New Roman"/>
          <w:iCs/>
          <w:sz w:val="24"/>
          <w:szCs w:val="24"/>
        </w:rPr>
        <w:t xml:space="preserve">the </w:t>
      </w:r>
      <w:r w:rsidR="00AC133D" w:rsidRPr="00C1694A">
        <w:rPr>
          <w:rFonts w:ascii="Times New Roman" w:hAnsi="Times New Roman" w:cs="Times New Roman"/>
          <w:iCs/>
          <w:sz w:val="24"/>
          <w:szCs w:val="24"/>
        </w:rPr>
        <w:t xml:space="preserve">removal of the requirement to have a staff-parent meeting at the end of the year. </w:t>
      </w:r>
      <w:r w:rsidR="00646A0C" w:rsidRPr="00C1694A">
        <w:rPr>
          <w:rFonts w:ascii="Times New Roman" w:hAnsi="Times New Roman" w:cs="Times New Roman"/>
          <w:sz w:val="24"/>
          <w:szCs w:val="24"/>
        </w:rPr>
        <w:t>We received other comments on this subpart and respond to them below.</w:t>
      </w:r>
    </w:p>
    <w:p w:rsidR="00646A0C" w:rsidRPr="00C1694A" w:rsidRDefault="00646A0C" w:rsidP="009A526A">
      <w:pPr>
        <w:spacing w:after="0" w:line="480" w:lineRule="auto"/>
        <w:rPr>
          <w:rFonts w:ascii="Times New Roman" w:hAnsi="Times New Roman" w:cs="Times New Roman"/>
          <w:i/>
          <w:iCs/>
          <w:sz w:val="24"/>
          <w:szCs w:val="24"/>
        </w:rPr>
      </w:pPr>
      <w:r w:rsidRPr="00C1694A">
        <w:rPr>
          <w:rFonts w:ascii="Times New Roman" w:hAnsi="Times New Roman" w:cs="Times New Roman"/>
          <w:i/>
          <w:iCs/>
          <w:sz w:val="24"/>
          <w:szCs w:val="24"/>
        </w:rPr>
        <w:t>General Comments</w:t>
      </w:r>
      <w:r w:rsidR="0078221A" w:rsidRPr="00C1694A">
        <w:rPr>
          <w:rFonts w:ascii="Times New Roman" w:hAnsi="Times New Roman" w:cs="Times New Roman"/>
          <w:i/>
          <w:iCs/>
          <w:sz w:val="24"/>
          <w:szCs w:val="24"/>
        </w:rPr>
        <w:t>.</w:t>
      </w:r>
    </w:p>
    <w:p w:rsidR="00AC133D" w:rsidRPr="00C1694A" w:rsidRDefault="00AC133D"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t>
      </w:r>
      <w:r w:rsidR="00EC4B14" w:rsidRPr="00C1694A">
        <w:rPr>
          <w:rFonts w:ascii="Times New Roman" w:hAnsi="Times New Roman" w:cs="Times New Roman"/>
          <w:sz w:val="24"/>
          <w:szCs w:val="24"/>
        </w:rPr>
        <w:t>sugges</w:t>
      </w:r>
      <w:r w:rsidRPr="00C1694A">
        <w:rPr>
          <w:rFonts w:ascii="Times New Roman" w:hAnsi="Times New Roman" w:cs="Times New Roman"/>
          <w:sz w:val="24"/>
          <w:szCs w:val="24"/>
        </w:rPr>
        <w:t>ted that implementing the additional supports for transitions between Early Head Start to Head Start and from Head Start to kindergarten will impact programmatic procedures and budgets, and that additional fundin</w:t>
      </w:r>
      <w:r w:rsidR="00262AB7" w:rsidRPr="00C1694A">
        <w:rPr>
          <w:rFonts w:ascii="Times New Roman" w:hAnsi="Times New Roman" w:cs="Times New Roman"/>
          <w:sz w:val="24"/>
          <w:szCs w:val="24"/>
        </w:rPr>
        <w:t xml:space="preserve">g will be needed. </w:t>
      </w:r>
      <w:r w:rsidR="00151BB1" w:rsidRPr="00C1694A">
        <w:rPr>
          <w:rFonts w:ascii="Times New Roman" w:hAnsi="Times New Roman" w:cs="Times New Roman"/>
          <w:sz w:val="24"/>
          <w:szCs w:val="24"/>
        </w:rPr>
        <w:t>O</w:t>
      </w:r>
      <w:r w:rsidR="00262AB7" w:rsidRPr="00C1694A">
        <w:rPr>
          <w:rFonts w:ascii="Times New Roman" w:hAnsi="Times New Roman" w:cs="Times New Roman"/>
          <w:sz w:val="24"/>
          <w:szCs w:val="24"/>
        </w:rPr>
        <w:t xml:space="preserve">thers were concerned </w:t>
      </w:r>
      <w:r w:rsidRPr="00C1694A">
        <w:rPr>
          <w:rFonts w:ascii="Times New Roman" w:hAnsi="Times New Roman" w:cs="Times New Roman"/>
          <w:sz w:val="24"/>
          <w:szCs w:val="24"/>
        </w:rPr>
        <w:t>this subpart place</w:t>
      </w:r>
      <w:r w:rsidR="00262AB7" w:rsidRPr="00C1694A">
        <w:rPr>
          <w:rFonts w:ascii="Times New Roman" w:hAnsi="Times New Roman" w:cs="Times New Roman"/>
          <w:sz w:val="24"/>
          <w:szCs w:val="24"/>
        </w:rPr>
        <w:t>d</w:t>
      </w:r>
      <w:r w:rsidRPr="00C1694A">
        <w:rPr>
          <w:rFonts w:ascii="Times New Roman" w:hAnsi="Times New Roman" w:cs="Times New Roman"/>
          <w:sz w:val="24"/>
          <w:szCs w:val="24"/>
        </w:rPr>
        <w:t xml:space="preserve"> too much burden on the program from which a child is exiting</w:t>
      </w:r>
      <w:r w:rsidR="00262AB7" w:rsidRPr="00C1694A">
        <w:rPr>
          <w:rFonts w:ascii="Times New Roman" w:hAnsi="Times New Roman" w:cs="Times New Roman"/>
          <w:sz w:val="24"/>
          <w:szCs w:val="24"/>
        </w:rPr>
        <w:t xml:space="preserve"> and suggested revisions</w:t>
      </w:r>
      <w:r w:rsidRPr="00C1694A">
        <w:rPr>
          <w:rFonts w:ascii="Times New Roman" w:hAnsi="Times New Roman" w:cs="Times New Roman"/>
          <w:sz w:val="24"/>
          <w:szCs w:val="24"/>
        </w:rPr>
        <w:t xml:space="preserve">.  </w:t>
      </w:r>
    </w:p>
    <w:p w:rsidR="00AC133D" w:rsidRPr="00C1694A" w:rsidRDefault="00AC133D"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the transition services in this </w:t>
      </w:r>
      <w:r w:rsidR="008A7B1D" w:rsidRPr="00C1694A">
        <w:rPr>
          <w:rFonts w:ascii="Times New Roman" w:hAnsi="Times New Roman" w:cs="Times New Roman"/>
          <w:sz w:val="24"/>
          <w:szCs w:val="24"/>
        </w:rPr>
        <w:t xml:space="preserve">subpart </w:t>
      </w:r>
      <w:r w:rsidRPr="00C1694A">
        <w:rPr>
          <w:rFonts w:ascii="Times New Roman" w:hAnsi="Times New Roman" w:cs="Times New Roman"/>
          <w:sz w:val="24"/>
          <w:szCs w:val="24"/>
        </w:rPr>
        <w:t xml:space="preserve">are critical to support child development </w:t>
      </w:r>
      <w:r w:rsidR="00262AB7" w:rsidRPr="00C1694A">
        <w:rPr>
          <w:rFonts w:ascii="Times New Roman" w:hAnsi="Times New Roman" w:cs="Times New Roman"/>
          <w:sz w:val="24"/>
          <w:szCs w:val="24"/>
        </w:rPr>
        <w:t>from</w:t>
      </w:r>
      <w:r w:rsidRPr="00C1694A">
        <w:rPr>
          <w:rFonts w:ascii="Times New Roman" w:hAnsi="Times New Roman" w:cs="Times New Roman"/>
          <w:sz w:val="24"/>
          <w:szCs w:val="24"/>
        </w:rPr>
        <w:t xml:space="preserve"> birth to </w:t>
      </w:r>
      <w:r w:rsidR="00262AB7" w:rsidRPr="00C1694A">
        <w:rPr>
          <w:rFonts w:ascii="Times New Roman" w:hAnsi="Times New Roman" w:cs="Times New Roman"/>
          <w:sz w:val="24"/>
          <w:szCs w:val="24"/>
        </w:rPr>
        <w:t xml:space="preserve">age </w:t>
      </w:r>
      <w:r w:rsidRPr="00C1694A">
        <w:rPr>
          <w:rFonts w:ascii="Times New Roman" w:hAnsi="Times New Roman" w:cs="Times New Roman"/>
          <w:sz w:val="24"/>
          <w:szCs w:val="24"/>
        </w:rPr>
        <w:t xml:space="preserve">five and beyond. </w:t>
      </w:r>
      <w:r w:rsidR="00262AB7" w:rsidRPr="00C1694A">
        <w:rPr>
          <w:rFonts w:ascii="Times New Roman" w:hAnsi="Times New Roman" w:cs="Times New Roman"/>
          <w:sz w:val="24"/>
          <w:szCs w:val="24"/>
        </w:rPr>
        <w:t>This rule s</w:t>
      </w:r>
      <w:r w:rsidRPr="00C1694A">
        <w:rPr>
          <w:rFonts w:ascii="Times New Roman" w:hAnsi="Times New Roman" w:cs="Times New Roman"/>
          <w:sz w:val="24"/>
          <w:szCs w:val="24"/>
        </w:rPr>
        <w:t>upport</w:t>
      </w:r>
      <w:r w:rsidR="00262AB7" w:rsidRPr="00C1694A">
        <w:rPr>
          <w:rFonts w:ascii="Times New Roman" w:hAnsi="Times New Roman" w:cs="Times New Roman"/>
          <w:sz w:val="24"/>
          <w:szCs w:val="24"/>
        </w:rPr>
        <w:t>s</w:t>
      </w:r>
      <w:r w:rsidRPr="00C1694A">
        <w:rPr>
          <w:rFonts w:ascii="Times New Roman" w:hAnsi="Times New Roman" w:cs="Times New Roman"/>
          <w:sz w:val="24"/>
          <w:szCs w:val="24"/>
        </w:rPr>
        <w:t xml:space="preserve"> the transition process and continuity of services regardless of where families seek services</w:t>
      </w:r>
      <w:r w:rsidR="00E216B6" w:rsidRPr="00C1694A">
        <w:rPr>
          <w:rFonts w:ascii="Times New Roman" w:hAnsi="Times New Roman" w:cs="Times New Roman"/>
          <w:sz w:val="24"/>
          <w:szCs w:val="24"/>
        </w:rPr>
        <w:t>, but we do not believe they are substantially different than current practice</w:t>
      </w:r>
      <w:r w:rsidRPr="00C1694A">
        <w:rPr>
          <w:rFonts w:ascii="Times New Roman" w:hAnsi="Times New Roman" w:cs="Times New Roman"/>
          <w:sz w:val="24"/>
          <w:szCs w:val="24"/>
        </w:rPr>
        <w:t xml:space="preserve">. However, </w:t>
      </w:r>
      <w:r w:rsidR="006C778A" w:rsidRPr="00C1694A">
        <w:rPr>
          <w:rFonts w:ascii="Times New Roman" w:hAnsi="Times New Roman" w:cs="Times New Roman"/>
          <w:sz w:val="24"/>
          <w:szCs w:val="24"/>
        </w:rPr>
        <w:t xml:space="preserve">we agree that programs </w:t>
      </w:r>
      <w:r w:rsidR="00262AB7" w:rsidRPr="00C1694A">
        <w:rPr>
          <w:rFonts w:ascii="Times New Roman" w:hAnsi="Times New Roman" w:cs="Times New Roman"/>
          <w:sz w:val="24"/>
          <w:szCs w:val="24"/>
        </w:rPr>
        <w:t xml:space="preserve">cannot control </w:t>
      </w:r>
      <w:r w:rsidR="006C778A" w:rsidRPr="00C1694A">
        <w:rPr>
          <w:rFonts w:ascii="Times New Roman" w:hAnsi="Times New Roman" w:cs="Times New Roman"/>
          <w:sz w:val="24"/>
          <w:szCs w:val="24"/>
        </w:rPr>
        <w:t>the receiving sc</w:t>
      </w:r>
      <w:r w:rsidR="00262AB7" w:rsidRPr="00C1694A">
        <w:rPr>
          <w:rFonts w:ascii="Times New Roman" w:hAnsi="Times New Roman" w:cs="Times New Roman"/>
          <w:sz w:val="24"/>
          <w:szCs w:val="24"/>
        </w:rPr>
        <w:t>hool or program, but our language supporting transitions and collaborating with community partners is sufficiently flexible to allow for these realities. T</w:t>
      </w:r>
      <w:r w:rsidR="006C778A" w:rsidRPr="00C1694A">
        <w:rPr>
          <w:rFonts w:ascii="Times New Roman" w:hAnsi="Times New Roman" w:cs="Times New Roman"/>
          <w:sz w:val="24"/>
          <w:szCs w:val="24"/>
        </w:rPr>
        <w:t>herefore,</w:t>
      </w:r>
      <w:r w:rsidR="00F646D6"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we </w:t>
      </w:r>
      <w:r w:rsidR="00FD541E" w:rsidRPr="00C1694A">
        <w:rPr>
          <w:rFonts w:ascii="Times New Roman" w:hAnsi="Times New Roman" w:cs="Times New Roman"/>
          <w:sz w:val="24"/>
          <w:szCs w:val="24"/>
        </w:rPr>
        <w:t>did</w:t>
      </w:r>
      <w:r w:rsidRPr="00C1694A">
        <w:rPr>
          <w:rFonts w:ascii="Times New Roman" w:hAnsi="Times New Roman" w:cs="Times New Roman"/>
          <w:sz w:val="24"/>
          <w:szCs w:val="24"/>
        </w:rPr>
        <w:t xml:space="preserve"> not revise the provisions. </w:t>
      </w:r>
    </w:p>
    <w:p w:rsidR="00AC133D" w:rsidRPr="00C1694A" w:rsidRDefault="00AC133D"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151BB1" w:rsidRPr="00C1694A">
        <w:rPr>
          <w:rFonts w:ascii="Times New Roman" w:hAnsi="Times New Roman" w:cs="Times New Roman"/>
          <w:sz w:val="24"/>
          <w:szCs w:val="24"/>
        </w:rPr>
        <w:t xml:space="preserve">Some </w:t>
      </w:r>
      <w:r w:rsidRPr="00C1694A">
        <w:rPr>
          <w:rFonts w:ascii="Times New Roman" w:hAnsi="Times New Roman" w:cs="Times New Roman"/>
          <w:iCs/>
          <w:sz w:val="24"/>
          <w:szCs w:val="24"/>
        </w:rPr>
        <w:t xml:space="preserve">commenters recommended that we include requirements for programs to assess their transition practices to ensure they </w:t>
      </w:r>
      <w:r w:rsidR="00225E80" w:rsidRPr="00C1694A">
        <w:rPr>
          <w:rFonts w:ascii="Times New Roman" w:hAnsi="Times New Roman" w:cs="Times New Roman"/>
          <w:iCs/>
          <w:sz w:val="24"/>
          <w:szCs w:val="24"/>
        </w:rPr>
        <w:t>effectively minimize</w:t>
      </w:r>
      <w:r w:rsidRPr="00C1694A">
        <w:rPr>
          <w:rFonts w:ascii="Times New Roman" w:hAnsi="Times New Roman" w:cs="Times New Roman"/>
          <w:iCs/>
          <w:sz w:val="24"/>
          <w:szCs w:val="24"/>
        </w:rPr>
        <w:t xml:space="preserve"> the number of transitions and </w:t>
      </w:r>
      <w:r w:rsidR="00225E80" w:rsidRPr="00C1694A">
        <w:rPr>
          <w:rFonts w:ascii="Times New Roman" w:hAnsi="Times New Roman" w:cs="Times New Roman"/>
          <w:iCs/>
          <w:sz w:val="24"/>
          <w:szCs w:val="24"/>
        </w:rPr>
        <w:t xml:space="preserve">promote </w:t>
      </w:r>
      <w:r w:rsidRPr="00C1694A">
        <w:rPr>
          <w:rFonts w:ascii="Times New Roman" w:hAnsi="Times New Roman" w:cs="Times New Roman"/>
          <w:iCs/>
          <w:sz w:val="24"/>
          <w:szCs w:val="24"/>
        </w:rPr>
        <w:t>smooth transitions for children and families</w:t>
      </w:r>
      <w:r w:rsidR="00225E80" w:rsidRPr="00C1694A">
        <w:rPr>
          <w:rFonts w:ascii="Times New Roman" w:hAnsi="Times New Roman" w:cs="Times New Roman"/>
          <w:iCs/>
          <w:sz w:val="24"/>
          <w:szCs w:val="24"/>
        </w:rPr>
        <w:t xml:space="preserve">.  </w:t>
      </w:r>
    </w:p>
    <w:p w:rsidR="00AC133D" w:rsidRPr="00C1694A" w:rsidRDefault="00AC133D"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w:t>
      </w:r>
      <w:r w:rsidRPr="00C1694A">
        <w:rPr>
          <w:rFonts w:ascii="Times New Roman" w:hAnsi="Times New Roman" w:cs="Times New Roman"/>
          <w:sz w:val="24"/>
          <w:szCs w:val="24"/>
        </w:rPr>
        <w:t xml:space="preserve">Although we encourage programs to assess all aspects of their programming as part of the continuous quality improvement process, we do not agree that requiring programs to specifically assess their transitions practices is necessary. </w:t>
      </w:r>
    </w:p>
    <w:p w:rsidR="00AC133D" w:rsidRPr="00C1694A" w:rsidRDefault="00AC133D"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§1302.70 Transitions from Early Head Start.</w:t>
      </w:r>
    </w:p>
    <w:p w:rsidR="00AC133D" w:rsidRPr="00C1694A" w:rsidRDefault="00B05EB0"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AC133D" w:rsidRPr="00C1694A">
        <w:rPr>
          <w:rFonts w:ascii="Times New Roman" w:hAnsi="Times New Roman" w:cs="Times New Roman"/>
          <w:sz w:val="24"/>
          <w:szCs w:val="24"/>
        </w:rPr>
        <w:t xml:space="preserve">This section describes what programs are required to do to support successful transitions </w:t>
      </w:r>
      <w:r w:rsidR="00791779" w:rsidRPr="00C1694A">
        <w:rPr>
          <w:rFonts w:ascii="Times New Roman" w:hAnsi="Times New Roman" w:cs="Times New Roman"/>
          <w:sz w:val="24"/>
          <w:szCs w:val="24"/>
        </w:rPr>
        <w:t>for children leaving Early Head Start.  The requirements in this section also support parents’ continued involvemen</w:t>
      </w:r>
      <w:r w:rsidR="0061358F" w:rsidRPr="00C1694A">
        <w:rPr>
          <w:rFonts w:ascii="Times New Roman" w:hAnsi="Times New Roman" w:cs="Times New Roman"/>
          <w:sz w:val="24"/>
          <w:szCs w:val="24"/>
        </w:rPr>
        <w:t xml:space="preserve">t in their child’s education.  </w:t>
      </w:r>
    </w:p>
    <w:p w:rsidR="00781752" w:rsidRPr="00C1694A" w:rsidRDefault="00781752"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Comment:</w:t>
      </w:r>
      <w:r w:rsidRPr="00C1694A">
        <w:rPr>
          <w:rFonts w:ascii="Times New Roman" w:hAnsi="Times New Roman" w:cs="Times New Roman"/>
          <w:iCs/>
          <w:sz w:val="24"/>
          <w:szCs w:val="24"/>
        </w:rPr>
        <w:t xml:space="preserve"> Commenters expressed concern about the requirement in paragraph (b)(2) on the timing of moving children from Early Head Start to Head Start after their third birthday. Some commenters recommended we allow</w:t>
      </w:r>
      <w:r w:rsidRPr="00C1694A">
        <w:rPr>
          <w:rFonts w:ascii="Times New Roman" w:hAnsi="Times New Roman" w:cs="Times New Roman"/>
          <w:sz w:val="24"/>
          <w:szCs w:val="24"/>
        </w:rPr>
        <w:t xml:space="preserve"> a child who turns three after the kindergarten cut-off date to remain enrolled in Early Head Start until the child transitions into Head Start or to another program at the beginning of the next program year.  Also, </w:t>
      </w:r>
      <w:r w:rsidR="00151BB1"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 xml:space="preserve">commenters </w:t>
      </w:r>
      <w:r w:rsidRPr="00C1694A">
        <w:rPr>
          <w:rFonts w:ascii="Times New Roman" w:hAnsi="Times New Roman" w:cs="Times New Roman"/>
          <w:iCs/>
          <w:sz w:val="24"/>
          <w:szCs w:val="24"/>
        </w:rPr>
        <w:t xml:space="preserve">recommended we clarify the phrase “a limited number of additional months” in </w:t>
      </w:r>
      <w:r w:rsidRPr="00C1694A">
        <w:rPr>
          <w:rFonts w:ascii="Times New Roman" w:hAnsi="Times New Roman" w:cs="Times New Roman"/>
          <w:sz w:val="24"/>
          <w:szCs w:val="24"/>
        </w:rPr>
        <w:t xml:space="preserve">paragraph </w:t>
      </w:r>
      <w:r w:rsidRPr="00C1694A">
        <w:rPr>
          <w:rFonts w:ascii="Times New Roman" w:hAnsi="Times New Roman" w:cs="Times New Roman"/>
          <w:iCs/>
          <w:sz w:val="24"/>
          <w:szCs w:val="24"/>
        </w:rPr>
        <w:t xml:space="preserve">(b)(2) because this timeframe is vague. </w:t>
      </w:r>
    </w:p>
    <w:p w:rsidR="00781752" w:rsidRPr="00C1694A" w:rsidRDefault="00781752" w:rsidP="009A526A">
      <w:pPr>
        <w:spacing w:after="0" w:line="480" w:lineRule="auto"/>
        <w:rPr>
          <w:rFonts w:ascii="Times New Roman" w:hAnsi="Times New Roman" w:cs="Times New Roman"/>
          <w:sz w:val="24"/>
          <w:szCs w:val="24"/>
          <w:u w:val="single"/>
        </w:rPr>
      </w:pPr>
      <w:r w:rsidRPr="00C1694A">
        <w:rPr>
          <w:rFonts w:ascii="Times New Roman" w:hAnsi="Times New Roman" w:cs="Times New Roman"/>
          <w:i/>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The Act sets the age requirements for Early Head Start. We encourage programs to use ongoing planning processes to make informed choices based on individual needs and development for appropriate enrollment options into Head Start, pre-kindergarten, or other community based programs, to the extent available in their communities.</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 xml:space="preserve">Additionally, we used the phrase “a limited number of additional months” to provide programs with flexibility to determine the appropriate number of months to extend a child’s enrollment to ensure a smooth transition. Children that turn three after the date of eligibility for kindergarten can enroll in Head Start if there is a space available during the program year. Therefore, we did not revise the provision. </w:t>
      </w:r>
    </w:p>
    <w:p w:rsidR="00AC133D" w:rsidRPr="00C1694A" w:rsidRDefault="00AC133D"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t>
      </w:r>
      <w:r w:rsidR="0061358F" w:rsidRPr="00C1694A">
        <w:rPr>
          <w:rFonts w:ascii="Times New Roman" w:hAnsi="Times New Roman" w:cs="Times New Roman"/>
          <w:sz w:val="24"/>
          <w:szCs w:val="24"/>
        </w:rPr>
        <w:t xml:space="preserve">supported the requirements in paragraph (d) for </w:t>
      </w:r>
      <w:r w:rsidRPr="00C1694A">
        <w:rPr>
          <w:rFonts w:ascii="Times New Roman" w:hAnsi="Times New Roman" w:cs="Times New Roman"/>
          <w:sz w:val="24"/>
          <w:szCs w:val="24"/>
        </w:rPr>
        <w:t xml:space="preserve">Early Head Start and Head Start </w:t>
      </w:r>
      <w:r w:rsidR="0061358F" w:rsidRPr="00C1694A">
        <w:rPr>
          <w:rFonts w:ascii="Times New Roman" w:hAnsi="Times New Roman" w:cs="Times New Roman"/>
          <w:iCs/>
          <w:sz w:val="24"/>
          <w:szCs w:val="24"/>
        </w:rPr>
        <w:t>to work</w:t>
      </w:r>
      <w:r w:rsidRPr="00C1694A">
        <w:rPr>
          <w:rFonts w:ascii="Times New Roman" w:hAnsi="Times New Roman" w:cs="Times New Roman"/>
          <w:iCs/>
          <w:sz w:val="24"/>
          <w:szCs w:val="24"/>
        </w:rPr>
        <w:t xml:space="preserve"> together to </w:t>
      </w:r>
      <w:r w:rsidR="0061358F" w:rsidRPr="00C1694A">
        <w:rPr>
          <w:rFonts w:ascii="Times New Roman" w:hAnsi="Times New Roman" w:cs="Times New Roman"/>
          <w:iCs/>
          <w:sz w:val="24"/>
          <w:szCs w:val="24"/>
        </w:rPr>
        <w:t xml:space="preserve">support </w:t>
      </w:r>
      <w:r w:rsidRPr="00C1694A">
        <w:rPr>
          <w:rFonts w:ascii="Times New Roman" w:hAnsi="Times New Roman" w:cs="Times New Roman"/>
          <w:iCs/>
          <w:sz w:val="24"/>
          <w:szCs w:val="24"/>
        </w:rPr>
        <w:t xml:space="preserve">continuity of services from birth to five.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w:t>
      </w:r>
      <w:r w:rsidR="0061358F" w:rsidRPr="00C1694A">
        <w:rPr>
          <w:rFonts w:ascii="Times New Roman" w:hAnsi="Times New Roman" w:cs="Times New Roman"/>
          <w:sz w:val="24"/>
          <w:szCs w:val="24"/>
        </w:rPr>
        <w:t>s</w:t>
      </w:r>
      <w:r w:rsidRPr="00C1694A">
        <w:rPr>
          <w:rFonts w:ascii="Times New Roman" w:hAnsi="Times New Roman" w:cs="Times New Roman"/>
          <w:sz w:val="24"/>
          <w:szCs w:val="24"/>
        </w:rPr>
        <w:t xml:space="preserve"> </w:t>
      </w:r>
      <w:r w:rsidRPr="00C1694A">
        <w:rPr>
          <w:rFonts w:ascii="Times New Roman" w:hAnsi="Times New Roman" w:cs="Times New Roman"/>
          <w:iCs/>
          <w:sz w:val="24"/>
          <w:szCs w:val="24"/>
        </w:rPr>
        <w:t xml:space="preserve">recommended </w:t>
      </w:r>
      <w:r w:rsidR="0061358F" w:rsidRPr="00C1694A">
        <w:rPr>
          <w:rFonts w:ascii="Times New Roman" w:hAnsi="Times New Roman" w:cs="Times New Roman"/>
          <w:iCs/>
          <w:sz w:val="24"/>
          <w:szCs w:val="24"/>
        </w:rPr>
        <w:t xml:space="preserve">specific revisions, including adding a requirement to </w:t>
      </w:r>
      <w:r w:rsidR="0061358F" w:rsidRPr="00C1694A">
        <w:rPr>
          <w:rFonts w:ascii="Times New Roman" w:hAnsi="Times New Roman" w:cs="Times New Roman"/>
          <w:sz w:val="24"/>
          <w:szCs w:val="24"/>
        </w:rPr>
        <w:t xml:space="preserve">paragraph </w:t>
      </w:r>
      <w:r w:rsidR="0061358F" w:rsidRPr="00C1694A">
        <w:rPr>
          <w:rFonts w:ascii="Times New Roman" w:hAnsi="Times New Roman" w:cs="Times New Roman"/>
          <w:iCs/>
          <w:sz w:val="24"/>
          <w:szCs w:val="24"/>
        </w:rPr>
        <w:t>(d) for</w:t>
      </w:r>
      <w:r w:rsidRPr="00C1694A">
        <w:rPr>
          <w:rFonts w:ascii="Times New Roman" w:hAnsi="Times New Roman" w:cs="Times New Roman"/>
          <w:iCs/>
          <w:sz w:val="24"/>
          <w:szCs w:val="24"/>
        </w:rPr>
        <w:t xml:space="preserve"> programs to serve families with the highest demographic risk</w:t>
      </w:r>
      <w:r w:rsidR="0061358F" w:rsidRPr="00C1694A">
        <w:rPr>
          <w:rFonts w:ascii="Times New Roman" w:hAnsi="Times New Roman" w:cs="Times New Roman"/>
          <w:sz w:val="24"/>
          <w:szCs w:val="24"/>
        </w:rPr>
        <w:t>.</w:t>
      </w:r>
    </w:p>
    <w:p w:rsidR="00AC133D" w:rsidRPr="00C1694A" w:rsidRDefault="00AC133D"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61358F" w:rsidRPr="00C1694A">
        <w:rPr>
          <w:rFonts w:ascii="Times New Roman" w:hAnsi="Times New Roman" w:cs="Times New Roman"/>
          <w:sz w:val="24"/>
          <w:szCs w:val="24"/>
        </w:rPr>
        <w:t>Prioritization requirements are described in subpart A, so we have not made changes to this section.</w:t>
      </w:r>
    </w:p>
    <w:p w:rsidR="00BF7E02" w:rsidRPr="00C1694A" w:rsidRDefault="00BF7E0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§1302.71 Transitions from Head Start to kindergarten.</w:t>
      </w:r>
      <w:r w:rsidRPr="00C1694A">
        <w:rPr>
          <w:rFonts w:ascii="Times New Roman" w:hAnsi="Times New Roman" w:cs="Times New Roman"/>
          <w:i/>
          <w:sz w:val="24"/>
          <w:szCs w:val="24"/>
        </w:rPr>
        <w:tab/>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section, we outline the services programs must implement to support successful transitions from Head Start to kindergarten.  We received comments from the public and address them below.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suggested we change the phrase “transition to kindergarten” to “transition to school” throughout this section to better emphasize that broader transitions may occur between Head Start and the public school system, such as state preschool.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This section focused on supports </w:t>
      </w:r>
      <w:r w:rsidR="00802FF3" w:rsidRPr="00C1694A">
        <w:rPr>
          <w:rFonts w:ascii="Times New Roman" w:hAnsi="Times New Roman" w:cs="Times New Roman"/>
          <w:sz w:val="24"/>
          <w:szCs w:val="24"/>
        </w:rPr>
        <w:t xml:space="preserve">for transitions </w:t>
      </w:r>
      <w:r w:rsidRPr="00C1694A">
        <w:rPr>
          <w:rFonts w:ascii="Times New Roman" w:hAnsi="Times New Roman" w:cs="Times New Roman"/>
          <w:sz w:val="24"/>
          <w:szCs w:val="24"/>
        </w:rPr>
        <w:t xml:space="preserve">to kindergarten, while §1302.72 already addressed transitions to other early childhood education programs.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expressed concern that the language in paragraph (b)(2)(iii) on transition services to prepare parents to exercise their rights and responsibilities including options for their child to participate in language instruction educational programs, does not reflect the intent of Section 1112 of the Elementary and Secondary Education Act (ESEA), as referenced in the Act, and that programs should tell parents about the range of educational options available to DLLs when they enter elementary school. This commenter suggested that we should not promote native language instruction over other options. Additionally, other commenters requested clarification about whether Head Start programs are required to judge the appropriateness of different instructional approaches for DLLs in public schools.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As described in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642A of the Act, Head Start programs are required to help parents of DLL children understand the information provided to them under Section 1112 of ESEA. We believe that paragraph (b)(2)(iii) is consistent with this requirement; however, for clarity, we removed the explicit mention of “native language instruction.” Further, Head Start programs are not expected to judge the appropriateness of different instructional approaches for DLLs; rather, programs should help make parents aware of different options for language instruction programs in the elementary school setting. We made appropriate edits to paragraph (b)(2)(iii) to clarify this intent.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stated that requirements in this section were too challenging and burdensome.  For example,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 that collaboration with school districts </w:t>
      </w:r>
      <w:r w:rsidRPr="00C1694A">
        <w:rPr>
          <w:rFonts w:ascii="Times New Roman" w:hAnsi="Times New Roman" w:cs="Times New Roman"/>
          <w:iCs/>
          <w:sz w:val="24"/>
          <w:szCs w:val="24"/>
        </w:rPr>
        <w:t xml:space="preserve">receiving Head Start children </w:t>
      </w:r>
      <w:r w:rsidRPr="00C1694A">
        <w:rPr>
          <w:rFonts w:ascii="Times New Roman" w:hAnsi="Times New Roman" w:cs="Times New Roman"/>
          <w:sz w:val="24"/>
          <w:szCs w:val="24"/>
        </w:rPr>
        <w:t xml:space="preserve">is challenging and highlighted </w:t>
      </w:r>
      <w:r w:rsidRPr="00C1694A">
        <w:rPr>
          <w:rFonts w:ascii="Times New Roman" w:hAnsi="Times New Roman" w:cs="Times New Roman"/>
          <w:iCs/>
          <w:sz w:val="24"/>
          <w:szCs w:val="24"/>
        </w:rPr>
        <w:t>collaboration to determine the availability of summer school programming for children entering kindergarten as an example</w:t>
      </w:r>
      <w:r w:rsidRPr="00C1694A">
        <w:rPr>
          <w:rFonts w:ascii="Times New Roman" w:hAnsi="Times New Roman" w:cs="Times New Roman"/>
          <w:sz w:val="24"/>
          <w:szCs w:val="24"/>
        </w:rPr>
        <w:t xml:space="preserve">.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that supporting successful transitions of children and families into school is critical for supporting child development and continued parental involvement in children’s education. We do not agree that this section is too burdensome or challenging so we did not make changes in response to these comments. </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include additional requirements in this section to make transition services stronger.  For example, commenters recommended we expand transition services to encompass after care in kindergarten and suggested we include more requirements on community collaborations in this subpart.</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think we focus on the key components of transition services to support families when children transition to kindergarten.  As always, we encourage programs to identify the individual needs of Head Start children and families and work to meet those needs. Additionally, we believe that community collaborations are sufficiently addressed in §1302.53(a), which requires programs take an active role in promoting a coordinated system of comprehensive early childhood services among community agencies and partners, so additional requirements about community collaboration were unnecessary.</w:t>
      </w:r>
    </w:p>
    <w:p w:rsidR="00BF7E02" w:rsidRPr="00C1694A" w:rsidRDefault="00BF7E0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recommended we permit programs to continue to provide comprehensive services to a subset of very at-risk families after those children transition to elementary school.</w:t>
      </w:r>
    </w:p>
    <w:p w:rsidR="00BF7E02" w:rsidRPr="00C1694A" w:rsidRDefault="00BF7E0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Head Start is not authorized or funded to serve children and families after they leave Head Start.</w:t>
      </w:r>
    </w:p>
    <w:p w:rsidR="00BF7E02" w:rsidRPr="00C1694A" w:rsidRDefault="00BF7E02" w:rsidP="009A526A">
      <w:pPr>
        <w:spacing w:after="0"/>
        <w:rPr>
          <w:rFonts w:ascii="Times New Roman" w:hAnsi="Times New Roman" w:cs="Times New Roman"/>
          <w:sz w:val="24"/>
          <w:szCs w:val="24"/>
        </w:rPr>
      </w:pPr>
    </w:p>
    <w:p w:rsidR="00AC133D" w:rsidRPr="00C1694A" w:rsidRDefault="00AC133D"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§1302.72 Transitions between programs.</w:t>
      </w:r>
    </w:p>
    <w:p w:rsidR="00AC133D" w:rsidRPr="00C1694A" w:rsidRDefault="00AC133D"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this section, we include</w:t>
      </w:r>
      <w:r w:rsidR="009607DD" w:rsidRPr="00C1694A">
        <w:rPr>
          <w:rFonts w:ascii="Times New Roman" w:hAnsi="Times New Roman" w:cs="Times New Roman"/>
          <w:sz w:val="24"/>
          <w:szCs w:val="24"/>
        </w:rPr>
        <w:t>d</w:t>
      </w:r>
      <w:r w:rsidRPr="00C1694A">
        <w:rPr>
          <w:rFonts w:ascii="Times New Roman" w:hAnsi="Times New Roman" w:cs="Times New Roman"/>
          <w:sz w:val="24"/>
          <w:szCs w:val="24"/>
        </w:rPr>
        <w:t xml:space="preserve"> three new provisions</w:t>
      </w:r>
      <w:r w:rsidR="00346524"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that will support transitions for children and families who might not otherwise receive such services.  </w:t>
      </w:r>
    </w:p>
    <w:p w:rsidR="00AC133D" w:rsidRPr="00C1694A" w:rsidRDefault="00AC133D"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explicitly </w:t>
      </w:r>
      <w:r w:rsidR="005A6D4C" w:rsidRPr="00C1694A">
        <w:rPr>
          <w:rFonts w:ascii="Times New Roman" w:hAnsi="Times New Roman" w:cs="Times New Roman"/>
          <w:sz w:val="24"/>
          <w:szCs w:val="24"/>
        </w:rPr>
        <w:t>supported</w:t>
      </w:r>
      <w:r w:rsidRPr="00C1694A">
        <w:rPr>
          <w:rFonts w:ascii="Times New Roman" w:hAnsi="Times New Roman" w:cs="Times New Roman"/>
          <w:sz w:val="24"/>
          <w:szCs w:val="24"/>
        </w:rPr>
        <w:t xml:space="preserve"> the provision for programs to make significant efforts to support transitions for children experiencing homelessness or in foster care when they move out of the community. Because of their high mobility rate, one commenter suggested that programs should anticipate transitions for these children, and that the language in </w:t>
      </w:r>
      <w:r w:rsidR="005A6D4C"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(a) should include support for transitions to other early childhood programs, not just Head Start, as well as connections to other types of community services that can support these children.</w:t>
      </w:r>
    </w:p>
    <w:p w:rsidR="00AC133D" w:rsidRPr="00C1694A" w:rsidRDefault="00AC133D"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326B60" w:rsidRPr="00C1694A">
        <w:rPr>
          <w:rFonts w:ascii="Times New Roman" w:hAnsi="Times New Roman" w:cs="Times New Roman"/>
          <w:sz w:val="24"/>
          <w:szCs w:val="24"/>
        </w:rPr>
        <w:t>W</w:t>
      </w:r>
      <w:r w:rsidRPr="00C1694A">
        <w:rPr>
          <w:rFonts w:ascii="Times New Roman" w:hAnsi="Times New Roman" w:cs="Times New Roman"/>
          <w:sz w:val="24"/>
          <w:szCs w:val="24"/>
        </w:rPr>
        <w:t xml:space="preserve">e agree with the suggestion to </w:t>
      </w:r>
      <w:r w:rsidR="00802FF3" w:rsidRPr="00C1694A">
        <w:rPr>
          <w:rFonts w:ascii="Times New Roman" w:hAnsi="Times New Roman" w:cs="Times New Roman"/>
          <w:sz w:val="24"/>
          <w:szCs w:val="24"/>
        </w:rPr>
        <w:t>support</w:t>
      </w:r>
      <w:r w:rsidRPr="00C1694A">
        <w:rPr>
          <w:rFonts w:ascii="Times New Roman" w:hAnsi="Times New Roman" w:cs="Times New Roman"/>
          <w:sz w:val="24"/>
          <w:szCs w:val="24"/>
        </w:rPr>
        <w:t xml:space="preserve"> transitions to other early childhood programs if Early Head Start or Head Start services are not available</w:t>
      </w:r>
      <w:r w:rsidR="00802FF3" w:rsidRPr="00C1694A">
        <w:rPr>
          <w:rFonts w:ascii="Times New Roman" w:hAnsi="Times New Roman" w:cs="Times New Roman"/>
          <w:sz w:val="24"/>
          <w:szCs w:val="24"/>
        </w:rPr>
        <w:t>.</w:t>
      </w:r>
      <w:r w:rsidRPr="00C1694A">
        <w:rPr>
          <w:rFonts w:ascii="Times New Roman" w:hAnsi="Times New Roman" w:cs="Times New Roman"/>
          <w:sz w:val="24"/>
          <w:szCs w:val="24"/>
        </w:rPr>
        <w:t xml:space="preserve"> </w:t>
      </w:r>
      <w:r w:rsidR="00802FF3" w:rsidRPr="00C1694A">
        <w:rPr>
          <w:rFonts w:ascii="Times New Roman" w:hAnsi="Times New Roman" w:cs="Times New Roman"/>
          <w:sz w:val="24"/>
          <w:szCs w:val="24"/>
        </w:rPr>
        <w:t>W</w:t>
      </w:r>
      <w:r w:rsidRPr="00C1694A">
        <w:rPr>
          <w:rFonts w:ascii="Times New Roman" w:hAnsi="Times New Roman" w:cs="Times New Roman"/>
          <w:sz w:val="24"/>
          <w:szCs w:val="24"/>
        </w:rPr>
        <w:t xml:space="preserve">e edited </w:t>
      </w:r>
      <w:r w:rsidR="00FD541E"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(a) to reflect this.</w:t>
      </w:r>
    </w:p>
    <w:p w:rsidR="00AC133D" w:rsidRPr="00C1694A" w:rsidRDefault="00AC133D"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iCs/>
          <w:sz w:val="24"/>
          <w:szCs w:val="24"/>
        </w:rPr>
        <w:t>Some</w:t>
      </w:r>
      <w:r w:rsidRPr="00C1694A">
        <w:rPr>
          <w:rFonts w:ascii="Times New Roman" w:hAnsi="Times New Roman" w:cs="Times New Roman"/>
          <w:iCs/>
          <w:sz w:val="24"/>
          <w:szCs w:val="24"/>
        </w:rPr>
        <w:t xml:space="preserve"> commenters </w:t>
      </w:r>
      <w:r w:rsidR="005A6D4C" w:rsidRPr="00C1694A">
        <w:rPr>
          <w:rFonts w:ascii="Times New Roman" w:hAnsi="Times New Roman" w:cs="Times New Roman"/>
          <w:iCs/>
          <w:sz w:val="24"/>
          <w:szCs w:val="24"/>
        </w:rPr>
        <w:t>expressed concerns</w:t>
      </w:r>
      <w:r w:rsidRPr="00C1694A">
        <w:rPr>
          <w:rFonts w:ascii="Times New Roman" w:hAnsi="Times New Roman" w:cs="Times New Roman"/>
          <w:iCs/>
          <w:sz w:val="24"/>
          <w:szCs w:val="24"/>
        </w:rPr>
        <w:t xml:space="preserve"> </w:t>
      </w:r>
      <w:r w:rsidR="005A6D4C" w:rsidRPr="00C1694A">
        <w:rPr>
          <w:rFonts w:ascii="Times New Roman" w:hAnsi="Times New Roman" w:cs="Times New Roman"/>
          <w:iCs/>
          <w:sz w:val="24"/>
          <w:szCs w:val="24"/>
        </w:rPr>
        <w:t>about</w:t>
      </w:r>
      <w:r w:rsidRPr="00C1694A">
        <w:rPr>
          <w:rFonts w:ascii="Times New Roman" w:hAnsi="Times New Roman" w:cs="Times New Roman"/>
          <w:iCs/>
          <w:sz w:val="24"/>
          <w:szCs w:val="24"/>
        </w:rPr>
        <w:t xml:space="preserve"> the requirement in </w:t>
      </w:r>
      <w:r w:rsidR="005A6D4C"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(b) </w:t>
      </w:r>
      <w:r w:rsidRPr="00C1694A">
        <w:rPr>
          <w:rFonts w:ascii="Times New Roman" w:hAnsi="Times New Roman" w:cs="Times New Roman"/>
          <w:iCs/>
          <w:sz w:val="24"/>
          <w:szCs w:val="24"/>
        </w:rPr>
        <w:t>to provide transition services to families who decide to enroll their children in other high</w:t>
      </w:r>
      <w:r w:rsidR="00915289" w:rsidRPr="00C1694A">
        <w:rPr>
          <w:rFonts w:ascii="Times New Roman" w:hAnsi="Times New Roman" w:cs="Times New Roman"/>
          <w:iCs/>
          <w:sz w:val="24"/>
          <w:szCs w:val="24"/>
        </w:rPr>
        <w:t>-</w:t>
      </w:r>
      <w:r w:rsidRPr="00C1694A">
        <w:rPr>
          <w:rFonts w:ascii="Times New Roman" w:hAnsi="Times New Roman" w:cs="Times New Roman"/>
          <w:iCs/>
          <w:sz w:val="24"/>
          <w:szCs w:val="24"/>
        </w:rPr>
        <w:t xml:space="preserve">quality early education programs in the year prior to kindergarten. Challenges </w:t>
      </w:r>
      <w:r w:rsidR="00EC4B14" w:rsidRPr="00C1694A">
        <w:rPr>
          <w:rFonts w:ascii="Times New Roman" w:hAnsi="Times New Roman" w:cs="Times New Roman"/>
          <w:iCs/>
          <w:sz w:val="24"/>
          <w:szCs w:val="24"/>
        </w:rPr>
        <w:t>describ</w:t>
      </w:r>
      <w:r w:rsidRPr="00C1694A">
        <w:rPr>
          <w:rFonts w:ascii="Times New Roman" w:hAnsi="Times New Roman" w:cs="Times New Roman"/>
          <w:iCs/>
          <w:sz w:val="24"/>
          <w:szCs w:val="24"/>
        </w:rPr>
        <w:t>ed include difficulty identifying participation in other programs by children who do not return to Head Start and lack of mandates on other</w:t>
      </w:r>
      <w:r w:rsidRPr="00C1694A">
        <w:rPr>
          <w:rFonts w:ascii="Times New Roman" w:hAnsi="Times New Roman" w:cs="Times New Roman"/>
          <w:sz w:val="24"/>
          <w:szCs w:val="24"/>
        </w:rPr>
        <w:t xml:space="preserve"> public programs. Commenters asked for clearer definitions of the terms “high quality” and “practical and appropriate,” as well as guidance on determining the quality of other programs. One commenter stated that this transition strategy does not promote the continuity of care emphasized in the NPRM.</w:t>
      </w:r>
    </w:p>
    <w:p w:rsidR="00AC133D" w:rsidRPr="00C1694A" w:rsidRDefault="00AC133D"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the term “high quality” is vague and difficult to determine during a transition process; therefore, we struck the term from this provision. The intent of this provision is to support the transition process, regardless of where families seek services. To allow for program flexibility, we </w:t>
      </w:r>
      <w:r w:rsidR="00FD541E" w:rsidRPr="00C1694A">
        <w:rPr>
          <w:rFonts w:ascii="Times New Roman" w:hAnsi="Times New Roman" w:cs="Times New Roman"/>
          <w:sz w:val="24"/>
          <w:szCs w:val="24"/>
        </w:rPr>
        <w:t>retained</w:t>
      </w:r>
      <w:r w:rsidRPr="00C1694A">
        <w:rPr>
          <w:rFonts w:ascii="Times New Roman" w:hAnsi="Times New Roman" w:cs="Times New Roman"/>
          <w:sz w:val="24"/>
          <w:szCs w:val="24"/>
        </w:rPr>
        <w:t xml:space="preserve"> the phrase “as practical and appropriate.” We will continue to provide guidance on these terms, as requested by grantees.</w:t>
      </w:r>
    </w:p>
    <w:p w:rsidR="006B6466" w:rsidRPr="00C1694A" w:rsidRDefault="006B6466" w:rsidP="009A526A">
      <w:pPr>
        <w:spacing w:after="0" w:line="240" w:lineRule="auto"/>
        <w:rPr>
          <w:rFonts w:ascii="Times New Roman" w:hAnsi="Times New Roman" w:cs="Times New Roman"/>
          <w:b/>
          <w:sz w:val="24"/>
          <w:szCs w:val="24"/>
        </w:rPr>
      </w:pPr>
    </w:p>
    <w:p w:rsidR="006B6466" w:rsidRPr="00C1694A" w:rsidRDefault="006B6466" w:rsidP="009A526A">
      <w:pPr>
        <w:spacing w:after="0" w:line="240" w:lineRule="auto"/>
        <w:rPr>
          <w:rFonts w:ascii="Times New Roman" w:hAnsi="Times New Roman" w:cs="Times New Roman"/>
          <w:b/>
          <w:sz w:val="24"/>
          <w:szCs w:val="24"/>
        </w:rPr>
      </w:pPr>
    </w:p>
    <w:p w:rsidR="001A0D1C" w:rsidRPr="00C1694A" w:rsidRDefault="001A0D1C" w:rsidP="009A526A">
      <w:pPr>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Services to Enrolled Pregnant Women</w:t>
      </w:r>
      <w:r w:rsidR="00DB4F24" w:rsidRPr="00C1694A">
        <w:rPr>
          <w:rFonts w:ascii="Times New Roman" w:hAnsi="Times New Roman" w:cs="Times New Roman"/>
          <w:b/>
          <w:sz w:val="24"/>
          <w:szCs w:val="24"/>
        </w:rPr>
        <w:t>; Subpart H</w:t>
      </w:r>
    </w:p>
    <w:p w:rsidR="004B1E6C" w:rsidRPr="00C1694A" w:rsidRDefault="004B1E6C" w:rsidP="009A526A">
      <w:pPr>
        <w:spacing w:after="0" w:line="240" w:lineRule="auto"/>
        <w:rPr>
          <w:rFonts w:ascii="Times New Roman" w:hAnsi="Times New Roman" w:cs="Times New Roman"/>
          <w:b/>
          <w:sz w:val="24"/>
          <w:szCs w:val="24"/>
        </w:rPr>
      </w:pPr>
    </w:p>
    <w:p w:rsidR="001A0D1C" w:rsidRPr="00C1694A" w:rsidRDefault="001A0D1C"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rPr>
        <w:t xml:space="preserve">This subpart describes services Early Head Start programs must provide </w:t>
      </w:r>
      <w:r w:rsidR="00937907" w:rsidRPr="00C1694A">
        <w:rPr>
          <w:rFonts w:ascii="Times New Roman" w:hAnsi="Times New Roman" w:cs="Times New Roman"/>
          <w:sz w:val="24"/>
        </w:rPr>
        <w:t>to pregnant women</w:t>
      </w:r>
      <w:r w:rsidR="004B0A9D" w:rsidRPr="00C1694A">
        <w:rPr>
          <w:rFonts w:ascii="Times New Roman" w:hAnsi="Times New Roman" w:cs="Times New Roman"/>
          <w:sz w:val="24"/>
        </w:rPr>
        <w:t xml:space="preserve"> enrolled in their programs.  </w:t>
      </w:r>
      <w:r w:rsidR="00937907" w:rsidRPr="00C1694A">
        <w:rPr>
          <w:rFonts w:ascii="Times New Roman" w:hAnsi="Times New Roman" w:cs="Times New Roman"/>
          <w:sz w:val="24"/>
        </w:rPr>
        <w:t>Long standing research clearly demonstrates the importance of prenatal care and the effectiven</w:t>
      </w:r>
      <w:r w:rsidR="004B0A9D" w:rsidRPr="00C1694A">
        <w:rPr>
          <w:rFonts w:ascii="Times New Roman" w:hAnsi="Times New Roman" w:cs="Times New Roman"/>
          <w:sz w:val="24"/>
        </w:rPr>
        <w:t>ess of prenatal interventions to facilitate</w:t>
      </w:r>
      <w:r w:rsidR="00937907" w:rsidRPr="00C1694A">
        <w:rPr>
          <w:rFonts w:ascii="Times New Roman" w:hAnsi="Times New Roman" w:cs="Times New Roman"/>
          <w:sz w:val="24"/>
        </w:rPr>
        <w:t xml:space="preserve"> healthy pregnancies</w:t>
      </w:r>
      <w:r w:rsidR="00054083" w:rsidRPr="00C1694A">
        <w:rPr>
          <w:rStyle w:val="FootnoteReference"/>
          <w:rFonts w:ascii="Times New Roman" w:hAnsi="Times New Roman" w:cs="Times New Roman"/>
          <w:sz w:val="24"/>
        </w:rPr>
        <w:footnoteReference w:id="107"/>
      </w:r>
      <w:r w:rsidR="00054083" w:rsidRPr="00C1694A">
        <w:rPr>
          <w:rFonts w:ascii="Times New Roman" w:hAnsi="Times New Roman" w:cs="Times New Roman"/>
          <w:sz w:val="24"/>
          <w:vertAlign w:val="superscript"/>
        </w:rPr>
        <w:t>,</w:t>
      </w:r>
      <w:r w:rsidR="00054083" w:rsidRPr="00C1694A">
        <w:rPr>
          <w:rStyle w:val="FootnoteReference"/>
          <w:rFonts w:ascii="Times New Roman" w:hAnsi="Times New Roman" w:cs="Times New Roman"/>
          <w:sz w:val="24"/>
        </w:rPr>
        <w:footnoteReference w:id="108"/>
      </w:r>
      <w:r w:rsidR="00054083" w:rsidRPr="00C1694A">
        <w:rPr>
          <w:rFonts w:ascii="Times New Roman" w:hAnsi="Times New Roman" w:cs="Times New Roman"/>
          <w:sz w:val="24"/>
          <w:vertAlign w:val="superscript"/>
        </w:rPr>
        <w:t>,</w:t>
      </w:r>
      <w:r w:rsidR="00054083" w:rsidRPr="00C1694A">
        <w:rPr>
          <w:rStyle w:val="FootnoteReference"/>
          <w:rFonts w:ascii="Times New Roman" w:hAnsi="Times New Roman" w:cs="Times New Roman"/>
          <w:sz w:val="24"/>
        </w:rPr>
        <w:footnoteReference w:id="109"/>
      </w:r>
      <w:r w:rsidR="00054083" w:rsidRPr="00C1694A">
        <w:rPr>
          <w:rFonts w:ascii="Times New Roman" w:hAnsi="Times New Roman" w:cs="Times New Roman"/>
          <w:sz w:val="24"/>
          <w:vertAlign w:val="superscript"/>
        </w:rPr>
        <w:t>,</w:t>
      </w:r>
      <w:r w:rsidR="00054083" w:rsidRPr="00C1694A">
        <w:rPr>
          <w:rStyle w:val="FootnoteReference"/>
          <w:rFonts w:ascii="Times New Roman" w:hAnsi="Times New Roman" w:cs="Times New Roman"/>
          <w:sz w:val="24"/>
        </w:rPr>
        <w:footnoteReference w:id="110"/>
      </w:r>
      <w:r w:rsidR="00054083" w:rsidRPr="00C1694A">
        <w:rPr>
          <w:rFonts w:ascii="Times New Roman" w:hAnsi="Times New Roman" w:cs="Times New Roman"/>
          <w:sz w:val="24"/>
          <w:vertAlign w:val="superscript"/>
        </w:rPr>
        <w:t>,</w:t>
      </w:r>
      <w:r w:rsidR="00054083" w:rsidRPr="00C1694A">
        <w:rPr>
          <w:rStyle w:val="FootnoteReference"/>
          <w:rFonts w:ascii="Times New Roman" w:hAnsi="Times New Roman" w:cs="Times New Roman"/>
          <w:sz w:val="24"/>
        </w:rPr>
        <w:footnoteReference w:id="111"/>
      </w:r>
      <w:r w:rsidR="00937907" w:rsidRPr="00C1694A">
        <w:rPr>
          <w:rFonts w:ascii="Times New Roman" w:hAnsi="Times New Roman" w:cs="Times New Roman"/>
          <w:sz w:val="24"/>
        </w:rPr>
        <w:t xml:space="preserve"> </w:t>
      </w:r>
      <w:r w:rsidR="004B0A9D" w:rsidRPr="00C1694A">
        <w:rPr>
          <w:rFonts w:ascii="Times New Roman" w:hAnsi="Times New Roman" w:cs="Times New Roman"/>
          <w:sz w:val="24"/>
        </w:rPr>
        <w:t>and improve</w:t>
      </w:r>
      <w:r w:rsidR="00937907" w:rsidRPr="00C1694A">
        <w:rPr>
          <w:rFonts w:ascii="Times New Roman" w:hAnsi="Times New Roman" w:cs="Times New Roman"/>
          <w:sz w:val="24"/>
        </w:rPr>
        <w:t xml:space="preserve"> child outcomes tha</w:t>
      </w:r>
      <w:r w:rsidR="00054083" w:rsidRPr="00C1694A">
        <w:rPr>
          <w:rFonts w:ascii="Times New Roman" w:hAnsi="Times New Roman" w:cs="Times New Roman"/>
          <w:sz w:val="24"/>
        </w:rPr>
        <w:t>t affect later school readiness</w:t>
      </w:r>
      <w:r w:rsidR="00054083" w:rsidRPr="00C1694A">
        <w:rPr>
          <w:rStyle w:val="FootnoteReference"/>
          <w:rFonts w:ascii="Times New Roman" w:hAnsi="Times New Roman" w:cs="Times New Roman"/>
          <w:sz w:val="24"/>
        </w:rPr>
        <w:footnoteReference w:id="112"/>
      </w:r>
      <w:r w:rsidR="00054083" w:rsidRPr="00C1694A">
        <w:rPr>
          <w:rFonts w:ascii="Times New Roman" w:hAnsi="Times New Roman" w:cs="Times New Roman"/>
          <w:sz w:val="24"/>
          <w:vertAlign w:val="superscript"/>
        </w:rPr>
        <w:t>,</w:t>
      </w:r>
      <w:r w:rsidR="00054083" w:rsidRPr="00C1694A">
        <w:rPr>
          <w:rStyle w:val="FootnoteReference"/>
          <w:rFonts w:ascii="Times New Roman" w:hAnsi="Times New Roman" w:cs="Times New Roman"/>
          <w:sz w:val="24"/>
        </w:rPr>
        <w:footnoteReference w:id="113"/>
      </w:r>
      <w:r w:rsidR="00054083" w:rsidRPr="00C1694A">
        <w:rPr>
          <w:rFonts w:ascii="Times New Roman" w:hAnsi="Times New Roman" w:cs="Times New Roman"/>
          <w:sz w:val="24"/>
          <w:vertAlign w:val="superscript"/>
        </w:rPr>
        <w:t>,</w:t>
      </w:r>
      <w:r w:rsidR="00054083" w:rsidRPr="00C1694A">
        <w:rPr>
          <w:rStyle w:val="FootnoteReference"/>
          <w:rFonts w:ascii="Times New Roman" w:hAnsi="Times New Roman" w:cs="Times New Roman"/>
          <w:sz w:val="24"/>
        </w:rPr>
        <w:footnoteReference w:id="114"/>
      </w:r>
      <w:r w:rsidR="00054083" w:rsidRPr="00C1694A">
        <w:rPr>
          <w:rFonts w:ascii="Times New Roman" w:hAnsi="Times New Roman" w:cs="Times New Roman"/>
          <w:sz w:val="24"/>
          <w:vertAlign w:val="superscript"/>
        </w:rPr>
        <w:t>,</w:t>
      </w:r>
      <w:r w:rsidR="00054083" w:rsidRPr="00C1694A">
        <w:rPr>
          <w:rStyle w:val="FootnoteReference"/>
          <w:rFonts w:ascii="Times New Roman" w:hAnsi="Times New Roman" w:cs="Times New Roman"/>
          <w:sz w:val="24"/>
        </w:rPr>
        <w:footnoteReference w:id="115"/>
      </w:r>
      <w:r w:rsidR="00054083" w:rsidRPr="00C1694A">
        <w:rPr>
          <w:rFonts w:ascii="Times New Roman" w:hAnsi="Times New Roman" w:cs="Times New Roman"/>
          <w:sz w:val="24"/>
          <w:vertAlign w:val="superscript"/>
        </w:rPr>
        <w:t>,</w:t>
      </w:r>
      <w:r w:rsidR="00054083" w:rsidRPr="00C1694A">
        <w:rPr>
          <w:rStyle w:val="FootnoteReference"/>
          <w:rFonts w:ascii="Times New Roman" w:hAnsi="Times New Roman" w:cs="Times New Roman"/>
          <w:sz w:val="24"/>
        </w:rPr>
        <w:footnoteReference w:id="116"/>
      </w:r>
      <w:r w:rsidR="00054083" w:rsidRPr="00C1694A">
        <w:rPr>
          <w:rFonts w:ascii="Times New Roman" w:hAnsi="Times New Roman" w:cs="Times New Roman"/>
          <w:sz w:val="24"/>
        </w:rPr>
        <w:t xml:space="preserve"> </w:t>
      </w:r>
      <w:r w:rsidR="004B0A9D" w:rsidRPr="00C1694A">
        <w:rPr>
          <w:rFonts w:ascii="Times New Roman" w:hAnsi="Times New Roman" w:cs="Times New Roman"/>
          <w:sz w:val="24"/>
        </w:rPr>
        <w:t>among at-risk women.  While most</w:t>
      </w:r>
      <w:r w:rsidR="00937907" w:rsidRPr="00C1694A">
        <w:rPr>
          <w:rFonts w:ascii="Times New Roman" w:hAnsi="Times New Roman" w:cs="Times New Roman"/>
          <w:sz w:val="24"/>
        </w:rPr>
        <w:t xml:space="preserve"> of this </w:t>
      </w:r>
      <w:r w:rsidR="004B0A9D" w:rsidRPr="00C1694A">
        <w:rPr>
          <w:rFonts w:ascii="Times New Roman" w:hAnsi="Times New Roman" w:cs="Times New Roman"/>
          <w:sz w:val="24"/>
        </w:rPr>
        <w:t>subpart is structurally different from §1304.40 in</w:t>
      </w:r>
      <w:r w:rsidR="004D5046" w:rsidRPr="00C1694A">
        <w:rPr>
          <w:rFonts w:ascii="Times New Roman" w:hAnsi="Times New Roman" w:cs="Times New Roman"/>
          <w:sz w:val="24"/>
        </w:rPr>
        <w:t xml:space="preserve"> the</w:t>
      </w:r>
      <w:r w:rsidR="004B0A9D" w:rsidRPr="00C1694A">
        <w:rPr>
          <w:rFonts w:ascii="Times New Roman" w:hAnsi="Times New Roman" w:cs="Times New Roman"/>
          <w:sz w:val="24"/>
        </w:rPr>
        <w:t xml:space="preserve"> previous rule, </w:t>
      </w:r>
      <w:r w:rsidR="00937907" w:rsidRPr="00C1694A">
        <w:rPr>
          <w:rFonts w:ascii="Times New Roman" w:hAnsi="Times New Roman" w:cs="Times New Roman"/>
          <w:sz w:val="24"/>
        </w:rPr>
        <w:t xml:space="preserve">it </w:t>
      </w:r>
      <w:r w:rsidR="004B0A9D" w:rsidRPr="00C1694A">
        <w:rPr>
          <w:rFonts w:ascii="Times New Roman" w:hAnsi="Times New Roman" w:cs="Times New Roman"/>
          <w:sz w:val="24"/>
        </w:rPr>
        <w:t>expands upon services we have always required to codify best practices</w:t>
      </w:r>
      <w:r w:rsidR="004B0A9D" w:rsidRPr="00C1694A">
        <w:rPr>
          <w:rFonts w:ascii="Times New Roman" w:hAnsi="Times New Roman" w:cs="Times New Roman"/>
          <w:sz w:val="24"/>
          <w:szCs w:val="24"/>
        </w:rPr>
        <w:t xml:space="preserve"> and </w:t>
      </w:r>
      <w:r w:rsidR="00937907" w:rsidRPr="00C1694A">
        <w:rPr>
          <w:rFonts w:ascii="Times New Roman" w:hAnsi="Times New Roman" w:cs="Times New Roman"/>
          <w:sz w:val="24"/>
          <w:szCs w:val="24"/>
        </w:rPr>
        <w:t>also highlights the importance of prenatal health care and education.</w:t>
      </w:r>
      <w:r w:rsidR="004E203A" w:rsidRPr="00C1694A">
        <w:rPr>
          <w:rFonts w:ascii="Times New Roman" w:hAnsi="Times New Roman" w:cs="Times New Roman"/>
          <w:sz w:val="24"/>
          <w:szCs w:val="24"/>
        </w:rPr>
        <w:t xml:space="preserve">  Commenters generally supported this subpart.  We discuss specific comments and our responses below. </w:t>
      </w:r>
    </w:p>
    <w:p w:rsidR="00B9747C" w:rsidRPr="00C1694A" w:rsidRDefault="00F42D11"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General C</w:t>
      </w:r>
      <w:r w:rsidR="00B9747C" w:rsidRPr="00C1694A">
        <w:rPr>
          <w:rFonts w:ascii="Times New Roman" w:hAnsi="Times New Roman" w:cs="Times New Roman"/>
          <w:i/>
          <w:sz w:val="24"/>
          <w:szCs w:val="24"/>
        </w:rPr>
        <w:t>omments.</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C149E5" w:rsidRPr="00C1694A">
        <w:rPr>
          <w:rFonts w:ascii="Times New Roman" w:hAnsi="Times New Roman" w:cs="Times New Roman"/>
          <w:sz w:val="24"/>
          <w:szCs w:val="24"/>
        </w:rPr>
        <w:t xml:space="preserve">  </w:t>
      </w:r>
      <w:r w:rsidR="000E5788" w:rsidRPr="00C1694A">
        <w:rPr>
          <w:rFonts w:ascii="Times New Roman" w:hAnsi="Times New Roman" w:cs="Times New Roman"/>
          <w:sz w:val="24"/>
          <w:szCs w:val="24"/>
        </w:rPr>
        <w:t>Commenters</w:t>
      </w:r>
      <w:r w:rsidR="005A6D4C" w:rsidRPr="00C1694A">
        <w:rPr>
          <w:rFonts w:ascii="Times New Roman" w:hAnsi="Times New Roman" w:cs="Times New Roman"/>
          <w:sz w:val="24"/>
          <w:szCs w:val="24"/>
        </w:rPr>
        <w:t xml:space="preserve"> </w:t>
      </w:r>
      <w:r w:rsidRPr="00C1694A">
        <w:rPr>
          <w:rFonts w:ascii="Times New Roman" w:hAnsi="Times New Roman" w:cs="Times New Roman"/>
          <w:sz w:val="24"/>
          <w:szCs w:val="24"/>
        </w:rPr>
        <w:t>support</w:t>
      </w:r>
      <w:r w:rsidR="000E5788" w:rsidRPr="00C1694A">
        <w:rPr>
          <w:rFonts w:ascii="Times New Roman" w:hAnsi="Times New Roman" w:cs="Times New Roman"/>
          <w:sz w:val="24"/>
          <w:szCs w:val="24"/>
        </w:rPr>
        <w:t>ed our</w:t>
      </w:r>
      <w:r w:rsidRPr="00C1694A">
        <w:rPr>
          <w:rFonts w:ascii="Times New Roman" w:hAnsi="Times New Roman" w:cs="Times New Roman"/>
          <w:sz w:val="24"/>
          <w:szCs w:val="24"/>
        </w:rPr>
        <w:t xml:space="preserve"> overall approach </w:t>
      </w:r>
      <w:r w:rsidR="000E5788" w:rsidRPr="00C1694A">
        <w:rPr>
          <w:rFonts w:ascii="Times New Roman" w:hAnsi="Times New Roman" w:cs="Times New Roman"/>
          <w:sz w:val="24"/>
          <w:szCs w:val="24"/>
        </w:rPr>
        <w:t xml:space="preserve">that </w:t>
      </w:r>
      <w:r w:rsidRPr="00C1694A">
        <w:rPr>
          <w:rFonts w:ascii="Times New Roman" w:hAnsi="Times New Roman" w:cs="Times New Roman"/>
          <w:sz w:val="24"/>
          <w:szCs w:val="24"/>
        </w:rPr>
        <w:t>creat</w:t>
      </w:r>
      <w:r w:rsidR="000E5788" w:rsidRPr="00C1694A">
        <w:rPr>
          <w:rFonts w:ascii="Times New Roman" w:hAnsi="Times New Roman" w:cs="Times New Roman"/>
          <w:sz w:val="24"/>
          <w:szCs w:val="24"/>
        </w:rPr>
        <w:t>es</w:t>
      </w:r>
      <w:r w:rsidRPr="00C1694A">
        <w:rPr>
          <w:rFonts w:ascii="Times New Roman" w:hAnsi="Times New Roman" w:cs="Times New Roman"/>
          <w:sz w:val="24"/>
          <w:szCs w:val="24"/>
        </w:rPr>
        <w:t xml:space="preserve"> a standalone subpart for services to pregnant women as well as individual new requirements for services to pregnant women.</w:t>
      </w:r>
      <w:r w:rsidR="000E5788"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t>
      </w:r>
      <w:r w:rsidR="000E5788" w:rsidRPr="00C1694A">
        <w:rPr>
          <w:rFonts w:ascii="Times New Roman" w:hAnsi="Times New Roman" w:cs="Times New Roman"/>
          <w:sz w:val="24"/>
          <w:szCs w:val="24"/>
        </w:rPr>
        <w:t>opposed</w:t>
      </w:r>
      <w:r w:rsidR="005A6D4C" w:rsidRPr="00C1694A">
        <w:rPr>
          <w:rFonts w:ascii="Times New Roman" w:hAnsi="Times New Roman" w:cs="Times New Roman"/>
          <w:sz w:val="24"/>
          <w:szCs w:val="24"/>
        </w:rPr>
        <w:t xml:space="preserve"> </w:t>
      </w:r>
      <w:r w:rsidRPr="00C1694A">
        <w:rPr>
          <w:rFonts w:ascii="Times New Roman" w:hAnsi="Times New Roman" w:cs="Times New Roman"/>
          <w:sz w:val="24"/>
          <w:szCs w:val="24"/>
        </w:rPr>
        <w:t>the additional requirements</w:t>
      </w:r>
      <w:r w:rsidR="000E5788" w:rsidRPr="00C1694A">
        <w:rPr>
          <w:rFonts w:ascii="Times New Roman" w:hAnsi="Times New Roman" w:cs="Times New Roman"/>
          <w:sz w:val="24"/>
          <w:szCs w:val="24"/>
        </w:rPr>
        <w:t xml:space="preserve"> we proposed </w:t>
      </w:r>
      <w:r w:rsidRPr="00C1694A">
        <w:rPr>
          <w:rFonts w:ascii="Times New Roman" w:hAnsi="Times New Roman" w:cs="Times New Roman"/>
          <w:sz w:val="24"/>
          <w:szCs w:val="24"/>
        </w:rPr>
        <w:t>for pregnant women</w:t>
      </w:r>
      <w:r w:rsidR="00D659F2" w:rsidRPr="00C1694A">
        <w:rPr>
          <w:rFonts w:ascii="Times New Roman" w:hAnsi="Times New Roman" w:cs="Times New Roman"/>
          <w:sz w:val="24"/>
          <w:szCs w:val="24"/>
        </w:rPr>
        <w:t xml:space="preserve"> w</w:t>
      </w:r>
      <w:r w:rsidRPr="00C1694A">
        <w:rPr>
          <w:rFonts w:ascii="Times New Roman" w:hAnsi="Times New Roman" w:cs="Times New Roman"/>
          <w:sz w:val="24"/>
          <w:szCs w:val="24"/>
        </w:rPr>
        <w:t xml:space="preserve">hile other commenters </w:t>
      </w:r>
      <w:r w:rsidR="00EC4B14" w:rsidRPr="00C1694A">
        <w:rPr>
          <w:rFonts w:ascii="Times New Roman" w:hAnsi="Times New Roman" w:cs="Times New Roman"/>
          <w:sz w:val="24"/>
          <w:szCs w:val="24"/>
        </w:rPr>
        <w:t xml:space="preserve">suggested </w:t>
      </w:r>
      <w:r w:rsidR="000E5788" w:rsidRPr="00C1694A">
        <w:rPr>
          <w:rFonts w:ascii="Times New Roman" w:hAnsi="Times New Roman" w:cs="Times New Roman"/>
          <w:sz w:val="24"/>
          <w:szCs w:val="24"/>
        </w:rPr>
        <w:t xml:space="preserve">programs would require additional funds if they </w:t>
      </w:r>
      <w:r w:rsidRPr="00C1694A">
        <w:rPr>
          <w:rFonts w:ascii="Times New Roman" w:hAnsi="Times New Roman" w:cs="Times New Roman"/>
          <w:sz w:val="24"/>
          <w:szCs w:val="24"/>
        </w:rPr>
        <w:t xml:space="preserve">increased services to pregnant women.  </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C149E5" w:rsidRPr="00C1694A">
        <w:rPr>
          <w:rFonts w:ascii="Times New Roman" w:hAnsi="Times New Roman" w:cs="Times New Roman"/>
          <w:sz w:val="24"/>
          <w:szCs w:val="24"/>
        </w:rPr>
        <w:t xml:space="preserve">  </w:t>
      </w:r>
      <w:r w:rsidRPr="00C1694A">
        <w:rPr>
          <w:rFonts w:ascii="Times New Roman" w:hAnsi="Times New Roman" w:cs="Times New Roman"/>
          <w:sz w:val="24"/>
          <w:szCs w:val="24"/>
        </w:rPr>
        <w:t>We understand the concerns some commenters described, especially related to cost</w:t>
      </w:r>
      <w:r w:rsidR="000740C1"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However, pregnant women are enrolled in Early Head Start programs, and </w:t>
      </w:r>
      <w:r w:rsidR="00D659F2" w:rsidRPr="00C1694A">
        <w:rPr>
          <w:rFonts w:ascii="Times New Roman" w:hAnsi="Times New Roman" w:cs="Times New Roman"/>
          <w:sz w:val="24"/>
          <w:szCs w:val="24"/>
        </w:rPr>
        <w:t>therefore</w:t>
      </w:r>
      <w:r w:rsidRPr="00C1694A">
        <w:rPr>
          <w:rFonts w:ascii="Times New Roman" w:hAnsi="Times New Roman" w:cs="Times New Roman"/>
          <w:sz w:val="24"/>
          <w:szCs w:val="24"/>
        </w:rPr>
        <w:t xml:space="preserve">, funding is provided for these services. </w:t>
      </w:r>
      <w:r w:rsidR="004D5046" w:rsidRPr="00C1694A">
        <w:rPr>
          <w:rFonts w:ascii="Times New Roman" w:hAnsi="Times New Roman" w:cs="Times New Roman"/>
          <w:sz w:val="24"/>
          <w:szCs w:val="24"/>
        </w:rPr>
        <w:t xml:space="preserve">This subpart primarily reflects current practice that was not included in the regulation.  </w:t>
      </w:r>
      <w:r w:rsidRPr="00C1694A">
        <w:rPr>
          <w:rFonts w:ascii="Times New Roman" w:hAnsi="Times New Roman" w:cs="Times New Roman"/>
          <w:sz w:val="24"/>
          <w:szCs w:val="24"/>
        </w:rPr>
        <w:t xml:space="preserve">We retained </w:t>
      </w:r>
      <w:r w:rsidR="004D5046" w:rsidRPr="00C1694A">
        <w:rPr>
          <w:rFonts w:ascii="Times New Roman" w:hAnsi="Times New Roman" w:cs="Times New Roman"/>
          <w:sz w:val="24"/>
          <w:szCs w:val="24"/>
        </w:rPr>
        <w:t>this section to codify</w:t>
      </w:r>
      <w:r w:rsidRPr="00C1694A">
        <w:rPr>
          <w:rFonts w:ascii="Times New Roman" w:hAnsi="Times New Roman" w:cs="Times New Roman"/>
          <w:sz w:val="24"/>
          <w:szCs w:val="24"/>
        </w:rPr>
        <w:t xml:space="preserve"> </w:t>
      </w:r>
      <w:r w:rsidR="004D5046" w:rsidRPr="00C1694A">
        <w:rPr>
          <w:rFonts w:ascii="Times New Roman" w:hAnsi="Times New Roman" w:cs="Times New Roman"/>
          <w:sz w:val="24"/>
          <w:szCs w:val="24"/>
        </w:rPr>
        <w:t>practices related</w:t>
      </w:r>
      <w:r w:rsidRPr="00C1694A">
        <w:rPr>
          <w:rFonts w:ascii="Times New Roman" w:hAnsi="Times New Roman" w:cs="Times New Roman"/>
          <w:sz w:val="24"/>
          <w:szCs w:val="24"/>
        </w:rPr>
        <w:t xml:space="preserve"> to pregnant women.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C149E5"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w:t>
      </w:r>
      <w:r w:rsidR="004D5046" w:rsidRPr="00C1694A">
        <w:rPr>
          <w:rFonts w:ascii="Times New Roman" w:hAnsi="Times New Roman" w:cs="Times New Roman"/>
          <w:sz w:val="24"/>
          <w:szCs w:val="24"/>
        </w:rPr>
        <w:t xml:space="preserve">programs </w:t>
      </w:r>
      <w:r w:rsidRPr="00C1694A">
        <w:rPr>
          <w:rFonts w:ascii="Times New Roman" w:hAnsi="Times New Roman" w:cs="Times New Roman"/>
          <w:sz w:val="24"/>
          <w:szCs w:val="24"/>
        </w:rPr>
        <w:t xml:space="preserve">carefully consider </w:t>
      </w:r>
      <w:r w:rsidR="004D5046" w:rsidRPr="00C1694A">
        <w:rPr>
          <w:rFonts w:ascii="Times New Roman" w:hAnsi="Times New Roman" w:cs="Times New Roman"/>
          <w:sz w:val="24"/>
          <w:szCs w:val="24"/>
        </w:rPr>
        <w:t>when to enroll pregnant women so that their children will be able to enroll in the Early Head Start program</w:t>
      </w:r>
      <w:r w:rsidRPr="00C1694A">
        <w:rPr>
          <w:rFonts w:ascii="Times New Roman" w:hAnsi="Times New Roman" w:cs="Times New Roman"/>
          <w:sz w:val="24"/>
          <w:szCs w:val="24"/>
        </w:rPr>
        <w:t xml:space="preserve">. </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B9747C" w:rsidRPr="00C1694A">
        <w:rPr>
          <w:rFonts w:ascii="Times New Roman" w:hAnsi="Times New Roman" w:cs="Times New Roman"/>
          <w:sz w:val="24"/>
          <w:szCs w:val="24"/>
        </w:rPr>
        <w:t xml:space="preserve">  While we agree with this comment, we do not think there is a need for a program performance standard to require such consideration.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that the entire </w:t>
      </w:r>
      <w:r w:rsidR="00B56C65">
        <w:rPr>
          <w:rFonts w:ascii="Times New Roman" w:hAnsi="Times New Roman" w:cs="Times New Roman"/>
          <w:sz w:val="24"/>
          <w:szCs w:val="24"/>
        </w:rPr>
        <w:t>subpart</w:t>
      </w:r>
      <w:r w:rsidR="00B56C65"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should refer to expectant families rather than pregnant women, or requested clarification about the scope of services required for </w:t>
      </w:r>
      <w:r w:rsidR="00B9747C" w:rsidRPr="00C1694A">
        <w:rPr>
          <w:rFonts w:ascii="Times New Roman" w:hAnsi="Times New Roman" w:cs="Times New Roman"/>
          <w:sz w:val="24"/>
          <w:szCs w:val="24"/>
        </w:rPr>
        <w:t>a pregnant mother of an enrolled child who is not herself enrolled in Early Head Start.</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B9747C" w:rsidRPr="00C1694A">
        <w:rPr>
          <w:rFonts w:ascii="Times New Roman" w:hAnsi="Times New Roman" w:cs="Times New Roman"/>
          <w:sz w:val="24"/>
          <w:szCs w:val="24"/>
        </w:rPr>
        <w:t xml:space="preserve">This </w:t>
      </w:r>
      <w:r w:rsidR="00B56C65">
        <w:rPr>
          <w:rFonts w:ascii="Times New Roman" w:hAnsi="Times New Roman" w:cs="Times New Roman"/>
          <w:sz w:val="24"/>
          <w:szCs w:val="24"/>
        </w:rPr>
        <w:t>subpart</w:t>
      </w:r>
      <w:r w:rsidR="00B56C65" w:rsidRPr="00C1694A">
        <w:rPr>
          <w:rFonts w:ascii="Times New Roman" w:hAnsi="Times New Roman" w:cs="Times New Roman"/>
          <w:sz w:val="24"/>
          <w:szCs w:val="24"/>
        </w:rPr>
        <w:t xml:space="preserve"> </w:t>
      </w:r>
      <w:r w:rsidR="00B9747C" w:rsidRPr="00C1694A">
        <w:rPr>
          <w:rFonts w:ascii="Times New Roman" w:hAnsi="Times New Roman" w:cs="Times New Roman"/>
          <w:sz w:val="24"/>
          <w:szCs w:val="24"/>
        </w:rPr>
        <w:t>pertains only to enrolled pregnant women</w:t>
      </w:r>
      <w:r w:rsidR="00F865DA" w:rsidRPr="00C1694A">
        <w:rPr>
          <w:rFonts w:ascii="Times New Roman" w:hAnsi="Times New Roman" w:cs="Times New Roman"/>
          <w:sz w:val="24"/>
          <w:szCs w:val="24"/>
        </w:rPr>
        <w:t xml:space="preserve">, and we revised </w:t>
      </w:r>
      <w:r w:rsidR="00B56C65" w:rsidRPr="00A93100">
        <w:rPr>
          <w:rFonts w:ascii="Times New Roman" w:hAnsi="Times New Roman" w:cs="Times New Roman"/>
          <w:sz w:val="24"/>
          <w:szCs w:val="24"/>
        </w:rPr>
        <w:t>§</w:t>
      </w:r>
      <w:r w:rsidR="00B56C65">
        <w:rPr>
          <w:rFonts w:ascii="Times New Roman" w:hAnsi="Times New Roman" w:cs="Times New Roman"/>
          <w:sz w:val="24"/>
          <w:szCs w:val="24"/>
        </w:rPr>
        <w:t>1302.80</w:t>
      </w:r>
      <w:r w:rsidR="00F865DA" w:rsidRPr="00C1694A">
        <w:rPr>
          <w:rFonts w:ascii="Times New Roman" w:hAnsi="Times New Roman" w:cs="Times New Roman"/>
          <w:sz w:val="24"/>
          <w:szCs w:val="24"/>
        </w:rPr>
        <w:t>(a) to further clarify this.</w:t>
      </w:r>
      <w:r w:rsidR="00B9747C" w:rsidRPr="00C1694A">
        <w:rPr>
          <w:rFonts w:ascii="Times New Roman" w:hAnsi="Times New Roman" w:cs="Times New Roman"/>
          <w:sz w:val="24"/>
          <w:szCs w:val="24"/>
        </w:rPr>
        <w:t xml:space="preserve">  </w:t>
      </w:r>
      <w:r w:rsidRPr="00C1694A">
        <w:rPr>
          <w:rFonts w:ascii="Times New Roman" w:hAnsi="Times New Roman" w:cs="Times New Roman"/>
          <w:sz w:val="24"/>
          <w:szCs w:val="24"/>
        </w:rPr>
        <w:t>While we made it clear that</w:t>
      </w:r>
      <w:r w:rsidR="00B9747C" w:rsidRPr="00C1694A">
        <w:rPr>
          <w:rFonts w:ascii="Times New Roman" w:hAnsi="Times New Roman" w:cs="Times New Roman"/>
          <w:sz w:val="24"/>
          <w:szCs w:val="24"/>
        </w:rPr>
        <w:t xml:space="preserve"> relevant </w:t>
      </w:r>
      <w:r w:rsidRPr="00C1694A">
        <w:rPr>
          <w:rFonts w:ascii="Times New Roman" w:hAnsi="Times New Roman" w:cs="Times New Roman"/>
          <w:sz w:val="24"/>
          <w:szCs w:val="24"/>
        </w:rPr>
        <w:t xml:space="preserve">services should include the entire expectant family, wherever possible, pregnant women are the family member who is enrolled in Early Head Start. Further, </w:t>
      </w:r>
      <w:r w:rsidR="00FD541E" w:rsidRPr="00C1694A">
        <w:rPr>
          <w:rFonts w:ascii="Times New Roman" w:hAnsi="Times New Roman" w:cs="Times New Roman"/>
          <w:sz w:val="24"/>
          <w:szCs w:val="24"/>
        </w:rPr>
        <w:t>§</w:t>
      </w:r>
      <w:r w:rsidRPr="00C1694A">
        <w:rPr>
          <w:rFonts w:ascii="Times New Roman" w:hAnsi="Times New Roman" w:cs="Times New Roman"/>
          <w:sz w:val="24"/>
          <w:szCs w:val="24"/>
        </w:rPr>
        <w:t>1302.46</w:t>
      </w:r>
      <w:r w:rsidR="00F865DA" w:rsidRPr="00C1694A">
        <w:rPr>
          <w:rFonts w:ascii="Times New Roman" w:hAnsi="Times New Roman" w:cs="Times New Roman"/>
          <w:sz w:val="24"/>
          <w:szCs w:val="24"/>
        </w:rPr>
        <w:t xml:space="preserve"> describes services for expectant families </w:t>
      </w:r>
      <w:r w:rsidR="00E077AD" w:rsidRPr="00C1694A">
        <w:rPr>
          <w:rFonts w:ascii="Times New Roman" w:hAnsi="Times New Roman" w:cs="Times New Roman"/>
          <w:sz w:val="24"/>
          <w:szCs w:val="24"/>
        </w:rPr>
        <w:t xml:space="preserve">of enrolled children </w:t>
      </w:r>
      <w:r w:rsidR="00F865DA" w:rsidRPr="00C1694A">
        <w:rPr>
          <w:rFonts w:ascii="Times New Roman" w:hAnsi="Times New Roman" w:cs="Times New Roman"/>
          <w:sz w:val="24"/>
          <w:szCs w:val="24"/>
        </w:rPr>
        <w:t xml:space="preserve">that may be relevant, </w:t>
      </w:r>
      <w:r w:rsidR="00E077AD" w:rsidRPr="00C1694A">
        <w:rPr>
          <w:rFonts w:ascii="Times New Roman" w:hAnsi="Times New Roman" w:cs="Times New Roman"/>
          <w:sz w:val="24"/>
          <w:szCs w:val="24"/>
        </w:rPr>
        <w:t>but</w:t>
      </w:r>
      <w:r w:rsidRPr="00C1694A">
        <w:rPr>
          <w:rFonts w:ascii="Times New Roman" w:hAnsi="Times New Roman" w:cs="Times New Roman"/>
          <w:sz w:val="24"/>
          <w:szCs w:val="24"/>
        </w:rPr>
        <w:t xml:space="preserve"> programs must only provide opportunities </w:t>
      </w:r>
      <w:r w:rsidR="00B9747C" w:rsidRPr="00C1694A">
        <w:rPr>
          <w:rFonts w:ascii="Times New Roman" w:hAnsi="Times New Roman" w:cs="Times New Roman"/>
          <w:sz w:val="24"/>
          <w:szCs w:val="24"/>
        </w:rPr>
        <w:t>to learn about healthy pregnancy and post-partum care to</w:t>
      </w:r>
      <w:r w:rsidRPr="00C1694A">
        <w:rPr>
          <w:rFonts w:ascii="Times New Roman" w:hAnsi="Times New Roman" w:cs="Times New Roman"/>
          <w:sz w:val="24"/>
          <w:szCs w:val="24"/>
        </w:rPr>
        <w:t xml:space="preserve"> </w:t>
      </w:r>
      <w:r w:rsidR="00B9747C" w:rsidRPr="00C1694A">
        <w:rPr>
          <w:rFonts w:ascii="Times New Roman" w:hAnsi="Times New Roman" w:cs="Times New Roman"/>
          <w:sz w:val="24"/>
          <w:szCs w:val="24"/>
        </w:rPr>
        <w:t xml:space="preserve">expectant </w:t>
      </w:r>
      <w:r w:rsidRPr="00C1694A">
        <w:rPr>
          <w:rFonts w:ascii="Times New Roman" w:hAnsi="Times New Roman" w:cs="Times New Roman"/>
          <w:sz w:val="24"/>
          <w:szCs w:val="24"/>
        </w:rPr>
        <w:t xml:space="preserve">parents </w:t>
      </w:r>
      <w:r w:rsidR="00B9747C" w:rsidRPr="00C1694A">
        <w:rPr>
          <w:rFonts w:ascii="Times New Roman" w:hAnsi="Times New Roman" w:cs="Times New Roman"/>
          <w:sz w:val="24"/>
          <w:szCs w:val="24"/>
        </w:rPr>
        <w:t xml:space="preserve">of enrolled children </w:t>
      </w:r>
      <w:r w:rsidRPr="00C1694A">
        <w:rPr>
          <w:rFonts w:ascii="Times New Roman" w:hAnsi="Times New Roman" w:cs="Times New Roman"/>
          <w:sz w:val="24"/>
          <w:szCs w:val="24"/>
        </w:rPr>
        <w:t xml:space="preserve">who are not </w:t>
      </w:r>
      <w:r w:rsidR="00B9747C" w:rsidRPr="00C1694A">
        <w:rPr>
          <w:rFonts w:ascii="Times New Roman" w:hAnsi="Times New Roman" w:cs="Times New Roman"/>
          <w:sz w:val="24"/>
          <w:szCs w:val="24"/>
        </w:rPr>
        <w:t xml:space="preserve">themselves </w:t>
      </w:r>
      <w:r w:rsidRPr="00C1694A">
        <w:rPr>
          <w:rFonts w:ascii="Times New Roman" w:hAnsi="Times New Roman" w:cs="Times New Roman"/>
          <w:sz w:val="24"/>
          <w:szCs w:val="24"/>
        </w:rPr>
        <w:t xml:space="preserve">enrolled. We </w:t>
      </w:r>
      <w:r w:rsidR="00FD541E" w:rsidRPr="00C1694A">
        <w:rPr>
          <w:rFonts w:ascii="Times New Roman" w:hAnsi="Times New Roman" w:cs="Times New Roman"/>
          <w:sz w:val="24"/>
          <w:szCs w:val="24"/>
        </w:rPr>
        <w:t>did</w:t>
      </w:r>
      <w:r w:rsidRPr="00C1694A">
        <w:rPr>
          <w:rFonts w:ascii="Times New Roman" w:hAnsi="Times New Roman" w:cs="Times New Roman"/>
          <w:sz w:val="24"/>
          <w:szCs w:val="24"/>
        </w:rPr>
        <w:t xml:space="preserve"> not </w:t>
      </w:r>
      <w:r w:rsidR="00D659F2" w:rsidRPr="00C1694A">
        <w:rPr>
          <w:rFonts w:ascii="Times New Roman" w:hAnsi="Times New Roman" w:cs="Times New Roman"/>
          <w:sz w:val="24"/>
          <w:szCs w:val="24"/>
        </w:rPr>
        <w:t>make revisions based on these comments</w:t>
      </w:r>
      <w:r w:rsidRPr="00C1694A">
        <w:rPr>
          <w:rFonts w:ascii="Times New Roman" w:hAnsi="Times New Roman" w:cs="Times New Roman"/>
          <w:sz w:val="24"/>
          <w:szCs w:val="24"/>
        </w:rPr>
        <w:t>.</w:t>
      </w:r>
    </w:p>
    <w:p w:rsidR="00E77A18" w:rsidRPr="00C1694A" w:rsidRDefault="00E77A18"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§1302.80 Enrolled pregnant women. </w:t>
      </w:r>
    </w:p>
    <w:p w:rsidR="00B9747C" w:rsidRPr="00C1694A" w:rsidRDefault="00B9747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section describes the services programs must provide to enrolled pregnant women.  </w:t>
      </w:r>
      <w:r w:rsidR="00D0700A" w:rsidRPr="00C1694A">
        <w:rPr>
          <w:rFonts w:ascii="Times New Roman" w:hAnsi="Times New Roman" w:cs="Times New Roman"/>
          <w:sz w:val="24"/>
          <w:szCs w:val="24"/>
        </w:rPr>
        <w:t xml:space="preserve">It requires programs to assess whether or not enrolled pregnant women have access to an ongoing source of health care and health insurance, and if not, to facilitate their access to such care and insurance.  </w:t>
      </w:r>
      <w:r w:rsidR="002F5F31" w:rsidRPr="00C1694A">
        <w:rPr>
          <w:rFonts w:ascii="Times New Roman" w:hAnsi="Times New Roman" w:cs="Times New Roman"/>
          <w:sz w:val="24"/>
          <w:szCs w:val="24"/>
        </w:rPr>
        <w:t xml:space="preserve">It also includes a requirement for a newborn visit.  </w:t>
      </w:r>
      <w:r w:rsidR="00D0700A" w:rsidRPr="00C1694A">
        <w:rPr>
          <w:rFonts w:ascii="Times New Roman" w:hAnsi="Times New Roman" w:cs="Times New Roman"/>
          <w:sz w:val="24"/>
          <w:szCs w:val="24"/>
        </w:rPr>
        <w:t>We received comments on this section and discuss them below.</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explicitly opposed the new requirement </w:t>
      </w:r>
      <w:r w:rsidR="00D659F2" w:rsidRPr="00C1694A">
        <w:rPr>
          <w:rFonts w:ascii="Times New Roman" w:hAnsi="Times New Roman" w:cs="Times New Roman"/>
          <w:sz w:val="24"/>
          <w:szCs w:val="24"/>
        </w:rPr>
        <w:t>in paragraph (</w:t>
      </w:r>
      <w:r w:rsidR="00D0700A" w:rsidRPr="00C1694A">
        <w:rPr>
          <w:rFonts w:ascii="Times New Roman" w:hAnsi="Times New Roman" w:cs="Times New Roman"/>
          <w:sz w:val="24"/>
          <w:szCs w:val="24"/>
        </w:rPr>
        <w:t>b</w:t>
      </w:r>
      <w:r w:rsidR="00D659F2" w:rsidRPr="00C1694A">
        <w:rPr>
          <w:rFonts w:ascii="Times New Roman" w:hAnsi="Times New Roman" w:cs="Times New Roman"/>
          <w:sz w:val="24"/>
          <w:szCs w:val="24"/>
        </w:rPr>
        <w:t xml:space="preserve">) </w:t>
      </w:r>
      <w:r w:rsidRPr="00C1694A">
        <w:rPr>
          <w:rFonts w:ascii="Times New Roman" w:hAnsi="Times New Roman" w:cs="Times New Roman"/>
          <w:sz w:val="24"/>
          <w:szCs w:val="24"/>
        </w:rPr>
        <w:t>to assist pregnant women in accessing health insurance.</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Ensuring pregnant women have health insurance is critical to ensuring they receive adequate prenatal care.</w:t>
      </w:r>
      <w:r w:rsidR="00ED4C98" w:rsidRPr="00C1694A">
        <w:rPr>
          <w:rStyle w:val="FootnoteReference"/>
          <w:rFonts w:ascii="Times New Roman" w:hAnsi="Times New Roman" w:cs="Times New Roman"/>
          <w:sz w:val="24"/>
          <w:szCs w:val="24"/>
        </w:rPr>
        <w:footnoteReference w:id="117"/>
      </w:r>
      <w:r w:rsidR="00ED4C98" w:rsidRPr="00C1694A">
        <w:rPr>
          <w:rFonts w:ascii="Times New Roman" w:hAnsi="Times New Roman" w:cs="Times New Roman"/>
          <w:sz w:val="24"/>
          <w:szCs w:val="24"/>
          <w:vertAlign w:val="superscript"/>
        </w:rPr>
        <w:t>,</w:t>
      </w:r>
      <w:r w:rsidR="00ED4C98" w:rsidRPr="00C1694A">
        <w:rPr>
          <w:rStyle w:val="FootnoteReference"/>
          <w:rFonts w:ascii="Times New Roman" w:hAnsi="Times New Roman" w:cs="Times New Roman"/>
          <w:sz w:val="24"/>
          <w:szCs w:val="24"/>
        </w:rPr>
        <w:footnoteReference w:id="118"/>
      </w:r>
      <w:r w:rsidR="00ED4C98" w:rsidRPr="00C1694A">
        <w:rPr>
          <w:rFonts w:ascii="Times New Roman" w:hAnsi="Times New Roman" w:cs="Times New Roman"/>
          <w:sz w:val="24"/>
          <w:szCs w:val="24"/>
          <w:vertAlign w:val="superscript"/>
        </w:rPr>
        <w:t>,</w:t>
      </w:r>
      <w:r w:rsidR="00ED4C98" w:rsidRPr="00C1694A">
        <w:rPr>
          <w:rStyle w:val="FootnoteReference"/>
          <w:rFonts w:ascii="Times New Roman" w:hAnsi="Times New Roman" w:cs="Times New Roman"/>
          <w:sz w:val="24"/>
          <w:szCs w:val="24"/>
        </w:rPr>
        <w:footnoteReference w:id="119"/>
      </w:r>
      <w:r w:rsidRPr="00C1694A">
        <w:rPr>
          <w:rFonts w:ascii="Times New Roman" w:hAnsi="Times New Roman" w:cs="Times New Roman"/>
          <w:sz w:val="24"/>
          <w:szCs w:val="24"/>
          <w:vertAlign w:val="superscript"/>
        </w:rPr>
        <w:t xml:space="preserve"> </w:t>
      </w:r>
      <w:r w:rsidRPr="00C1694A">
        <w:rPr>
          <w:rFonts w:ascii="Times New Roman" w:hAnsi="Times New Roman" w:cs="Times New Roman"/>
          <w:sz w:val="24"/>
          <w:szCs w:val="24"/>
        </w:rPr>
        <w:t xml:space="preserve"> We did not revise the provision.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clarity about what </w:t>
      </w:r>
      <w:r w:rsidR="00D0700A" w:rsidRPr="00C1694A">
        <w:rPr>
          <w:rFonts w:ascii="Times New Roman" w:hAnsi="Times New Roman" w:cs="Times New Roman"/>
          <w:sz w:val="24"/>
          <w:szCs w:val="24"/>
        </w:rPr>
        <w:t>we</w:t>
      </w:r>
      <w:r w:rsidRPr="00C1694A">
        <w:rPr>
          <w:rFonts w:ascii="Times New Roman" w:hAnsi="Times New Roman" w:cs="Times New Roman"/>
          <w:sz w:val="24"/>
          <w:szCs w:val="24"/>
        </w:rPr>
        <w:t xml:space="preserve"> meant </w:t>
      </w:r>
      <w:r w:rsidR="005A6D4C" w:rsidRPr="00C1694A">
        <w:rPr>
          <w:rFonts w:ascii="Times New Roman" w:hAnsi="Times New Roman" w:cs="Times New Roman"/>
          <w:sz w:val="24"/>
          <w:szCs w:val="24"/>
        </w:rPr>
        <w:t xml:space="preserve">by </w:t>
      </w:r>
      <w:r w:rsidRPr="00C1694A">
        <w:rPr>
          <w:rFonts w:ascii="Times New Roman" w:hAnsi="Times New Roman" w:cs="Times New Roman"/>
          <w:sz w:val="24"/>
          <w:szCs w:val="24"/>
        </w:rPr>
        <w:t>“as quickly as possible” in regard to the requirement</w:t>
      </w:r>
      <w:r w:rsidR="00D659F2" w:rsidRPr="00C1694A">
        <w:rPr>
          <w:rFonts w:ascii="Times New Roman" w:hAnsi="Times New Roman" w:cs="Times New Roman"/>
          <w:sz w:val="24"/>
          <w:szCs w:val="24"/>
        </w:rPr>
        <w:t xml:space="preserve"> in paragraph (b)</w:t>
      </w:r>
      <w:r w:rsidRPr="00C1694A">
        <w:rPr>
          <w:rFonts w:ascii="Times New Roman" w:hAnsi="Times New Roman" w:cs="Times New Roman"/>
          <w:sz w:val="24"/>
          <w:szCs w:val="24"/>
        </w:rPr>
        <w:t xml:space="preserve"> that programs support access to health care for pregnant women.  </w:t>
      </w:r>
      <w:r w:rsidR="005A6D4C" w:rsidRPr="00C1694A">
        <w:rPr>
          <w:rFonts w:ascii="Times New Roman" w:hAnsi="Times New Roman" w:cs="Times New Roman"/>
          <w:sz w:val="24"/>
          <w:szCs w:val="24"/>
        </w:rPr>
        <w:t>C</w:t>
      </w:r>
      <w:r w:rsidRPr="00C1694A">
        <w:rPr>
          <w:rFonts w:ascii="Times New Roman" w:hAnsi="Times New Roman" w:cs="Times New Roman"/>
          <w:sz w:val="24"/>
          <w:szCs w:val="24"/>
        </w:rPr>
        <w:t>ommenter</w:t>
      </w:r>
      <w:r w:rsidR="00D659F2" w:rsidRPr="00C1694A">
        <w:rPr>
          <w:rFonts w:ascii="Times New Roman" w:hAnsi="Times New Roman" w:cs="Times New Roman"/>
          <w:sz w:val="24"/>
          <w:szCs w:val="24"/>
        </w:rPr>
        <w:t>s</w:t>
      </w:r>
      <w:r w:rsidRPr="00C1694A">
        <w:rPr>
          <w:rFonts w:ascii="Times New Roman" w:hAnsi="Times New Roman" w:cs="Times New Roman"/>
          <w:sz w:val="24"/>
          <w:szCs w:val="24"/>
        </w:rPr>
        <w:t xml:space="preserve"> suggested 30 </w:t>
      </w:r>
      <w:r w:rsidR="005A6D4C" w:rsidRPr="00C1694A">
        <w:rPr>
          <w:rFonts w:ascii="Times New Roman" w:hAnsi="Times New Roman" w:cs="Times New Roman"/>
          <w:sz w:val="24"/>
          <w:szCs w:val="24"/>
        </w:rPr>
        <w:t>or</w:t>
      </w:r>
      <w:r w:rsidRPr="00C1694A">
        <w:rPr>
          <w:rFonts w:ascii="Times New Roman" w:hAnsi="Times New Roman" w:cs="Times New Roman"/>
          <w:sz w:val="24"/>
          <w:szCs w:val="24"/>
        </w:rPr>
        <w:t xml:space="preserve"> 45 days.</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While we agree that 30 or 45 days are both reasonable interpretations of “as quickly as possible,” in some cases this requirement should be met more quickly,</w:t>
      </w:r>
      <w:r w:rsidR="00D0700A" w:rsidRPr="00C1694A">
        <w:rPr>
          <w:rFonts w:ascii="Times New Roman" w:hAnsi="Times New Roman" w:cs="Times New Roman"/>
          <w:sz w:val="24"/>
          <w:szCs w:val="24"/>
        </w:rPr>
        <w:t xml:space="preserve"> and</w:t>
      </w:r>
      <w:r w:rsidRPr="00C1694A">
        <w:rPr>
          <w:rFonts w:ascii="Times New Roman" w:hAnsi="Times New Roman" w:cs="Times New Roman"/>
          <w:sz w:val="24"/>
          <w:szCs w:val="24"/>
        </w:rPr>
        <w:t xml:space="preserve"> in other cases challenges may arise that prevent programs from providing these services </w:t>
      </w:r>
      <w:r w:rsidR="005A6D4C" w:rsidRPr="00C1694A">
        <w:rPr>
          <w:rFonts w:ascii="Times New Roman" w:hAnsi="Times New Roman" w:cs="Times New Roman"/>
          <w:sz w:val="24"/>
          <w:szCs w:val="24"/>
        </w:rPr>
        <w:t>within those timeframes</w:t>
      </w:r>
      <w:r w:rsidRPr="00C1694A">
        <w:rPr>
          <w:rFonts w:ascii="Times New Roman" w:hAnsi="Times New Roman" w:cs="Times New Roman"/>
          <w:sz w:val="24"/>
          <w:szCs w:val="24"/>
        </w:rPr>
        <w:t>.  Therefore, it is</w:t>
      </w:r>
      <w:r w:rsidR="005A6D4C" w:rsidRPr="00C1694A">
        <w:rPr>
          <w:rFonts w:ascii="Times New Roman" w:hAnsi="Times New Roman" w:cs="Times New Roman"/>
          <w:sz w:val="24"/>
          <w:szCs w:val="24"/>
        </w:rPr>
        <w:t xml:space="preserve"> not</w:t>
      </w:r>
      <w:r w:rsidRPr="00C1694A">
        <w:rPr>
          <w:rFonts w:ascii="Times New Roman" w:hAnsi="Times New Roman" w:cs="Times New Roman"/>
          <w:sz w:val="24"/>
          <w:szCs w:val="24"/>
        </w:rPr>
        <w:t xml:space="preserve"> appropriate to regulate a precise time frame. We did not revise the provision.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C149E5"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00D0700A" w:rsidRPr="00C1694A">
        <w:rPr>
          <w:rFonts w:ascii="Times New Roman" w:hAnsi="Times New Roman" w:cs="Times New Roman"/>
          <w:sz w:val="24"/>
          <w:szCs w:val="24"/>
        </w:rPr>
        <w:t xml:space="preserve"> commenters</w:t>
      </w:r>
      <w:r w:rsidRPr="00C1694A">
        <w:rPr>
          <w:rFonts w:ascii="Times New Roman" w:hAnsi="Times New Roman" w:cs="Times New Roman"/>
          <w:sz w:val="24"/>
          <w:szCs w:val="24"/>
        </w:rPr>
        <w:t xml:space="preserve"> recommended </w:t>
      </w:r>
      <w:r w:rsidR="00D0700A" w:rsidRPr="00C1694A">
        <w:rPr>
          <w:rFonts w:ascii="Times New Roman" w:hAnsi="Times New Roman" w:cs="Times New Roman"/>
          <w:sz w:val="24"/>
          <w:szCs w:val="24"/>
        </w:rPr>
        <w:t xml:space="preserve">we require programs to </w:t>
      </w:r>
      <w:r w:rsidRPr="00C1694A">
        <w:rPr>
          <w:rFonts w:ascii="Times New Roman" w:hAnsi="Times New Roman" w:cs="Times New Roman"/>
          <w:sz w:val="24"/>
          <w:szCs w:val="24"/>
        </w:rPr>
        <w:t xml:space="preserve">refer families to emergency shelters or transitional housing in cases of domestic violence or homelessness.  </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C149E5" w:rsidRPr="00C1694A">
        <w:rPr>
          <w:rFonts w:ascii="Times New Roman" w:hAnsi="Times New Roman" w:cs="Times New Roman"/>
          <w:sz w:val="24"/>
          <w:szCs w:val="24"/>
        </w:rPr>
        <w:t xml:space="preserve">  </w:t>
      </w:r>
      <w:r w:rsidR="005A6D4C"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(c) </w:t>
      </w:r>
      <w:r w:rsidR="00D0700A" w:rsidRPr="00C1694A">
        <w:rPr>
          <w:rFonts w:ascii="Times New Roman" w:hAnsi="Times New Roman" w:cs="Times New Roman"/>
          <w:sz w:val="24"/>
          <w:szCs w:val="24"/>
        </w:rPr>
        <w:t xml:space="preserve">already </w:t>
      </w:r>
      <w:r w:rsidRPr="00C1694A">
        <w:rPr>
          <w:rFonts w:ascii="Times New Roman" w:hAnsi="Times New Roman" w:cs="Times New Roman"/>
          <w:sz w:val="24"/>
          <w:szCs w:val="24"/>
        </w:rPr>
        <w:t>requires programs to refer families to emergency shelters or transitional housing</w:t>
      </w:r>
      <w:r w:rsidR="005A6D4C" w:rsidRPr="00C1694A">
        <w:rPr>
          <w:rFonts w:ascii="Times New Roman" w:hAnsi="Times New Roman" w:cs="Times New Roman"/>
          <w:sz w:val="24"/>
          <w:szCs w:val="24"/>
        </w:rPr>
        <w:t>,</w:t>
      </w:r>
      <w:r w:rsidRPr="00C1694A">
        <w:rPr>
          <w:rFonts w:ascii="Times New Roman" w:hAnsi="Times New Roman" w:cs="Times New Roman"/>
          <w:sz w:val="24"/>
          <w:szCs w:val="24"/>
        </w:rPr>
        <w:t xml:space="preserve"> as appropriate.</w:t>
      </w:r>
    </w:p>
    <w:p w:rsidR="002F5F31" w:rsidRPr="00C1694A" w:rsidRDefault="002F5F31" w:rsidP="002F5F3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suggested we revise what was §1302.82(b) to require programs to offer but not necessarily provide a newborn home visit within two weeks because families should have the right to refuse.  Some commenters asked that programs be allowed to consider cultural practices and length of hospital stays or illness in requiring an initial home visit at two weeks. </w:t>
      </w:r>
    </w:p>
    <w:p w:rsidR="002F5F31" w:rsidRPr="00C1694A" w:rsidRDefault="002F5F31" w:rsidP="002F5F3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initial home visit is planned with the pregnant woman and her family as part of prenatal services that a program provides and the timing of the visit can reflect the beliefs and circumstances of the family. We clarified this intent by revising what is now §1302.80(d) to require that programs must schedule a home visit within two weeks. </w:t>
      </w:r>
    </w:p>
    <w:p w:rsidR="002F5F31" w:rsidRPr="00C1694A" w:rsidRDefault="002F5F31" w:rsidP="002F5F3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requested clarification about the qualifications for the “health staff” mentioned in what was §1302.82</w:t>
      </w:r>
      <w:r w:rsidRPr="00C1694A" w:rsidDel="002F5F31">
        <w:rPr>
          <w:rFonts w:ascii="Times New Roman" w:hAnsi="Times New Roman" w:cs="Times New Roman"/>
          <w:sz w:val="24"/>
          <w:szCs w:val="24"/>
        </w:rPr>
        <w:t xml:space="preserve"> </w:t>
      </w:r>
      <w:r w:rsidRPr="00C1694A">
        <w:rPr>
          <w:rFonts w:ascii="Times New Roman" w:hAnsi="Times New Roman" w:cs="Times New Roman"/>
          <w:sz w:val="24"/>
          <w:szCs w:val="24"/>
        </w:rPr>
        <w:t>(b) who perform the two-week postpartum visit.</w:t>
      </w:r>
    </w:p>
    <w:p w:rsidR="002F5F31" w:rsidRPr="00C1694A" w:rsidRDefault="002F5F31" w:rsidP="002F5F3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removed the reference to “health staff” in what is now §1302.80(d) to clarify programs have flexibility to staff the home visit in a manner that is appropriate for individual family needs. We now call this visit a newborn visit.</w:t>
      </w:r>
    </w:p>
    <w:p w:rsidR="00E77A18" w:rsidRPr="00C1694A" w:rsidRDefault="001A0D1C"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w:t>
      </w:r>
      <w:r w:rsidR="00E77A18" w:rsidRPr="00C1694A">
        <w:rPr>
          <w:rFonts w:ascii="Times New Roman" w:hAnsi="Times New Roman" w:cs="Times New Roman"/>
          <w:i/>
          <w:sz w:val="24"/>
          <w:szCs w:val="24"/>
        </w:rPr>
        <w:t xml:space="preserve">1302.81 Prenatal and </w:t>
      </w:r>
      <w:r w:rsidR="00D659F2" w:rsidRPr="00C1694A">
        <w:rPr>
          <w:rFonts w:ascii="Times New Roman" w:hAnsi="Times New Roman" w:cs="Times New Roman"/>
          <w:i/>
          <w:sz w:val="24"/>
          <w:szCs w:val="24"/>
        </w:rPr>
        <w:t>p</w:t>
      </w:r>
      <w:r w:rsidR="00E77A18" w:rsidRPr="00C1694A">
        <w:rPr>
          <w:rFonts w:ascii="Times New Roman" w:hAnsi="Times New Roman" w:cs="Times New Roman"/>
          <w:i/>
          <w:sz w:val="24"/>
          <w:szCs w:val="24"/>
        </w:rPr>
        <w:t xml:space="preserve">ostpartum </w:t>
      </w:r>
      <w:r w:rsidR="00D659F2" w:rsidRPr="00C1694A">
        <w:rPr>
          <w:rFonts w:ascii="Times New Roman" w:hAnsi="Times New Roman" w:cs="Times New Roman"/>
          <w:i/>
          <w:sz w:val="24"/>
          <w:szCs w:val="24"/>
        </w:rPr>
        <w:t>i</w:t>
      </w:r>
      <w:r w:rsidR="00E77A18" w:rsidRPr="00C1694A">
        <w:rPr>
          <w:rFonts w:ascii="Times New Roman" w:hAnsi="Times New Roman" w:cs="Times New Roman"/>
          <w:i/>
          <w:sz w:val="24"/>
          <w:szCs w:val="24"/>
        </w:rPr>
        <w:t xml:space="preserve">nformation, </w:t>
      </w:r>
      <w:r w:rsidR="00D659F2" w:rsidRPr="00C1694A">
        <w:rPr>
          <w:rFonts w:ascii="Times New Roman" w:hAnsi="Times New Roman" w:cs="Times New Roman"/>
          <w:i/>
          <w:sz w:val="24"/>
          <w:szCs w:val="24"/>
        </w:rPr>
        <w:t>e</w:t>
      </w:r>
      <w:r w:rsidR="00E77A18" w:rsidRPr="00C1694A">
        <w:rPr>
          <w:rFonts w:ascii="Times New Roman" w:hAnsi="Times New Roman" w:cs="Times New Roman"/>
          <w:i/>
          <w:sz w:val="24"/>
          <w:szCs w:val="24"/>
        </w:rPr>
        <w:t xml:space="preserve">ducation, and </w:t>
      </w:r>
      <w:r w:rsidR="00D659F2" w:rsidRPr="00C1694A">
        <w:rPr>
          <w:rFonts w:ascii="Times New Roman" w:hAnsi="Times New Roman" w:cs="Times New Roman"/>
          <w:i/>
          <w:sz w:val="24"/>
          <w:szCs w:val="24"/>
        </w:rPr>
        <w:t>s</w:t>
      </w:r>
      <w:r w:rsidR="00E77A18" w:rsidRPr="00C1694A">
        <w:rPr>
          <w:rFonts w:ascii="Times New Roman" w:hAnsi="Times New Roman" w:cs="Times New Roman"/>
          <w:i/>
          <w:sz w:val="24"/>
          <w:szCs w:val="24"/>
        </w:rPr>
        <w:t>ervices.</w:t>
      </w:r>
    </w:p>
    <w:p w:rsidR="00D0700A" w:rsidRPr="00C1694A" w:rsidRDefault="00D0700A"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section strengthens program performance standards pertaining to enrolled pregnant women by requiring programs to ensure all enrolled pregnant women have opportunities to learn about various relevant topics.  It also makes clear that programs must address needs for appropriate supports for </w:t>
      </w:r>
      <w:r w:rsidRPr="00C1694A">
        <w:rPr>
          <w:rFonts w:ascii="Times New Roman" w:eastAsia="Times New Roman" w:hAnsi="Times New Roman" w:cs="Times New Roman"/>
          <w:sz w:val="24"/>
          <w:szCs w:val="24"/>
        </w:rPr>
        <w:t>emotional well-being, nurturing and responsive caregiving, and father engagement during pregnancy and early childhood.</w:t>
      </w:r>
    </w:p>
    <w:p w:rsidR="00FA04A2" w:rsidRPr="00C1694A" w:rsidRDefault="00FA04A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t>
      </w:r>
      <w:r w:rsidR="0073628C" w:rsidRPr="00C1694A">
        <w:rPr>
          <w:rFonts w:ascii="Times New Roman" w:hAnsi="Times New Roman" w:cs="Times New Roman"/>
          <w:sz w:val="24"/>
          <w:szCs w:val="24"/>
        </w:rPr>
        <w:t xml:space="preserve">we revise paragraph (a) and the title of this section to clarify the expectation for the level of service delivery. </w:t>
      </w:r>
    </w:p>
    <w:p w:rsidR="00FA04A2" w:rsidRPr="00C1694A" w:rsidRDefault="00FA04A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For clarification, we have changed the title of this section and the phrase in paragraph (a) to “prenatal and postpartum information, education, and services.”</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C149E5"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that maternal and paternal depression should be included in the list of prenatal and postpartum services described in </w:t>
      </w:r>
      <w:r w:rsidR="005A6D4C" w:rsidRPr="00C1694A">
        <w:rPr>
          <w:rFonts w:ascii="Times New Roman" w:hAnsi="Times New Roman" w:cs="Times New Roman"/>
          <w:sz w:val="24"/>
          <w:szCs w:val="24"/>
        </w:rPr>
        <w:t>paragraph</w:t>
      </w:r>
      <w:r w:rsidRPr="00C1694A">
        <w:rPr>
          <w:rFonts w:ascii="Times New Roman" w:hAnsi="Times New Roman" w:cs="Times New Roman"/>
          <w:sz w:val="24"/>
          <w:szCs w:val="24"/>
        </w:rPr>
        <w:t xml:space="preserve"> (a).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explicitly suggested that expectant families be screened for both prenatal and postnatal depression.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the language in </w:t>
      </w:r>
      <w:r w:rsidR="005A6D4C"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(a) to include parental depression.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recommended </w:t>
      </w:r>
      <w:r w:rsidR="00FD541E" w:rsidRPr="00C1694A">
        <w:rPr>
          <w:rFonts w:ascii="Times New Roman" w:hAnsi="Times New Roman" w:cs="Times New Roman"/>
          <w:sz w:val="24"/>
          <w:szCs w:val="24"/>
        </w:rPr>
        <w:t>we</w:t>
      </w:r>
      <w:r w:rsidRPr="00C1694A">
        <w:rPr>
          <w:rFonts w:ascii="Times New Roman" w:hAnsi="Times New Roman" w:cs="Times New Roman"/>
          <w:sz w:val="24"/>
          <w:szCs w:val="24"/>
        </w:rPr>
        <w:t xml:space="preserve"> require programs to use tools and resources to assess risk factors and needs of expectant families. Further,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inclusion of explicit requirements regarding the hours and days or number of home visits required for pregnant women.  </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E12053" w:rsidRPr="00C1694A">
        <w:rPr>
          <w:rFonts w:ascii="Times New Roman" w:hAnsi="Times New Roman" w:cs="Times New Roman"/>
          <w:sz w:val="24"/>
          <w:szCs w:val="24"/>
        </w:rPr>
        <w:t xml:space="preserve"> We believe we struck the right balance in allowing programs to determine the specific ways to achieve the outcomes and do not think additional </w:t>
      </w:r>
      <w:r w:rsidR="00D659F2" w:rsidRPr="00C1694A">
        <w:rPr>
          <w:rFonts w:ascii="Times New Roman" w:hAnsi="Times New Roman" w:cs="Times New Roman"/>
          <w:sz w:val="24"/>
          <w:szCs w:val="24"/>
        </w:rPr>
        <w:t xml:space="preserve">prescriptive </w:t>
      </w:r>
      <w:r w:rsidR="00E12053" w:rsidRPr="00C1694A">
        <w:rPr>
          <w:rFonts w:ascii="Times New Roman" w:hAnsi="Times New Roman" w:cs="Times New Roman"/>
          <w:sz w:val="24"/>
          <w:szCs w:val="24"/>
        </w:rPr>
        <w:t>federal requirements are necessary</w:t>
      </w:r>
      <w:r w:rsidR="00D659F2" w:rsidRPr="00C1694A">
        <w:rPr>
          <w:rFonts w:ascii="Times New Roman" w:hAnsi="Times New Roman" w:cs="Times New Roman"/>
          <w:sz w:val="24"/>
          <w:szCs w:val="24"/>
        </w:rPr>
        <w:t>.  We</w:t>
      </w:r>
      <w:r w:rsidR="00E12053" w:rsidRPr="00C1694A">
        <w:rPr>
          <w:rFonts w:ascii="Times New Roman" w:hAnsi="Times New Roman" w:cs="Times New Roman"/>
          <w:sz w:val="24"/>
          <w:szCs w:val="24"/>
        </w:rPr>
        <w:t xml:space="preserve"> </w:t>
      </w:r>
      <w:r w:rsidR="0073628C" w:rsidRPr="00C1694A">
        <w:rPr>
          <w:rFonts w:ascii="Times New Roman" w:hAnsi="Times New Roman" w:cs="Times New Roman"/>
          <w:sz w:val="24"/>
          <w:szCs w:val="24"/>
        </w:rPr>
        <w:t>did not make these changes</w:t>
      </w:r>
      <w:r w:rsidR="00E12053" w:rsidRPr="00C1694A">
        <w:rPr>
          <w:rFonts w:ascii="Times New Roman" w:hAnsi="Times New Roman" w:cs="Times New Roman"/>
          <w:sz w:val="24"/>
          <w:szCs w:val="24"/>
        </w:rPr>
        <w:t xml:space="preserve">.  </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C149E5"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additions to the required educational services regarding oral health for both pregnant women and newborns</w:t>
      </w:r>
      <w:r w:rsidR="00E12053" w:rsidRPr="00C1694A">
        <w:rPr>
          <w:rFonts w:ascii="Times New Roman" w:hAnsi="Times New Roman" w:cs="Times New Roman"/>
          <w:sz w:val="24"/>
          <w:szCs w:val="24"/>
        </w:rPr>
        <w:t xml:space="preserve"> during the newborn home visit.</w:t>
      </w:r>
      <w:r w:rsidRPr="00C1694A">
        <w:rPr>
          <w:rFonts w:ascii="Times New Roman" w:hAnsi="Times New Roman" w:cs="Times New Roman"/>
          <w:sz w:val="24"/>
          <w:szCs w:val="24"/>
        </w:rPr>
        <w:t xml:space="preserve"> </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C149E5" w:rsidRPr="00C1694A">
        <w:rPr>
          <w:rFonts w:ascii="Times New Roman" w:hAnsi="Times New Roman" w:cs="Times New Roman"/>
          <w:sz w:val="24"/>
          <w:szCs w:val="24"/>
        </w:rPr>
        <w:t xml:space="preserve">  </w:t>
      </w:r>
      <w:r w:rsidR="00E12053" w:rsidRPr="00C1694A">
        <w:rPr>
          <w:rFonts w:ascii="Times New Roman" w:hAnsi="Times New Roman" w:cs="Times New Roman"/>
          <w:sz w:val="24"/>
          <w:szCs w:val="24"/>
        </w:rPr>
        <w:t>We</w:t>
      </w:r>
      <w:r w:rsidR="00FD541E" w:rsidRPr="00C1694A">
        <w:rPr>
          <w:rFonts w:ascii="Times New Roman" w:hAnsi="Times New Roman" w:cs="Times New Roman"/>
          <w:sz w:val="24"/>
          <w:szCs w:val="24"/>
        </w:rPr>
        <w:t xml:space="preserve"> do </w:t>
      </w:r>
      <w:r w:rsidRPr="00C1694A">
        <w:rPr>
          <w:rFonts w:ascii="Times New Roman" w:hAnsi="Times New Roman" w:cs="Times New Roman"/>
          <w:sz w:val="24"/>
          <w:szCs w:val="24"/>
        </w:rPr>
        <w:t xml:space="preserve">not believe that discussing later oral health is an appropriate focus of this </w:t>
      </w:r>
      <w:r w:rsidR="00E12053" w:rsidRPr="00C1694A">
        <w:rPr>
          <w:rFonts w:ascii="Times New Roman" w:hAnsi="Times New Roman" w:cs="Times New Roman"/>
          <w:sz w:val="24"/>
          <w:szCs w:val="24"/>
        </w:rPr>
        <w:t xml:space="preserve">newborn </w:t>
      </w:r>
      <w:r w:rsidRPr="00C1694A">
        <w:rPr>
          <w:rFonts w:ascii="Times New Roman" w:hAnsi="Times New Roman" w:cs="Times New Roman"/>
          <w:sz w:val="24"/>
          <w:szCs w:val="24"/>
        </w:rPr>
        <w:t xml:space="preserve">home visit.  We </w:t>
      </w:r>
      <w:r w:rsidR="00FD541E" w:rsidRPr="00C1694A">
        <w:rPr>
          <w:rFonts w:ascii="Times New Roman" w:hAnsi="Times New Roman" w:cs="Times New Roman"/>
          <w:sz w:val="24"/>
          <w:szCs w:val="24"/>
        </w:rPr>
        <w:t xml:space="preserve">did </w:t>
      </w:r>
      <w:r w:rsidRPr="00C1694A">
        <w:rPr>
          <w:rFonts w:ascii="Times New Roman" w:hAnsi="Times New Roman" w:cs="Times New Roman"/>
          <w:sz w:val="24"/>
          <w:szCs w:val="24"/>
        </w:rPr>
        <w:t>not revise the provision.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C149E5"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guidance </w:t>
      </w:r>
      <w:r w:rsidR="0073628C" w:rsidRPr="00C1694A">
        <w:rPr>
          <w:rFonts w:ascii="Times New Roman" w:hAnsi="Times New Roman" w:cs="Times New Roman"/>
          <w:sz w:val="24"/>
          <w:szCs w:val="24"/>
        </w:rPr>
        <w:t>about</w:t>
      </w:r>
      <w:r w:rsidRPr="00C1694A">
        <w:rPr>
          <w:rFonts w:ascii="Times New Roman" w:hAnsi="Times New Roman" w:cs="Times New Roman"/>
          <w:sz w:val="24"/>
          <w:szCs w:val="24"/>
        </w:rPr>
        <w:t xml:space="preserve"> the availability of prenatal educational materials.  Other commenters suggested that </w:t>
      </w:r>
      <w:r w:rsidR="00156A47" w:rsidRPr="00C1694A">
        <w:rPr>
          <w:rFonts w:ascii="Times New Roman" w:hAnsi="Times New Roman" w:cs="Times New Roman"/>
          <w:sz w:val="24"/>
          <w:szCs w:val="24"/>
        </w:rPr>
        <w:t xml:space="preserve">we </w:t>
      </w:r>
      <w:r w:rsidRPr="00C1694A">
        <w:rPr>
          <w:rFonts w:ascii="Times New Roman" w:hAnsi="Times New Roman" w:cs="Times New Roman"/>
          <w:sz w:val="24"/>
          <w:szCs w:val="24"/>
        </w:rPr>
        <w:t>issue guidance to make programs aware of the educational materials available free of charge through the CACFP regarding nutrition, physical activity, and breastfeeding.</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As commenters noted, there are materials available through USDA, and other sources that could be used, free of charge to provide prenatal educational services to pregnant women and their families.</w:t>
      </w:r>
      <w:r w:rsidR="0073628C" w:rsidRPr="00C1694A">
        <w:rPr>
          <w:rFonts w:ascii="Times New Roman" w:hAnsi="Times New Roman" w:cs="Times New Roman"/>
          <w:sz w:val="24"/>
          <w:szCs w:val="24"/>
        </w:rPr>
        <w:t xml:space="preserve">  We believe programs can easily access this information and do not think changes are needed to the regulation.</w:t>
      </w:r>
    </w:p>
    <w:p w:rsidR="00E77A18" w:rsidRPr="00C1694A" w:rsidRDefault="001A0D1C"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w:t>
      </w:r>
      <w:r w:rsidR="00E77A18" w:rsidRPr="00C1694A">
        <w:rPr>
          <w:rFonts w:ascii="Times New Roman" w:hAnsi="Times New Roman" w:cs="Times New Roman"/>
          <w:i/>
          <w:sz w:val="24"/>
          <w:szCs w:val="24"/>
        </w:rPr>
        <w:t xml:space="preserve">1302.82 Family partnership services for enrolled pregnant women.  </w:t>
      </w:r>
    </w:p>
    <w:p w:rsidR="0073628C" w:rsidRPr="00C1694A" w:rsidRDefault="0073628C"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This section describes requirements for programs to provide family partnership services for enrolled pregnant women.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00C149E5"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00596FC8" w:rsidRPr="00C1694A">
        <w:rPr>
          <w:rFonts w:ascii="Times New Roman" w:hAnsi="Times New Roman" w:cs="Times New Roman"/>
          <w:sz w:val="24"/>
          <w:szCs w:val="24"/>
        </w:rPr>
        <w:t xml:space="preserve"> c</w:t>
      </w:r>
      <w:r w:rsidRPr="00C1694A">
        <w:rPr>
          <w:rFonts w:ascii="Times New Roman" w:hAnsi="Times New Roman" w:cs="Times New Roman"/>
          <w:sz w:val="24"/>
          <w:szCs w:val="24"/>
        </w:rPr>
        <w:t xml:space="preserve">ommenters wanted </w:t>
      </w:r>
      <w:r w:rsidR="005A6D4C" w:rsidRPr="00C1694A">
        <w:rPr>
          <w:rFonts w:ascii="Times New Roman" w:hAnsi="Times New Roman" w:cs="Times New Roman"/>
          <w:sz w:val="24"/>
          <w:szCs w:val="24"/>
        </w:rPr>
        <w:t>this section</w:t>
      </w:r>
      <w:r w:rsidRPr="00C1694A">
        <w:rPr>
          <w:rFonts w:ascii="Times New Roman" w:hAnsi="Times New Roman" w:cs="Times New Roman"/>
          <w:sz w:val="24"/>
          <w:szCs w:val="24"/>
        </w:rPr>
        <w:t xml:space="preserve"> to include specific language for including fathers and father engagement in family partnership services for enrolled pregnant women.</w:t>
      </w:r>
    </w:p>
    <w:p w:rsidR="00E77A18" w:rsidRPr="00C1694A" w:rsidRDefault="00E77A18"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C149E5" w:rsidRPr="00C1694A">
        <w:rPr>
          <w:rFonts w:ascii="Times New Roman" w:hAnsi="Times New Roman" w:cs="Times New Roman"/>
          <w:sz w:val="24"/>
          <w:szCs w:val="24"/>
        </w:rPr>
        <w:t xml:space="preserve">  </w:t>
      </w:r>
      <w:r w:rsidR="00156A47" w:rsidRPr="00C1694A">
        <w:rPr>
          <w:rFonts w:ascii="Times New Roman" w:hAnsi="Times New Roman" w:cs="Times New Roman"/>
          <w:sz w:val="24"/>
          <w:szCs w:val="24"/>
        </w:rPr>
        <w:t>We agree</w:t>
      </w:r>
      <w:r w:rsidRPr="00C1694A">
        <w:rPr>
          <w:rFonts w:ascii="Times New Roman" w:hAnsi="Times New Roman" w:cs="Times New Roman"/>
          <w:sz w:val="24"/>
          <w:szCs w:val="24"/>
        </w:rPr>
        <w:t xml:space="preserve"> that the language should more explicitly reflect the rol</w:t>
      </w:r>
      <w:r w:rsidR="00E7397D" w:rsidRPr="00C1694A">
        <w:rPr>
          <w:rFonts w:ascii="Times New Roman" w:hAnsi="Times New Roman" w:cs="Times New Roman"/>
          <w:sz w:val="24"/>
          <w:szCs w:val="24"/>
        </w:rPr>
        <w:t>e</w:t>
      </w:r>
      <w:r w:rsidRPr="00C1694A">
        <w:rPr>
          <w:rFonts w:ascii="Times New Roman" w:hAnsi="Times New Roman" w:cs="Times New Roman"/>
          <w:sz w:val="24"/>
          <w:szCs w:val="24"/>
        </w:rPr>
        <w:t xml:space="preserve"> of fathers</w:t>
      </w:r>
      <w:r w:rsidR="00E7397D" w:rsidRPr="00C1694A">
        <w:rPr>
          <w:rFonts w:ascii="Times New Roman" w:hAnsi="Times New Roman" w:cs="Times New Roman"/>
          <w:sz w:val="24"/>
          <w:szCs w:val="24"/>
        </w:rPr>
        <w:t xml:space="preserve"> and revised</w:t>
      </w:r>
      <w:r w:rsidR="0073628C" w:rsidRPr="00C1694A">
        <w:rPr>
          <w:rFonts w:ascii="Times New Roman" w:hAnsi="Times New Roman" w:cs="Times New Roman"/>
          <w:sz w:val="24"/>
          <w:szCs w:val="24"/>
        </w:rPr>
        <w:t xml:space="preserve"> </w:t>
      </w:r>
      <w:r w:rsidR="00E7397D" w:rsidRPr="00C1694A">
        <w:rPr>
          <w:rFonts w:ascii="Times New Roman" w:hAnsi="Times New Roman" w:cs="Times New Roman"/>
          <w:sz w:val="24"/>
          <w:szCs w:val="24"/>
        </w:rPr>
        <w:t>p</w:t>
      </w:r>
      <w:r w:rsidR="005A6D4C" w:rsidRPr="00C1694A">
        <w:rPr>
          <w:rFonts w:ascii="Times New Roman" w:hAnsi="Times New Roman" w:cs="Times New Roman"/>
          <w:sz w:val="24"/>
          <w:szCs w:val="24"/>
        </w:rPr>
        <w:t xml:space="preserve">aragraphs </w:t>
      </w:r>
      <w:r w:rsidRPr="00C1694A">
        <w:rPr>
          <w:rFonts w:ascii="Times New Roman" w:hAnsi="Times New Roman" w:cs="Times New Roman"/>
          <w:sz w:val="24"/>
          <w:szCs w:val="24"/>
        </w:rPr>
        <w:t>(a) and (</w:t>
      </w:r>
      <w:r w:rsidR="002F5F31" w:rsidRPr="00C1694A">
        <w:rPr>
          <w:rFonts w:ascii="Times New Roman" w:hAnsi="Times New Roman" w:cs="Times New Roman"/>
          <w:sz w:val="24"/>
          <w:szCs w:val="24"/>
        </w:rPr>
        <w:t>b</w:t>
      </w:r>
      <w:r w:rsidRPr="00C1694A">
        <w:rPr>
          <w:rFonts w:ascii="Times New Roman" w:hAnsi="Times New Roman" w:cs="Times New Roman"/>
          <w:sz w:val="24"/>
          <w:szCs w:val="24"/>
        </w:rPr>
        <w:t xml:space="preserve">) </w:t>
      </w:r>
      <w:r w:rsidR="00E7397D" w:rsidRPr="00C1694A">
        <w:rPr>
          <w:rFonts w:ascii="Times New Roman" w:hAnsi="Times New Roman" w:cs="Times New Roman"/>
          <w:sz w:val="24"/>
          <w:szCs w:val="24"/>
        </w:rPr>
        <w:t>accordingly</w:t>
      </w:r>
      <w:r w:rsidRPr="00C1694A">
        <w:rPr>
          <w:rFonts w:ascii="Times New Roman" w:hAnsi="Times New Roman" w:cs="Times New Roman"/>
          <w:sz w:val="24"/>
          <w:szCs w:val="24"/>
        </w:rPr>
        <w:t xml:space="preserve">.  </w:t>
      </w:r>
    </w:p>
    <w:p w:rsidR="00E77A18" w:rsidRPr="00C1694A" w:rsidRDefault="00E77A18" w:rsidP="009A526A">
      <w:pPr>
        <w:framePr w:hSpace="180" w:wrap="around" w:vAnchor="page" w:hAnchor="margin" w:xAlign="right" w:y="3185"/>
        <w:spacing w:after="0" w:line="480" w:lineRule="auto"/>
        <w:rPr>
          <w:rFonts w:ascii="Times New Roman" w:hAnsi="Times New Roman" w:cs="Times New Roman"/>
          <w:sz w:val="24"/>
          <w:szCs w:val="24"/>
        </w:rPr>
      </w:pPr>
    </w:p>
    <w:p w:rsidR="007862E2" w:rsidRPr="00C1694A" w:rsidRDefault="007862E2" w:rsidP="009A526A">
      <w:pPr>
        <w:spacing w:after="0" w:line="480" w:lineRule="auto"/>
        <w:ind w:firstLine="720"/>
        <w:rPr>
          <w:rFonts w:ascii="Times New Roman" w:hAnsi="Times New Roman" w:cs="Times New Roman"/>
          <w:sz w:val="24"/>
          <w:szCs w:val="24"/>
        </w:rPr>
      </w:pPr>
    </w:p>
    <w:p w:rsidR="007862E2" w:rsidRPr="00C1694A" w:rsidRDefault="007862E2"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Human Resources Management</w:t>
      </w:r>
      <w:r w:rsidR="001A61B5" w:rsidRPr="00C1694A">
        <w:rPr>
          <w:rFonts w:ascii="Times New Roman" w:hAnsi="Times New Roman" w:cs="Times New Roman"/>
          <w:b/>
          <w:sz w:val="24"/>
          <w:szCs w:val="24"/>
        </w:rPr>
        <w:t>; Subpart I</w:t>
      </w:r>
    </w:p>
    <w:p w:rsidR="007862E2" w:rsidRPr="00C1694A" w:rsidRDefault="007862E2" w:rsidP="009A526A">
      <w:pPr>
        <w:autoSpaceDE w:val="0"/>
        <w:autoSpaceDN w:val="0"/>
        <w:adjustRightInd w:val="0"/>
        <w:spacing w:after="0" w:line="240" w:lineRule="auto"/>
        <w:rPr>
          <w:rFonts w:ascii="Times New Roman" w:hAnsi="Times New Roman" w:cs="Times New Roman"/>
          <w:bCs/>
          <w:sz w:val="24"/>
          <w:szCs w:val="24"/>
          <w:u w:val="single"/>
        </w:rPr>
      </w:pPr>
    </w:p>
    <w:p w:rsidR="007862E2" w:rsidRPr="00C1694A" w:rsidRDefault="007862E2" w:rsidP="009A526A">
      <w:pPr>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In this subpart, we combined all previous performance standards related to human resources management into one coherent section.  This subpart includes requirements for personnel policies, staff qualifications, training and professional development, and staff health and wellness and volunteers.  We renamed the subpart Human Resources Management to better encompass the requirements in this subpart. We received many comments on this subpart.  We summarize and respond to these comments below.</w:t>
      </w:r>
    </w:p>
    <w:p w:rsidR="007862E2" w:rsidRPr="00C1694A" w:rsidRDefault="00B3013F"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w:t>
      </w:r>
      <w:r w:rsidR="007862E2" w:rsidRPr="00C1694A">
        <w:rPr>
          <w:rFonts w:ascii="Times New Roman" w:hAnsi="Times New Roman" w:cs="Times New Roman"/>
          <w:i/>
          <w:sz w:val="24"/>
          <w:szCs w:val="24"/>
        </w:rPr>
        <w:t>90 Personnel policies.</w:t>
      </w:r>
    </w:p>
    <w:p w:rsidR="007862E2" w:rsidRPr="00C1694A" w:rsidRDefault="007862E2"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This section requires programs to establish written personnel policies and procedures, sets forth a background check </w:t>
      </w:r>
      <w:r w:rsidR="001B7807" w:rsidRPr="00C1694A">
        <w:rPr>
          <w:rFonts w:ascii="Times New Roman" w:eastAsia="Times New Roman" w:hAnsi="Times New Roman" w:cs="Times New Roman"/>
          <w:bCs/>
          <w:sz w:val="24"/>
          <w:szCs w:val="24"/>
        </w:rPr>
        <w:t xml:space="preserve">process, </w:t>
      </w:r>
      <w:r w:rsidRPr="00C1694A">
        <w:rPr>
          <w:rFonts w:ascii="Times New Roman" w:eastAsia="Times New Roman" w:hAnsi="Times New Roman" w:cs="Times New Roman"/>
          <w:bCs/>
          <w:sz w:val="24"/>
          <w:szCs w:val="24"/>
        </w:rPr>
        <w:t>standards of conduct</w:t>
      </w:r>
      <w:r w:rsidR="001B7807" w:rsidRPr="00C1694A">
        <w:rPr>
          <w:rFonts w:ascii="Times New Roman" w:eastAsia="Times New Roman" w:hAnsi="Times New Roman" w:cs="Times New Roman"/>
          <w:bCs/>
          <w:sz w:val="24"/>
          <w:szCs w:val="24"/>
        </w:rPr>
        <w:t xml:space="preserve"> for</w:t>
      </w:r>
      <w:r w:rsidRPr="00C1694A">
        <w:rPr>
          <w:rFonts w:ascii="Times New Roman" w:eastAsia="Times New Roman" w:hAnsi="Times New Roman" w:cs="Times New Roman"/>
          <w:bCs/>
          <w:sz w:val="24"/>
          <w:szCs w:val="24"/>
        </w:rPr>
        <w:t xml:space="preserve"> staff, consultants, and volunteers, and staffing requirements when programs serve DLLs.  We received many comments on our background check requirements.  We discuss these and other comments on this section below.</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Commenters supported the general requirement in paragraph (a) that programs develop written personnel policies and procedures.  </w:t>
      </w:r>
      <w:r w:rsidRPr="00C1694A">
        <w:rPr>
          <w:rFonts w:ascii="Times New Roman" w:hAnsi="Times New Roman" w:cs="Times New Roman"/>
          <w:sz w:val="24"/>
          <w:szCs w:val="24"/>
        </w:rPr>
        <w:t xml:space="preserve">Many commenters asked us to provide more clarity about the policy council’s role in hiring and firing staff.  </w:t>
      </w:r>
      <w:r w:rsidR="006945A9" w:rsidRPr="00C1694A">
        <w:rPr>
          <w:rFonts w:ascii="Times New Roman" w:eastAsia="Times New Roman" w:hAnsi="Times New Roman" w:cs="Times New Roman"/>
          <w:bCs/>
          <w:sz w:val="24"/>
          <w:szCs w:val="24"/>
        </w:rPr>
        <w:t>Some</w:t>
      </w:r>
      <w:r w:rsidRPr="00C1694A">
        <w:rPr>
          <w:rFonts w:ascii="Times New Roman" w:eastAsia="Times New Roman" w:hAnsi="Times New Roman" w:cs="Times New Roman"/>
          <w:bCs/>
          <w:sz w:val="24"/>
          <w:szCs w:val="24"/>
        </w:rPr>
        <w:t xml:space="preserve"> commenters asked us to require programs to make policies and procedures available to all staff.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us to prescribe exactly what program policies and procedures must contain.</w:t>
      </w:r>
    </w:p>
    <w:p w:rsidR="007862E2" w:rsidRPr="00C1694A" w:rsidRDefault="007862E2" w:rsidP="009A526A">
      <w:pPr>
        <w:spacing w:after="0" w:line="480" w:lineRule="auto"/>
        <w:ind w:firstLine="720"/>
        <w:rPr>
          <w:rFonts w:ascii="Times New Roman" w:hAnsi="Times New Roman" w:cs="Times New Roman"/>
          <w:strike/>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(a) to read, “A program must establish written personnel policies and procedures that are approved by the governing body and policy council or policy committee and that are available to all staff.” We purposely devised this rule to be less prescriptive to afford programs flexibility and autonomy so we did not include additional specificity about personnel policies and procedures other than what is required in paragraphs (b), (c), and (d) in this section.  </w:t>
      </w:r>
      <w:r w:rsidR="001B7807" w:rsidRPr="00C1694A">
        <w:rPr>
          <w:rFonts w:ascii="Times New Roman" w:hAnsi="Times New Roman" w:cs="Times New Roman"/>
          <w:sz w:val="24"/>
          <w:szCs w:val="24"/>
        </w:rPr>
        <w:t>We revised this paragraph to</w:t>
      </w:r>
      <w:r w:rsidRPr="00C1694A">
        <w:rPr>
          <w:rFonts w:ascii="Times New Roman" w:hAnsi="Times New Roman" w:cs="Times New Roman"/>
          <w:sz w:val="24"/>
          <w:szCs w:val="24"/>
        </w:rPr>
        <w:t xml:space="preserve"> clarify that staff have access to the personnel policies and procedures and to reflect the Act’s requirement that the governing body and policy council or policy committee </w:t>
      </w:r>
      <w:r w:rsidR="001B7807" w:rsidRPr="00C1694A">
        <w:rPr>
          <w:rFonts w:ascii="Times New Roman" w:hAnsi="Times New Roman" w:cs="Times New Roman"/>
          <w:sz w:val="24"/>
          <w:szCs w:val="24"/>
        </w:rPr>
        <w:t xml:space="preserve">must </w:t>
      </w:r>
      <w:r w:rsidRPr="00C1694A">
        <w:rPr>
          <w:rFonts w:ascii="Times New Roman" w:hAnsi="Times New Roman" w:cs="Times New Roman"/>
          <w:sz w:val="24"/>
          <w:szCs w:val="24"/>
        </w:rPr>
        <w:t xml:space="preserve">review and approve the program’s personnel policies and procedures.  We relied on the Act </w:t>
      </w:r>
      <w:r w:rsidR="00DC7B06" w:rsidRPr="00C1694A">
        <w:rPr>
          <w:rFonts w:ascii="Times New Roman" w:hAnsi="Times New Roman" w:cs="Times New Roman"/>
          <w:sz w:val="24"/>
          <w:szCs w:val="24"/>
        </w:rPr>
        <w:t>for</w:t>
      </w:r>
      <w:r w:rsidRPr="00C1694A">
        <w:rPr>
          <w:rFonts w:ascii="Times New Roman" w:hAnsi="Times New Roman" w:cs="Times New Roman"/>
          <w:sz w:val="24"/>
          <w:szCs w:val="24"/>
        </w:rPr>
        <w:t xml:space="preserve"> the governance requirements </w:t>
      </w:r>
      <w:r w:rsidR="00DC7B06" w:rsidRPr="00C1694A">
        <w:rPr>
          <w:rFonts w:ascii="Times New Roman" w:hAnsi="Times New Roman" w:cs="Times New Roman"/>
          <w:sz w:val="24"/>
          <w:szCs w:val="24"/>
        </w:rPr>
        <w:t xml:space="preserve">on </w:t>
      </w:r>
      <w:r w:rsidRPr="00C1694A">
        <w:rPr>
          <w:rFonts w:ascii="Times New Roman" w:hAnsi="Times New Roman" w:cs="Times New Roman"/>
          <w:sz w:val="24"/>
          <w:szCs w:val="24"/>
        </w:rPr>
        <w:t>hiring and firing</w:t>
      </w:r>
      <w:r w:rsidR="00DC7B06" w:rsidRPr="00C1694A">
        <w:rPr>
          <w:rFonts w:ascii="Times New Roman" w:hAnsi="Times New Roman" w:cs="Times New Roman"/>
          <w:sz w:val="24"/>
          <w:szCs w:val="24"/>
        </w:rPr>
        <w:t xml:space="preserve"> so we did not make any changes</w:t>
      </w:r>
      <w:r w:rsidRPr="00C1694A">
        <w:rPr>
          <w:rFonts w:ascii="Times New Roman" w:hAnsi="Times New Roman" w:cs="Times New Roman"/>
          <w:sz w:val="24"/>
          <w:szCs w:val="24"/>
        </w:rPr>
        <w:t xml:space="preserve">.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w:t>
      </w:r>
      <w:r w:rsidR="00B3013F" w:rsidRPr="00C1694A">
        <w:rPr>
          <w:rFonts w:ascii="Times New Roman" w:eastAsia="Times New Roman" w:hAnsi="Times New Roman" w:cs="Times New Roman"/>
          <w:bCs/>
          <w:sz w:val="24"/>
          <w:szCs w:val="24"/>
        </w:rPr>
        <w:t>C</w:t>
      </w:r>
      <w:r w:rsidRPr="00C1694A">
        <w:rPr>
          <w:rFonts w:ascii="Times New Roman" w:eastAsia="Times New Roman" w:hAnsi="Times New Roman" w:cs="Times New Roman"/>
          <w:bCs/>
          <w:sz w:val="24"/>
          <w:szCs w:val="24"/>
        </w:rPr>
        <w:t xml:space="preserve">ommenters generally supported our background check requirements in paragraph (b), noting that they were in the best interests of children and align with the Head Start Act and Child Care Development Block Grant Act of 2014 (CCDBG).  Commenters expressed some concern with potential costs associated with the requirements.  Some commenters recommended additional alignment, such as with provisions from Section 658(H) of CCDBG that require programs to complete the background check process within 45 days.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us to mirror exactly what the Act states about background checks to minimize conflict.  They did not interpret the Act to require fingerprints with c</w:t>
      </w:r>
      <w:r w:rsidR="0076400F" w:rsidRPr="00C1694A">
        <w:rPr>
          <w:rFonts w:ascii="Times New Roman" w:hAnsi="Times New Roman" w:cs="Times New Roman"/>
          <w:sz w:val="24"/>
          <w:szCs w:val="24"/>
        </w:rPr>
        <w:t>riminal history records checks.</w:t>
      </w:r>
      <w:r w:rsidRPr="00C1694A">
        <w:rPr>
          <w:rFonts w:ascii="Times New Roman" w:hAnsi="Times New Roman" w:cs="Times New Roman"/>
          <w:sz w:val="24"/>
          <w:szCs w:val="24"/>
        </w:rPr>
        <w:t xml:space="preserve">  </w:t>
      </w:r>
      <w:r w:rsidRPr="00C1694A">
        <w:rPr>
          <w:rFonts w:ascii="Times New Roman" w:eastAsia="Times New Roman" w:hAnsi="Times New Roman" w:cs="Times New Roman"/>
          <w:bCs/>
          <w:sz w:val="24"/>
          <w:szCs w:val="24"/>
        </w:rPr>
        <w:t>Others requested additional amendments such as limits to fees a program may charge to process criminal history checks, mandates for confidentiality, an appeal process, and an exemption</w:t>
      </w:r>
      <w:r w:rsidRPr="00C1694A">
        <w:rPr>
          <w:rStyle w:val="CommentReference"/>
          <w:rFonts w:ascii="Times New Roman" w:hAnsi="Times New Roman" w:cs="Times New Roman"/>
          <w:sz w:val="24"/>
          <w:szCs w:val="24"/>
        </w:rPr>
        <w:t xml:space="preserve"> </w:t>
      </w:r>
      <w:r w:rsidRPr="00C1694A">
        <w:rPr>
          <w:rFonts w:ascii="Times New Roman" w:eastAsia="Times New Roman" w:hAnsi="Times New Roman" w:cs="Times New Roman"/>
          <w:bCs/>
          <w:sz w:val="24"/>
          <w:szCs w:val="24"/>
        </w:rPr>
        <w:t xml:space="preserve">for some employees.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we rename paragraph (b) to improve clarity.</w:t>
      </w:r>
    </w:p>
    <w:p w:rsidR="007862E2" w:rsidRPr="00C1694A" w:rsidRDefault="007862E2"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We believe our background check requirements align with the Act and generally align with section 658(H) of CCDBG.  However, we did not change the timeframe we prescribed for programs to complete background c</w:t>
      </w:r>
      <w:r w:rsidR="001B7807" w:rsidRPr="00C1694A">
        <w:rPr>
          <w:rFonts w:ascii="Times New Roman" w:eastAsia="Times New Roman" w:hAnsi="Times New Roman" w:cs="Times New Roman"/>
          <w:bCs/>
          <w:sz w:val="24"/>
          <w:szCs w:val="24"/>
        </w:rPr>
        <w:t>hecks.  We believe 90 days is appropriate, particularly since the Act requires Head Start programs to complete one of the checks before hire</w:t>
      </w:r>
      <w:r w:rsidR="0076400F"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 xml:space="preserve">  We did not address background check fees in this rule.  We understand programs may bear costs associated with background checks and we encourage programs to use the resources available to them and consider ways to allocate funds differently to cover these costs.  We do not think it is the best interest of Head Start children to allow exemptions from the background checks.  In regard to concerns about privacy, we expect programs will address confidentiality in their written policies and procedures because paragraph (c)(1)(iv) requires programs to ensure all staff, consultants, and volunteers comply with confidentiality policies.  We did not require programs to establish a background checks appeal process.  If either prospective or current employees decide to challenge background check findings, we encourage programs to direct them to the state, tribal, or federal age</w:t>
      </w:r>
      <w:r w:rsidR="0076400F" w:rsidRPr="00C1694A">
        <w:rPr>
          <w:rFonts w:ascii="Times New Roman" w:eastAsia="Times New Roman" w:hAnsi="Times New Roman" w:cs="Times New Roman"/>
          <w:bCs/>
          <w:sz w:val="24"/>
          <w:szCs w:val="24"/>
        </w:rPr>
        <w:t xml:space="preserve">ncy that conducted the check.  </w:t>
      </w:r>
      <w:r w:rsidRPr="00C1694A">
        <w:rPr>
          <w:rFonts w:ascii="Times New Roman" w:eastAsia="Times New Roman" w:hAnsi="Times New Roman" w:cs="Times New Roman"/>
          <w:bCs/>
          <w:sz w:val="24"/>
          <w:szCs w:val="24"/>
        </w:rPr>
        <w:t xml:space="preserve">We agree the title of paragraph (b) </w:t>
      </w:r>
      <w:r w:rsidR="0076400F" w:rsidRPr="00C1694A">
        <w:rPr>
          <w:rFonts w:ascii="Times New Roman" w:eastAsia="Times New Roman" w:hAnsi="Times New Roman" w:cs="Times New Roman"/>
          <w:bCs/>
          <w:sz w:val="24"/>
          <w:szCs w:val="24"/>
        </w:rPr>
        <w:t>was not clear enough</w:t>
      </w:r>
      <w:r w:rsidRPr="00C1694A">
        <w:rPr>
          <w:rFonts w:ascii="Times New Roman" w:eastAsia="Times New Roman" w:hAnsi="Times New Roman" w:cs="Times New Roman"/>
          <w:bCs/>
          <w:sz w:val="24"/>
          <w:szCs w:val="24"/>
        </w:rPr>
        <w:t xml:space="preserve"> and have renamed it “Background checks and selection procedures.”</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 about the legality of asking prospective employees for their d</w:t>
      </w:r>
      <w:r w:rsidRPr="00C1694A">
        <w:rPr>
          <w:rFonts w:ascii="Times New Roman" w:hAnsi="Times New Roman" w:cs="Times New Roman"/>
          <w:szCs w:val="24"/>
        </w:rPr>
        <w:t>a</w:t>
      </w:r>
      <w:r w:rsidRPr="00C1694A">
        <w:rPr>
          <w:rFonts w:ascii="Times New Roman" w:hAnsi="Times New Roman" w:cs="Times New Roman"/>
          <w:sz w:val="24"/>
          <w:szCs w:val="24"/>
        </w:rPr>
        <w:t xml:space="preserve">tes of birth.  Other commenters were concerned if we did not reference Title VII of the Civil Rights Act of 1964, programs could use background checks to discriminate in hiring practices against protected individuals such as African Americans and Hispanics. </w:t>
      </w:r>
    </w:p>
    <w:p w:rsidR="007862E2" w:rsidRPr="00C1694A" w:rsidRDefault="007862E2" w:rsidP="009A526A">
      <w:pPr>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Dates of birth are probably the most important factor needed to identify an individual and are necessary to conduct background checks.  The </w:t>
      </w:r>
      <w:r w:rsidRPr="00C1694A">
        <w:rPr>
          <w:rFonts w:ascii="Times New Roman" w:hAnsi="Times New Roman" w:cs="Times New Roman"/>
          <w:sz w:val="24"/>
          <w:szCs w:val="24"/>
          <w:lang w:val="en"/>
        </w:rPr>
        <w:t xml:space="preserve">Age Discrimination in Employment Act of 1967 </w:t>
      </w:r>
      <w:r w:rsidRPr="00C1694A">
        <w:rPr>
          <w:rFonts w:ascii="Times New Roman" w:hAnsi="Times New Roman" w:cs="Times New Roman"/>
          <w:sz w:val="24"/>
          <w:szCs w:val="24"/>
        </w:rPr>
        <w:t xml:space="preserve">does not prohibit an employer from asking for date of birth or age.  In fact, the </w:t>
      </w:r>
      <w:r w:rsidRPr="00C1694A">
        <w:rPr>
          <w:rFonts w:ascii="Times New Roman" w:hAnsi="Times New Roman" w:cs="Times New Roman"/>
          <w:iCs/>
          <w:sz w:val="24"/>
          <w:szCs w:val="24"/>
          <w:lang w:val="en"/>
        </w:rPr>
        <w:t>U.S. Equal Employment Opportunity Commission (EEOC)</w:t>
      </w:r>
      <w:r w:rsidRPr="00C1694A">
        <w:rPr>
          <w:rFonts w:ascii="Times New Roman" w:hAnsi="Times New Roman" w:cs="Times New Roman"/>
          <w:sz w:val="24"/>
          <w:szCs w:val="24"/>
          <w:lang w:val="en"/>
        </w:rPr>
        <w:t xml:space="preserve"> </w:t>
      </w:r>
      <w:r w:rsidRPr="00C1694A">
        <w:rPr>
          <w:rFonts w:ascii="Times New Roman" w:hAnsi="Times New Roman" w:cs="Times New Roman"/>
          <w:sz w:val="24"/>
          <w:szCs w:val="24"/>
        </w:rPr>
        <w:t>specifically ruled that an employer that asks for date of birth or age does not automatically violate that act.  As a best practice, the EEOC urges employers to clearly disclose to applicants why they need birth dates.</w:t>
      </w:r>
      <w:r w:rsidRPr="00C1694A">
        <w:rPr>
          <w:rStyle w:val="FootnoteReference"/>
          <w:rFonts w:ascii="Times New Roman" w:hAnsi="Times New Roman" w:cs="Times New Roman"/>
          <w:sz w:val="24"/>
          <w:szCs w:val="24"/>
        </w:rPr>
        <w:footnoteReference w:id="120"/>
      </w:r>
      <w:r w:rsidRPr="00C1694A">
        <w:rPr>
          <w:rFonts w:ascii="Times New Roman" w:hAnsi="Times New Roman" w:cs="Times New Roman"/>
          <w:sz w:val="24"/>
          <w:szCs w:val="24"/>
        </w:rPr>
        <w:t xml:space="preserve">  Title VII of the Civil Rights Act of 1964 (Title VII) requires employers to screen individuals based on criminal history in a manner that does not significantly disadvantage protected individuals, such as Hispanics and African Americans. In </w:t>
      </w:r>
      <w:r w:rsidR="00ED7C06" w:rsidRPr="00C1694A">
        <w:rPr>
          <w:rFonts w:ascii="Times New Roman" w:hAnsi="Times New Roman" w:cs="Times New Roman"/>
          <w:sz w:val="24"/>
          <w:szCs w:val="24"/>
        </w:rPr>
        <w:t>§</w:t>
      </w:r>
      <w:r w:rsidRPr="00C1694A">
        <w:rPr>
          <w:rFonts w:ascii="Times New Roman" w:hAnsi="Times New Roman" w:cs="Times New Roman"/>
          <w:sz w:val="24"/>
          <w:szCs w:val="24"/>
        </w:rPr>
        <w:t xml:space="preserve">1303.3 we include Title VII of the Civil Rights Act among the other federal laws Head Start programs need to comply with.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found our structure for paragraph (b) to be confusing and asked us to clarify whether programs must complete the background check before a person was hired or within 90 days.  Commenters offered suggestions, such a</w:t>
      </w:r>
      <w:r w:rsidR="0076400F" w:rsidRPr="00C1694A">
        <w:rPr>
          <w:rFonts w:ascii="Times New Roman" w:hAnsi="Times New Roman" w:cs="Times New Roman"/>
          <w:sz w:val="24"/>
          <w:szCs w:val="24"/>
        </w:rPr>
        <w:t>s adding a</w:t>
      </w:r>
      <w:r w:rsidRPr="00C1694A">
        <w:rPr>
          <w:rFonts w:ascii="Times New Roman" w:hAnsi="Times New Roman" w:cs="Times New Roman"/>
          <w:sz w:val="24"/>
          <w:szCs w:val="24"/>
        </w:rPr>
        <w:t xml:space="preserve"> provision that required programs to hire individuals who otherwise cleared one of the checks before they were hired or to limit their access to children until all background checks are cleared.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our structure for paragraph (b) made it difficult to clearly understand what type of background check needed to be conducted before or after an individual is hired.  We did not change the background check requirements but we revised paragraphs (b)(1) and (2) to improve clarity.  Paragraph (b)(1) now clearly requires programs to obtain either state or tribal criminal history records with fingerprint checks </w:t>
      </w:r>
      <w:r w:rsidRPr="00C1694A">
        <w:rPr>
          <w:rFonts w:ascii="Times New Roman" w:hAnsi="Times New Roman" w:cs="Times New Roman"/>
          <w:sz w:val="24"/>
          <w:szCs w:val="24"/>
          <w:u w:val="single"/>
        </w:rPr>
        <w:t>or</w:t>
      </w:r>
      <w:r w:rsidRPr="00C1694A">
        <w:rPr>
          <w:rFonts w:ascii="Times New Roman" w:hAnsi="Times New Roman" w:cs="Times New Roman"/>
          <w:sz w:val="24"/>
          <w:szCs w:val="24"/>
        </w:rPr>
        <w:t xml:space="preserve"> federal criminal history records with fingerprints before an individual is hired. Paragraph (b)(2)(i) now clearly requires programs have 90 days after an individual is hired to obtain whichever criminal history check listed in paragraph (b)(1) they could not obtain before hire.  It also </w:t>
      </w:r>
      <w:r w:rsidR="0076400F" w:rsidRPr="00C1694A">
        <w:rPr>
          <w:rFonts w:ascii="Times New Roman" w:hAnsi="Times New Roman" w:cs="Times New Roman"/>
          <w:sz w:val="24"/>
          <w:szCs w:val="24"/>
        </w:rPr>
        <w:t xml:space="preserve">states </w:t>
      </w:r>
      <w:r w:rsidRPr="00C1694A">
        <w:rPr>
          <w:rFonts w:ascii="Times New Roman" w:hAnsi="Times New Roman" w:cs="Times New Roman"/>
          <w:sz w:val="24"/>
          <w:szCs w:val="24"/>
        </w:rPr>
        <w:t>in paragraph (b)(2)(ii) and (iii) that programs have 90 days after an employee is hired to complete background checks with child abuse and neglect</w:t>
      </w:r>
      <w:r w:rsidR="004C24E5" w:rsidRPr="00C1694A">
        <w:rPr>
          <w:rFonts w:ascii="Times New Roman" w:hAnsi="Times New Roman" w:cs="Times New Roman"/>
          <w:sz w:val="24"/>
          <w:szCs w:val="24"/>
        </w:rPr>
        <w:t xml:space="preserve"> registries, if available,</w:t>
      </w:r>
      <w:r w:rsidRPr="00C1694A">
        <w:rPr>
          <w:rFonts w:ascii="Times New Roman" w:hAnsi="Times New Roman" w:cs="Times New Roman"/>
          <w:sz w:val="24"/>
          <w:szCs w:val="24"/>
        </w:rPr>
        <w:t xml:space="preserve"> and sex offender registries.  To ensure child safety while the all of the background checks are being completed, we added paragraph (b)(3) to require programs ensure the new employee will not have unsupervised access to children until their </w:t>
      </w:r>
      <w:r w:rsidR="003323BE" w:rsidRPr="00C1694A">
        <w:rPr>
          <w:rFonts w:ascii="Times New Roman" w:hAnsi="Times New Roman" w:cs="Times New Roman"/>
          <w:sz w:val="24"/>
          <w:szCs w:val="24"/>
        </w:rPr>
        <w:t xml:space="preserve">full </w:t>
      </w:r>
      <w:r w:rsidRPr="00C1694A">
        <w:rPr>
          <w:rFonts w:ascii="Times New Roman" w:hAnsi="Times New Roman" w:cs="Times New Roman"/>
          <w:sz w:val="24"/>
          <w:szCs w:val="24"/>
        </w:rPr>
        <w:t>background check</w:t>
      </w:r>
      <w:r w:rsidR="003323BE" w:rsidRPr="00C1694A">
        <w:rPr>
          <w:rFonts w:ascii="Times New Roman" w:hAnsi="Times New Roman" w:cs="Times New Roman"/>
          <w:sz w:val="24"/>
          <w:szCs w:val="24"/>
        </w:rPr>
        <w:t xml:space="preserve"> process</w:t>
      </w:r>
      <w:r w:rsidRPr="00C1694A">
        <w:rPr>
          <w:rFonts w:ascii="Times New Roman" w:hAnsi="Times New Roman" w:cs="Times New Roman"/>
          <w:sz w:val="24"/>
          <w:szCs w:val="24"/>
        </w:rPr>
        <w:t xml:space="preserve"> is complete.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were concerned we would find programs either non-compliant or deficient if there were no child abuse and neglect registries in their state.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should specify whether programs must use state or national sex offender registry and we should require programs to conduct searches on the National Crime Information Center.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E16CA1" w:rsidRPr="00C1694A">
        <w:rPr>
          <w:rFonts w:ascii="Times New Roman" w:hAnsi="Times New Roman" w:cs="Times New Roman"/>
          <w:sz w:val="24"/>
          <w:szCs w:val="24"/>
        </w:rPr>
        <w:t>We require programs to obtain checks from the national sex offender registry and state</w:t>
      </w:r>
      <w:r w:rsidRPr="00C1694A">
        <w:rPr>
          <w:rFonts w:ascii="Times New Roman" w:hAnsi="Times New Roman" w:cs="Times New Roman"/>
          <w:sz w:val="24"/>
          <w:szCs w:val="24"/>
        </w:rPr>
        <w:t xml:space="preserve"> child abuse and neglect and sex offender registries</w:t>
      </w:r>
      <w:r w:rsidR="00E16CA1" w:rsidRPr="00C1694A">
        <w:rPr>
          <w:rFonts w:ascii="Times New Roman" w:hAnsi="Times New Roman" w:cs="Times New Roman"/>
          <w:sz w:val="24"/>
          <w:szCs w:val="24"/>
        </w:rPr>
        <w:t>,</w:t>
      </w:r>
      <w:r w:rsidRPr="00C1694A">
        <w:rPr>
          <w:rFonts w:ascii="Times New Roman" w:hAnsi="Times New Roman" w:cs="Times New Roman"/>
          <w:sz w:val="24"/>
          <w:szCs w:val="24"/>
        </w:rPr>
        <w:t xml:space="preserve"> </w:t>
      </w:r>
      <w:r w:rsidR="00E16CA1" w:rsidRPr="00C1694A">
        <w:rPr>
          <w:rFonts w:ascii="Times New Roman" w:hAnsi="Times New Roman" w:cs="Times New Roman"/>
          <w:sz w:val="24"/>
          <w:szCs w:val="24"/>
        </w:rPr>
        <w:t xml:space="preserve">if </w:t>
      </w:r>
      <w:r w:rsidRPr="00C1694A">
        <w:rPr>
          <w:rFonts w:ascii="Times New Roman" w:hAnsi="Times New Roman" w:cs="Times New Roman"/>
          <w:sz w:val="24"/>
          <w:szCs w:val="24"/>
        </w:rPr>
        <w:t>available</w:t>
      </w:r>
      <w:r w:rsidR="00E16CA1" w:rsidRPr="00C1694A">
        <w:rPr>
          <w:rFonts w:ascii="Times New Roman" w:hAnsi="Times New Roman" w:cs="Times New Roman"/>
          <w:sz w:val="24"/>
          <w:szCs w:val="24"/>
        </w:rPr>
        <w:t>.</w:t>
      </w:r>
      <w:r w:rsidRPr="00C1694A">
        <w:rPr>
          <w:rFonts w:ascii="Times New Roman" w:hAnsi="Times New Roman" w:cs="Times New Roman"/>
          <w:sz w:val="24"/>
          <w:szCs w:val="24"/>
        </w:rPr>
        <w:t xml:space="preserve"> We </w:t>
      </w:r>
      <w:r w:rsidR="00820746" w:rsidRPr="00C1694A">
        <w:rPr>
          <w:rFonts w:ascii="Times New Roman" w:hAnsi="Times New Roman" w:cs="Times New Roman"/>
          <w:sz w:val="24"/>
          <w:szCs w:val="24"/>
        </w:rPr>
        <w:t xml:space="preserve">think the regulation is strong on ensuring child safety and </w:t>
      </w:r>
      <w:r w:rsidR="00E16CA1" w:rsidRPr="00C1694A">
        <w:rPr>
          <w:rFonts w:ascii="Times New Roman" w:hAnsi="Times New Roman" w:cs="Times New Roman"/>
          <w:sz w:val="24"/>
          <w:szCs w:val="24"/>
        </w:rPr>
        <w:t xml:space="preserve">do </w:t>
      </w:r>
      <w:r w:rsidRPr="00C1694A">
        <w:rPr>
          <w:rFonts w:ascii="Times New Roman" w:hAnsi="Times New Roman" w:cs="Times New Roman"/>
          <w:sz w:val="24"/>
          <w:szCs w:val="24"/>
        </w:rPr>
        <w:t xml:space="preserve">not </w:t>
      </w:r>
      <w:r w:rsidR="00E16CA1" w:rsidRPr="00C1694A">
        <w:rPr>
          <w:rFonts w:ascii="Times New Roman" w:hAnsi="Times New Roman" w:cs="Times New Roman"/>
          <w:sz w:val="24"/>
          <w:szCs w:val="24"/>
        </w:rPr>
        <w:t xml:space="preserve">think it is </w:t>
      </w:r>
      <w:r w:rsidR="00820746" w:rsidRPr="00C1694A">
        <w:rPr>
          <w:rFonts w:ascii="Times New Roman" w:hAnsi="Times New Roman" w:cs="Times New Roman"/>
          <w:sz w:val="24"/>
          <w:szCs w:val="24"/>
        </w:rPr>
        <w:t xml:space="preserve">necessary </w:t>
      </w:r>
      <w:r w:rsidR="00E16CA1" w:rsidRPr="00C1694A">
        <w:rPr>
          <w:rFonts w:ascii="Times New Roman" w:hAnsi="Times New Roman" w:cs="Times New Roman"/>
          <w:sz w:val="24"/>
          <w:szCs w:val="24"/>
        </w:rPr>
        <w:t xml:space="preserve">to require programs to check </w:t>
      </w:r>
      <w:r w:rsidRPr="00C1694A">
        <w:rPr>
          <w:rFonts w:ascii="Times New Roman" w:hAnsi="Times New Roman" w:cs="Times New Roman"/>
          <w:sz w:val="24"/>
          <w:szCs w:val="24"/>
        </w:rPr>
        <w:t xml:space="preserve">the National Crime Information Center.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we require programs to conduct background checks on volunteers, contractors, and family child care providers.   </w:t>
      </w:r>
    </w:p>
    <w:p w:rsidR="007862E2" w:rsidRPr="00C1694A" w:rsidRDefault="007862E2" w:rsidP="009A526A">
      <w:pPr>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contractor and family child care providers</w:t>
      </w:r>
      <w:r w:rsidR="00ED4C98" w:rsidRPr="00C1694A">
        <w:rPr>
          <w:rFonts w:ascii="Times New Roman" w:hAnsi="Times New Roman" w:cs="Times New Roman"/>
          <w:sz w:val="24"/>
          <w:szCs w:val="24"/>
        </w:rPr>
        <w:t xml:space="preserve"> are</w:t>
      </w:r>
      <w:r w:rsidRPr="00C1694A">
        <w:rPr>
          <w:rFonts w:ascii="Times New Roman" w:hAnsi="Times New Roman" w:cs="Times New Roman"/>
          <w:sz w:val="24"/>
          <w:szCs w:val="24"/>
        </w:rPr>
        <w:t xml:space="preserve"> require</w:t>
      </w:r>
      <w:r w:rsidR="00ED4C98" w:rsidRPr="00C1694A">
        <w:rPr>
          <w:rFonts w:ascii="Times New Roman" w:hAnsi="Times New Roman" w:cs="Times New Roman"/>
          <w:sz w:val="24"/>
          <w:szCs w:val="24"/>
        </w:rPr>
        <w:t>d to have</w:t>
      </w:r>
      <w:r w:rsidRPr="00C1694A">
        <w:rPr>
          <w:rFonts w:ascii="Times New Roman" w:hAnsi="Times New Roman" w:cs="Times New Roman"/>
          <w:sz w:val="24"/>
          <w:szCs w:val="24"/>
        </w:rPr>
        <w:t xml:space="preserve"> background checks.  To clarify our intent we added the phrase “directly or through contract” to paragraph (b)(1)</w:t>
      </w:r>
      <w:r w:rsidR="007D6DED" w:rsidRPr="00C1694A">
        <w:rPr>
          <w:rFonts w:ascii="Times New Roman" w:hAnsi="Times New Roman" w:cs="Times New Roman"/>
          <w:sz w:val="24"/>
          <w:szCs w:val="24"/>
        </w:rPr>
        <w:t xml:space="preserve"> and clarify that transportation staff and contractors are also subject to these requirements, consistent with the </w:t>
      </w:r>
      <w:r w:rsidR="00835F10" w:rsidRPr="00C1694A">
        <w:rPr>
          <w:rFonts w:ascii="Times New Roman" w:hAnsi="Times New Roman" w:cs="Times New Roman"/>
          <w:sz w:val="24"/>
          <w:szCs w:val="24"/>
        </w:rPr>
        <w:t xml:space="preserve">policy proposed in the </w:t>
      </w:r>
      <w:r w:rsidR="007D6DED" w:rsidRPr="00C1694A">
        <w:rPr>
          <w:rFonts w:ascii="Times New Roman" w:hAnsi="Times New Roman" w:cs="Times New Roman"/>
          <w:sz w:val="24"/>
          <w:szCs w:val="24"/>
        </w:rPr>
        <w:t>NPRM.</w:t>
      </w:r>
      <w:r w:rsidRPr="00C1694A">
        <w:rPr>
          <w:rFonts w:ascii="Times New Roman" w:hAnsi="Times New Roman" w:cs="Times New Roman"/>
          <w:sz w:val="24"/>
          <w:szCs w:val="24"/>
        </w:rPr>
        <w:t xml:space="preserve">  </w:t>
      </w:r>
      <w:r w:rsidR="001D5366" w:rsidRPr="00C1694A">
        <w:rPr>
          <w:rFonts w:ascii="Times New Roman" w:hAnsi="Times New Roman" w:cs="Times New Roman"/>
          <w:sz w:val="24"/>
          <w:szCs w:val="24"/>
        </w:rPr>
        <w:t xml:space="preserve">We also clarify that all staff, consultants, and contractors are subject to this requirement. </w:t>
      </w:r>
      <w:r w:rsidRPr="00C1694A">
        <w:rPr>
          <w:rFonts w:ascii="Times New Roman" w:hAnsi="Times New Roman" w:cs="Times New Roman"/>
          <w:sz w:val="24"/>
          <w:szCs w:val="24"/>
        </w:rPr>
        <w:t xml:space="preserve">We do not require background checks for volunteers because there is some evidence this stifles parent </w:t>
      </w:r>
      <w:r w:rsidR="00C964C5" w:rsidRPr="00C1694A">
        <w:rPr>
          <w:rFonts w:ascii="Times New Roman" w:hAnsi="Times New Roman" w:cs="Times New Roman"/>
          <w:sz w:val="24"/>
          <w:szCs w:val="24"/>
        </w:rPr>
        <w:t xml:space="preserve">volunteering and </w:t>
      </w:r>
      <w:r w:rsidRPr="00C1694A">
        <w:rPr>
          <w:rFonts w:ascii="Times New Roman" w:hAnsi="Times New Roman" w:cs="Times New Roman"/>
          <w:sz w:val="24"/>
          <w:szCs w:val="24"/>
        </w:rPr>
        <w:t>engagement</w:t>
      </w:r>
      <w:r w:rsidR="00C964C5" w:rsidRPr="00C1694A">
        <w:rPr>
          <w:rFonts w:ascii="Times New Roman" w:hAnsi="Times New Roman" w:cs="Times New Roman"/>
          <w:sz w:val="24"/>
          <w:szCs w:val="24"/>
        </w:rPr>
        <w:t>, which is fundamental to Head Start’s two-generation approach</w:t>
      </w:r>
      <w:r w:rsidRPr="00C1694A">
        <w:rPr>
          <w:rFonts w:ascii="Times New Roman" w:hAnsi="Times New Roman" w:cs="Times New Roman"/>
          <w:sz w:val="24"/>
          <w:szCs w:val="24"/>
        </w:rPr>
        <w:t>.</w:t>
      </w:r>
      <w:r w:rsidR="00C964C5" w:rsidRPr="00C1694A">
        <w:rPr>
          <w:rFonts w:ascii="Times New Roman" w:hAnsi="Times New Roman" w:cs="Times New Roman"/>
          <w:sz w:val="24"/>
          <w:szCs w:val="24"/>
        </w:rPr>
        <w:t xml:space="preserve">  Additionally, </w:t>
      </w:r>
      <w:r w:rsidRPr="00C1694A">
        <w:rPr>
          <w:rFonts w:ascii="Times New Roman" w:hAnsi="Times New Roman" w:cs="Times New Roman"/>
          <w:sz w:val="24"/>
          <w:szCs w:val="24"/>
        </w:rPr>
        <w:t xml:space="preserve">as described in </w:t>
      </w:r>
      <w:r w:rsidR="003323BE" w:rsidRPr="00C1694A">
        <w:rPr>
          <w:rFonts w:ascii="Times New Roman" w:hAnsi="Times New Roman" w:cs="Times New Roman"/>
          <w:sz w:val="24"/>
          <w:szCs w:val="24"/>
        </w:rPr>
        <w:t xml:space="preserve">paragraph </w:t>
      </w:r>
      <w:r w:rsidR="00B3013F" w:rsidRPr="00C1694A">
        <w:rPr>
          <w:rFonts w:ascii="Times New Roman" w:hAnsi="Times New Roman" w:cs="Times New Roman"/>
          <w:sz w:val="24"/>
          <w:szCs w:val="24"/>
        </w:rPr>
        <w:t>(c)(1)(</w:t>
      </w:r>
      <w:r w:rsidRPr="00C1694A">
        <w:rPr>
          <w:rFonts w:ascii="Times New Roman" w:hAnsi="Times New Roman" w:cs="Times New Roman"/>
          <w:sz w:val="24"/>
          <w:szCs w:val="24"/>
        </w:rPr>
        <w:t xml:space="preserve">v) and §1302.94(b), programs must ensure children are never left alone with volunteers.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were concerned about language in the preamble about programs providing justification for hiring individuals with arrests or convictions in relation to what was paragraph (b)(3) </w:t>
      </w:r>
      <w:r w:rsidR="00B3013F" w:rsidRPr="00C1694A">
        <w:rPr>
          <w:rFonts w:ascii="Times New Roman" w:hAnsi="Times New Roman" w:cs="Times New Roman"/>
          <w:sz w:val="24"/>
          <w:szCs w:val="24"/>
        </w:rPr>
        <w:t xml:space="preserve">in the NPRM </w:t>
      </w:r>
      <w:r w:rsidRPr="00C1694A">
        <w:rPr>
          <w:rFonts w:ascii="Times New Roman" w:hAnsi="Times New Roman" w:cs="Times New Roman"/>
          <w:sz w:val="24"/>
          <w:szCs w:val="24"/>
        </w:rPr>
        <w:t>and is now paragraph (b)(4).  Commenters noted this caused unnecessary bureaucracy and a few thought it contradicted the Act.</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Paragraph (b)(4) in this rule requires programs to review each employment application to assess relevancy.  It does not conflict with the Act and does not require written justifications.</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some comments about disqualification factors.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revise what is now paragraph (b)(4) to clarify that school-based grantees can use whichever state-imposed disqualification factors apply to them.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allow tribes to use tribal disqualification factors.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us to list </w:t>
      </w:r>
      <w:r w:rsidR="00B3013F" w:rsidRPr="00C1694A">
        <w:rPr>
          <w:rFonts w:ascii="Times New Roman" w:hAnsi="Times New Roman" w:cs="Times New Roman"/>
          <w:sz w:val="24"/>
          <w:szCs w:val="24"/>
        </w:rPr>
        <w:t xml:space="preserve">specific </w:t>
      </w:r>
      <w:r w:rsidRPr="00C1694A">
        <w:rPr>
          <w:rFonts w:ascii="Times New Roman" w:hAnsi="Times New Roman" w:cs="Times New Roman"/>
          <w:sz w:val="24"/>
          <w:szCs w:val="24"/>
        </w:rPr>
        <w:t xml:space="preserve">pre-employment or disqualification factors.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(b)(4), which was paragraph (b)(3) in the NPRM, to clarify programs must use “applicable state</w:t>
      </w:r>
      <w:r w:rsidR="00835F10"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or tribal </w:t>
      </w:r>
      <w:r w:rsidR="007F4162" w:rsidRPr="00C1694A">
        <w:rPr>
          <w:rFonts w:ascii="Times New Roman" w:hAnsi="Times New Roman" w:cs="Times New Roman"/>
          <w:sz w:val="24"/>
          <w:szCs w:val="24"/>
        </w:rPr>
        <w:t xml:space="preserve">Child Care Development Fund (CCDF) </w:t>
      </w:r>
      <w:r w:rsidRPr="00C1694A">
        <w:rPr>
          <w:rFonts w:ascii="Times New Roman" w:hAnsi="Times New Roman" w:cs="Times New Roman"/>
          <w:sz w:val="24"/>
          <w:szCs w:val="24"/>
        </w:rPr>
        <w:t xml:space="preserve">disqualification factors in any employment decisions.”   However, because pre-employment and disqualification factors vary by state and tribe, we did not list those factors here.  </w:t>
      </w:r>
    </w:p>
    <w:p w:rsidR="001B7807"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Most commenters supported the requirement in what was paragraph (b)(4) </w:t>
      </w:r>
      <w:r w:rsidR="00B3013F" w:rsidRPr="00C1694A">
        <w:rPr>
          <w:rFonts w:ascii="Times New Roman" w:hAnsi="Times New Roman" w:cs="Times New Roman"/>
          <w:sz w:val="24"/>
          <w:szCs w:val="24"/>
        </w:rPr>
        <w:t xml:space="preserve">in the NPRM </w:t>
      </w:r>
      <w:r w:rsidRPr="00C1694A">
        <w:rPr>
          <w:rFonts w:ascii="Times New Roman" w:hAnsi="Times New Roman" w:cs="Times New Roman"/>
          <w:sz w:val="24"/>
          <w:szCs w:val="24"/>
        </w:rPr>
        <w:t xml:space="preserve">but is now paragraph (b)(5) to conduct </w:t>
      </w:r>
      <w:r w:rsidR="00DC7B06" w:rsidRPr="00C1694A">
        <w:rPr>
          <w:rFonts w:ascii="Times New Roman" w:hAnsi="Times New Roman" w:cs="Times New Roman"/>
          <w:sz w:val="24"/>
          <w:szCs w:val="24"/>
        </w:rPr>
        <w:t xml:space="preserve">complete </w:t>
      </w:r>
      <w:r w:rsidRPr="00C1694A">
        <w:rPr>
          <w:rFonts w:ascii="Times New Roman" w:hAnsi="Times New Roman" w:cs="Times New Roman"/>
          <w:sz w:val="24"/>
          <w:szCs w:val="24"/>
        </w:rPr>
        <w:t xml:space="preserve">background </w:t>
      </w:r>
      <w:r w:rsidR="00ED4C98" w:rsidRPr="00C1694A">
        <w:rPr>
          <w:rFonts w:ascii="Times New Roman" w:hAnsi="Times New Roman" w:cs="Times New Roman"/>
          <w:sz w:val="24"/>
          <w:szCs w:val="24"/>
        </w:rPr>
        <w:t>check</w:t>
      </w:r>
      <w:r w:rsidR="00DC7B06" w:rsidRPr="00C1694A">
        <w:rPr>
          <w:rFonts w:ascii="Times New Roman" w:hAnsi="Times New Roman" w:cs="Times New Roman"/>
          <w:sz w:val="24"/>
          <w:szCs w:val="24"/>
        </w:rPr>
        <w:t>s</w:t>
      </w:r>
      <w:r w:rsidR="00ED4C98"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every five years.  They believed what we proposed aligns with background checks across multiple early childhood programs and with typical hiring practices.  Some commenters opposed this requirement because it would impose undue costs for programs.  </w:t>
      </w:r>
      <w:r w:rsidR="001B7807" w:rsidRPr="00C1694A">
        <w:rPr>
          <w:rFonts w:ascii="Times New Roman" w:hAnsi="Times New Roman" w:cs="Times New Roman"/>
          <w:sz w:val="24"/>
          <w:szCs w:val="24"/>
        </w:rPr>
        <w:t xml:space="preserve">Many commenters suggested exemptions for programs that have a more stringent system in place.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t>
      </w:r>
      <w:r w:rsidR="001B7807" w:rsidRPr="00C1694A">
        <w:rPr>
          <w:rFonts w:ascii="Times New Roman" w:hAnsi="Times New Roman" w:cs="Times New Roman"/>
          <w:sz w:val="24"/>
          <w:szCs w:val="24"/>
        </w:rPr>
        <w:t>offered other</w:t>
      </w:r>
      <w:r w:rsidRPr="00C1694A">
        <w:rPr>
          <w:rFonts w:ascii="Times New Roman" w:hAnsi="Times New Roman" w:cs="Times New Roman"/>
          <w:sz w:val="24"/>
          <w:szCs w:val="24"/>
        </w:rPr>
        <w:t xml:space="preserve"> alternatives to the five</w:t>
      </w:r>
      <w:r w:rsidR="00086D11" w:rsidRPr="00C1694A">
        <w:rPr>
          <w:rFonts w:ascii="Times New Roman" w:hAnsi="Times New Roman" w:cs="Times New Roman"/>
          <w:sz w:val="24"/>
          <w:szCs w:val="24"/>
        </w:rPr>
        <w:t>-</w:t>
      </w:r>
      <w:r w:rsidRPr="00C1694A">
        <w:rPr>
          <w:rFonts w:ascii="Times New Roman" w:hAnsi="Times New Roman" w:cs="Times New Roman"/>
          <w:sz w:val="24"/>
          <w:szCs w:val="24"/>
        </w:rPr>
        <w:t>year requirement, like use of consumer reporting agencies because they are fast and more comprehensive, a</w:t>
      </w:r>
      <w:r w:rsidR="001B7807" w:rsidRPr="00C1694A">
        <w:rPr>
          <w:rFonts w:ascii="Times New Roman" w:hAnsi="Times New Roman" w:cs="Times New Roman"/>
          <w:sz w:val="24"/>
          <w:szCs w:val="24"/>
        </w:rPr>
        <w:t>nd</w:t>
      </w:r>
      <w:r w:rsidRPr="00C1694A">
        <w:rPr>
          <w:rFonts w:ascii="Times New Roman" w:hAnsi="Times New Roman" w:cs="Times New Roman"/>
          <w:sz w:val="24"/>
          <w:szCs w:val="24"/>
        </w:rPr>
        <w:t xml:space="preserve"> background checks more frequent</w:t>
      </w:r>
      <w:r w:rsidR="00086D11" w:rsidRPr="00C1694A">
        <w:rPr>
          <w:rFonts w:ascii="Times New Roman" w:hAnsi="Times New Roman" w:cs="Times New Roman"/>
          <w:sz w:val="24"/>
          <w:szCs w:val="24"/>
        </w:rPr>
        <w:t>ly</w:t>
      </w:r>
      <w:r w:rsidRPr="00C1694A">
        <w:rPr>
          <w:rFonts w:ascii="Times New Roman" w:hAnsi="Times New Roman" w:cs="Times New Roman"/>
          <w:sz w:val="24"/>
          <w:szCs w:val="24"/>
        </w:rPr>
        <w:t xml:space="preserve"> than every five years</w:t>
      </w:r>
      <w:r w:rsidR="001B7807" w:rsidRPr="00C1694A">
        <w:rPr>
          <w:rFonts w:ascii="Times New Roman" w:hAnsi="Times New Roman" w:cs="Times New Roman"/>
          <w:sz w:val="24"/>
          <w:szCs w:val="24"/>
        </w:rPr>
        <w:t>.</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our </w:t>
      </w:r>
      <w:r w:rsidR="00086D11" w:rsidRPr="00C1694A">
        <w:rPr>
          <w:rFonts w:ascii="Times New Roman" w:hAnsi="Times New Roman" w:cs="Times New Roman"/>
          <w:sz w:val="24"/>
          <w:szCs w:val="24"/>
        </w:rPr>
        <w:t>five</w:t>
      </w:r>
      <w:r w:rsidR="00566A26" w:rsidRPr="00C1694A">
        <w:rPr>
          <w:rFonts w:ascii="Times New Roman" w:hAnsi="Times New Roman" w:cs="Times New Roman"/>
          <w:sz w:val="24"/>
          <w:szCs w:val="24"/>
        </w:rPr>
        <w:t>-</w:t>
      </w:r>
      <w:r w:rsidRPr="00C1694A">
        <w:rPr>
          <w:rFonts w:ascii="Times New Roman" w:hAnsi="Times New Roman" w:cs="Times New Roman"/>
          <w:sz w:val="24"/>
          <w:szCs w:val="24"/>
        </w:rPr>
        <w:t xml:space="preserve">year requirement </w:t>
      </w:r>
      <w:r w:rsidR="00086D11" w:rsidRPr="00C1694A">
        <w:rPr>
          <w:rFonts w:ascii="Times New Roman" w:hAnsi="Times New Roman" w:cs="Times New Roman"/>
          <w:sz w:val="24"/>
          <w:szCs w:val="24"/>
        </w:rPr>
        <w:t xml:space="preserve">that now appears </w:t>
      </w:r>
      <w:r w:rsidRPr="00C1694A">
        <w:rPr>
          <w:rFonts w:ascii="Times New Roman" w:hAnsi="Times New Roman" w:cs="Times New Roman"/>
          <w:sz w:val="24"/>
          <w:szCs w:val="24"/>
        </w:rPr>
        <w:t>in paragraph (b)(5)</w:t>
      </w:r>
      <w:r w:rsidR="00B3013F" w:rsidRPr="00C1694A">
        <w:rPr>
          <w:rFonts w:ascii="Times New Roman" w:hAnsi="Times New Roman" w:cs="Times New Roman"/>
          <w:sz w:val="24"/>
          <w:szCs w:val="24"/>
        </w:rPr>
        <w:t xml:space="preserve"> in the NPRM</w:t>
      </w:r>
      <w:r w:rsidRPr="00C1694A">
        <w:rPr>
          <w:rFonts w:ascii="Times New Roman" w:hAnsi="Times New Roman" w:cs="Times New Roman"/>
          <w:sz w:val="24"/>
          <w:szCs w:val="24"/>
        </w:rPr>
        <w:t xml:space="preserve"> aligns with other program requirements and with typical hiring practices.  We understand there may be costs associated with background checks.  However, we believe child safety is paramount.  Therefore, we expect programs to use resources available to them and to allocate funds differently, if necessary, to cover these costs.  We revised paragraph (b)(5) to exempt a program from the five</w:t>
      </w:r>
      <w:r w:rsidR="00086D11" w:rsidRPr="00C1694A">
        <w:rPr>
          <w:rFonts w:ascii="Times New Roman" w:hAnsi="Times New Roman" w:cs="Times New Roman"/>
          <w:sz w:val="24"/>
          <w:szCs w:val="24"/>
        </w:rPr>
        <w:t>-</w:t>
      </w:r>
      <w:r w:rsidRPr="00C1694A">
        <w:rPr>
          <w:rFonts w:ascii="Times New Roman" w:hAnsi="Times New Roman" w:cs="Times New Roman"/>
          <w:sz w:val="24"/>
          <w:szCs w:val="24"/>
        </w:rPr>
        <w:t xml:space="preserve">year requirement if the program can demonstrate it has a more stringent system in place that will ensure child safety.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us to clarify the requirement in what </w:t>
      </w:r>
      <w:r w:rsidR="00086D11" w:rsidRPr="00C1694A">
        <w:rPr>
          <w:rFonts w:ascii="Times New Roman" w:hAnsi="Times New Roman" w:cs="Times New Roman"/>
          <w:sz w:val="24"/>
          <w:szCs w:val="24"/>
        </w:rPr>
        <w:t xml:space="preserve">was paragraph (b)(5) and </w:t>
      </w:r>
      <w:r w:rsidRPr="00C1694A">
        <w:rPr>
          <w:rFonts w:ascii="Times New Roman" w:hAnsi="Times New Roman" w:cs="Times New Roman"/>
          <w:sz w:val="24"/>
          <w:szCs w:val="24"/>
        </w:rPr>
        <w:t xml:space="preserve">is now paragraph (b)(6) about consideration of current and former program parents for employment vacancies.  They requested we clarify </w:t>
      </w:r>
      <w:r w:rsidR="00342669" w:rsidRPr="00C1694A">
        <w:rPr>
          <w:rFonts w:ascii="Times New Roman" w:hAnsi="Times New Roman" w:cs="Times New Roman"/>
          <w:sz w:val="24"/>
          <w:szCs w:val="24"/>
        </w:rPr>
        <w:t xml:space="preserve">that </w:t>
      </w:r>
      <w:r w:rsidRPr="00C1694A">
        <w:rPr>
          <w:rFonts w:ascii="Times New Roman" w:hAnsi="Times New Roman" w:cs="Times New Roman"/>
          <w:sz w:val="24"/>
          <w:szCs w:val="24"/>
        </w:rPr>
        <w:t>programs are not required to consider otherwise qualified parents for positions if they do not apply.</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(b)(6) </w:t>
      </w:r>
      <w:r w:rsidR="00342669" w:rsidRPr="00C1694A">
        <w:rPr>
          <w:rFonts w:ascii="Times New Roman" w:hAnsi="Times New Roman" w:cs="Times New Roman"/>
          <w:sz w:val="24"/>
          <w:szCs w:val="24"/>
        </w:rPr>
        <w:t>to clarify that parents should be considered only for jobs for which they apply</w:t>
      </w:r>
      <w:r w:rsidRPr="00C1694A">
        <w:rPr>
          <w:rFonts w:ascii="Times New Roman" w:hAnsi="Times New Roman" w:cs="Times New Roman"/>
          <w:sz w:val="24"/>
          <w:szCs w:val="24"/>
        </w:rPr>
        <w:t>.</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us to define: “background check,” “before and individual is hired,” “clearance by registries,” employment application,” and the term “hire” as distinct from the phrase “an offer of employment.”</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define these terms or phrases.  Programs </w:t>
      </w:r>
      <w:r w:rsidR="00215A21" w:rsidRPr="00C1694A">
        <w:rPr>
          <w:rFonts w:ascii="Times New Roman" w:hAnsi="Times New Roman" w:cs="Times New Roman"/>
          <w:sz w:val="24"/>
          <w:szCs w:val="24"/>
        </w:rPr>
        <w:t xml:space="preserve">should </w:t>
      </w:r>
      <w:r w:rsidRPr="00C1694A">
        <w:rPr>
          <w:rFonts w:ascii="Times New Roman" w:hAnsi="Times New Roman" w:cs="Times New Roman"/>
          <w:sz w:val="24"/>
          <w:szCs w:val="24"/>
        </w:rPr>
        <w:t xml:space="preserve">consider their ordinary and customary meanings.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generally supported the standards of conduct described in paragraph (c).  Some </w:t>
      </w:r>
      <w:r w:rsidRPr="00C1694A">
        <w:rPr>
          <w:rStyle w:val="CommentReference"/>
          <w:rFonts w:ascii="Times New Roman" w:hAnsi="Times New Roman" w:cs="Times New Roman"/>
          <w:sz w:val="24"/>
          <w:szCs w:val="24"/>
        </w:rPr>
        <w:t xml:space="preserve">noted their support of the requirements in what is now paragraph (c)(1)(ii) that prohibit </w:t>
      </w:r>
      <w:r w:rsidRPr="00C1694A">
        <w:rPr>
          <w:rFonts w:ascii="Times New Roman" w:hAnsi="Times New Roman" w:cs="Times New Roman"/>
          <w:sz w:val="24"/>
          <w:szCs w:val="24"/>
        </w:rPr>
        <w:t xml:space="preserve">staff from using food or physical activity or outdoor time as a reward or punishment.  Some commenters requested we add more specificity to the requirements in paragraph (c)(1)(ii).  For example, some requested we expressly ban physical, mechanical, and chemical restraint, as well as seclusion.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stated that the terms “isolation,” “sarcastic,” “derogatory,” and “humiliation” were subjective and asked us to define them.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we delete the list of what staff must not do and include a standard by which staff should aspire to conduct themselves instead.</w:t>
      </w:r>
    </w:p>
    <w:p w:rsidR="007862E2" w:rsidRPr="00C1694A" w:rsidRDefault="007862E2" w:rsidP="009A526A">
      <w:pPr>
        <w:spacing w:after="0" w:line="480" w:lineRule="auto"/>
        <w:ind w:firstLine="720"/>
        <w:rPr>
          <w:rStyle w:val="CommentReference"/>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Style w:val="CommentReference"/>
          <w:rFonts w:ascii="Times New Roman" w:hAnsi="Times New Roman" w:cs="Times New Roman"/>
          <w:sz w:val="24"/>
          <w:szCs w:val="24"/>
        </w:rPr>
        <w:t xml:space="preserve">:  We </w:t>
      </w:r>
      <w:r w:rsidR="00086D11" w:rsidRPr="00C1694A">
        <w:rPr>
          <w:rStyle w:val="CommentReference"/>
          <w:rFonts w:ascii="Times New Roman" w:hAnsi="Times New Roman" w:cs="Times New Roman"/>
          <w:sz w:val="24"/>
          <w:szCs w:val="24"/>
        </w:rPr>
        <w:t xml:space="preserve">do not </w:t>
      </w:r>
      <w:r w:rsidRPr="00C1694A">
        <w:rPr>
          <w:rStyle w:val="CommentReference"/>
          <w:rFonts w:ascii="Times New Roman" w:hAnsi="Times New Roman" w:cs="Times New Roman"/>
          <w:sz w:val="24"/>
          <w:szCs w:val="24"/>
        </w:rPr>
        <w:t xml:space="preserve">think our standards of conduct in paragraph (c)(1)(ii) require more specificity. We made small changes to this paragraph to improve clarity that did not change meaning.  For example, the prohibition on public or private humiliation, that was found in paragraph (c)(1)(ii)(I) in the NPRM, </w:t>
      </w:r>
      <w:r w:rsidR="00086D11" w:rsidRPr="00C1694A">
        <w:rPr>
          <w:rStyle w:val="CommentReference"/>
          <w:rFonts w:ascii="Times New Roman" w:hAnsi="Times New Roman" w:cs="Times New Roman"/>
          <w:sz w:val="24"/>
          <w:szCs w:val="24"/>
        </w:rPr>
        <w:t xml:space="preserve">was moved to </w:t>
      </w:r>
      <w:r w:rsidRPr="00C1694A">
        <w:rPr>
          <w:rStyle w:val="CommentReference"/>
          <w:rFonts w:ascii="Times New Roman" w:hAnsi="Times New Roman" w:cs="Times New Roman"/>
          <w:sz w:val="24"/>
          <w:szCs w:val="24"/>
        </w:rPr>
        <w:t>paragraph (c)(1)(ii)(F). We agree it was appropriate to add a requirement to the standards of conduct that expressed the positive and supportive behavior all staff</w:t>
      </w:r>
      <w:r w:rsidR="00B3013F" w:rsidRPr="00C1694A">
        <w:rPr>
          <w:rStyle w:val="CommentReference"/>
          <w:rFonts w:ascii="Times New Roman" w:hAnsi="Times New Roman" w:cs="Times New Roman"/>
          <w:sz w:val="24"/>
          <w:szCs w:val="24"/>
        </w:rPr>
        <w:t>, consultants, and volunteers</w:t>
      </w:r>
      <w:r w:rsidRPr="00C1694A">
        <w:rPr>
          <w:rStyle w:val="CommentReference"/>
          <w:rFonts w:ascii="Times New Roman" w:hAnsi="Times New Roman" w:cs="Times New Roman"/>
          <w:sz w:val="24"/>
          <w:szCs w:val="24"/>
        </w:rPr>
        <w:t xml:space="preserve"> must exhibit.  This standard can be found at </w:t>
      </w:r>
      <w:r w:rsidR="00086D11" w:rsidRPr="00C1694A">
        <w:rPr>
          <w:rStyle w:val="CommentReference"/>
          <w:rFonts w:ascii="Times New Roman" w:hAnsi="Times New Roman" w:cs="Times New Roman"/>
          <w:sz w:val="24"/>
          <w:szCs w:val="24"/>
        </w:rPr>
        <w:t xml:space="preserve">paragraph </w:t>
      </w:r>
      <w:r w:rsidRPr="00C1694A">
        <w:rPr>
          <w:rStyle w:val="CommentReference"/>
          <w:rFonts w:ascii="Times New Roman" w:hAnsi="Times New Roman" w:cs="Times New Roman"/>
          <w:sz w:val="24"/>
          <w:szCs w:val="24"/>
        </w:rPr>
        <w:t>(c)(1)(i) and standards describing prohibitions that were in paragraph (c)(1)(i) in the NPRM are now found at paragraph (c)(1)(ii).</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did not define “isolation,” “sarcastic,” “derogatory,” and “humiliation” because we expect programs to consider these terms’ ordinary and customary meanings.  Furthermore, we did not amend paragraph (c) to use the terms physical, mechanical, and chemical restraint or seclusion.  We believe our standards of conduct clearly convey prohibition on restraint.  Furthermore, the requirement </w:t>
      </w:r>
      <w:r w:rsidR="00086D11" w:rsidRPr="00C1694A">
        <w:rPr>
          <w:rFonts w:ascii="Times New Roman" w:hAnsi="Times New Roman" w:cs="Times New Roman"/>
          <w:sz w:val="24"/>
          <w:szCs w:val="24"/>
        </w:rPr>
        <w:t xml:space="preserve">now found </w:t>
      </w:r>
      <w:r w:rsidRPr="00C1694A">
        <w:rPr>
          <w:rFonts w:ascii="Times New Roman" w:hAnsi="Times New Roman" w:cs="Times New Roman"/>
          <w:sz w:val="24"/>
          <w:szCs w:val="24"/>
        </w:rPr>
        <w:t>in paragraph (c)(1)(ii)(B) that expressly prohibit</w:t>
      </w:r>
      <w:r w:rsidR="00342669" w:rsidRPr="00C1694A">
        <w:rPr>
          <w:rFonts w:ascii="Times New Roman" w:hAnsi="Times New Roman" w:cs="Times New Roman"/>
          <w:sz w:val="24"/>
          <w:szCs w:val="24"/>
        </w:rPr>
        <w:t>s</w:t>
      </w:r>
      <w:r w:rsidRPr="00C1694A">
        <w:rPr>
          <w:rFonts w:ascii="Times New Roman" w:hAnsi="Times New Roman" w:cs="Times New Roman"/>
          <w:sz w:val="24"/>
          <w:szCs w:val="24"/>
        </w:rPr>
        <w:t xml:space="preserve"> isolation as a form of discipline and the requirement in paragraph (c)(1)(v) that prohibits staff from leaving children alone or unsupervised at any time more clearly convey our prohibition on seclusion.</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suggested we reference staff, contractors, and volunteers in paragraph (c)(1)(iii) so programs understand who must adhere to standards of conduct.</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we must clarify standards of conduct described in paragraph (c)(1) </w:t>
      </w:r>
      <w:r w:rsidR="00086D11" w:rsidRPr="00C1694A">
        <w:rPr>
          <w:rFonts w:ascii="Times New Roman" w:hAnsi="Times New Roman" w:cs="Times New Roman"/>
          <w:sz w:val="24"/>
          <w:szCs w:val="24"/>
        </w:rPr>
        <w:t xml:space="preserve">apply to </w:t>
      </w:r>
      <w:r w:rsidRPr="00C1694A">
        <w:rPr>
          <w:rFonts w:ascii="Times New Roman" w:hAnsi="Times New Roman" w:cs="Times New Roman"/>
          <w:sz w:val="24"/>
          <w:szCs w:val="24"/>
        </w:rPr>
        <w:t xml:space="preserve">staff, consultants, </w:t>
      </w:r>
      <w:r w:rsidR="00D722F2" w:rsidRPr="00C1694A">
        <w:rPr>
          <w:rFonts w:ascii="Times New Roman" w:hAnsi="Times New Roman" w:cs="Times New Roman"/>
          <w:sz w:val="24"/>
          <w:szCs w:val="24"/>
        </w:rPr>
        <w:t xml:space="preserve">contractors, </w:t>
      </w:r>
      <w:r w:rsidRPr="00C1694A">
        <w:rPr>
          <w:rFonts w:ascii="Times New Roman" w:hAnsi="Times New Roman" w:cs="Times New Roman"/>
          <w:sz w:val="24"/>
          <w:szCs w:val="24"/>
        </w:rPr>
        <w:t xml:space="preserve">and volunteers.  We revised paragraph (c) accordingly.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we reaffirm Head Start’s policy that does not exclude same sex couples and add “sexual orientation” to what is now paragraph (c)(1)(iii)</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and we revised paragraph (c)(1)(iii) accordingly.</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generally supported that personnel policies</w:t>
      </w:r>
      <w:r w:rsidRPr="00C1694A">
        <w:rPr>
          <w:rFonts w:ascii="Times New Roman" w:eastAsia="Times New Roman" w:hAnsi="Times New Roman" w:cs="Times New Roman"/>
          <w:bCs/>
          <w:sz w:val="24"/>
          <w:szCs w:val="24"/>
        </w:rPr>
        <w:t xml:space="preserve"> include appropriate penalties for staff that violate standards of conduct</w:t>
      </w:r>
      <w:r w:rsidR="00B3013F" w:rsidRPr="00C1694A">
        <w:rPr>
          <w:rFonts w:ascii="Times New Roman" w:eastAsia="Times New Roman" w:hAnsi="Times New Roman" w:cs="Times New Roman"/>
          <w:bCs/>
          <w:sz w:val="24"/>
          <w:szCs w:val="24"/>
        </w:rPr>
        <w:t xml:space="preserve">. </w:t>
      </w:r>
      <w:r w:rsidRPr="00C1694A">
        <w:rPr>
          <w:rFonts w:ascii="Times New Roman" w:hAnsi="Times New Roman" w:cs="Times New Roman"/>
          <w:sz w:val="24"/>
          <w:szCs w:val="24"/>
        </w:rPr>
        <w:t xml:space="preserve"> </w:t>
      </w:r>
      <w:r w:rsidR="006945A9" w:rsidRPr="00C1694A">
        <w:rPr>
          <w:rFonts w:ascii="Times New Roman" w:hAnsi="Times New Roman" w:cs="Times New Roman"/>
          <w:sz w:val="24"/>
          <w:szCs w:val="24"/>
        </w:rPr>
        <w:t>C</w:t>
      </w:r>
      <w:r w:rsidRPr="00C1694A">
        <w:rPr>
          <w:rFonts w:ascii="Times New Roman" w:hAnsi="Times New Roman" w:cs="Times New Roman"/>
          <w:sz w:val="24"/>
          <w:szCs w:val="24"/>
        </w:rPr>
        <w:t>ommenters asked us to clarify paragraph (c)(2), which requires personnel policies and procedures to include appropriate penalties for staff who violate the standards of conduct.  Commenters requested to know who determines appropriate penalties.</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expect programs to designate staff that will determine appropriate penalties.  We think local programs are best suited to determine who that staff should be so we did revise the provision.</w:t>
      </w:r>
      <w:r w:rsidR="00086D11" w:rsidRPr="00C1694A">
        <w:rPr>
          <w:rFonts w:ascii="Times New Roman" w:hAnsi="Times New Roman" w:cs="Times New Roman"/>
          <w:sz w:val="24"/>
          <w:szCs w:val="24"/>
        </w:rPr>
        <w:t xml:space="preserve">  We also clarified in paragraph (c)(2) that personnel policies and procedures must include appropriate penalties for consultants and volunteers, as well as staff, who violate the standards of conduct.</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raised concerns with the requirement in paragraph (d)(1) about communication</w:t>
      </w:r>
      <w:r w:rsidR="00342669" w:rsidRPr="00C1694A">
        <w:rPr>
          <w:rFonts w:ascii="Times New Roman" w:hAnsi="Times New Roman" w:cs="Times New Roman"/>
          <w:sz w:val="24"/>
          <w:szCs w:val="24"/>
        </w:rPr>
        <w:t xml:space="preserve"> that is</w:t>
      </w:r>
      <w:r w:rsidRPr="00C1694A">
        <w:rPr>
          <w:rFonts w:ascii="Times New Roman" w:hAnsi="Times New Roman" w:cs="Times New Roman"/>
          <w:sz w:val="24"/>
          <w:szCs w:val="24"/>
        </w:rPr>
        <w:t xml:space="preserve"> effective with DLLs and their families.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were concerned about the rarity of certain languages and corresponding lack of interpreters or qualified teachers. Commenters pointed out that, in some instances, staff who speak the second language are </w:t>
      </w:r>
      <w:r w:rsidR="00A34B16" w:rsidRPr="00C1694A">
        <w:rPr>
          <w:rFonts w:ascii="Times New Roman" w:hAnsi="Times New Roman" w:cs="Times New Roman"/>
          <w:sz w:val="24"/>
          <w:szCs w:val="24"/>
        </w:rPr>
        <w:t xml:space="preserve">sometimes </w:t>
      </w:r>
      <w:r w:rsidRPr="00C1694A">
        <w:rPr>
          <w:rFonts w:ascii="Times New Roman" w:hAnsi="Times New Roman" w:cs="Times New Roman"/>
          <w:sz w:val="24"/>
          <w:szCs w:val="24"/>
        </w:rPr>
        <w:t>not proficient in English and it is costly for programs to train them.</w:t>
      </w:r>
    </w:p>
    <w:p w:rsidR="00D118C5" w:rsidRPr="00C1694A" w:rsidRDefault="00D118C5" w:rsidP="00D118C5">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prior performance standards required that programs be able to communicate effectively with families, either directly or through an interpreter. This has been a long-standing requirement and expectation in Head Start.  If program staff, interpreters, or translators do not speak all languages of the families in the program, then other support services should be utilized, such as interpretation services available via phone and other methods.  We revised paragraph (d)(1)  to take into account those extremely limited circumstances where interpretation services are not available by phone and other methods and to clarify the requirement by including “to the extent feasible.”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raised concerns with the standard in paragraph (d)(2) that requires programs to have at least one staff member who speaks the home language of DLLs in class</w:t>
      </w:r>
      <w:r w:rsidR="002450D3" w:rsidRPr="00C1694A">
        <w:rPr>
          <w:rFonts w:ascii="Times New Roman" w:hAnsi="Times New Roman" w:cs="Times New Roman"/>
          <w:sz w:val="24"/>
          <w:szCs w:val="24"/>
        </w:rPr>
        <w:t>e</w:t>
      </w:r>
      <w:r w:rsidRPr="00C1694A">
        <w:rPr>
          <w:rFonts w:ascii="Times New Roman" w:hAnsi="Times New Roman" w:cs="Times New Roman"/>
          <w:sz w:val="24"/>
          <w:szCs w:val="24"/>
        </w:rPr>
        <w:t xml:space="preserve">s where the majority of children speak the same non-English language. Commenters were concerned about the lack of qualified bilingual staff, particularly for infant </w:t>
      </w:r>
      <w:r w:rsidR="002450D3" w:rsidRPr="00C1694A">
        <w:rPr>
          <w:rFonts w:ascii="Times New Roman" w:hAnsi="Times New Roman" w:cs="Times New Roman"/>
          <w:sz w:val="24"/>
          <w:szCs w:val="24"/>
        </w:rPr>
        <w:t>groups</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whether a waiver will be available for this requirement, and how to find interpreters.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prior performance standards required that at least one staff member or home visitor speak the language of the majority of children in the </w:t>
      </w:r>
      <w:r w:rsidR="002450D3" w:rsidRPr="00C1694A">
        <w:rPr>
          <w:rFonts w:ascii="Times New Roman" w:hAnsi="Times New Roman" w:cs="Times New Roman"/>
          <w:sz w:val="24"/>
          <w:szCs w:val="24"/>
        </w:rPr>
        <w:t>class</w:t>
      </w:r>
      <w:r w:rsidRPr="00C1694A">
        <w:rPr>
          <w:rFonts w:ascii="Times New Roman" w:hAnsi="Times New Roman" w:cs="Times New Roman"/>
          <w:sz w:val="24"/>
          <w:szCs w:val="24"/>
        </w:rPr>
        <w:t xml:space="preserve"> or home-based program. This has been a long-standing requirement and expectation </w:t>
      </w:r>
      <w:r w:rsidR="00B3013F" w:rsidRPr="00C1694A">
        <w:rPr>
          <w:rFonts w:ascii="Times New Roman" w:hAnsi="Times New Roman" w:cs="Times New Roman"/>
          <w:sz w:val="24"/>
          <w:szCs w:val="24"/>
        </w:rPr>
        <w:t>in</w:t>
      </w:r>
      <w:r w:rsidRPr="00C1694A">
        <w:rPr>
          <w:rFonts w:ascii="Times New Roman" w:hAnsi="Times New Roman" w:cs="Times New Roman"/>
          <w:sz w:val="24"/>
          <w:szCs w:val="24"/>
        </w:rPr>
        <w:t xml:space="preserve"> Head Start. When the majority of children speak the same language, we believe it is imperative that staff be able to provide the children with high-quality language experiences. There is not a waiver available for this requirement.   </w:t>
      </w:r>
    </w:p>
    <w:p w:rsidR="007862E2" w:rsidRPr="00C1694A" w:rsidRDefault="00F42D11"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§1302.91 Staff qualification</w:t>
      </w:r>
      <w:r w:rsidR="007862E2" w:rsidRPr="00C1694A">
        <w:rPr>
          <w:rFonts w:ascii="Times New Roman" w:hAnsi="Times New Roman" w:cs="Times New Roman"/>
          <w:i/>
          <w:sz w:val="24"/>
          <w:szCs w:val="24"/>
        </w:rPr>
        <w:t xml:space="preserve"> and competency requirements.</w:t>
      </w:r>
    </w:p>
    <w:p w:rsidR="007862E2" w:rsidRPr="00C1694A" w:rsidRDefault="007862E2" w:rsidP="009A526A">
      <w:pPr>
        <w:spacing w:after="0" w:line="480" w:lineRule="auto"/>
        <w:ind w:firstLine="720"/>
        <w:rPr>
          <w:rFonts w:ascii="Times New Roman" w:hAnsi="Times New Roman" w:cs="Times New Roman"/>
          <w:i/>
          <w:sz w:val="24"/>
          <w:szCs w:val="24"/>
        </w:rPr>
      </w:pPr>
      <w:r w:rsidRPr="00C1694A">
        <w:rPr>
          <w:rFonts w:ascii="Times New Roman" w:hAnsi="Times New Roman" w:cs="Times New Roman"/>
          <w:sz w:val="24"/>
          <w:szCs w:val="24"/>
        </w:rPr>
        <w:t>This section includes requirements for staff qualifications and competencies.  We raised many staff qualifications</w:t>
      </w:r>
      <w:r w:rsidR="00A34B16" w:rsidRPr="00C1694A">
        <w:rPr>
          <w:rFonts w:ascii="Times New Roman" w:hAnsi="Times New Roman" w:cs="Times New Roman"/>
          <w:sz w:val="24"/>
          <w:szCs w:val="24"/>
        </w:rPr>
        <w:t xml:space="preserve"> over those in the previous performance standards,</w:t>
      </w:r>
      <w:r w:rsidRPr="00C1694A">
        <w:rPr>
          <w:rFonts w:ascii="Times New Roman" w:hAnsi="Times New Roman" w:cs="Times New Roman"/>
          <w:sz w:val="24"/>
          <w:szCs w:val="24"/>
        </w:rPr>
        <w:t xml:space="preserve"> as required by the Act.  In response to comments, we included some new staff qualification requirements for child and family services management staff</w:t>
      </w:r>
      <w:r w:rsidR="00EF7557" w:rsidRPr="00C1694A">
        <w:rPr>
          <w:rFonts w:ascii="Times New Roman" w:hAnsi="Times New Roman" w:cs="Times New Roman"/>
          <w:sz w:val="24"/>
          <w:szCs w:val="24"/>
        </w:rPr>
        <w:t>,</w:t>
      </w:r>
      <w:r w:rsidRPr="00C1694A">
        <w:rPr>
          <w:rFonts w:ascii="Times New Roman" w:hAnsi="Times New Roman" w:cs="Times New Roman"/>
          <w:sz w:val="24"/>
          <w:szCs w:val="24"/>
        </w:rPr>
        <w:t xml:space="preserve"> family services staff</w:t>
      </w:r>
      <w:r w:rsidR="00EF7557" w:rsidRPr="00C1694A">
        <w:rPr>
          <w:rFonts w:ascii="Times New Roman" w:hAnsi="Times New Roman" w:cs="Times New Roman"/>
          <w:sz w:val="24"/>
          <w:szCs w:val="24"/>
        </w:rPr>
        <w:t xml:space="preserve">, and </w:t>
      </w:r>
      <w:r w:rsidRPr="00C1694A">
        <w:rPr>
          <w:rFonts w:ascii="Times New Roman" w:hAnsi="Times New Roman" w:cs="Times New Roman"/>
          <w:sz w:val="24"/>
          <w:szCs w:val="24"/>
        </w:rPr>
        <w:t>mental health consultants.  We also restructured the section to improve clarity.  We discuss comments and our responses below.</w:t>
      </w:r>
    </w:p>
    <w:p w:rsidR="007862E2" w:rsidRPr="00C1694A" w:rsidRDefault="007862E2" w:rsidP="009A526A">
      <w:pPr>
        <w:spacing w:after="0" w:line="480" w:lineRule="auto"/>
        <w:ind w:firstLine="720"/>
        <w:rPr>
          <w:rFonts w:ascii="Times New Roman" w:hAnsi="Times New Roman" w:cs="Times New Roman"/>
          <w:bCs/>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offered general comments that addressed the entire section.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requested guidance on how to measure </w:t>
      </w:r>
      <w:r w:rsidR="00342669" w:rsidRPr="00C1694A">
        <w:rPr>
          <w:rFonts w:ascii="Times New Roman" w:hAnsi="Times New Roman" w:cs="Times New Roman"/>
          <w:sz w:val="24"/>
          <w:szCs w:val="24"/>
        </w:rPr>
        <w:t xml:space="preserve">sufficient </w:t>
      </w:r>
      <w:r w:rsidRPr="00C1694A">
        <w:rPr>
          <w:rFonts w:ascii="Times New Roman" w:hAnsi="Times New Roman" w:cs="Times New Roman"/>
          <w:sz w:val="24"/>
          <w:szCs w:val="24"/>
        </w:rPr>
        <w:t xml:space="preserve">knowledge, training, and experience, as it relates to requirements throughout this section. </w:t>
      </w:r>
      <w:r w:rsidR="000F5F8E" w:rsidRPr="00C1694A">
        <w:rPr>
          <w:rFonts w:ascii="Times New Roman" w:hAnsi="Times New Roman" w:cs="Times New Roman"/>
          <w:iCs/>
          <w:sz w:val="24"/>
          <w:szCs w:val="24"/>
        </w:rPr>
        <w:t xml:space="preserve"> O</w:t>
      </w:r>
      <w:r w:rsidRPr="00C1694A">
        <w:rPr>
          <w:rFonts w:ascii="Times New Roman" w:hAnsi="Times New Roman" w:cs="Times New Roman"/>
          <w:iCs/>
          <w:sz w:val="24"/>
          <w:szCs w:val="24"/>
        </w:rPr>
        <w:t xml:space="preserve">ther commenters suggested we </w:t>
      </w:r>
      <w:r w:rsidRPr="00C1694A">
        <w:rPr>
          <w:rFonts w:ascii="Times New Roman" w:hAnsi="Times New Roman" w:cs="Times New Roman"/>
          <w:sz w:val="24"/>
          <w:szCs w:val="24"/>
        </w:rPr>
        <w:t xml:space="preserve">require all staff in all program options to have the knowledge and ability to </w:t>
      </w:r>
      <w:r w:rsidRPr="00C1694A">
        <w:rPr>
          <w:rFonts w:ascii="Times New Roman" w:hAnsi="Times New Roman" w:cs="Times New Roman"/>
          <w:iCs/>
          <w:sz w:val="24"/>
          <w:szCs w:val="24"/>
        </w:rPr>
        <w:t>work with children with disabilities.</w:t>
      </w:r>
      <w:r w:rsidRPr="00C1694A">
        <w:rPr>
          <w:rFonts w:ascii="Times New Roman" w:hAnsi="Times New Roman" w:cs="Times New Roman"/>
          <w:sz w:val="24"/>
          <w:szCs w:val="24"/>
        </w:rPr>
        <w:t xml:space="preserve"> Some commenters noted the need to fund and implement strategies with higher education to ensure degree and credential programs include appropriate coursework content specific to the infant, toddler, and preschool workforce. </w:t>
      </w:r>
      <w:r w:rsidR="00DC7B06" w:rsidRPr="00C1694A">
        <w:rPr>
          <w:rFonts w:ascii="Times New Roman" w:hAnsi="Times New Roman" w:cs="Times New Roman"/>
          <w:bCs/>
          <w:sz w:val="24"/>
          <w:szCs w:val="24"/>
        </w:rPr>
        <w:t xml:space="preserve">Other commenters suggested that the credential or degree requirements for bilingual staff be more flexible, as it is very difficult to find bilingual staff who are also qualified in early childhood education.  </w:t>
      </w:r>
      <w:r w:rsidRPr="00C1694A">
        <w:rPr>
          <w:rFonts w:ascii="Times New Roman" w:hAnsi="Times New Roman" w:cs="Times New Roman"/>
          <w:sz w:val="24"/>
          <w:szCs w:val="24"/>
        </w:rPr>
        <w:t xml:space="preserve">Further, </w:t>
      </w:r>
      <w:r w:rsidR="000F5F8E" w:rsidRPr="00C1694A">
        <w:rPr>
          <w:rFonts w:ascii="Times New Roman" w:hAnsi="Times New Roman" w:cs="Times New Roman"/>
          <w:iCs/>
          <w:sz w:val="24"/>
          <w:szCs w:val="24"/>
        </w:rPr>
        <w:t>some</w:t>
      </w:r>
      <w:r w:rsidRPr="00C1694A">
        <w:rPr>
          <w:rFonts w:ascii="Times New Roman" w:hAnsi="Times New Roman" w:cs="Times New Roman"/>
          <w:iCs/>
          <w:sz w:val="24"/>
          <w:szCs w:val="24"/>
        </w:rPr>
        <w:t xml:space="preserve"> commenters recommended we require programs to </w:t>
      </w:r>
      <w:r w:rsidR="00215A21" w:rsidRPr="00C1694A">
        <w:rPr>
          <w:rFonts w:ascii="Times New Roman" w:hAnsi="Times New Roman" w:cs="Times New Roman"/>
          <w:iCs/>
          <w:sz w:val="24"/>
          <w:szCs w:val="24"/>
        </w:rPr>
        <w:t xml:space="preserve">review </w:t>
      </w:r>
      <w:r w:rsidRPr="00C1694A">
        <w:rPr>
          <w:rFonts w:ascii="Times New Roman" w:hAnsi="Times New Roman" w:cs="Times New Roman"/>
          <w:iCs/>
          <w:sz w:val="24"/>
          <w:szCs w:val="24"/>
        </w:rPr>
        <w:t>state early childhood workforce requirements on a regular basis to ensure that Head Start’s requirements support and enhance state-based career ladders.</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w:t>
      </w:r>
      <w:r w:rsidRPr="00C1694A">
        <w:rPr>
          <w:rFonts w:ascii="Times New Roman" w:hAnsi="Times New Roman" w:cs="Times New Roman"/>
          <w:sz w:val="24"/>
          <w:szCs w:val="24"/>
        </w:rPr>
        <w:t>We revised paragraph (a) to integrate</w:t>
      </w:r>
      <w:r w:rsidR="00B3013F" w:rsidRPr="00C1694A">
        <w:rPr>
          <w:rFonts w:ascii="Times New Roman" w:hAnsi="Times New Roman" w:cs="Times New Roman"/>
          <w:sz w:val="24"/>
          <w:szCs w:val="24"/>
        </w:rPr>
        <w:t xml:space="preserve"> professional development to support program</w:t>
      </w:r>
      <w:r w:rsidRPr="00C1694A">
        <w:rPr>
          <w:rFonts w:ascii="Times New Roman" w:hAnsi="Times New Roman" w:cs="Times New Roman"/>
          <w:sz w:val="24"/>
          <w:szCs w:val="24"/>
        </w:rPr>
        <w:t xml:space="preserve"> service staff </w:t>
      </w:r>
      <w:r w:rsidR="00B3013F" w:rsidRPr="00C1694A">
        <w:rPr>
          <w:rFonts w:ascii="Times New Roman" w:hAnsi="Times New Roman" w:cs="Times New Roman"/>
          <w:sz w:val="24"/>
          <w:szCs w:val="24"/>
        </w:rPr>
        <w:t xml:space="preserve">so they have the </w:t>
      </w:r>
      <w:r w:rsidRPr="00C1694A">
        <w:rPr>
          <w:rFonts w:ascii="Times New Roman" w:hAnsi="Times New Roman" w:cs="Times New Roman"/>
          <w:sz w:val="24"/>
          <w:szCs w:val="24"/>
        </w:rPr>
        <w:t xml:space="preserve">knowledge, training, experience, and competencies </w:t>
      </w:r>
      <w:r w:rsidR="00B3013F" w:rsidRPr="00C1694A">
        <w:rPr>
          <w:rFonts w:ascii="Times New Roman" w:hAnsi="Times New Roman" w:cs="Times New Roman"/>
          <w:sz w:val="24"/>
          <w:szCs w:val="24"/>
        </w:rPr>
        <w:t>to fulfill their roles and responsibilities</w:t>
      </w:r>
      <w:r w:rsidRPr="00C1694A">
        <w:rPr>
          <w:rFonts w:ascii="Times New Roman" w:hAnsi="Times New Roman" w:cs="Times New Roman"/>
          <w:sz w:val="24"/>
          <w:szCs w:val="24"/>
        </w:rPr>
        <w:t>.  We think programs should be continuously supporting staff in fulfilling their roles and responsibilities.  We also revised paragraphs in this section to expand competencies for teachers, assistant teachers, family child care providers, and home visitor</w:t>
      </w:r>
      <w:r w:rsidR="00A34B16" w:rsidRPr="00C1694A">
        <w:rPr>
          <w:rFonts w:ascii="Times New Roman" w:hAnsi="Times New Roman" w:cs="Times New Roman"/>
          <w:sz w:val="24"/>
          <w:szCs w:val="24"/>
        </w:rPr>
        <w:t>s</w:t>
      </w:r>
      <w:r w:rsidRPr="00C1694A">
        <w:rPr>
          <w:rFonts w:ascii="Times New Roman" w:hAnsi="Times New Roman" w:cs="Times New Roman"/>
          <w:sz w:val="24"/>
          <w:szCs w:val="24"/>
        </w:rPr>
        <w:t xml:space="preserve"> to include working with children with disabilities and DLLs to support effective service delivery.</w:t>
      </w:r>
      <w:r w:rsidR="00DC7B06" w:rsidRPr="00C1694A">
        <w:rPr>
          <w:rFonts w:ascii="Times New Roman" w:hAnsi="Times New Roman" w:cs="Times New Roman"/>
          <w:sz w:val="24"/>
          <w:szCs w:val="24"/>
        </w:rPr>
        <w:t xml:space="preserve">  While we recognize recruitment of bilingual staff who are qualified in early childhood education</w:t>
      </w:r>
      <w:r w:rsidRPr="00C1694A">
        <w:rPr>
          <w:rFonts w:ascii="Times New Roman" w:hAnsi="Times New Roman" w:cs="Times New Roman"/>
          <w:sz w:val="24"/>
          <w:szCs w:val="24"/>
        </w:rPr>
        <w:t xml:space="preserve"> </w:t>
      </w:r>
      <w:r w:rsidR="00DC7B06" w:rsidRPr="00C1694A">
        <w:rPr>
          <w:rFonts w:ascii="Times New Roman" w:hAnsi="Times New Roman" w:cs="Times New Roman"/>
          <w:sz w:val="24"/>
          <w:szCs w:val="24"/>
        </w:rPr>
        <w:t>may be challenging, we believe children who are dual language learners need highly-qualified teachers in order to achieve meaningful child outcomes.</w:t>
      </w:r>
      <w:r w:rsidRPr="00C1694A">
        <w:rPr>
          <w:rFonts w:ascii="Times New Roman" w:hAnsi="Times New Roman" w:cs="Times New Roman"/>
          <w:sz w:val="24"/>
          <w:szCs w:val="24"/>
        </w:rPr>
        <w:t xml:space="preserve"> </w:t>
      </w:r>
      <w:r w:rsidRPr="00C1694A">
        <w:rPr>
          <w:rFonts w:ascii="Times New Roman" w:hAnsi="Times New Roman" w:cs="Times New Roman"/>
          <w:iCs/>
          <w:sz w:val="24"/>
          <w:szCs w:val="24"/>
        </w:rPr>
        <w:t xml:space="preserve">Additionally, while </w:t>
      </w:r>
      <w:r w:rsidRPr="00C1694A">
        <w:rPr>
          <w:rFonts w:ascii="Times New Roman" w:hAnsi="Times New Roman" w:cs="Times New Roman"/>
          <w:sz w:val="24"/>
          <w:szCs w:val="24"/>
        </w:rPr>
        <w:t xml:space="preserve">we agree access to appropriate coursework and financing is critical for a well-trained workforce, many of these challenges are beyond the scope of </w:t>
      </w:r>
      <w:r w:rsidR="00A34B16" w:rsidRPr="00C1694A">
        <w:rPr>
          <w:rFonts w:ascii="Times New Roman" w:hAnsi="Times New Roman" w:cs="Times New Roman"/>
          <w:sz w:val="24"/>
          <w:szCs w:val="24"/>
        </w:rPr>
        <w:t xml:space="preserve">this </w:t>
      </w:r>
      <w:r w:rsidRPr="00C1694A">
        <w:rPr>
          <w:rFonts w:ascii="Times New Roman" w:hAnsi="Times New Roman" w:cs="Times New Roman"/>
          <w:sz w:val="24"/>
          <w:szCs w:val="24"/>
        </w:rPr>
        <w:t xml:space="preserve">final rule.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generally supported our proposal, </w:t>
      </w:r>
      <w:r w:rsidR="00A34B16" w:rsidRPr="00C1694A">
        <w:rPr>
          <w:rFonts w:ascii="Times New Roman" w:hAnsi="Times New Roman" w:cs="Times New Roman"/>
          <w:sz w:val="24"/>
          <w:szCs w:val="24"/>
        </w:rPr>
        <w:t xml:space="preserve">in paragraph (i) of the NPRM and </w:t>
      </w:r>
      <w:r w:rsidRPr="00C1694A">
        <w:rPr>
          <w:rFonts w:ascii="Times New Roman" w:hAnsi="Times New Roman" w:cs="Times New Roman"/>
          <w:sz w:val="24"/>
          <w:szCs w:val="24"/>
        </w:rPr>
        <w:t xml:space="preserve">now found in paragraph (b), to require Early Head Start and Head Start program directors hired after the effective date of this </w:t>
      </w:r>
      <w:r w:rsidR="00215A21" w:rsidRPr="00C1694A">
        <w:rPr>
          <w:rFonts w:ascii="Times New Roman" w:hAnsi="Times New Roman" w:cs="Times New Roman"/>
          <w:sz w:val="24"/>
          <w:szCs w:val="24"/>
        </w:rPr>
        <w:t xml:space="preserve">final rule </w:t>
      </w:r>
      <w:r w:rsidRPr="00C1694A">
        <w:rPr>
          <w:rFonts w:ascii="Times New Roman" w:hAnsi="Times New Roman" w:cs="Times New Roman"/>
          <w:sz w:val="24"/>
          <w:szCs w:val="24"/>
        </w:rPr>
        <w:t xml:space="preserve">to </w:t>
      </w:r>
      <w:r w:rsidR="002A6E41" w:rsidRPr="00C1694A">
        <w:rPr>
          <w:rFonts w:ascii="Times New Roman" w:hAnsi="Times New Roman" w:cs="Times New Roman"/>
          <w:sz w:val="24"/>
          <w:szCs w:val="24"/>
        </w:rPr>
        <w:t xml:space="preserve">have </w:t>
      </w:r>
      <w:r w:rsidRPr="00C1694A">
        <w:rPr>
          <w:rFonts w:ascii="Times New Roman" w:hAnsi="Times New Roman" w:cs="Times New Roman"/>
          <w:sz w:val="24"/>
          <w:szCs w:val="24"/>
        </w:rPr>
        <w:t xml:space="preserve">at least a baccalaureate degree.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were concerned this requirement would make it too difficult for programs to hire and retain directors.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w:t>
      </w:r>
      <w:r w:rsidR="002A6E41" w:rsidRPr="00C1694A">
        <w:rPr>
          <w:rFonts w:ascii="Times New Roman" w:hAnsi="Times New Roman" w:cs="Times New Roman"/>
          <w:sz w:val="24"/>
          <w:szCs w:val="24"/>
        </w:rPr>
        <w:t xml:space="preserve">commenters </w:t>
      </w:r>
      <w:r w:rsidRPr="00C1694A">
        <w:rPr>
          <w:rFonts w:ascii="Times New Roman" w:hAnsi="Times New Roman" w:cs="Times New Roman"/>
          <w:sz w:val="24"/>
          <w:szCs w:val="24"/>
        </w:rPr>
        <w:t xml:space="preserve">suggested we allow programs </w:t>
      </w:r>
      <w:r w:rsidR="002A6E41" w:rsidRPr="00C1694A">
        <w:rPr>
          <w:rFonts w:ascii="Times New Roman" w:hAnsi="Times New Roman" w:cs="Times New Roman"/>
          <w:sz w:val="24"/>
          <w:szCs w:val="24"/>
        </w:rPr>
        <w:t xml:space="preserve">to </w:t>
      </w:r>
      <w:r w:rsidRPr="00C1694A">
        <w:rPr>
          <w:rFonts w:ascii="Times New Roman" w:hAnsi="Times New Roman" w:cs="Times New Roman"/>
          <w:sz w:val="24"/>
          <w:szCs w:val="24"/>
        </w:rPr>
        <w:t xml:space="preserve">implement an alternate approach, such as allowing time for directors to acquire appropriate degrees or restricting the requirement to new hires.  Other commenters supported a stronger requirement for directors and suggested we require directors to have a master’s degree.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additional requirements regarding experience or competencies.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retained our standard to require at least baccalaureate degrees for program directors as proposed in the NPRM.  We revised the minimum background experience requirement to include administration in addition to supervision of staff and fiscal management.  However, we retained local flexibility to define other necessary experience and competencies including experience in early childhood.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supported our standard in what was paragraph (h)(3) in the NPRM that allowed flexibility for programs </w:t>
      </w:r>
      <w:r w:rsidR="00E5749E" w:rsidRPr="00C1694A">
        <w:rPr>
          <w:rFonts w:ascii="Times New Roman" w:hAnsi="Times New Roman" w:cs="Times New Roman"/>
          <w:sz w:val="24"/>
          <w:szCs w:val="24"/>
        </w:rPr>
        <w:t xml:space="preserve">to </w:t>
      </w:r>
      <w:r w:rsidRPr="00C1694A">
        <w:rPr>
          <w:rFonts w:ascii="Times New Roman" w:hAnsi="Times New Roman" w:cs="Times New Roman"/>
          <w:sz w:val="24"/>
          <w:szCs w:val="24"/>
        </w:rPr>
        <w:t xml:space="preserve">establish qualifications for their fiscal officer based on an assessment of their needs and secure regularly scheduled or ongoing services of a fiscal officer. Other commenters suggested that fiscal functions should be led by a qualified accounting professional with expertise in understanding the operational risks, the potential for misalignment of funding, and the financial reporting associated with federal funding.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the standard for fiscal officer qualifications, now found in paragraph (c), to clarify that programs must consider the fiscal complexity of their organization to ensure fiscal officers have sufficient knowledge and experience to fulfill their role. We</w:t>
      </w:r>
      <w:r w:rsidR="00741BA1" w:rsidRPr="00C1694A">
        <w:rPr>
          <w:rFonts w:ascii="Times New Roman" w:hAnsi="Times New Roman" w:cs="Times New Roman"/>
          <w:sz w:val="24"/>
          <w:szCs w:val="24"/>
        </w:rPr>
        <w:t xml:space="preserve"> also require newly hired fiscal officers to be certified public accountants or have a baccalaureate degree in a related field.</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The NPRM did not specifically address qualifications for staff who manage family services, health services, and disabilities service</w:t>
      </w:r>
      <w:r w:rsidR="00DC7B06" w:rsidRPr="00C1694A">
        <w:rPr>
          <w:rFonts w:ascii="Times New Roman" w:hAnsi="Times New Roman" w:cs="Times New Roman"/>
          <w:sz w:val="24"/>
          <w:szCs w:val="24"/>
        </w:rPr>
        <w:t>s</w:t>
      </w:r>
      <w:r w:rsidRPr="00C1694A">
        <w:rPr>
          <w:rFonts w:ascii="Times New Roman" w:hAnsi="Times New Roman" w:cs="Times New Roman"/>
          <w:sz w:val="24"/>
          <w:szCs w:val="24"/>
        </w:rPr>
        <w:t xml:space="preserve"> other </w:t>
      </w:r>
      <w:r w:rsidR="00301051" w:rsidRPr="00C1694A">
        <w:rPr>
          <w:rFonts w:ascii="Times New Roman" w:hAnsi="Times New Roman" w:cs="Times New Roman"/>
          <w:sz w:val="24"/>
          <w:szCs w:val="24"/>
        </w:rPr>
        <w:t>than</w:t>
      </w:r>
      <w:r w:rsidRPr="00C1694A">
        <w:rPr>
          <w:rFonts w:ascii="Times New Roman" w:hAnsi="Times New Roman" w:cs="Times New Roman"/>
          <w:sz w:val="24"/>
          <w:szCs w:val="24"/>
        </w:rPr>
        <w:t xml:space="preserve"> to require in paragraph (a) that all staff and consultant</w:t>
      </w:r>
      <w:r w:rsidR="00E5749E" w:rsidRPr="00C1694A">
        <w:rPr>
          <w:rFonts w:ascii="Times New Roman" w:hAnsi="Times New Roman" w:cs="Times New Roman"/>
          <w:sz w:val="24"/>
          <w:szCs w:val="24"/>
        </w:rPr>
        <w:t>s</w:t>
      </w:r>
      <w:r w:rsidRPr="00C1694A">
        <w:rPr>
          <w:rFonts w:ascii="Times New Roman" w:hAnsi="Times New Roman" w:cs="Times New Roman"/>
          <w:sz w:val="24"/>
          <w:szCs w:val="24"/>
        </w:rPr>
        <w:t xml:space="preserve"> have sufficient knowledge, training</w:t>
      </w:r>
      <w:r w:rsidR="00215A21"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experience to fulfill their roles and responsibilities. The NPRM did not retain language from the previous program </w:t>
      </w:r>
      <w:r w:rsidR="00342669" w:rsidRPr="00C1694A">
        <w:rPr>
          <w:rFonts w:ascii="Times New Roman" w:hAnsi="Times New Roman" w:cs="Times New Roman"/>
          <w:sz w:val="24"/>
          <w:szCs w:val="24"/>
        </w:rPr>
        <w:t xml:space="preserve">performance </w:t>
      </w:r>
      <w:r w:rsidRPr="00C1694A">
        <w:rPr>
          <w:rFonts w:ascii="Times New Roman" w:hAnsi="Times New Roman" w:cs="Times New Roman"/>
          <w:sz w:val="24"/>
          <w:szCs w:val="24"/>
        </w:rPr>
        <w:t xml:space="preserve">standards about disabilities and health managers because we thought it was vague and not helpful for programs.  Some commenters opposed </w:t>
      </w:r>
      <w:r w:rsidR="00EE5B92" w:rsidRPr="00C1694A">
        <w:rPr>
          <w:rFonts w:ascii="Times New Roman" w:hAnsi="Times New Roman" w:cs="Times New Roman"/>
          <w:sz w:val="24"/>
          <w:szCs w:val="24"/>
        </w:rPr>
        <w:t xml:space="preserve">our approach </w:t>
      </w:r>
      <w:r w:rsidRPr="00C1694A">
        <w:rPr>
          <w:rFonts w:ascii="Times New Roman" w:hAnsi="Times New Roman" w:cs="Times New Roman"/>
          <w:sz w:val="24"/>
          <w:szCs w:val="24"/>
        </w:rPr>
        <w:t xml:space="preserve">and interpreted it to mean we were removing services area management.  </w:t>
      </w:r>
      <w:r w:rsidR="00C964C5"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suggested we require all supervisors have a baccalaureate degree. Other commenters suggested we require all supervisory staff to have knowledge of and training on reflective supervision. Further,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provided explicit suggestions for qualifications that the health services manager should be required to have, such as a minimum of an associate’s or bachelor’s degree in health, public health, nursing, or a related field, or an early childhood education degree with health-related certification or licensure.  In addition,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qualifications for disabilities managers, including a bachelor’s degree with a certification in early childhood special education or related field.  Finally,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of these commenters also suggested adding competencies for disabilities managers, such as experience working in an early childhood education setting.</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trike/>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intend for the NPRM to signal the removal of service area management.  Our goal in omitting references to service area management was to increase local flexibility to better meet the variety of needs in programs of differing size. However, we revised the rule to require degree qualifications for newly hired family services, health, and disabilities managers.  Specifically, </w:t>
      </w:r>
      <w:r w:rsidR="00B870FC" w:rsidRPr="00C1694A">
        <w:rPr>
          <w:rFonts w:ascii="Times New Roman" w:hAnsi="Times New Roman" w:cs="Times New Roman"/>
          <w:sz w:val="24"/>
          <w:szCs w:val="24"/>
        </w:rPr>
        <w:t>as stated in paragraph (d)(1)</w:t>
      </w:r>
      <w:r w:rsidRPr="00C1694A">
        <w:rPr>
          <w:rFonts w:ascii="Times New Roman" w:hAnsi="Times New Roman" w:cs="Times New Roman"/>
          <w:sz w:val="24"/>
          <w:szCs w:val="24"/>
        </w:rPr>
        <w:t xml:space="preserve">, staff responsible for the management and oversight of family services, health services, and services to children with disabilities hired after the effective date of this rule, must have at a minimum, a baccalaureate degree, preferably related to one or more of the disciplines they oversee. Programs should not interpret this requirement to mean they must have different people for disabilities management, family services management, and health services management.  Due to the varying sizes and complexities of program structures, we think programs must have the flexibility to decide on their own appropriate staffing patterns to meet these oversight and management responsibilities.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In</w:t>
      </w:r>
      <w:r w:rsidRPr="00C1694A">
        <w:rPr>
          <w:rFonts w:ascii="Times New Roman" w:hAnsi="Times New Roman" w:cs="Times New Roman"/>
          <w:sz w:val="24"/>
          <w:szCs w:val="24"/>
        </w:rPr>
        <w:t xml:space="preserve"> what was paragraph (e)</w:t>
      </w:r>
      <w:r w:rsidR="00566A26" w:rsidRPr="00C1694A">
        <w:rPr>
          <w:rFonts w:ascii="Times New Roman" w:hAnsi="Times New Roman" w:cs="Times New Roman"/>
          <w:sz w:val="24"/>
          <w:szCs w:val="24"/>
        </w:rPr>
        <w:t xml:space="preserve"> in the NPRM, we proposed</w:t>
      </w:r>
      <w:r w:rsidRPr="00C1694A">
        <w:rPr>
          <w:rFonts w:ascii="Times New Roman" w:hAnsi="Times New Roman" w:cs="Times New Roman"/>
          <w:sz w:val="24"/>
          <w:szCs w:val="24"/>
        </w:rPr>
        <w:t xml:space="preserve"> minimum requirements for education coordinators, as required by the Act.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phasing in a requirement for education coordinators to have a master’s degree.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additional flexibility in the requirement, such as allowing the degree to be in elementary education or family studies or allowing relevant coursework combined with a degree in an unrelated field. Additionally,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respondents suggested that education coordinators should have experience working explicitly with the age group of the class</w:t>
      </w:r>
      <w:r w:rsidR="002450D3" w:rsidRPr="00C1694A">
        <w:rPr>
          <w:rFonts w:ascii="Times New Roman" w:hAnsi="Times New Roman" w:cs="Times New Roman"/>
          <w:sz w:val="24"/>
          <w:szCs w:val="24"/>
        </w:rPr>
        <w:t>e</w:t>
      </w:r>
      <w:r w:rsidRPr="00C1694A">
        <w:rPr>
          <w:rFonts w:ascii="Times New Roman" w:hAnsi="Times New Roman" w:cs="Times New Roman"/>
          <w:sz w:val="24"/>
          <w:szCs w:val="24"/>
        </w:rPr>
        <w:t>s they oversee.</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the requirement as written is sufficient to ensure high-quality services and retained this requirement as proposed, </w:t>
      </w:r>
      <w:r w:rsidR="00B870FC" w:rsidRPr="00C1694A">
        <w:rPr>
          <w:rFonts w:ascii="Times New Roman" w:hAnsi="Times New Roman" w:cs="Times New Roman"/>
          <w:sz w:val="24"/>
          <w:szCs w:val="24"/>
        </w:rPr>
        <w:t>now found in paragraph (d)(2</w:t>
      </w:r>
      <w:r w:rsidRPr="00C1694A">
        <w:rPr>
          <w:rFonts w:ascii="Times New Roman" w:hAnsi="Times New Roman" w:cs="Times New Roman"/>
          <w:sz w:val="24"/>
          <w:szCs w:val="24"/>
        </w:rPr>
        <w:t xml:space="preserve">).   We did not include additional flexibility since minimum requirements for education coordinators are set by the Act.  We made small technical revisions.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specifically solicited comments on the appropriate qualifications for Early Head Start teachers, which was described in paragraph (b)(1) and now is located at paragraph (e)(1).  We received a variety of different recommendations.  For example, some commenters suggested we retain requirements from the Act that Early Head Start teachers have at least CDA.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the CDA is adequate only if staff work closely with a coach, and some commenters recommended we require an associate’s degree in early education.  Others recommended we require a baccalaureate, and some supported phasing in baccalaureate requirements.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supported allowing one teacher in an Early Head Start class to meet a higher qualification and for the second teacher to have the current CDA qualification.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clarification of the term “equivalent course work,” and offered suggestions.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 that increasing qualifications would impact programs’ ability to hire parents and other community members who accurately reflect and can address the culturally and linguistically diverse needs and experiences of children and families, particularly in programs serving rural, migrant, and tribal populations.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maintained the staff qualification requirements for Early Head Start as proposed.  Lowering these requirements is beyond the scope of this rule because they are set by the Act.  We did not raise the requirement to a baccalaureate degree</w:t>
      </w:r>
      <w:r w:rsidR="00D26D2B" w:rsidRPr="00C1694A">
        <w:rPr>
          <w:rFonts w:ascii="Times New Roman" w:hAnsi="Times New Roman" w:cs="Times New Roman"/>
          <w:sz w:val="24"/>
          <w:szCs w:val="24"/>
        </w:rPr>
        <w:t>, although we agree with recommendations from the National Academy of Sciences (NAS) report</w:t>
      </w:r>
      <w:r w:rsidR="00D26D2B" w:rsidRPr="00C1694A">
        <w:rPr>
          <w:rStyle w:val="FootnoteReference"/>
          <w:rFonts w:ascii="Times New Roman" w:hAnsi="Times New Roman" w:cs="Times New Roman"/>
          <w:sz w:val="24"/>
          <w:szCs w:val="24"/>
        </w:rPr>
        <w:footnoteReference w:id="121"/>
      </w:r>
      <w:r w:rsidR="00D26D2B" w:rsidRPr="00C1694A">
        <w:rPr>
          <w:rFonts w:ascii="Times New Roman" w:hAnsi="Times New Roman" w:cs="Times New Roman"/>
          <w:sz w:val="24"/>
          <w:szCs w:val="24"/>
        </w:rPr>
        <w:t xml:space="preserve"> that a lead teacher in every class with a bachelor’s degree and demonstrated competencies is optimal</w:t>
      </w:r>
      <w:r w:rsidRPr="00C1694A">
        <w:rPr>
          <w:rFonts w:ascii="Times New Roman" w:hAnsi="Times New Roman" w:cs="Times New Roman"/>
          <w:sz w:val="24"/>
          <w:szCs w:val="24"/>
        </w:rPr>
        <w:t>. Grantees are encouraged to implement effective career and professional development models and might find it particularly effective to have at least one lead teacher with higher credentials and another teacher who meets the minimum qualifications.</w:t>
      </w:r>
      <w:r w:rsidR="00EE5B92" w:rsidRPr="00C1694A">
        <w:rPr>
          <w:rFonts w:ascii="Times New Roman" w:hAnsi="Times New Roman" w:cs="Times New Roman"/>
          <w:sz w:val="24"/>
          <w:szCs w:val="24"/>
        </w:rPr>
        <w:t xml:space="preserve">  We do not define “equivalent course work” because different colleges and universities describe majors and classes in a variety of ways; programs must evaluate the content and relevancy of the individual courses their teachers have taken.</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specifically solicited comments on the appropriate qualifications for Head Start teachers. In general, commenters supported requiring bachelor’s degrees for all Head Start teachers.  Some commenters suggested that all staff working directly with children and families should have a bachelor’s degree. Other commenters expressed concern about compliance with higher standards, given the difficulties they already face in finding appropriately credentialed staff. These commenters were especially concerned with adding new credential requirements without designated funding to achieve the higher standards.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we allow degrees to be in a related field such as elementary education or family studies.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the teacher qualification requirements should mirror language of other federal programs that supports alternative pathways and demonstrated competencies in lieu of credentials. Others recommended partnering with the Department of Education on an early education TEACH campaign in order to recruit highly qualified teachers.  </w:t>
      </w:r>
      <w:r w:rsidRPr="00C1694A">
        <w:rPr>
          <w:rFonts w:ascii="Times New Roman" w:hAnsi="Times New Roman" w:cs="Times New Roman"/>
          <w:iCs/>
          <w:sz w:val="24"/>
          <w:szCs w:val="24"/>
        </w:rPr>
        <w:t>Other commenters suggested allowing programs to use proxy indicators of competence such as years of experience, completed training, or CLASS scores</w:t>
      </w:r>
      <w:r w:rsidRPr="00C1694A">
        <w:rPr>
          <w:rFonts w:ascii="Times New Roman" w:hAnsi="Times New Roman" w:cs="Times New Roman"/>
          <w:sz w:val="24"/>
          <w:szCs w:val="24"/>
        </w:rPr>
        <w:t xml:space="preserve"> as a way to </w:t>
      </w:r>
      <w:r w:rsidRPr="00C1694A">
        <w:rPr>
          <w:rFonts w:ascii="Times New Roman" w:hAnsi="Times New Roman" w:cs="Times New Roman"/>
          <w:iCs/>
          <w:sz w:val="24"/>
          <w:szCs w:val="24"/>
        </w:rPr>
        <w:t>maintain employment of individuals who do not meet degree requirements</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were concerned that the broad language of “equivalent coursework” may create unnecessary confusion in the field as to whether Teach for America candidates may be hired; and suggested that clarifying language be included in the final rule.</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Finally, commenters described challenges in recruiting and retaining qualified staff members who speak the community’s language and understand its nuances. These commenters expressed concern that increasing qualifications would impact programs’ ability to hire parents and other community members who accurately reflect and can address the culturally and linguistically diverse needs and experiences of children and families, particularly in programs serving rural, migrant, and tribal populations.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B3013F" w:rsidRPr="00C1694A">
        <w:rPr>
          <w:rFonts w:ascii="Times New Roman" w:hAnsi="Times New Roman" w:cs="Times New Roman"/>
          <w:sz w:val="24"/>
          <w:szCs w:val="24"/>
          <w:u w:val="single"/>
        </w:rPr>
        <w:t>:</w:t>
      </w:r>
      <w:r w:rsidR="00B3013F" w:rsidRPr="00C1694A">
        <w:rPr>
          <w:rFonts w:ascii="Times New Roman" w:hAnsi="Times New Roman" w:cs="Times New Roman"/>
          <w:sz w:val="24"/>
          <w:szCs w:val="24"/>
        </w:rPr>
        <w:t xml:space="preserve"> In paragraphs (e)(2) and (3</w:t>
      </w:r>
      <w:r w:rsidRPr="00C1694A">
        <w:rPr>
          <w:rFonts w:ascii="Times New Roman" w:hAnsi="Times New Roman" w:cs="Times New Roman"/>
          <w:sz w:val="24"/>
          <w:szCs w:val="24"/>
        </w:rPr>
        <w:t xml:space="preserve">), we maintained the staff qualification requirements for Head Start teachers as proposed and as required by the Act.  Lowering these requirements is beyond the scope of this rule because minimums are set by the Act. The Act also does not grant us authority to allow exemptions or proxy indicators of currently employed teachers who do not meet qualification requirements. </w:t>
      </w:r>
      <w:r w:rsidR="00D26D2B" w:rsidRPr="00C1694A">
        <w:rPr>
          <w:rFonts w:ascii="Times New Roman" w:hAnsi="Times New Roman" w:cs="Times New Roman"/>
          <w:sz w:val="24"/>
          <w:szCs w:val="24"/>
        </w:rPr>
        <w:t xml:space="preserve">  As noted earlier, we are in agreement with the NAS report that having teachers with a baccalaureate degree in every class is optimal.</w:t>
      </w:r>
      <w:r w:rsidR="002646D8" w:rsidRPr="00C1694A">
        <w:rPr>
          <w:rStyle w:val="FootnoteReference"/>
          <w:rFonts w:ascii="Times New Roman" w:hAnsi="Times New Roman" w:cs="Times New Roman"/>
          <w:sz w:val="24"/>
          <w:szCs w:val="24"/>
        </w:rPr>
        <w:footnoteReference w:id="122"/>
      </w:r>
      <w:r w:rsidR="00D26D2B" w:rsidRPr="00C1694A">
        <w:rPr>
          <w:rFonts w:ascii="Times New Roman" w:hAnsi="Times New Roman" w:cs="Times New Roman"/>
          <w:sz w:val="24"/>
          <w:szCs w:val="24"/>
        </w:rPr>
        <w:t xml:space="preserve">  </w:t>
      </w:r>
      <w:r w:rsidR="00C964C5" w:rsidRPr="00C1694A">
        <w:rPr>
          <w:rFonts w:ascii="Times New Roman" w:hAnsi="Times New Roman" w:cs="Times New Roman"/>
          <w:sz w:val="24"/>
          <w:szCs w:val="24"/>
        </w:rPr>
        <w:t xml:space="preserve">We have </w:t>
      </w:r>
      <w:r w:rsidR="00BE7023" w:rsidRPr="00C1694A">
        <w:rPr>
          <w:rFonts w:ascii="Times New Roman" w:hAnsi="Times New Roman" w:cs="Times New Roman"/>
          <w:sz w:val="24"/>
          <w:szCs w:val="24"/>
        </w:rPr>
        <w:t>updated the statutory reference</w:t>
      </w:r>
      <w:r w:rsidR="00C964C5" w:rsidRPr="00C1694A">
        <w:rPr>
          <w:rFonts w:ascii="Times New Roman" w:hAnsi="Times New Roman" w:cs="Times New Roman"/>
          <w:sz w:val="24"/>
          <w:szCs w:val="24"/>
        </w:rPr>
        <w:t xml:space="preserve"> in paragraph</w:t>
      </w:r>
      <w:r w:rsidR="00BE7023" w:rsidRPr="00C1694A">
        <w:rPr>
          <w:rFonts w:ascii="Times New Roman" w:hAnsi="Times New Roman" w:cs="Times New Roman"/>
          <w:sz w:val="24"/>
          <w:szCs w:val="24"/>
        </w:rPr>
        <w:t xml:space="preserve"> (e)(2)(ii)</w:t>
      </w:r>
      <w:r w:rsidR="00C964C5" w:rsidRPr="00C1694A">
        <w:rPr>
          <w:rFonts w:ascii="Times New Roman" w:hAnsi="Times New Roman" w:cs="Times New Roman"/>
          <w:sz w:val="24"/>
          <w:szCs w:val="24"/>
        </w:rPr>
        <w:t xml:space="preserve"> to include </w:t>
      </w:r>
      <w:r w:rsidR="00BE7023" w:rsidRPr="00C1694A">
        <w:rPr>
          <w:rFonts w:ascii="Times New Roman" w:hAnsi="Times New Roman" w:cs="Times New Roman"/>
          <w:sz w:val="24"/>
          <w:szCs w:val="24"/>
        </w:rPr>
        <w:t>all of the alternative credentials, including</w:t>
      </w:r>
      <w:r w:rsidRPr="00C1694A">
        <w:rPr>
          <w:rFonts w:ascii="Times New Roman" w:hAnsi="Times New Roman" w:cs="Times New Roman"/>
          <w:sz w:val="24"/>
          <w:szCs w:val="24"/>
        </w:rPr>
        <w:t xml:space="preserve"> Teach for America.</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some comments on our requirement in what is now paragraph (e)(3) for qualifications for assistant teachers.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clarification on whether or not assistant teachers with a CDA credential must also be enrolled in a program leading to an associate or baccalaureate degree, or if assistant teachers without a CDA credential must be enrolled in either a degree program or CDA credential program.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should encourage assistant teachers to attain associate’s degree as a career ladder towards becoming a teacher.  </w:t>
      </w:r>
      <w:r w:rsidR="000F5F8E" w:rsidRPr="00C1694A">
        <w:rPr>
          <w:rFonts w:ascii="Times New Roman" w:hAnsi="Times New Roman" w:cs="Times New Roman"/>
          <w:sz w:val="24"/>
          <w:szCs w:val="24"/>
        </w:rPr>
        <w:t>O</w:t>
      </w:r>
      <w:r w:rsidRPr="00C1694A">
        <w:rPr>
          <w:rFonts w:ascii="Times New Roman" w:hAnsi="Times New Roman" w:cs="Times New Roman"/>
          <w:sz w:val="24"/>
          <w:szCs w:val="24"/>
        </w:rPr>
        <w:t xml:space="preserve">ther commenters expressed concern that two years is not long enough for an assistant teacher to attain a credential or degree.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confusion about the difference between teacher assistants and teacher aides.</w:t>
      </w:r>
    </w:p>
    <w:p w:rsidR="00D118C5" w:rsidRPr="00C1694A" w:rsidRDefault="00D118C5" w:rsidP="00D118C5">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As required by the Act, the provision in paragraph (e)(3) requires Head Start assistant teachers have at least a minimum of a CDA credential or be enrolled in a CDA credential program to be completed within two years of the time of hire.  We revised this provision to clarify that the minimum requirement also permits a state-awarded certificate that meets or exceeds the requirements for a CDA credential.  While assistant teachers with a CDA credential or state-awarded equivalent are not required to be enrolled in a program that will lead to an associate or baccalaureate degree, assistant teachers that are enrolled in a program that will lead to such a degree meet the qualification requirements. We consider assistant teachers to be a second educational staff person working within a preschool setting who supports the teacher in implementing planned curricular activities with the children. A teacher aide is a third person who may or may not provide direct curriculum support.</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specifically solicited comments on the appropriate qualifications family child care providers, which was addressed in paragraph (g) in the NPRM and now is found in paragraph (e)(4)(i).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objected to our proposal in what is now paragraph (e)(4)(i) to shorten the timeline for family child care providers to attain credentials from two years to eighteen months. Conversely,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require family child care providers meet the same qualifications as center-based teachers.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retained the requirements for family child care providers as proposed.  We believe our requirement in paragraph (e)(4)(i) appropriately balances the need to strengthen requirements and acknowledge funding realities and the ability of higher education to support degrees in early childhood.  We did not </w:t>
      </w:r>
      <w:r w:rsidR="00A53129">
        <w:rPr>
          <w:rFonts w:ascii="Times New Roman" w:hAnsi="Times New Roman" w:cs="Times New Roman"/>
          <w:sz w:val="24"/>
          <w:szCs w:val="24"/>
        </w:rPr>
        <w:t xml:space="preserve">substantively </w:t>
      </w:r>
      <w:r w:rsidRPr="00C1694A">
        <w:rPr>
          <w:rFonts w:ascii="Times New Roman" w:hAnsi="Times New Roman" w:cs="Times New Roman"/>
          <w:sz w:val="24"/>
          <w:szCs w:val="24"/>
        </w:rPr>
        <w:t xml:space="preserve">revise the provision.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highlight w:val="yellow"/>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t>
      </w:r>
      <w:r w:rsidR="004107C9" w:rsidRPr="00C1694A">
        <w:rPr>
          <w:rFonts w:ascii="Times New Roman" w:hAnsi="Times New Roman" w:cs="Times New Roman"/>
          <w:sz w:val="24"/>
          <w:szCs w:val="24"/>
        </w:rPr>
        <w:t xml:space="preserve">suggested </w:t>
      </w:r>
      <w:r w:rsidRPr="00C1694A">
        <w:rPr>
          <w:rFonts w:ascii="Times New Roman" w:hAnsi="Times New Roman" w:cs="Times New Roman"/>
          <w:sz w:val="24"/>
          <w:szCs w:val="24"/>
        </w:rPr>
        <w:t>the requirement in what is now paragraph (e)(4)(ii) that a child development specialist have at a minimum, an associate degree in child development or early childhood education</w:t>
      </w:r>
      <w:r w:rsidR="004107C9" w:rsidRPr="00C1694A">
        <w:rPr>
          <w:rFonts w:ascii="Times New Roman" w:hAnsi="Times New Roman" w:cs="Times New Roman"/>
          <w:sz w:val="24"/>
          <w:szCs w:val="24"/>
        </w:rPr>
        <w:t xml:space="preserve"> is too low, given their responsibilities</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we define “child development specialist” as it relates to family child care.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4107C9" w:rsidRPr="00C1694A">
        <w:rPr>
          <w:rFonts w:ascii="Times New Roman" w:hAnsi="Times New Roman" w:cs="Times New Roman"/>
          <w:sz w:val="24"/>
          <w:szCs w:val="24"/>
        </w:rPr>
        <w:t xml:space="preserve">We agree the work that child </w:t>
      </w:r>
      <w:r w:rsidRPr="00C1694A">
        <w:rPr>
          <w:rFonts w:ascii="Times New Roman" w:hAnsi="Times New Roman" w:cs="Times New Roman"/>
          <w:sz w:val="24"/>
          <w:szCs w:val="24"/>
        </w:rPr>
        <w:t xml:space="preserve">development specialists </w:t>
      </w:r>
      <w:r w:rsidR="004107C9" w:rsidRPr="00C1694A">
        <w:rPr>
          <w:rFonts w:ascii="Times New Roman" w:hAnsi="Times New Roman" w:cs="Times New Roman"/>
          <w:sz w:val="24"/>
          <w:szCs w:val="24"/>
        </w:rPr>
        <w:t xml:space="preserve">do </w:t>
      </w:r>
      <w:r w:rsidRPr="00C1694A">
        <w:rPr>
          <w:rFonts w:ascii="Times New Roman" w:hAnsi="Times New Roman" w:cs="Times New Roman"/>
          <w:sz w:val="24"/>
          <w:szCs w:val="24"/>
        </w:rPr>
        <w:t>with family child care providers to support high-quality service delivery in family child care settings, as described in §1302.23(e)</w:t>
      </w:r>
      <w:r w:rsidR="004107C9" w:rsidRPr="00C1694A">
        <w:rPr>
          <w:rFonts w:ascii="Times New Roman" w:hAnsi="Times New Roman" w:cs="Times New Roman"/>
          <w:sz w:val="24"/>
          <w:szCs w:val="24"/>
        </w:rPr>
        <w:t xml:space="preserve"> requires a higher level of expertise</w:t>
      </w:r>
      <w:r w:rsidRPr="00C1694A">
        <w:rPr>
          <w:rFonts w:ascii="Times New Roman" w:hAnsi="Times New Roman" w:cs="Times New Roman"/>
          <w:sz w:val="24"/>
          <w:szCs w:val="24"/>
        </w:rPr>
        <w:t xml:space="preserve">.  </w:t>
      </w:r>
      <w:r w:rsidR="004107C9" w:rsidRPr="00C1694A">
        <w:rPr>
          <w:rFonts w:ascii="Times New Roman" w:hAnsi="Times New Roman" w:cs="Times New Roman"/>
          <w:sz w:val="24"/>
          <w:szCs w:val="24"/>
        </w:rPr>
        <w:t>Therefor</w:t>
      </w:r>
      <w:r w:rsidR="00206098" w:rsidRPr="00C1694A">
        <w:rPr>
          <w:rFonts w:ascii="Times New Roman" w:hAnsi="Times New Roman" w:cs="Times New Roman"/>
          <w:sz w:val="24"/>
          <w:szCs w:val="24"/>
        </w:rPr>
        <w:t>e</w:t>
      </w:r>
      <w:r w:rsidR="004107C9" w:rsidRPr="00C1694A">
        <w:rPr>
          <w:rFonts w:ascii="Times New Roman" w:hAnsi="Times New Roman" w:cs="Times New Roman"/>
          <w:sz w:val="24"/>
          <w:szCs w:val="24"/>
        </w:rPr>
        <w:t xml:space="preserve"> we </w:t>
      </w:r>
      <w:r w:rsidRPr="00C1694A">
        <w:rPr>
          <w:rFonts w:ascii="Times New Roman" w:hAnsi="Times New Roman" w:cs="Times New Roman"/>
          <w:sz w:val="24"/>
          <w:szCs w:val="24"/>
        </w:rPr>
        <w:t>amended what is now paragraph (e)(4)(ii) to more clearly link the duties of the child development specialist as described in §1302.23(e)</w:t>
      </w:r>
      <w:r w:rsidR="004107C9" w:rsidRPr="00C1694A">
        <w:rPr>
          <w:rFonts w:ascii="Times New Roman" w:hAnsi="Times New Roman" w:cs="Times New Roman"/>
          <w:sz w:val="24"/>
          <w:szCs w:val="24"/>
        </w:rPr>
        <w:t xml:space="preserve"> and require child development specialists have a baccalaureate degree in </w:t>
      </w:r>
      <w:r w:rsidR="005F1063" w:rsidRPr="00C1694A">
        <w:rPr>
          <w:rFonts w:ascii="Times New Roman" w:hAnsi="Times New Roman" w:cs="Times New Roman"/>
          <w:sz w:val="24"/>
          <w:szCs w:val="24"/>
        </w:rPr>
        <w:t xml:space="preserve">child development, </w:t>
      </w:r>
      <w:r w:rsidR="004107C9" w:rsidRPr="00C1694A">
        <w:rPr>
          <w:rFonts w:ascii="Times New Roman" w:hAnsi="Times New Roman" w:cs="Times New Roman"/>
          <w:sz w:val="24"/>
          <w:szCs w:val="24"/>
        </w:rPr>
        <w:t xml:space="preserve">early childhood education or </w:t>
      </w:r>
      <w:r w:rsidR="005F1063" w:rsidRPr="00C1694A">
        <w:rPr>
          <w:rFonts w:ascii="Times New Roman" w:hAnsi="Times New Roman" w:cs="Times New Roman"/>
          <w:sz w:val="24"/>
          <w:szCs w:val="24"/>
        </w:rPr>
        <w:t>a related field</w:t>
      </w:r>
      <w:r w:rsidRPr="00C1694A">
        <w:rPr>
          <w:rFonts w:ascii="Times New Roman" w:hAnsi="Times New Roman" w:cs="Times New Roman"/>
          <w:sz w:val="24"/>
          <w:szCs w:val="24"/>
        </w:rPr>
        <w:t xml:space="preserve">.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supported our focus on both staff qualifications and the staff competencies for teaching staff we described in what were paragraphs (b)(2) and (c)(2) and are now found in </w:t>
      </w:r>
      <w:r w:rsidR="001E4158">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(e)(5).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additional competencies for teaching staff including understanding the birth to five developmental continuum; partnering with and engaging parents in their child’s education; effective team teaching; </w:t>
      </w:r>
      <w:r w:rsidRPr="00C1694A">
        <w:rPr>
          <w:rFonts w:ascii="Times New Roman" w:hAnsi="Times New Roman" w:cs="Times New Roman"/>
          <w:iCs/>
          <w:sz w:val="24"/>
          <w:szCs w:val="24"/>
        </w:rPr>
        <w:t xml:space="preserve">culturally and linguistically responsive practices; second language acquisition; administering assessments; and the </w:t>
      </w:r>
      <w:r w:rsidRPr="00C1694A">
        <w:rPr>
          <w:rFonts w:ascii="Times New Roman" w:hAnsi="Times New Roman" w:cs="Times New Roman"/>
          <w:sz w:val="24"/>
          <w:szCs w:val="24"/>
        </w:rPr>
        <w:t xml:space="preserve">capacity and desire to expand skills, knowledge and abilities.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2B6003" w:rsidRPr="00C1694A">
        <w:rPr>
          <w:rFonts w:ascii="Times New Roman" w:hAnsi="Times New Roman" w:cs="Times New Roman"/>
          <w:sz w:val="24"/>
          <w:szCs w:val="24"/>
        </w:rPr>
        <w:t xml:space="preserve">Programs have the flexibility to determine the appropriate competencies to ensure high-quality staff and program effectiveness within their own communities. However, we revised </w:t>
      </w:r>
      <w:r w:rsidRPr="00C1694A">
        <w:rPr>
          <w:rFonts w:ascii="Times New Roman" w:hAnsi="Times New Roman" w:cs="Times New Roman"/>
          <w:sz w:val="24"/>
          <w:szCs w:val="24"/>
        </w:rPr>
        <w:t xml:space="preserve">paragraph (e)(5) </w:t>
      </w:r>
      <w:r w:rsidR="002B6003" w:rsidRPr="00C1694A">
        <w:rPr>
          <w:rFonts w:ascii="Times New Roman" w:hAnsi="Times New Roman" w:cs="Times New Roman"/>
          <w:sz w:val="24"/>
          <w:szCs w:val="24"/>
        </w:rPr>
        <w:t>to add</w:t>
      </w:r>
      <w:r w:rsidR="00EE5B92" w:rsidRPr="00C1694A">
        <w:rPr>
          <w:rFonts w:ascii="Times New Roman" w:hAnsi="Times New Roman" w:cs="Times New Roman"/>
          <w:sz w:val="24"/>
          <w:szCs w:val="24"/>
        </w:rPr>
        <w:t xml:space="preserve"> use of assessment and promoting the progress of children with disabilities and dual language learners</w:t>
      </w:r>
      <w:r w:rsidR="002B6003" w:rsidRPr="00C1694A">
        <w:rPr>
          <w:rFonts w:ascii="Times New Roman" w:hAnsi="Times New Roman" w:cs="Times New Roman"/>
          <w:sz w:val="24"/>
          <w:szCs w:val="24"/>
        </w:rPr>
        <w:t xml:space="preserve">.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expressed concern with or opposed our proposal to require home visitors have at least a CDA in what was paragraph (f) in the NPRM. Concerns with our proposal included: it was more important to focus on </w:t>
      </w:r>
      <w:r w:rsidR="006102F3" w:rsidRPr="00C1694A">
        <w:rPr>
          <w:rFonts w:ascii="Times New Roman" w:hAnsi="Times New Roman" w:cs="Times New Roman"/>
          <w:sz w:val="24"/>
          <w:szCs w:val="24"/>
        </w:rPr>
        <w:t xml:space="preserve">home visitor </w:t>
      </w:r>
      <w:r w:rsidRPr="00C1694A">
        <w:rPr>
          <w:rFonts w:ascii="Times New Roman" w:hAnsi="Times New Roman" w:cs="Times New Roman"/>
          <w:sz w:val="24"/>
          <w:szCs w:val="24"/>
        </w:rPr>
        <w:t xml:space="preserve">skills; home visitors are already trained and certified in other home visiting curriculum and that a CDA would be an inefficient use of funds; time should be provided to allow home visitors to obtain a CDA; and our proposal would disqualify home visitors with sociology, psychology, or other possibly relevant degrees.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Some commenters supported our proposal for home visitors to have a minimum of a CDA, although some of these commenters suggested their support was conditional on additional funds to raise home visitor salaries accordingly.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additional flexibility for staff to meet this requirement such as an alternative or equivalent credential.</w:t>
      </w:r>
      <w:r w:rsidR="00BE7023" w:rsidRPr="00C1694A">
        <w:rPr>
          <w:rFonts w:ascii="Times New Roman" w:hAnsi="Times New Roman" w:cs="Times New Roman"/>
          <w:sz w:val="24"/>
          <w:szCs w:val="24"/>
        </w:rPr>
        <w:t xml:space="preserve">  Many commenters recommended we revise the standard to allow the home visitor to have a CDA or equivalent coursework or be enrolled in coursework to earn a CDA.</w:t>
      </w:r>
      <w:r w:rsidRPr="00C1694A">
        <w:rPr>
          <w:rFonts w:ascii="Times New Roman" w:hAnsi="Times New Roman" w:cs="Times New Roman"/>
          <w:sz w:val="24"/>
          <w:szCs w:val="24"/>
        </w:rPr>
        <w:t xml:space="preserve">  Some commenters suggested that the minimum requirement of a CDA was too low and recommended we require at least an associate’s degree in early childhood, child development or a related field with equivalent coursework that could be attained within a realistic timeframe.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set a national percentage goal for home visitors with bachelor’s degrees.</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w:t>
      </w:r>
      <w:r w:rsidR="00675B9D" w:rsidRPr="00C1694A">
        <w:rPr>
          <w:rFonts w:ascii="Times New Roman" w:hAnsi="Times New Roman" w:cs="Times New Roman"/>
          <w:sz w:val="24"/>
          <w:szCs w:val="24"/>
        </w:rPr>
        <w:t>our</w:t>
      </w:r>
      <w:r w:rsidRPr="00C1694A">
        <w:rPr>
          <w:rFonts w:ascii="Times New Roman" w:hAnsi="Times New Roman" w:cs="Times New Roman"/>
          <w:sz w:val="24"/>
          <w:szCs w:val="24"/>
        </w:rPr>
        <w:t xml:space="preserve"> minimum requirement of a CDA for home visitors</w:t>
      </w:r>
      <w:r w:rsidR="00675B9D" w:rsidRPr="00C1694A">
        <w:rPr>
          <w:rFonts w:ascii="Times New Roman" w:hAnsi="Times New Roman" w:cs="Times New Roman"/>
          <w:sz w:val="24"/>
          <w:szCs w:val="24"/>
        </w:rPr>
        <w:t>, now found in paragraph (e)(6)(i)</w:t>
      </w:r>
      <w:r w:rsidRPr="00C1694A">
        <w:rPr>
          <w:rFonts w:ascii="Times New Roman" w:hAnsi="Times New Roman" w:cs="Times New Roman"/>
          <w:sz w:val="24"/>
          <w:szCs w:val="24"/>
        </w:rPr>
        <w:t xml:space="preserve"> is reasonable</w:t>
      </w:r>
      <w:r w:rsidR="00396270" w:rsidRPr="00C1694A">
        <w:rPr>
          <w:rFonts w:ascii="Times New Roman" w:hAnsi="Times New Roman" w:cs="Times New Roman"/>
          <w:sz w:val="24"/>
          <w:szCs w:val="24"/>
        </w:rPr>
        <w:t xml:space="preserve"> and in fact, given the complex nature of their work, that it is preferable for such staff to have an associate’s or baccalaureate degree in a relevant field</w:t>
      </w:r>
      <w:r w:rsidRPr="00C1694A">
        <w:rPr>
          <w:rFonts w:ascii="Times New Roman" w:hAnsi="Times New Roman" w:cs="Times New Roman"/>
          <w:sz w:val="24"/>
          <w:szCs w:val="24"/>
        </w:rPr>
        <w:t xml:space="preserve">. </w:t>
      </w:r>
      <w:r w:rsidR="00675B9D" w:rsidRPr="00C1694A">
        <w:rPr>
          <w:rFonts w:ascii="Times New Roman" w:hAnsi="Times New Roman" w:cs="Times New Roman"/>
          <w:sz w:val="24"/>
          <w:szCs w:val="24"/>
        </w:rPr>
        <w:t xml:space="preserve"> We revised this</w:t>
      </w:r>
      <w:r w:rsidR="00396270" w:rsidRPr="00C1694A">
        <w:rPr>
          <w:rFonts w:ascii="Times New Roman" w:hAnsi="Times New Roman" w:cs="Times New Roman"/>
          <w:sz w:val="24"/>
          <w:szCs w:val="24"/>
        </w:rPr>
        <w:t xml:space="preserve"> requirement</w:t>
      </w:r>
      <w:r w:rsidRPr="00C1694A">
        <w:rPr>
          <w:rFonts w:ascii="Times New Roman" w:hAnsi="Times New Roman" w:cs="Times New Roman"/>
          <w:sz w:val="24"/>
          <w:szCs w:val="24"/>
        </w:rPr>
        <w:t xml:space="preserve"> to </w:t>
      </w:r>
      <w:r w:rsidR="00396270" w:rsidRPr="00C1694A">
        <w:rPr>
          <w:rFonts w:ascii="Times New Roman" w:hAnsi="Times New Roman" w:cs="Times New Roman"/>
          <w:sz w:val="24"/>
          <w:szCs w:val="24"/>
        </w:rPr>
        <w:t>clarify the</w:t>
      </w:r>
      <w:r w:rsidRPr="00C1694A">
        <w:rPr>
          <w:rFonts w:ascii="Times New Roman" w:hAnsi="Times New Roman" w:cs="Times New Roman"/>
          <w:sz w:val="24"/>
          <w:szCs w:val="24"/>
        </w:rPr>
        <w:t xml:space="preserve"> credentials</w:t>
      </w:r>
      <w:r w:rsidR="00396270" w:rsidRPr="00C1694A">
        <w:rPr>
          <w:rFonts w:ascii="Times New Roman" w:hAnsi="Times New Roman" w:cs="Times New Roman"/>
          <w:sz w:val="24"/>
          <w:szCs w:val="24"/>
        </w:rPr>
        <w:t xml:space="preserve"> necessary for this position</w:t>
      </w:r>
      <w:r w:rsidRPr="00C1694A">
        <w:rPr>
          <w:rFonts w:ascii="Times New Roman" w:hAnsi="Times New Roman" w:cs="Times New Roman"/>
          <w:sz w:val="24"/>
          <w:szCs w:val="24"/>
        </w:rPr>
        <w:t xml:space="preserve">. </w:t>
      </w:r>
      <w:r w:rsidR="00846D8B" w:rsidRPr="00C1694A">
        <w:rPr>
          <w:rFonts w:ascii="Times New Roman" w:hAnsi="Times New Roman" w:cs="Times New Roman"/>
          <w:sz w:val="24"/>
          <w:szCs w:val="24"/>
        </w:rPr>
        <w:t xml:space="preserve">In order to allow adequate time for staff to obtain a CDA, we are delaying the requirement to comply with this provision for two years.  </w:t>
      </w:r>
      <w:r w:rsidRPr="00C1694A">
        <w:rPr>
          <w:rFonts w:ascii="Times New Roman" w:hAnsi="Times New Roman" w:cs="Times New Roman"/>
          <w:sz w:val="24"/>
          <w:szCs w:val="24"/>
        </w:rPr>
        <w:t>We also revised competency requirements in paragraph (e)(6)(ii) to include supporting children with disabilities and DLLs, and building respectful, culturally responsive, and trusting relationships with families.</w:t>
      </w:r>
      <w:r w:rsidR="00396270" w:rsidRPr="00C1694A">
        <w:rPr>
          <w:rFonts w:ascii="Times New Roman" w:hAnsi="Times New Roman" w:cs="Times New Roman"/>
          <w:sz w:val="24"/>
          <w:szCs w:val="24"/>
        </w:rPr>
        <w:t xml:space="preserve">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The NPRM required all staff, including family services, health, and disabilities staff, to have sufficient knowledge, training, and experience to fulfill their roles and responsibilities.  It did not retain vague language from the prior program performance standards about family services, health</w:t>
      </w:r>
      <w:r w:rsidR="00215A21"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disabilities staff. We specifically requested comments on specific degree requirements for these staff. We received comments in support and opposition of our approach.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praised our removal of these provisions, and stated it would increase local flexibility for programs to set their own qualifications and better address their professional needs. Other commenters disagreed, and instead suggested we at least restore the previous requirements and suggested we include new degree competencies and qualifications, such as a minimum of a baccalaureate.  Some commenters provided specific recommendations for strengthening qualifications for family service workers, such as a requirement that they, at a minimum, have an associate’s degree in social work or a related field.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with the concerns commenters raised about child and family services staff and made revisions accordingly. We added a new requirement in paragraph (e)(7) to require newly hired </w:t>
      </w:r>
      <w:r w:rsidR="00BE7023" w:rsidRPr="00C1694A">
        <w:rPr>
          <w:rFonts w:ascii="Times New Roman" w:hAnsi="Times New Roman" w:cs="Times New Roman"/>
          <w:sz w:val="24"/>
          <w:szCs w:val="24"/>
        </w:rPr>
        <w:t xml:space="preserve">staff who work on </w:t>
      </w:r>
      <w:r w:rsidRPr="00C1694A">
        <w:rPr>
          <w:rFonts w:ascii="Times New Roman" w:hAnsi="Times New Roman" w:cs="Times New Roman"/>
          <w:sz w:val="24"/>
          <w:szCs w:val="24"/>
        </w:rPr>
        <w:t xml:space="preserve">family </w:t>
      </w:r>
      <w:r w:rsidR="00BE7023" w:rsidRPr="00C1694A">
        <w:rPr>
          <w:rFonts w:ascii="Times New Roman" w:hAnsi="Times New Roman" w:cs="Times New Roman"/>
          <w:sz w:val="24"/>
          <w:szCs w:val="24"/>
        </w:rPr>
        <w:t xml:space="preserve">partnership </w:t>
      </w:r>
      <w:r w:rsidRPr="00C1694A">
        <w:rPr>
          <w:rFonts w:ascii="Times New Roman" w:hAnsi="Times New Roman" w:cs="Times New Roman"/>
          <w:sz w:val="24"/>
          <w:szCs w:val="24"/>
        </w:rPr>
        <w:t>service</w:t>
      </w:r>
      <w:r w:rsidR="00BE7023" w:rsidRPr="00C1694A">
        <w:rPr>
          <w:rFonts w:ascii="Times New Roman" w:hAnsi="Times New Roman" w:cs="Times New Roman"/>
          <w:sz w:val="24"/>
          <w:szCs w:val="24"/>
        </w:rPr>
        <w:t>s</w:t>
      </w:r>
      <w:r w:rsidRPr="00C1694A">
        <w:rPr>
          <w:rFonts w:ascii="Times New Roman" w:hAnsi="Times New Roman" w:cs="Times New Roman"/>
          <w:sz w:val="24"/>
          <w:szCs w:val="24"/>
        </w:rPr>
        <w:t xml:space="preserve"> have </w:t>
      </w:r>
      <w:r w:rsidR="00BB4CE3" w:rsidRPr="00C1694A">
        <w:rPr>
          <w:rFonts w:ascii="Times New Roman" w:hAnsi="Times New Roman" w:cs="Times New Roman"/>
          <w:sz w:val="24"/>
          <w:szCs w:val="24"/>
        </w:rPr>
        <w:t xml:space="preserve">at least </w:t>
      </w:r>
      <w:r w:rsidRPr="00C1694A">
        <w:rPr>
          <w:rFonts w:ascii="Times New Roman" w:hAnsi="Times New Roman" w:cs="Times New Roman"/>
          <w:sz w:val="24"/>
          <w:szCs w:val="24"/>
        </w:rPr>
        <w:t>a credential or certification in social work, human services, family services, counseling or a related field within eighteen months of hire.</w:t>
      </w:r>
      <w:r w:rsidR="00BB4CE3" w:rsidRPr="00C1694A">
        <w:rPr>
          <w:rFonts w:ascii="Times New Roman" w:hAnsi="Times New Roman" w:cs="Times New Roman"/>
          <w:sz w:val="24"/>
          <w:szCs w:val="24"/>
        </w:rPr>
        <w:t xml:space="preserve">  We believe it is optimal for these staff to have an associate’s or baccalaureate degree in a related field.</w:t>
      </w:r>
      <w:r w:rsidRPr="00C1694A">
        <w:rPr>
          <w:rFonts w:ascii="Times New Roman" w:hAnsi="Times New Roman" w:cs="Times New Roman"/>
          <w:sz w:val="24"/>
          <w:szCs w:val="24"/>
        </w:rPr>
        <w:t xml:space="preserve">  We restored health professional qualification requirements in paragraph (e)(8)(i), and </w:t>
      </w:r>
      <w:r w:rsidR="00675B9D" w:rsidRPr="00C1694A">
        <w:rPr>
          <w:rFonts w:ascii="Times New Roman" w:hAnsi="Times New Roman" w:cs="Times New Roman"/>
          <w:sz w:val="24"/>
          <w:szCs w:val="24"/>
        </w:rPr>
        <w:t xml:space="preserve">we </w:t>
      </w:r>
      <w:r w:rsidRPr="00C1694A">
        <w:rPr>
          <w:rFonts w:ascii="Times New Roman" w:hAnsi="Times New Roman" w:cs="Times New Roman"/>
          <w:sz w:val="24"/>
          <w:szCs w:val="24"/>
        </w:rPr>
        <w:t>expanded requirements for competencies to include assistant teachers and family child care providers in paragraph (e)(5).</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offered suggestions for the requirement for mental health consultants in what is now paragraph (e)(8)(ii).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requested clarification about what it meant to “support” mental health services.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mental health consultants be licensed or certified, demonstrate specific competencies, or have a degree in social work, professional counseling, or marriage and family therapy.  </w:t>
      </w:r>
      <w:r w:rsidR="000F5F8E" w:rsidRPr="00C1694A">
        <w:rPr>
          <w:rFonts w:ascii="Times New Roman" w:hAnsi="Times New Roman" w:cs="Times New Roman"/>
          <w:sz w:val="24"/>
          <w:szCs w:val="24"/>
        </w:rPr>
        <w:t>O</w:t>
      </w:r>
      <w:r w:rsidRPr="00C1694A">
        <w:rPr>
          <w:rFonts w:ascii="Times New Roman" w:hAnsi="Times New Roman" w:cs="Times New Roman"/>
          <w:sz w:val="24"/>
          <w:szCs w:val="24"/>
        </w:rPr>
        <w:t xml:space="preserve">ther commenters opposed the requirement that a mental health consultant be licensed or certified, citing inadequate funding.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think it is important that mental health consultants are licensed or certified mental health professionals so they have the training needed to provide the appropriate scope of services to young children and families.  To strengthen the standard, we revised what is now paragraph (e)(8)(ii) to require that mental health consultants have, to the extent possible, knowledge of and experience in serving young children and their families. We also removed the language that referenced staff who “support” mental health services to improve clarity.   We did not address other suggested requirements, because we believe that local programs need flexibility to determine the best approach to ensure mental health consultants are able to meet child and family needs.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clarification for our use of the term “nutritionist” in what is now paragraph (e)(8)(iii).  Commenters were concerned it could be interpreted to include a person who lacks formal education or training in the area of nutrition.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require registered dieticians and licensed nutritionists oversee all nutrition services.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w:t>
      </w:r>
      <w:r w:rsidR="002B6003" w:rsidRPr="00C1694A">
        <w:rPr>
          <w:rFonts w:ascii="Times New Roman" w:hAnsi="Times New Roman" w:cs="Times New Roman"/>
          <w:sz w:val="24"/>
          <w:szCs w:val="24"/>
        </w:rPr>
        <w:t xml:space="preserve"> believe the requirement that nutrition services be provided by registered dieticians and nutritionists is sufficient to ensure high-quality services. </w:t>
      </w:r>
      <w:r w:rsidRPr="00C1694A">
        <w:rPr>
          <w:rFonts w:ascii="Times New Roman" w:hAnsi="Times New Roman" w:cs="Times New Roman"/>
          <w:sz w:val="24"/>
          <w:szCs w:val="24"/>
        </w:rPr>
        <w:t xml:space="preserve"> </w:t>
      </w:r>
      <w:r w:rsidR="002B6003" w:rsidRPr="00C1694A">
        <w:rPr>
          <w:rFonts w:ascii="Times New Roman" w:hAnsi="Times New Roman" w:cs="Times New Roman"/>
          <w:sz w:val="24"/>
          <w:szCs w:val="24"/>
        </w:rPr>
        <w:t xml:space="preserve">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modify staff qualification requirements for migrant and seasonal and American Indian and Alaskan Native programs because these programs often find it difficult to hire staff with either credentials or degrees.  For example,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we broaden the requirement for using child development specialists with associate’s degrees in family child care to apply to migrant and seasonal programs because of challenges to find bilingual qualified staff in rural communities. Commenters recommended we allow migrant or seasonal Head Start programs to have lower staff qualifications than other Head Start programs and help them obtain degrees.</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Although we understand the challenges migrant and seasonal and American Indian and Alaskan Native programs face, we require these programs to hire qualified staff to work with children. However, we encourage programs to implement individualized professional development plans for all staff.</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add specific qualifications for coaches, such as a minimum of </w:t>
      </w:r>
      <w:r w:rsidR="00215A21" w:rsidRPr="00C1694A">
        <w:rPr>
          <w:rFonts w:ascii="Times New Roman" w:hAnsi="Times New Roman" w:cs="Times New Roman"/>
          <w:sz w:val="24"/>
          <w:szCs w:val="24"/>
        </w:rPr>
        <w:t xml:space="preserve">a </w:t>
      </w:r>
      <w:r w:rsidRPr="00C1694A">
        <w:rPr>
          <w:rFonts w:ascii="Times New Roman" w:hAnsi="Times New Roman" w:cs="Times New Roman"/>
          <w:sz w:val="24"/>
          <w:szCs w:val="24"/>
        </w:rPr>
        <w:t>bachelor’s</w:t>
      </w:r>
      <w:r w:rsidR="00215A21" w:rsidRPr="00C1694A">
        <w:rPr>
          <w:rFonts w:ascii="Times New Roman" w:hAnsi="Times New Roman" w:cs="Times New Roman"/>
          <w:sz w:val="24"/>
          <w:szCs w:val="24"/>
        </w:rPr>
        <w:t xml:space="preserve"> degree</w:t>
      </w:r>
      <w:r w:rsidRPr="00C1694A">
        <w:rPr>
          <w:rFonts w:ascii="Times New Roman" w:hAnsi="Times New Roman" w:cs="Times New Roman"/>
          <w:sz w:val="24"/>
          <w:szCs w:val="24"/>
        </w:rPr>
        <w:t xml:space="preserve"> in </w:t>
      </w:r>
      <w:r w:rsidRPr="00C1694A">
        <w:rPr>
          <w:rFonts w:ascii="Times New Roman" w:hAnsi="Times New Roman" w:cs="Times New Roman"/>
          <w:iCs/>
          <w:sz w:val="24"/>
          <w:szCs w:val="24"/>
        </w:rPr>
        <w:t>in early childhood education or child development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require coaches to demonstrate specific areas of knowledge, skills, and experience.</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4107C9" w:rsidRPr="00C1694A">
        <w:rPr>
          <w:rFonts w:ascii="Times New Roman" w:hAnsi="Times New Roman" w:cs="Times New Roman"/>
          <w:sz w:val="24"/>
          <w:szCs w:val="24"/>
        </w:rPr>
        <w:t xml:space="preserve">We agree that in order for </w:t>
      </w:r>
      <w:r w:rsidRPr="00C1694A">
        <w:rPr>
          <w:rFonts w:ascii="Times New Roman" w:hAnsi="Times New Roman" w:cs="Times New Roman"/>
          <w:sz w:val="24"/>
          <w:szCs w:val="24"/>
        </w:rPr>
        <w:t xml:space="preserve">coaches </w:t>
      </w:r>
      <w:r w:rsidR="00C967A9" w:rsidRPr="00C1694A">
        <w:rPr>
          <w:rFonts w:ascii="Times New Roman" w:hAnsi="Times New Roman" w:cs="Times New Roman"/>
          <w:sz w:val="24"/>
          <w:szCs w:val="24"/>
        </w:rPr>
        <w:t xml:space="preserve">to effectively support education staff they should have a minimum of a baccalaureate degree in early childhood education or a related field.  </w:t>
      </w:r>
      <w:r w:rsidR="004107C9" w:rsidRPr="00C1694A">
        <w:rPr>
          <w:rFonts w:ascii="Times New Roman" w:hAnsi="Times New Roman" w:cs="Times New Roman"/>
          <w:sz w:val="24"/>
          <w:szCs w:val="24"/>
        </w:rPr>
        <w:t xml:space="preserve"> </w:t>
      </w:r>
      <w:r w:rsidR="00C967A9" w:rsidRPr="00C1694A">
        <w:rPr>
          <w:rFonts w:ascii="Times New Roman" w:hAnsi="Times New Roman" w:cs="Times New Roman"/>
          <w:sz w:val="24"/>
          <w:szCs w:val="24"/>
        </w:rPr>
        <w:t xml:space="preserve">Therefore, we have added a requirement in paragraph (f).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clarification about teachers and providers working within community child care partnership sites need to meet the staff qualification requirements. They stated that increased requirements for Early Head Start programs could harm partnerships with community child care programs.</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Teachers and family child care providers must meet staff qualification requirements. Grantees funded with EHS-CC Partnership funds are allowed 18 months following receipt of the award to help staff attain the required credentials or degrees.</w:t>
      </w:r>
    </w:p>
    <w:p w:rsidR="007862E2" w:rsidRPr="00C1694A" w:rsidRDefault="007862E2"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§1302.92 Training and professional development.</w:t>
      </w:r>
    </w:p>
    <w:p w:rsidR="007862E2" w:rsidRPr="00C1694A" w:rsidRDefault="007862E2"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In this section, we describe requirements for staff training and professional development. We require a coordinated system of professional development, including individualized coaching for all educators, including family child care providers. Commenters generally supported our integrated systems approach, and noted support for our more</w:t>
      </w:r>
      <w:r w:rsidRPr="00C1694A">
        <w:rPr>
          <w:rFonts w:ascii="Times New Roman" w:hAnsi="Times New Roman" w:cs="Times New Roman"/>
          <w:sz w:val="24"/>
          <w:szCs w:val="24"/>
        </w:rPr>
        <w:t xml:space="preserve"> individualized professional development. Others cited research in support of our coaching requirements.  </w:t>
      </w:r>
      <w:r w:rsidRPr="00C1694A">
        <w:rPr>
          <w:rFonts w:ascii="Times New Roman" w:eastAsia="Times New Roman" w:hAnsi="Times New Roman" w:cs="Times New Roman"/>
          <w:bCs/>
          <w:sz w:val="24"/>
          <w:szCs w:val="24"/>
        </w:rPr>
        <w:t>We made revisions to strengthen professional development and training for all staff and to improve clarity of coaching requirements.  We discuss these and other comments below.</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opposed our decision to omit a previous standard for staff performance appraisals because they stated these appraisals are an important way to identify professional development needs and to provide data to develop a training and technical assistance plan.</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675B9D" w:rsidRPr="00C1694A">
        <w:rPr>
          <w:rFonts w:ascii="Times New Roman" w:hAnsi="Times New Roman" w:cs="Times New Roman"/>
          <w:sz w:val="24"/>
          <w:szCs w:val="24"/>
          <w:u w:val="single"/>
        </w:rPr>
        <w:t>:</w:t>
      </w:r>
      <w:r w:rsidR="00675B9D" w:rsidRPr="00C1694A">
        <w:rPr>
          <w:rFonts w:ascii="Times New Roman" w:hAnsi="Times New Roman" w:cs="Times New Roman"/>
          <w:sz w:val="24"/>
          <w:szCs w:val="24"/>
        </w:rPr>
        <w:t xml:space="preserve"> We do not believe we need</w:t>
      </w:r>
      <w:r w:rsidRPr="00C1694A">
        <w:rPr>
          <w:rFonts w:ascii="Times New Roman" w:hAnsi="Times New Roman" w:cs="Times New Roman"/>
          <w:sz w:val="24"/>
          <w:szCs w:val="24"/>
        </w:rPr>
        <w:t xml:space="preserve"> specific requirements for the process by which programs assess staff.  Instead, we focused this section on requiring programs to implement a system to ensure all staff members receive the supportive training and development they need to provide high-quality services.   Programs that value staff performance appraisals may continue to use this method as part of their system.  We did not revise this provision.</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concerned about the burden of “all day” orientations for program consultants.</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Paragraph (a) requires programs to provide an orientation to all new staff, consultants, and volunteers.  We did not include any reference to “all day” or any prescribed length of orientations.  We feel the intent of the provision is clear as written. Therefore, we did not revise this provision.</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expressed concern about the requirement in what was paragraph (b) about training and professional development having academic credit, as appropriate.  Commenters recommended we revise the requirement to include continuing education units (CEUs).  Some commenters misunderstood the intent of the requirement, pointing out that training on CPR, </w:t>
      </w:r>
      <w:r w:rsidR="00B56C65">
        <w:rPr>
          <w:rFonts w:ascii="Times New Roman" w:hAnsi="Times New Roman" w:cs="Times New Roman"/>
          <w:sz w:val="24"/>
          <w:szCs w:val="24"/>
        </w:rPr>
        <w:t>Sudden Infant Death Syndrome</w:t>
      </w:r>
      <w:r w:rsidR="00B56C65" w:rsidRPr="00C1694A">
        <w:rPr>
          <w:rFonts w:ascii="Times New Roman" w:hAnsi="Times New Roman" w:cs="Times New Roman"/>
          <w:sz w:val="24"/>
          <w:szCs w:val="24"/>
        </w:rPr>
        <w:t xml:space="preserve"> </w:t>
      </w:r>
      <w:r w:rsidR="00B56C65">
        <w:rPr>
          <w:rFonts w:ascii="Times New Roman" w:hAnsi="Times New Roman" w:cs="Times New Roman"/>
          <w:sz w:val="24"/>
          <w:szCs w:val="24"/>
        </w:rPr>
        <w:t>(</w:t>
      </w:r>
      <w:r w:rsidRPr="00C1694A">
        <w:rPr>
          <w:rFonts w:ascii="Times New Roman" w:hAnsi="Times New Roman" w:cs="Times New Roman"/>
          <w:sz w:val="24"/>
          <w:szCs w:val="24"/>
        </w:rPr>
        <w:t>SIDS</w:t>
      </w:r>
      <w:r w:rsidR="00B56C65">
        <w:rPr>
          <w:rFonts w:ascii="Times New Roman" w:hAnsi="Times New Roman" w:cs="Times New Roman"/>
          <w:sz w:val="24"/>
          <w:szCs w:val="24"/>
        </w:rPr>
        <w:t>)</w:t>
      </w:r>
      <w:r w:rsidRPr="00C1694A">
        <w:rPr>
          <w:rFonts w:ascii="Times New Roman" w:hAnsi="Times New Roman" w:cs="Times New Roman"/>
          <w:sz w:val="24"/>
          <w:szCs w:val="24"/>
        </w:rPr>
        <w:t>, etc. could not bear academic credit.</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00675B9D" w:rsidRPr="00C1694A">
        <w:rPr>
          <w:rFonts w:ascii="Times New Roman" w:hAnsi="Times New Roman" w:cs="Times New Roman"/>
          <w:sz w:val="24"/>
          <w:szCs w:val="24"/>
          <w:u w:val="single"/>
        </w:rPr>
        <w:t>:</w:t>
      </w:r>
      <w:r w:rsidR="00675B9D" w:rsidRPr="00C1694A">
        <w:rPr>
          <w:rFonts w:ascii="Times New Roman" w:hAnsi="Times New Roman" w:cs="Times New Roman"/>
          <w:sz w:val="24"/>
          <w:szCs w:val="24"/>
        </w:rPr>
        <w:t xml:space="preserve"> Paragraph (</w:t>
      </w:r>
      <w:r w:rsidR="00C22DB5">
        <w:rPr>
          <w:rFonts w:ascii="Times New Roman" w:hAnsi="Times New Roman" w:cs="Times New Roman"/>
          <w:sz w:val="24"/>
          <w:szCs w:val="24"/>
        </w:rPr>
        <w:t>b</w:t>
      </w:r>
      <w:r w:rsidRPr="00C1694A">
        <w:rPr>
          <w:rFonts w:ascii="Times New Roman" w:hAnsi="Times New Roman" w:cs="Times New Roman"/>
          <w:sz w:val="24"/>
          <w:szCs w:val="24"/>
        </w:rPr>
        <w:t>) requires programs establish and implement a systematic approach to staff training and development. We did not intend to require that all staff training within the required system provide academic credit.  Rather, academic credit should be sought, when appropriate, for such training and staff development in order to support staff progress toward degrees and other goals.  We did not revise this provision.</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requested clarification about whether coaching hours would count toward the requirement for 15 clock hours of professional development.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concerns that coaching hours will not be eligible for state registry professional development trainings.</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consider coaching hours applicable toward meeting the 15 clock hours of professional development per year, assuming the coaching hours are designed to assist staff in increasing knowledge and acquiring new skills to help them provide high-quality services within the scope of their job responsibilities.  Whether coaching hours are eligible for state registries is beyond the purview of this rule.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 that parent engagement strategies be included in training and professional development.</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what was paragraph (b)(2) and is now paragraph (</w:t>
      </w:r>
      <w:r w:rsidR="00C22DB5">
        <w:rPr>
          <w:rFonts w:ascii="Times New Roman" w:hAnsi="Times New Roman" w:cs="Times New Roman"/>
          <w:sz w:val="24"/>
          <w:szCs w:val="24"/>
        </w:rPr>
        <w:t>b</w:t>
      </w:r>
      <w:r w:rsidRPr="00C1694A">
        <w:rPr>
          <w:rFonts w:ascii="Times New Roman" w:hAnsi="Times New Roman" w:cs="Times New Roman"/>
          <w:sz w:val="24"/>
          <w:szCs w:val="24"/>
        </w:rPr>
        <w:t>)(</w:t>
      </w:r>
      <w:r w:rsidR="00C22DB5">
        <w:rPr>
          <w:rFonts w:ascii="Times New Roman" w:hAnsi="Times New Roman" w:cs="Times New Roman"/>
          <w:sz w:val="24"/>
          <w:szCs w:val="24"/>
        </w:rPr>
        <w:t>3</w:t>
      </w:r>
      <w:r w:rsidRPr="00C1694A">
        <w:rPr>
          <w:rFonts w:ascii="Times New Roman" w:hAnsi="Times New Roman" w:cs="Times New Roman"/>
          <w:sz w:val="24"/>
          <w:szCs w:val="24"/>
        </w:rPr>
        <w:t>) to require training for all staff on best practices for family engagement strategies.  In addition, to appropriately address professional development for child and family services staff who are not education staff, we included a new requirement in paragraph (</w:t>
      </w:r>
      <w:r w:rsidR="00C22DB5">
        <w:rPr>
          <w:rFonts w:ascii="Times New Roman" w:hAnsi="Times New Roman" w:cs="Times New Roman"/>
          <w:sz w:val="24"/>
          <w:szCs w:val="24"/>
        </w:rPr>
        <w:t>b</w:t>
      </w:r>
      <w:r w:rsidRPr="00C1694A">
        <w:rPr>
          <w:rFonts w:ascii="Times New Roman" w:hAnsi="Times New Roman" w:cs="Times New Roman"/>
          <w:sz w:val="24"/>
          <w:szCs w:val="24"/>
        </w:rPr>
        <w:t>)(</w:t>
      </w:r>
      <w:r w:rsidR="00C22DB5">
        <w:rPr>
          <w:rFonts w:ascii="Times New Roman" w:hAnsi="Times New Roman" w:cs="Times New Roman"/>
          <w:sz w:val="24"/>
          <w:szCs w:val="24"/>
        </w:rPr>
        <w:t>4</w:t>
      </w:r>
      <w:r w:rsidRPr="00C1694A">
        <w:rPr>
          <w:rFonts w:ascii="Times New Roman" w:hAnsi="Times New Roman" w:cs="Times New Roman"/>
          <w:sz w:val="24"/>
          <w:szCs w:val="24"/>
        </w:rPr>
        <w:t>) to require training for family services, health, and disabilities staff to build on their knowledge, experience, and competencies to improve child and family outcomes.  We also amended paragraph (</w:t>
      </w:r>
      <w:r w:rsidR="00C22DB5">
        <w:rPr>
          <w:rFonts w:ascii="Times New Roman" w:hAnsi="Times New Roman" w:cs="Times New Roman"/>
          <w:sz w:val="24"/>
          <w:szCs w:val="24"/>
        </w:rPr>
        <w:t>b</w:t>
      </w:r>
      <w:r w:rsidRPr="00C1694A">
        <w:rPr>
          <w:rFonts w:ascii="Times New Roman" w:hAnsi="Times New Roman" w:cs="Times New Roman"/>
          <w:sz w:val="24"/>
          <w:szCs w:val="24"/>
        </w:rPr>
        <w:t>)(</w:t>
      </w:r>
      <w:r w:rsidR="00C22DB5">
        <w:rPr>
          <w:rFonts w:ascii="Times New Roman" w:hAnsi="Times New Roman" w:cs="Times New Roman"/>
          <w:sz w:val="24"/>
          <w:szCs w:val="24"/>
        </w:rPr>
        <w:t>5</w:t>
      </w:r>
      <w:r w:rsidRPr="00C1694A">
        <w:rPr>
          <w:rFonts w:ascii="Times New Roman" w:hAnsi="Times New Roman" w:cs="Times New Roman"/>
          <w:sz w:val="24"/>
          <w:szCs w:val="24"/>
        </w:rPr>
        <w:t xml:space="preserve">) to include partnering with families as </w:t>
      </w:r>
      <w:r w:rsidR="00675B9D" w:rsidRPr="00C1694A">
        <w:rPr>
          <w:rFonts w:ascii="Times New Roman" w:hAnsi="Times New Roman" w:cs="Times New Roman"/>
          <w:sz w:val="24"/>
          <w:szCs w:val="24"/>
        </w:rPr>
        <w:t>an area</w:t>
      </w:r>
      <w:r w:rsidRPr="00C1694A">
        <w:rPr>
          <w:rFonts w:ascii="Times New Roman" w:hAnsi="Times New Roman" w:cs="Times New Roman"/>
          <w:sz w:val="24"/>
          <w:szCs w:val="24"/>
        </w:rPr>
        <w:t xml:space="preserve"> of the professional development for education staff.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there were disparities in training opportunities between lead teachers and teacher assistants.</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it is important for the entire teaching team to receive appropriate training and professional development.  Paragraph</w:t>
      </w:r>
      <w:r w:rsidR="001E4158">
        <w:rPr>
          <w:rFonts w:ascii="Times New Roman" w:hAnsi="Times New Roman" w:cs="Times New Roman"/>
          <w:sz w:val="24"/>
          <w:szCs w:val="24"/>
        </w:rPr>
        <w:t>s</w:t>
      </w:r>
      <w:r w:rsidRPr="00C1694A">
        <w:rPr>
          <w:rFonts w:ascii="Times New Roman" w:hAnsi="Times New Roman" w:cs="Times New Roman"/>
          <w:sz w:val="24"/>
          <w:szCs w:val="24"/>
        </w:rPr>
        <w:t xml:space="preserve"> (</w:t>
      </w:r>
      <w:r w:rsidR="00C22DB5">
        <w:rPr>
          <w:rFonts w:ascii="Times New Roman" w:hAnsi="Times New Roman" w:cs="Times New Roman"/>
          <w:sz w:val="24"/>
          <w:szCs w:val="24"/>
        </w:rPr>
        <w:t>b</w:t>
      </w:r>
      <w:r w:rsidRPr="00C1694A">
        <w:rPr>
          <w:rFonts w:ascii="Times New Roman" w:hAnsi="Times New Roman" w:cs="Times New Roman"/>
          <w:sz w:val="24"/>
          <w:szCs w:val="24"/>
        </w:rPr>
        <w:t>)(</w:t>
      </w:r>
      <w:r w:rsidR="00C22DB5">
        <w:rPr>
          <w:rFonts w:ascii="Times New Roman" w:hAnsi="Times New Roman" w:cs="Times New Roman"/>
          <w:sz w:val="24"/>
          <w:szCs w:val="24"/>
        </w:rPr>
        <w:t>5</w:t>
      </w:r>
      <w:r w:rsidRPr="00C1694A">
        <w:rPr>
          <w:rFonts w:ascii="Times New Roman" w:hAnsi="Times New Roman" w:cs="Times New Roman"/>
          <w:sz w:val="24"/>
          <w:szCs w:val="24"/>
        </w:rPr>
        <w:t>)</w:t>
      </w:r>
      <w:r w:rsidR="006F2D27" w:rsidRPr="00C1694A">
        <w:rPr>
          <w:rFonts w:ascii="Times New Roman" w:hAnsi="Times New Roman" w:cs="Times New Roman"/>
          <w:sz w:val="24"/>
          <w:szCs w:val="24"/>
        </w:rPr>
        <w:t xml:space="preserve"> and (</w:t>
      </w:r>
      <w:r w:rsidR="00C22DB5">
        <w:rPr>
          <w:rFonts w:ascii="Times New Roman" w:hAnsi="Times New Roman" w:cs="Times New Roman"/>
          <w:sz w:val="24"/>
          <w:szCs w:val="24"/>
        </w:rPr>
        <w:t>c</w:t>
      </w:r>
      <w:r w:rsidR="006F2D27" w:rsidRPr="00C1694A">
        <w:rPr>
          <w:rFonts w:ascii="Times New Roman" w:hAnsi="Times New Roman" w:cs="Times New Roman"/>
          <w:sz w:val="24"/>
          <w:szCs w:val="24"/>
        </w:rPr>
        <w:t>)</w:t>
      </w:r>
      <w:r w:rsidRPr="00C1694A">
        <w:rPr>
          <w:rFonts w:ascii="Times New Roman" w:hAnsi="Times New Roman" w:cs="Times New Roman"/>
          <w:sz w:val="24"/>
          <w:szCs w:val="24"/>
        </w:rPr>
        <w:t xml:space="preserve"> require research-based approaches to professional development</w:t>
      </w:r>
      <w:r w:rsidR="006F2D27" w:rsidRPr="00C1694A">
        <w:rPr>
          <w:rFonts w:ascii="Times New Roman" w:hAnsi="Times New Roman" w:cs="Times New Roman"/>
          <w:sz w:val="24"/>
          <w:szCs w:val="24"/>
        </w:rPr>
        <w:t xml:space="preserve"> for all education staff</w:t>
      </w:r>
      <w:r w:rsidRPr="00C1694A">
        <w:rPr>
          <w:rFonts w:ascii="Times New Roman" w:hAnsi="Times New Roman" w:cs="Times New Roman"/>
          <w:sz w:val="24"/>
          <w:szCs w:val="24"/>
        </w:rPr>
        <w:t xml:space="preserve">, </w:t>
      </w:r>
      <w:r w:rsidR="006F2D27" w:rsidRPr="00C1694A">
        <w:rPr>
          <w:rFonts w:ascii="Times New Roman" w:hAnsi="Times New Roman" w:cs="Times New Roman"/>
          <w:sz w:val="24"/>
          <w:szCs w:val="24"/>
        </w:rPr>
        <w:t xml:space="preserve">which </w:t>
      </w:r>
      <w:r w:rsidRPr="00C1694A">
        <w:rPr>
          <w:rFonts w:ascii="Times New Roman" w:hAnsi="Times New Roman" w:cs="Times New Roman"/>
          <w:sz w:val="24"/>
          <w:szCs w:val="24"/>
        </w:rPr>
        <w:t xml:space="preserve">includes assistant teachers.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the training and professional development system explicitly include additional subjects, such as physical activity, outdoor play, positive behavior supports, and children with disabilities.</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w:t>
      </w:r>
      <w:r w:rsidR="00C22DB5">
        <w:rPr>
          <w:rFonts w:ascii="Times New Roman" w:hAnsi="Times New Roman" w:cs="Times New Roman"/>
          <w:sz w:val="24"/>
          <w:szCs w:val="24"/>
        </w:rPr>
        <w:t>d</w:t>
      </w:r>
      <w:r w:rsidRPr="00C1694A">
        <w:rPr>
          <w:rFonts w:ascii="Times New Roman" w:hAnsi="Times New Roman" w:cs="Times New Roman"/>
          <w:sz w:val="24"/>
          <w:szCs w:val="24"/>
        </w:rPr>
        <w:t xml:space="preserve"> </w:t>
      </w:r>
      <w:r w:rsidR="00C22DB5">
        <w:rPr>
          <w:rFonts w:ascii="Times New Roman" w:hAnsi="Times New Roman" w:cs="Times New Roman"/>
          <w:sz w:val="24"/>
          <w:szCs w:val="24"/>
        </w:rPr>
        <w:t xml:space="preserve">what is now </w:t>
      </w:r>
      <w:r w:rsidRPr="00C1694A">
        <w:rPr>
          <w:rFonts w:ascii="Times New Roman" w:hAnsi="Times New Roman" w:cs="Times New Roman"/>
          <w:sz w:val="24"/>
          <w:szCs w:val="24"/>
        </w:rPr>
        <w:t>paragraph (</w:t>
      </w:r>
      <w:r w:rsidR="00C22DB5">
        <w:rPr>
          <w:rFonts w:ascii="Times New Roman" w:hAnsi="Times New Roman" w:cs="Times New Roman"/>
          <w:sz w:val="24"/>
          <w:szCs w:val="24"/>
        </w:rPr>
        <w:t>b</w:t>
      </w:r>
      <w:r w:rsidRPr="00C1694A">
        <w:rPr>
          <w:rFonts w:ascii="Times New Roman" w:hAnsi="Times New Roman" w:cs="Times New Roman"/>
          <w:sz w:val="24"/>
          <w:szCs w:val="24"/>
        </w:rPr>
        <w:t>)(</w:t>
      </w:r>
      <w:r w:rsidR="00C22DB5">
        <w:rPr>
          <w:rFonts w:ascii="Times New Roman" w:hAnsi="Times New Roman" w:cs="Times New Roman"/>
          <w:sz w:val="24"/>
          <w:szCs w:val="24"/>
        </w:rPr>
        <w:t>5</w:t>
      </w:r>
      <w:r w:rsidRPr="00C1694A">
        <w:rPr>
          <w:rFonts w:ascii="Times New Roman" w:hAnsi="Times New Roman" w:cs="Times New Roman"/>
          <w:sz w:val="24"/>
          <w:szCs w:val="24"/>
        </w:rPr>
        <w:t xml:space="preserve">) to include partnership with families, supporting children with disabilities and their families, and use of data to individualize learning experiences.  We did not include other revisions to broaden the focus of the requirement.  This paragraph appropriately emphasizes professional development for education staff on the central aspects of effective teaching.  We think it is important this section focus on these key skills for education staff.  Programs can choose to provide professional development on other topics if they determine it best meets the needs of the children and families they serve.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were concerned about our requirement in what is now paragraph (</w:t>
      </w:r>
      <w:r w:rsidR="00C22DB5">
        <w:rPr>
          <w:rFonts w:ascii="Times New Roman" w:hAnsi="Times New Roman" w:cs="Times New Roman"/>
          <w:sz w:val="24"/>
          <w:szCs w:val="24"/>
        </w:rPr>
        <w:t>b</w:t>
      </w:r>
      <w:r w:rsidRPr="00C1694A">
        <w:rPr>
          <w:rFonts w:ascii="Times New Roman" w:hAnsi="Times New Roman" w:cs="Times New Roman"/>
          <w:sz w:val="24"/>
          <w:szCs w:val="24"/>
        </w:rPr>
        <w:t>)(</w:t>
      </w:r>
      <w:r w:rsidR="00C22DB5">
        <w:rPr>
          <w:rFonts w:ascii="Times New Roman" w:hAnsi="Times New Roman" w:cs="Times New Roman"/>
          <w:sz w:val="24"/>
          <w:szCs w:val="24"/>
        </w:rPr>
        <w:t>5</w:t>
      </w:r>
      <w:r w:rsidRPr="00C1694A">
        <w:rPr>
          <w:rFonts w:ascii="Times New Roman" w:hAnsi="Times New Roman" w:cs="Times New Roman"/>
          <w:sz w:val="24"/>
          <w:szCs w:val="24"/>
        </w:rPr>
        <w:t>) to require research-based approaches to professional development for education staff.  Commenters expressed a variety of concerns, such as cost, and requested further clarification about the term “research-based approaches.”  Other commenters supported our emphasis on research-based professional development and noted this was important to improving Head Start quality.</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effective professional development is </w:t>
      </w:r>
      <w:r w:rsidR="00535E9D" w:rsidRPr="00C1694A">
        <w:rPr>
          <w:rFonts w:ascii="Times New Roman" w:hAnsi="Times New Roman" w:cs="Times New Roman"/>
          <w:sz w:val="24"/>
          <w:szCs w:val="24"/>
        </w:rPr>
        <w:t>central to the delivery of high-</w:t>
      </w:r>
      <w:r w:rsidRPr="00C1694A">
        <w:rPr>
          <w:rFonts w:ascii="Times New Roman" w:hAnsi="Times New Roman" w:cs="Times New Roman"/>
          <w:sz w:val="24"/>
          <w:szCs w:val="24"/>
        </w:rPr>
        <w:t>quality education services that foster strong child outcomes. We think the requirement in paragraph (</w:t>
      </w:r>
      <w:r w:rsidR="00C22DB5">
        <w:rPr>
          <w:rFonts w:ascii="Times New Roman" w:hAnsi="Times New Roman" w:cs="Times New Roman"/>
          <w:sz w:val="24"/>
          <w:szCs w:val="24"/>
        </w:rPr>
        <w:t>b</w:t>
      </w:r>
      <w:r w:rsidRPr="00C1694A">
        <w:rPr>
          <w:rFonts w:ascii="Times New Roman" w:hAnsi="Times New Roman" w:cs="Times New Roman"/>
          <w:sz w:val="24"/>
          <w:szCs w:val="24"/>
        </w:rPr>
        <w:t>)(</w:t>
      </w:r>
      <w:r w:rsidR="00C22DB5">
        <w:rPr>
          <w:rFonts w:ascii="Times New Roman" w:hAnsi="Times New Roman" w:cs="Times New Roman"/>
          <w:sz w:val="24"/>
          <w:szCs w:val="24"/>
        </w:rPr>
        <w:t>5</w:t>
      </w:r>
      <w:r w:rsidRPr="00C1694A">
        <w:rPr>
          <w:rFonts w:ascii="Times New Roman" w:hAnsi="Times New Roman" w:cs="Times New Roman"/>
          <w:sz w:val="24"/>
          <w:szCs w:val="24"/>
        </w:rPr>
        <w:t xml:space="preserve">) is important to ensure program quality.  There is existing guidance at </w:t>
      </w:r>
      <w:r w:rsidR="00B56C65" w:rsidRPr="00C1694A">
        <w:rPr>
          <w:rFonts w:ascii="Times New Roman" w:hAnsi="Times New Roman" w:cs="Times New Roman"/>
          <w:sz w:val="24"/>
          <w:szCs w:val="24"/>
        </w:rPr>
        <w:t xml:space="preserve">at </w:t>
      </w:r>
      <w:r w:rsidR="00B56C65">
        <w:rPr>
          <w:rFonts w:ascii="Times New Roman" w:hAnsi="Times New Roman" w:cs="Times New Roman"/>
          <w:sz w:val="24"/>
          <w:szCs w:val="24"/>
        </w:rPr>
        <w:t>the Early Childhood Learning and Knowledge Center</w:t>
      </w:r>
      <w:r w:rsidR="00B56C65" w:rsidRPr="00C1694A">
        <w:rPr>
          <w:rFonts w:ascii="Times New Roman" w:hAnsi="Times New Roman" w:cs="Times New Roman"/>
          <w:sz w:val="24"/>
          <w:szCs w:val="24"/>
        </w:rPr>
        <w:t xml:space="preserve"> </w:t>
      </w:r>
      <w:r w:rsidR="00B56C65">
        <w:rPr>
          <w:rFonts w:ascii="Times New Roman" w:hAnsi="Times New Roman" w:cs="Times New Roman"/>
          <w:sz w:val="24"/>
          <w:szCs w:val="24"/>
        </w:rPr>
        <w:t>(</w:t>
      </w:r>
      <w:r w:rsidRPr="00C1694A">
        <w:rPr>
          <w:rFonts w:ascii="Times New Roman" w:hAnsi="Times New Roman" w:cs="Times New Roman"/>
          <w:sz w:val="24"/>
          <w:szCs w:val="24"/>
        </w:rPr>
        <w:t>ECLKC</w:t>
      </w:r>
      <w:r w:rsidR="00B56C65">
        <w:rPr>
          <w:rFonts w:ascii="Times New Roman" w:hAnsi="Times New Roman" w:cs="Times New Roman"/>
          <w:sz w:val="24"/>
          <w:szCs w:val="24"/>
        </w:rPr>
        <w:t>)</w:t>
      </w:r>
      <w:r w:rsidRPr="00C1694A">
        <w:rPr>
          <w:rStyle w:val="FootnoteReference"/>
          <w:rFonts w:ascii="Times New Roman" w:hAnsi="Times New Roman" w:cs="Times New Roman"/>
          <w:sz w:val="24"/>
          <w:szCs w:val="24"/>
        </w:rPr>
        <w:footnoteReference w:id="123"/>
      </w:r>
      <w:r w:rsidRPr="00C1694A">
        <w:rPr>
          <w:rFonts w:ascii="Times New Roman" w:hAnsi="Times New Roman" w:cs="Times New Roman"/>
          <w:sz w:val="24"/>
          <w:szCs w:val="24"/>
        </w:rPr>
        <w:t xml:space="preserve"> about research-based approaches professional development and professional development.  We believe this a reasonable minimum threshold that will ensure programs are able to demonstrate outcomes for teacher development.  Therefore, we did not revise this provision.</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many comments on our proposal to require coaching be a part of the research-based approaches to professional development.  Many commenters opposed it because of concerns such as cost.  Some commenters strongly supported it, and pointed to research that demonstrated its importance in high-quality implementation and strong child outcomes.  Some commenters stated the requirement was too prescriptive and placed too much burden on programs, especially rural programs, and staff.  Other commenters requested we include more specificity and requirements for the proposed coaching systems, such as additional qualifications or expanding the requirement beyond education staff.  Commenters also requested additional clarification, such as a definition of “intensive” coaching or which staff members are covered by the coaching requirement.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clarification about whether coaching could include online, remote and video supported coaching or if the requirement could be phased</w:t>
      </w:r>
      <w:r w:rsidR="006F2D27" w:rsidRPr="00C1694A">
        <w:rPr>
          <w:rFonts w:ascii="Times New Roman" w:hAnsi="Times New Roman" w:cs="Times New Roman"/>
          <w:sz w:val="24"/>
          <w:szCs w:val="24"/>
        </w:rPr>
        <w:t xml:space="preserve"> </w:t>
      </w:r>
      <w:r w:rsidRPr="00C1694A">
        <w:rPr>
          <w:rFonts w:ascii="Times New Roman" w:hAnsi="Times New Roman" w:cs="Times New Roman"/>
          <w:sz w:val="24"/>
          <w:szCs w:val="24"/>
        </w:rPr>
        <w:t>in, in order to build the capacity of coaching over time.</w:t>
      </w:r>
    </w:p>
    <w:p w:rsidR="00387E4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the structure of the coaching requirements to improve clarity.  Coaching requirements are now found in paragraph (</w:t>
      </w:r>
      <w:r w:rsidR="00C22DB5">
        <w:rPr>
          <w:rFonts w:ascii="Times New Roman" w:hAnsi="Times New Roman" w:cs="Times New Roman"/>
          <w:sz w:val="24"/>
          <w:szCs w:val="24"/>
        </w:rPr>
        <w:t>c</w:t>
      </w:r>
      <w:r w:rsidRPr="00C1694A">
        <w:rPr>
          <w:rFonts w:ascii="Times New Roman" w:hAnsi="Times New Roman" w:cs="Times New Roman"/>
          <w:sz w:val="24"/>
          <w:szCs w:val="24"/>
        </w:rPr>
        <w:t xml:space="preserve">) instead of paragraphs (b)(4) and (5) in the NPRM. We </w:t>
      </w:r>
      <w:r w:rsidR="00387E42" w:rsidRPr="00C1694A">
        <w:rPr>
          <w:rFonts w:ascii="Times New Roman" w:hAnsi="Times New Roman" w:cs="Times New Roman"/>
          <w:sz w:val="24"/>
          <w:szCs w:val="24"/>
        </w:rPr>
        <w:t xml:space="preserve">restructured </w:t>
      </w:r>
      <w:r w:rsidRPr="00C1694A">
        <w:rPr>
          <w:rFonts w:ascii="Times New Roman" w:hAnsi="Times New Roman" w:cs="Times New Roman"/>
          <w:sz w:val="24"/>
          <w:szCs w:val="24"/>
        </w:rPr>
        <w:t>the</w:t>
      </w:r>
      <w:r w:rsidR="00387E42" w:rsidRPr="00C1694A">
        <w:rPr>
          <w:rFonts w:ascii="Times New Roman" w:hAnsi="Times New Roman" w:cs="Times New Roman"/>
          <w:sz w:val="24"/>
          <w:szCs w:val="24"/>
        </w:rPr>
        <w:t>se</w:t>
      </w:r>
      <w:r w:rsidRPr="00C1694A">
        <w:rPr>
          <w:rFonts w:ascii="Times New Roman" w:hAnsi="Times New Roman" w:cs="Times New Roman"/>
          <w:sz w:val="24"/>
          <w:szCs w:val="24"/>
        </w:rPr>
        <w:t xml:space="preserve"> requirement</w:t>
      </w:r>
      <w:r w:rsidR="00387E42" w:rsidRPr="00C1694A">
        <w:rPr>
          <w:rFonts w:ascii="Times New Roman" w:hAnsi="Times New Roman" w:cs="Times New Roman"/>
          <w:sz w:val="24"/>
          <w:szCs w:val="24"/>
        </w:rPr>
        <w:t>s</w:t>
      </w:r>
      <w:r w:rsidRPr="00C1694A">
        <w:rPr>
          <w:rFonts w:ascii="Times New Roman" w:hAnsi="Times New Roman" w:cs="Times New Roman"/>
          <w:sz w:val="24"/>
          <w:szCs w:val="24"/>
        </w:rPr>
        <w:t xml:space="preserve"> to </w:t>
      </w:r>
      <w:r w:rsidR="00387E42" w:rsidRPr="00C1694A">
        <w:rPr>
          <w:rFonts w:ascii="Times New Roman" w:hAnsi="Times New Roman" w:cs="Times New Roman"/>
          <w:sz w:val="24"/>
          <w:szCs w:val="24"/>
        </w:rPr>
        <w:t xml:space="preserve">improve clarity, made revisions to </w:t>
      </w:r>
      <w:r w:rsidR="002B19F0" w:rsidRPr="00C1694A">
        <w:rPr>
          <w:rFonts w:ascii="Times New Roman" w:hAnsi="Times New Roman" w:cs="Times New Roman"/>
          <w:sz w:val="24"/>
          <w:szCs w:val="24"/>
        </w:rPr>
        <w:t>the structure of this section and specifically to paragraph (</w:t>
      </w:r>
      <w:r w:rsidR="00C22DB5">
        <w:rPr>
          <w:rFonts w:ascii="Times New Roman" w:hAnsi="Times New Roman" w:cs="Times New Roman"/>
          <w:sz w:val="24"/>
          <w:szCs w:val="24"/>
        </w:rPr>
        <w:t>c</w:t>
      </w:r>
      <w:r w:rsidR="002B19F0" w:rsidRPr="00C1694A">
        <w:rPr>
          <w:rFonts w:ascii="Times New Roman" w:hAnsi="Times New Roman" w:cs="Times New Roman"/>
          <w:sz w:val="24"/>
          <w:szCs w:val="24"/>
        </w:rPr>
        <w:t xml:space="preserve">) to </w:t>
      </w:r>
      <w:r w:rsidRPr="00C1694A">
        <w:rPr>
          <w:rFonts w:ascii="Times New Roman" w:hAnsi="Times New Roman" w:cs="Times New Roman"/>
          <w:sz w:val="24"/>
          <w:szCs w:val="24"/>
        </w:rPr>
        <w:t xml:space="preserve">clarify </w:t>
      </w:r>
      <w:r w:rsidR="00387E42" w:rsidRPr="00C1694A">
        <w:rPr>
          <w:rFonts w:ascii="Times New Roman" w:hAnsi="Times New Roman" w:cs="Times New Roman"/>
          <w:sz w:val="24"/>
          <w:szCs w:val="24"/>
        </w:rPr>
        <w:t xml:space="preserve">the </w:t>
      </w:r>
      <w:r w:rsidRPr="00C1694A">
        <w:rPr>
          <w:rFonts w:ascii="Times New Roman" w:hAnsi="Times New Roman" w:cs="Times New Roman"/>
          <w:sz w:val="24"/>
          <w:szCs w:val="24"/>
        </w:rPr>
        <w:t>coaching</w:t>
      </w:r>
      <w:r w:rsidR="00387E42" w:rsidRPr="00C1694A">
        <w:rPr>
          <w:rFonts w:ascii="Times New Roman" w:hAnsi="Times New Roman" w:cs="Times New Roman"/>
          <w:sz w:val="24"/>
          <w:szCs w:val="24"/>
        </w:rPr>
        <w:t xml:space="preserve"> requirements apply to</w:t>
      </w:r>
      <w:r w:rsidRPr="00C1694A">
        <w:rPr>
          <w:rFonts w:ascii="Times New Roman" w:hAnsi="Times New Roman" w:cs="Times New Roman"/>
          <w:sz w:val="24"/>
          <w:szCs w:val="24"/>
        </w:rPr>
        <w:t xml:space="preserve"> </w:t>
      </w:r>
      <w:r w:rsidR="006F2D27" w:rsidRPr="00C1694A">
        <w:rPr>
          <w:rFonts w:ascii="Times New Roman" w:hAnsi="Times New Roman" w:cs="Times New Roman"/>
          <w:sz w:val="24"/>
          <w:szCs w:val="24"/>
        </w:rPr>
        <w:t xml:space="preserve">education </w:t>
      </w:r>
      <w:r w:rsidR="0077641C" w:rsidRPr="00C1694A">
        <w:rPr>
          <w:rFonts w:ascii="Times New Roman" w:hAnsi="Times New Roman" w:cs="Times New Roman"/>
          <w:sz w:val="24"/>
          <w:szCs w:val="24"/>
        </w:rPr>
        <w:t>staff</w:t>
      </w:r>
      <w:r w:rsidR="00387E42" w:rsidRPr="00C1694A">
        <w:rPr>
          <w:rFonts w:ascii="Times New Roman" w:hAnsi="Times New Roman" w:cs="Times New Roman"/>
          <w:sz w:val="24"/>
          <w:szCs w:val="24"/>
        </w:rPr>
        <w:t xml:space="preserve">, and </w:t>
      </w:r>
      <w:r w:rsidRPr="00C1694A">
        <w:rPr>
          <w:rFonts w:ascii="Times New Roman" w:hAnsi="Times New Roman" w:cs="Times New Roman"/>
          <w:sz w:val="24"/>
          <w:szCs w:val="24"/>
        </w:rPr>
        <w:t>revised paragraph (</w:t>
      </w:r>
      <w:r w:rsidR="00C22DB5">
        <w:rPr>
          <w:rFonts w:ascii="Times New Roman" w:hAnsi="Times New Roman" w:cs="Times New Roman"/>
          <w:sz w:val="24"/>
          <w:szCs w:val="24"/>
        </w:rPr>
        <w:t>c</w:t>
      </w:r>
      <w:r w:rsidRPr="00C1694A">
        <w:rPr>
          <w:rFonts w:ascii="Times New Roman" w:hAnsi="Times New Roman" w:cs="Times New Roman"/>
          <w:sz w:val="24"/>
          <w:szCs w:val="24"/>
        </w:rPr>
        <w:t>)(</w:t>
      </w:r>
      <w:r w:rsidR="000D7A6A" w:rsidRPr="00C1694A">
        <w:rPr>
          <w:rFonts w:ascii="Times New Roman" w:hAnsi="Times New Roman" w:cs="Times New Roman"/>
          <w:sz w:val="24"/>
          <w:szCs w:val="24"/>
        </w:rPr>
        <w:t>1</w:t>
      </w:r>
      <w:r w:rsidRPr="00C1694A">
        <w:rPr>
          <w:rFonts w:ascii="Times New Roman" w:hAnsi="Times New Roman" w:cs="Times New Roman"/>
          <w:sz w:val="24"/>
          <w:szCs w:val="24"/>
        </w:rPr>
        <w:t xml:space="preserve">) to </w:t>
      </w:r>
      <w:r w:rsidR="00387E42" w:rsidRPr="00C1694A">
        <w:rPr>
          <w:rFonts w:ascii="Times New Roman" w:hAnsi="Times New Roman" w:cs="Times New Roman"/>
          <w:sz w:val="24"/>
          <w:szCs w:val="24"/>
        </w:rPr>
        <w:t xml:space="preserve">incorporate </w:t>
      </w:r>
      <w:r w:rsidRPr="00C1694A">
        <w:rPr>
          <w:rFonts w:ascii="Times New Roman" w:hAnsi="Times New Roman" w:cs="Times New Roman"/>
          <w:sz w:val="24"/>
          <w:szCs w:val="24"/>
        </w:rPr>
        <w:t xml:space="preserve">a strengths-based approach. </w:t>
      </w:r>
      <w:r w:rsidR="00387E42" w:rsidRPr="00C1694A">
        <w:rPr>
          <w:rFonts w:ascii="Times New Roman" w:hAnsi="Times New Roman" w:cs="Times New Roman"/>
          <w:sz w:val="24"/>
          <w:szCs w:val="24"/>
        </w:rPr>
        <w:t>In paragraph (</w:t>
      </w:r>
      <w:r w:rsidR="00C22DB5">
        <w:rPr>
          <w:rFonts w:ascii="Times New Roman" w:hAnsi="Times New Roman" w:cs="Times New Roman"/>
          <w:sz w:val="24"/>
          <w:szCs w:val="24"/>
        </w:rPr>
        <w:t>c</w:t>
      </w:r>
      <w:r w:rsidR="00387E42" w:rsidRPr="00C1694A">
        <w:rPr>
          <w:rFonts w:ascii="Times New Roman" w:hAnsi="Times New Roman" w:cs="Times New Roman"/>
          <w:sz w:val="24"/>
          <w:szCs w:val="24"/>
        </w:rPr>
        <w:t>)(1), we require programs to implement a research-based coordinated coaching strategy that assesses all education staff to identify their strengths and areas of needed support and to identify which staff would benefit most from intensive coaching.  In paragraph (</w:t>
      </w:r>
      <w:r w:rsidR="00C22DB5">
        <w:rPr>
          <w:rFonts w:ascii="Times New Roman" w:hAnsi="Times New Roman" w:cs="Times New Roman"/>
          <w:sz w:val="24"/>
          <w:szCs w:val="24"/>
        </w:rPr>
        <w:t>c</w:t>
      </w:r>
      <w:r w:rsidR="00387E42" w:rsidRPr="00C1694A">
        <w:rPr>
          <w:rFonts w:ascii="Times New Roman" w:hAnsi="Times New Roman" w:cs="Times New Roman"/>
          <w:sz w:val="24"/>
          <w:szCs w:val="24"/>
        </w:rPr>
        <w:t xml:space="preserve">)(2), we require programs to </w:t>
      </w:r>
      <w:r w:rsidR="0077641C" w:rsidRPr="00C1694A">
        <w:rPr>
          <w:rFonts w:ascii="Times New Roman" w:hAnsi="Times New Roman" w:cs="Times New Roman"/>
          <w:sz w:val="24"/>
          <w:szCs w:val="24"/>
        </w:rPr>
        <w:t>provide</w:t>
      </w:r>
      <w:r w:rsidR="00387E42" w:rsidRPr="00C1694A">
        <w:rPr>
          <w:rFonts w:ascii="Times New Roman" w:hAnsi="Times New Roman" w:cs="Times New Roman"/>
          <w:sz w:val="24"/>
          <w:szCs w:val="24"/>
        </w:rPr>
        <w:t xml:space="preserve">  intensive coaching to, at a minimum the education staff identified as most benefiting from intensive coaching.  In paragraph (</w:t>
      </w:r>
      <w:r w:rsidR="00C22DB5">
        <w:rPr>
          <w:rFonts w:ascii="Times New Roman" w:hAnsi="Times New Roman" w:cs="Times New Roman"/>
          <w:sz w:val="24"/>
          <w:szCs w:val="24"/>
        </w:rPr>
        <w:t>c</w:t>
      </w:r>
      <w:r w:rsidR="00387E42" w:rsidRPr="00C1694A">
        <w:rPr>
          <w:rFonts w:ascii="Times New Roman" w:hAnsi="Times New Roman" w:cs="Times New Roman"/>
          <w:sz w:val="24"/>
          <w:szCs w:val="24"/>
        </w:rPr>
        <w:t xml:space="preserve">)(3), we require programs to </w:t>
      </w:r>
      <w:r w:rsidR="0077641C" w:rsidRPr="00C1694A">
        <w:rPr>
          <w:rFonts w:ascii="Times New Roman" w:hAnsi="Times New Roman" w:cs="Times New Roman"/>
          <w:sz w:val="24"/>
          <w:szCs w:val="24"/>
        </w:rPr>
        <w:t>provide</w:t>
      </w:r>
      <w:r w:rsidR="00387E42" w:rsidRPr="00C1694A">
        <w:rPr>
          <w:rFonts w:ascii="Times New Roman" w:hAnsi="Times New Roman" w:cs="Times New Roman"/>
          <w:sz w:val="24"/>
          <w:szCs w:val="24"/>
        </w:rPr>
        <w:t xml:space="preserve"> other forms of research-based professional development to education staff who do not receive intensive coaching.  In paragraph</w:t>
      </w:r>
      <w:r w:rsidR="001E4158">
        <w:rPr>
          <w:rFonts w:ascii="Times New Roman" w:hAnsi="Times New Roman" w:cs="Times New Roman"/>
          <w:sz w:val="24"/>
          <w:szCs w:val="24"/>
        </w:rPr>
        <w:t>s</w:t>
      </w:r>
      <w:r w:rsidR="00387E42" w:rsidRPr="00C1694A">
        <w:rPr>
          <w:rFonts w:ascii="Times New Roman" w:hAnsi="Times New Roman" w:cs="Times New Roman"/>
          <w:sz w:val="24"/>
          <w:szCs w:val="24"/>
        </w:rPr>
        <w:t xml:space="preserve"> (</w:t>
      </w:r>
      <w:r w:rsidR="00C22DB5">
        <w:rPr>
          <w:rFonts w:ascii="Times New Roman" w:hAnsi="Times New Roman" w:cs="Times New Roman"/>
          <w:sz w:val="24"/>
          <w:szCs w:val="24"/>
        </w:rPr>
        <w:t>c</w:t>
      </w:r>
      <w:r w:rsidR="00387E42" w:rsidRPr="00C1694A">
        <w:rPr>
          <w:rFonts w:ascii="Times New Roman" w:hAnsi="Times New Roman" w:cs="Times New Roman"/>
          <w:sz w:val="24"/>
          <w:szCs w:val="24"/>
        </w:rPr>
        <w:t>)(4)</w:t>
      </w:r>
      <w:r w:rsidR="00C22DB5">
        <w:rPr>
          <w:rFonts w:ascii="Times New Roman" w:hAnsi="Times New Roman" w:cs="Times New Roman"/>
          <w:sz w:val="24"/>
          <w:szCs w:val="24"/>
        </w:rPr>
        <w:t xml:space="preserve"> and (5)</w:t>
      </w:r>
      <w:r w:rsidR="00387E42" w:rsidRPr="00C1694A">
        <w:rPr>
          <w:rFonts w:ascii="Times New Roman" w:hAnsi="Times New Roman" w:cs="Times New Roman"/>
          <w:sz w:val="24"/>
          <w:szCs w:val="24"/>
        </w:rPr>
        <w:t xml:space="preserve">, we require specific elements of the coaching system. </w:t>
      </w:r>
    </w:p>
    <w:p w:rsidR="007862E2" w:rsidRPr="00C1694A" w:rsidRDefault="007862E2" w:rsidP="009A526A">
      <w:pPr>
        <w:shd w:val="clear" w:color="auto" w:fill="FFFFFF" w:themeFill="background1"/>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The intent of </w:t>
      </w:r>
      <w:r w:rsidR="00387E42" w:rsidRPr="00C1694A">
        <w:rPr>
          <w:rFonts w:ascii="Times New Roman" w:hAnsi="Times New Roman" w:cs="Times New Roman"/>
          <w:sz w:val="24"/>
          <w:szCs w:val="24"/>
        </w:rPr>
        <w:t>these requirements</w:t>
      </w:r>
      <w:r w:rsidRPr="00C1694A">
        <w:rPr>
          <w:rFonts w:ascii="Times New Roman" w:hAnsi="Times New Roman" w:cs="Times New Roman"/>
          <w:sz w:val="24"/>
          <w:szCs w:val="24"/>
        </w:rPr>
        <w:t xml:space="preserve"> is to ensure all programs utilize research-based coaching strategies, whether the strategies are employed via online or video supported methods is up to the grantee to determine.  We acknowledge there are costs associated with implementing coaching strategies, but think is important for high-quality service delivery.  We believe we appropriately balance local flexibility with requirements to include basic features that research indicates will support progress.  The requirement allows programs flexibility to define much of the structural and goal setting aspects of their coaching strategy, including staffing patterns.  </w:t>
      </w:r>
      <w:r w:rsidR="00A26094" w:rsidRPr="00C1694A">
        <w:rPr>
          <w:rFonts w:ascii="Times New Roman" w:hAnsi="Times New Roman" w:cs="Times New Roman"/>
          <w:sz w:val="24"/>
          <w:szCs w:val="24"/>
        </w:rPr>
        <w:t>Moreover,</w:t>
      </w:r>
      <w:r w:rsidRPr="00C1694A">
        <w:rPr>
          <w:rFonts w:ascii="Times New Roman" w:hAnsi="Times New Roman" w:cs="Times New Roman"/>
          <w:sz w:val="24"/>
          <w:szCs w:val="24"/>
        </w:rPr>
        <w:t xml:space="preserve"> the effective date of the coaching requirement is delayed for approximately one year after this rule is published so programs have sufficient time for effective implementation.</w:t>
      </w:r>
      <w:r w:rsidR="00A26094" w:rsidRPr="00C1694A">
        <w:rPr>
          <w:rFonts w:ascii="Times New Roman" w:hAnsi="Times New Roman" w:cs="Times New Roman"/>
          <w:sz w:val="24"/>
          <w:szCs w:val="24"/>
        </w:rPr>
        <w:t xml:space="preserve">  Additionally, we revised what is now paragraph (</w:t>
      </w:r>
      <w:r w:rsidR="00C22DB5">
        <w:rPr>
          <w:rFonts w:ascii="Times New Roman" w:hAnsi="Times New Roman" w:cs="Times New Roman"/>
          <w:sz w:val="24"/>
          <w:szCs w:val="24"/>
        </w:rPr>
        <w:t>d</w:t>
      </w:r>
      <w:r w:rsidR="00A26094" w:rsidRPr="00C1694A">
        <w:rPr>
          <w:rFonts w:ascii="Times New Roman" w:hAnsi="Times New Roman" w:cs="Times New Roman"/>
          <w:sz w:val="24"/>
          <w:szCs w:val="24"/>
        </w:rPr>
        <w:t>) to add more flexibility to address concerns that the coaching provisions were too prescriptive.</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requested we include language in coordinated coaching strategies in what is now paragraph (</w:t>
      </w:r>
      <w:r w:rsidR="00C22DB5">
        <w:rPr>
          <w:rFonts w:ascii="Times New Roman" w:hAnsi="Times New Roman" w:cs="Times New Roman"/>
          <w:sz w:val="24"/>
          <w:szCs w:val="24"/>
        </w:rPr>
        <w:t>c</w:t>
      </w:r>
      <w:r w:rsidRPr="00C1694A">
        <w:rPr>
          <w:rFonts w:ascii="Times New Roman" w:hAnsi="Times New Roman" w:cs="Times New Roman"/>
          <w:sz w:val="24"/>
          <w:szCs w:val="24"/>
        </w:rPr>
        <w:t>) about a range of embedded professional development approaches.</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Paragraph (</w:t>
      </w:r>
      <w:r w:rsidR="00C22DB5">
        <w:rPr>
          <w:rFonts w:ascii="Times New Roman" w:hAnsi="Times New Roman" w:cs="Times New Roman"/>
          <w:sz w:val="24"/>
          <w:szCs w:val="24"/>
        </w:rPr>
        <w:t>c</w:t>
      </w:r>
      <w:r w:rsidRPr="00C1694A">
        <w:rPr>
          <w:rFonts w:ascii="Times New Roman" w:hAnsi="Times New Roman" w:cs="Times New Roman"/>
          <w:sz w:val="24"/>
          <w:szCs w:val="24"/>
        </w:rPr>
        <w:t>)(</w:t>
      </w:r>
      <w:r w:rsidR="000D7A6A" w:rsidRPr="00C1694A">
        <w:rPr>
          <w:rFonts w:ascii="Times New Roman" w:hAnsi="Times New Roman" w:cs="Times New Roman"/>
          <w:sz w:val="24"/>
          <w:szCs w:val="24"/>
        </w:rPr>
        <w:t>2</w:t>
      </w:r>
      <w:r w:rsidRPr="00C1694A">
        <w:rPr>
          <w:rFonts w:ascii="Times New Roman" w:hAnsi="Times New Roman" w:cs="Times New Roman"/>
          <w:sz w:val="24"/>
          <w:szCs w:val="24"/>
        </w:rPr>
        <w:t xml:space="preserve">) requires </w:t>
      </w:r>
      <w:r w:rsidR="000D7A6A" w:rsidRPr="00C1694A">
        <w:rPr>
          <w:rFonts w:ascii="Times New Roman" w:hAnsi="Times New Roman" w:cs="Times New Roman"/>
          <w:sz w:val="24"/>
          <w:szCs w:val="24"/>
        </w:rPr>
        <w:t xml:space="preserve">intensive </w:t>
      </w:r>
      <w:r w:rsidRPr="00C1694A">
        <w:rPr>
          <w:rFonts w:ascii="Times New Roman" w:hAnsi="Times New Roman" w:cs="Times New Roman"/>
          <w:sz w:val="24"/>
          <w:szCs w:val="24"/>
        </w:rPr>
        <w:t>coaching for a subset of staff members.  Paragraph (</w:t>
      </w:r>
      <w:r w:rsidR="00C22DB5">
        <w:rPr>
          <w:rFonts w:ascii="Times New Roman" w:hAnsi="Times New Roman" w:cs="Times New Roman"/>
          <w:sz w:val="24"/>
          <w:szCs w:val="24"/>
        </w:rPr>
        <w:t>c</w:t>
      </w:r>
      <w:r w:rsidRPr="00C1694A">
        <w:rPr>
          <w:rFonts w:ascii="Times New Roman" w:hAnsi="Times New Roman" w:cs="Times New Roman"/>
          <w:sz w:val="24"/>
          <w:szCs w:val="24"/>
        </w:rPr>
        <w:t>)(</w:t>
      </w:r>
      <w:r w:rsidR="000D7A6A" w:rsidRPr="00C1694A">
        <w:rPr>
          <w:rFonts w:ascii="Times New Roman" w:hAnsi="Times New Roman" w:cs="Times New Roman"/>
          <w:sz w:val="24"/>
          <w:szCs w:val="24"/>
        </w:rPr>
        <w:t>3</w:t>
      </w:r>
      <w:r w:rsidRPr="00C1694A">
        <w:rPr>
          <w:rFonts w:ascii="Times New Roman" w:hAnsi="Times New Roman" w:cs="Times New Roman"/>
          <w:sz w:val="24"/>
          <w:szCs w:val="24"/>
        </w:rPr>
        <w:t xml:space="preserve">) requires programs </w:t>
      </w:r>
      <w:r w:rsidR="00F67835" w:rsidRPr="00C1694A">
        <w:rPr>
          <w:rFonts w:ascii="Times New Roman" w:hAnsi="Times New Roman" w:cs="Times New Roman"/>
          <w:sz w:val="24"/>
          <w:szCs w:val="24"/>
        </w:rPr>
        <w:t xml:space="preserve">provide </w:t>
      </w:r>
      <w:r w:rsidR="00387E42" w:rsidRPr="00C1694A">
        <w:rPr>
          <w:rFonts w:ascii="Times New Roman" w:hAnsi="Times New Roman" w:cs="Times New Roman"/>
          <w:sz w:val="24"/>
          <w:szCs w:val="24"/>
        </w:rPr>
        <w:t>other forms of research-based professional development to</w:t>
      </w:r>
      <w:r w:rsidRPr="00C1694A">
        <w:rPr>
          <w:rFonts w:ascii="Times New Roman" w:hAnsi="Times New Roman" w:cs="Times New Roman"/>
          <w:sz w:val="24"/>
          <w:szCs w:val="24"/>
        </w:rPr>
        <w:t xml:space="preserve"> </w:t>
      </w:r>
      <w:r w:rsidR="006F2D27" w:rsidRPr="00C1694A">
        <w:rPr>
          <w:rFonts w:ascii="Times New Roman" w:hAnsi="Times New Roman" w:cs="Times New Roman"/>
          <w:sz w:val="24"/>
          <w:szCs w:val="24"/>
        </w:rPr>
        <w:t xml:space="preserve">education staff </w:t>
      </w:r>
      <w:r w:rsidRPr="00C1694A">
        <w:rPr>
          <w:rFonts w:ascii="Times New Roman" w:hAnsi="Times New Roman" w:cs="Times New Roman"/>
          <w:sz w:val="24"/>
          <w:szCs w:val="24"/>
        </w:rPr>
        <w:t xml:space="preserve">who do not receive intensive coaching.  </w:t>
      </w:r>
      <w:r w:rsidRPr="00C1694A">
        <w:rPr>
          <w:rFonts w:ascii="Times New Roman" w:hAnsi="Times New Roman" w:cs="Times New Roman"/>
          <w:sz w:val="24"/>
          <w:szCs w:val="24"/>
          <w:u w:val="single"/>
        </w:rPr>
        <w:t xml:space="preserve"> </w:t>
      </w:r>
    </w:p>
    <w:p w:rsidR="007862E2" w:rsidRPr="00C1694A" w:rsidRDefault="007862E2" w:rsidP="009A526A">
      <w:pPr>
        <w:spacing w:after="0" w:line="480" w:lineRule="auto"/>
        <w:rPr>
          <w:rFonts w:ascii="Times New Roman" w:eastAsia="Times New Roman" w:hAnsi="Times New Roman" w:cs="Times New Roman"/>
          <w:bCs/>
          <w:i/>
          <w:sz w:val="24"/>
          <w:szCs w:val="24"/>
        </w:rPr>
      </w:pPr>
      <w:r w:rsidRPr="00C1694A">
        <w:rPr>
          <w:rFonts w:ascii="Times New Roman" w:hAnsi="Times New Roman" w:cs="Times New Roman"/>
          <w:i/>
          <w:sz w:val="24"/>
          <w:szCs w:val="24"/>
        </w:rPr>
        <w:t>§</w:t>
      </w:r>
      <w:r w:rsidRPr="00C1694A">
        <w:rPr>
          <w:rFonts w:ascii="Times New Roman" w:eastAsia="Times New Roman" w:hAnsi="Times New Roman" w:cs="Times New Roman"/>
          <w:bCs/>
          <w:i/>
          <w:sz w:val="24"/>
          <w:szCs w:val="24"/>
        </w:rPr>
        <w:t xml:space="preserve">1302.93 Staff health and wellness. </w:t>
      </w:r>
    </w:p>
    <w:p w:rsidR="007862E2" w:rsidRPr="00C1694A" w:rsidRDefault="007862E2" w:rsidP="009A526A">
      <w:pPr>
        <w:spacing w:after="0" w:line="480" w:lineRule="auto"/>
        <w:ind w:firstLine="720"/>
        <w:rPr>
          <w:rFonts w:ascii="Times New Roman" w:hAnsi="Times New Roman" w:cs="Times New Roman"/>
          <w:sz w:val="24"/>
          <w:szCs w:val="24"/>
        </w:rPr>
      </w:pPr>
      <w:r w:rsidRPr="00C1694A">
        <w:rPr>
          <w:rStyle w:val="bodytitle1"/>
          <w:rFonts w:ascii="Times New Roman" w:hAnsi="Times New Roman" w:cs="Times New Roman"/>
          <w:b w:val="0"/>
          <w:color w:val="auto"/>
          <w:sz w:val="24"/>
          <w:szCs w:val="24"/>
        </w:rPr>
        <w:t>This section includes requirements for staff health and wellness, including staff health checks to ensure child safety and standards to support staff wellness</w:t>
      </w:r>
      <w:r w:rsidRPr="00C1694A">
        <w:rPr>
          <w:rFonts w:ascii="Times New Roman" w:hAnsi="Times New Roman" w:cs="Times New Roman"/>
          <w:sz w:val="24"/>
          <w:szCs w:val="24"/>
        </w:rPr>
        <w:t>. We discuss comments and our responses below.</w:t>
      </w:r>
    </w:p>
    <w:p w:rsidR="007862E2" w:rsidRPr="00C1694A" w:rsidRDefault="007862E2" w:rsidP="009A526A">
      <w:pPr>
        <w:spacing w:after="0" w:line="480" w:lineRule="auto"/>
        <w:rPr>
          <w:rFonts w:ascii="Times New Roman" w:hAnsi="Times New Roman" w:cs="Times New Roman"/>
          <w:sz w:val="24"/>
          <w:szCs w:val="24"/>
        </w:rPr>
      </w:pPr>
      <w:r w:rsidRPr="00C1694A">
        <w:rPr>
          <w:rFonts w:ascii="Times New Roman" w:hAnsi="Times New Roman" w:cs="Times New Roman"/>
          <w:i/>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We received </w:t>
      </w:r>
      <w:r w:rsidR="006266E7" w:rsidRPr="00C1694A">
        <w:rPr>
          <w:rFonts w:ascii="Times New Roman" w:hAnsi="Times New Roman" w:cs="Times New Roman"/>
          <w:sz w:val="24"/>
          <w:szCs w:val="24"/>
        </w:rPr>
        <w:t xml:space="preserve">many </w:t>
      </w:r>
      <w:r w:rsidRPr="00C1694A">
        <w:rPr>
          <w:rFonts w:ascii="Times New Roman" w:hAnsi="Times New Roman" w:cs="Times New Roman"/>
          <w:sz w:val="24"/>
          <w:szCs w:val="24"/>
        </w:rPr>
        <w:t xml:space="preserve">comments on the standards in paragraph (a) that address initial health examinations and periodic reexaminations for staff members.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clarification about the tuberculosis screening requirement in paragraph (a) for the initial health examination, including why it is the only mandatory screen</w:t>
      </w:r>
      <w:r w:rsidR="00215A21" w:rsidRPr="00C1694A">
        <w:rPr>
          <w:rFonts w:ascii="Times New Roman" w:hAnsi="Times New Roman" w:cs="Times New Roman"/>
          <w:sz w:val="24"/>
          <w:szCs w:val="24"/>
        </w:rPr>
        <w:t>ing</w:t>
      </w:r>
      <w:r w:rsidRPr="00C1694A">
        <w:rPr>
          <w:rFonts w:ascii="Times New Roman" w:hAnsi="Times New Roman" w:cs="Times New Roman"/>
          <w:sz w:val="24"/>
          <w:szCs w:val="24"/>
        </w:rPr>
        <w:t xml:space="preserve">.  Other commenters recommended we revise paragraph (a) to describe the purpose and aspects of the initial health exam and others offered suggestions about the periodic re-examination.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 we include a reference to the </w:t>
      </w:r>
      <w:r w:rsidR="00B56C65">
        <w:rPr>
          <w:rFonts w:ascii="Times New Roman" w:hAnsi="Times New Roman" w:cs="Times New Roman"/>
          <w:sz w:val="24"/>
          <w:szCs w:val="24"/>
        </w:rPr>
        <w:t>Health Services Advisory Committee</w:t>
      </w:r>
      <w:r w:rsidR="00B56C65" w:rsidRPr="00C1694A">
        <w:rPr>
          <w:rFonts w:ascii="Times New Roman" w:hAnsi="Times New Roman" w:cs="Times New Roman"/>
          <w:sz w:val="24"/>
          <w:szCs w:val="24"/>
        </w:rPr>
        <w:t xml:space="preserve"> </w:t>
      </w:r>
      <w:r w:rsidR="00B56C65">
        <w:rPr>
          <w:rFonts w:ascii="Times New Roman" w:hAnsi="Times New Roman" w:cs="Times New Roman"/>
          <w:sz w:val="24"/>
          <w:szCs w:val="24"/>
        </w:rPr>
        <w:t>(</w:t>
      </w:r>
      <w:r w:rsidRPr="00C1694A">
        <w:rPr>
          <w:rFonts w:ascii="Times New Roman" w:hAnsi="Times New Roman" w:cs="Times New Roman"/>
          <w:sz w:val="24"/>
          <w:szCs w:val="24"/>
        </w:rPr>
        <w:t>HSAC</w:t>
      </w:r>
      <w:r w:rsidR="00B56C65">
        <w:rPr>
          <w:rFonts w:ascii="Times New Roman" w:hAnsi="Times New Roman" w:cs="Times New Roman"/>
          <w:sz w:val="24"/>
          <w:szCs w:val="24"/>
        </w:rPr>
        <w:t>)</w:t>
      </w:r>
      <w:r w:rsidRPr="00C1694A">
        <w:rPr>
          <w:rFonts w:ascii="Times New Roman" w:hAnsi="Times New Roman" w:cs="Times New Roman"/>
          <w:sz w:val="24"/>
          <w:szCs w:val="24"/>
        </w:rPr>
        <w:t xml:space="preserve"> in this section.  </w:t>
      </w:r>
      <w:r w:rsidR="00894DA5" w:rsidRPr="00C1694A">
        <w:rPr>
          <w:rFonts w:ascii="Times New Roman" w:hAnsi="Times New Roman" w:cs="Times New Roman"/>
          <w:sz w:val="24"/>
          <w:szCs w:val="24"/>
        </w:rPr>
        <w:t>Many</w:t>
      </w:r>
      <w:r w:rsidRPr="00C1694A">
        <w:rPr>
          <w:rFonts w:ascii="Times New Roman" w:hAnsi="Times New Roman" w:cs="Times New Roman"/>
          <w:sz w:val="24"/>
          <w:szCs w:val="24"/>
        </w:rPr>
        <w:t xml:space="preserve"> commenters stated that </w:t>
      </w:r>
      <w:r w:rsidR="006266E7" w:rsidRPr="00C1694A">
        <w:rPr>
          <w:rFonts w:ascii="Times New Roman" w:hAnsi="Times New Roman" w:cs="Times New Roman"/>
          <w:sz w:val="24"/>
          <w:szCs w:val="24"/>
        </w:rPr>
        <w:t xml:space="preserve">paragraph (a) conflicted with state requirements and would therefore make some collaborations </w:t>
      </w:r>
      <w:r w:rsidRPr="00C1694A">
        <w:rPr>
          <w:rFonts w:ascii="Times New Roman" w:hAnsi="Times New Roman" w:cs="Times New Roman"/>
          <w:sz w:val="24"/>
          <w:szCs w:val="24"/>
        </w:rPr>
        <w:t xml:space="preserve">difficult.  </w:t>
      </w:r>
    </w:p>
    <w:p w:rsidR="007862E2" w:rsidRPr="00C1694A" w:rsidRDefault="007862E2" w:rsidP="009A526A">
      <w:pPr>
        <w:spacing w:after="0" w:line="480" w:lineRule="auto"/>
        <w:rPr>
          <w:rFonts w:ascii="Times New Roman" w:hAnsi="Times New Roman" w:cs="Times New Roman"/>
          <w:sz w:val="24"/>
          <w:szCs w:val="24"/>
        </w:rPr>
      </w:pPr>
      <w:r w:rsidRPr="00C1694A">
        <w:rPr>
          <w:rFonts w:ascii="Times New Roman" w:hAnsi="Times New Roman" w:cs="Times New Roman"/>
          <w:i/>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(a) to </w:t>
      </w:r>
      <w:r w:rsidR="006266E7" w:rsidRPr="00C1694A">
        <w:rPr>
          <w:rFonts w:ascii="Times New Roman" w:hAnsi="Times New Roman" w:cs="Times New Roman"/>
          <w:sz w:val="24"/>
          <w:szCs w:val="24"/>
        </w:rPr>
        <w:t xml:space="preserve">be consistent with state, tribal, and local laws, which will support collaborations. We also struck </w:t>
      </w:r>
      <w:r w:rsidRPr="00C1694A">
        <w:rPr>
          <w:rFonts w:ascii="Times New Roman" w:hAnsi="Times New Roman" w:cs="Times New Roman"/>
          <w:sz w:val="24"/>
          <w:szCs w:val="24"/>
        </w:rPr>
        <w:t xml:space="preserve">the specific requirement for screening for tuberculosis and instead </w:t>
      </w:r>
      <w:r w:rsidR="006266E7" w:rsidRPr="00C1694A">
        <w:rPr>
          <w:rFonts w:ascii="Times New Roman" w:hAnsi="Times New Roman" w:cs="Times New Roman"/>
          <w:sz w:val="24"/>
          <w:szCs w:val="24"/>
        </w:rPr>
        <w:t xml:space="preserve">reference that </w:t>
      </w:r>
      <w:r w:rsidRPr="00C1694A">
        <w:rPr>
          <w:rFonts w:ascii="Times New Roman" w:hAnsi="Times New Roman" w:cs="Times New Roman"/>
          <w:sz w:val="24"/>
          <w:szCs w:val="24"/>
        </w:rPr>
        <w:t>health examinations include screen</w:t>
      </w:r>
      <w:r w:rsidR="00215A21" w:rsidRPr="00C1694A">
        <w:rPr>
          <w:rFonts w:ascii="Times New Roman" w:hAnsi="Times New Roman" w:cs="Times New Roman"/>
          <w:sz w:val="24"/>
          <w:szCs w:val="24"/>
        </w:rPr>
        <w:t>ings</w:t>
      </w:r>
      <w:r w:rsidRPr="00C1694A">
        <w:rPr>
          <w:rFonts w:ascii="Times New Roman" w:hAnsi="Times New Roman" w:cs="Times New Roman"/>
          <w:sz w:val="24"/>
          <w:szCs w:val="24"/>
        </w:rPr>
        <w:t xml:space="preserve"> or tests for communicable diseases</w:t>
      </w:r>
      <w:r w:rsidR="006266E7" w:rsidRPr="00C1694A">
        <w:rPr>
          <w:rFonts w:ascii="Times New Roman" w:hAnsi="Times New Roman" w:cs="Times New Roman"/>
          <w:sz w:val="24"/>
          <w:szCs w:val="24"/>
        </w:rPr>
        <w:t>, as appropriate</w:t>
      </w:r>
      <w:r w:rsidRPr="00C1694A">
        <w:rPr>
          <w:rFonts w:ascii="Times New Roman" w:hAnsi="Times New Roman" w:cs="Times New Roman"/>
          <w:sz w:val="24"/>
          <w:szCs w:val="24"/>
        </w:rPr>
        <w:t>.  This provides local flexibility to respond to local health needs</w:t>
      </w:r>
      <w:r w:rsidR="006266E7" w:rsidRPr="00C1694A">
        <w:rPr>
          <w:rFonts w:ascii="Times New Roman" w:hAnsi="Times New Roman" w:cs="Times New Roman"/>
          <w:sz w:val="24"/>
          <w:szCs w:val="24"/>
        </w:rPr>
        <w:t xml:space="preserve"> and meet applicable requirements</w:t>
      </w:r>
      <w:r w:rsidRPr="00C1694A">
        <w:rPr>
          <w:rFonts w:ascii="Times New Roman" w:hAnsi="Times New Roman" w:cs="Times New Roman"/>
          <w:sz w:val="24"/>
          <w:szCs w:val="24"/>
        </w:rPr>
        <w:t xml:space="preserve">.  We think it is too prescriptive to define how often a health re-examination should occur and did not </w:t>
      </w:r>
      <w:r w:rsidR="006266E7" w:rsidRPr="00C1694A">
        <w:rPr>
          <w:rFonts w:ascii="Times New Roman" w:hAnsi="Times New Roman" w:cs="Times New Roman"/>
          <w:sz w:val="24"/>
          <w:szCs w:val="24"/>
        </w:rPr>
        <w:t>prescribe the required timeframe</w:t>
      </w:r>
      <w:r w:rsidRPr="00C1694A">
        <w:rPr>
          <w:rFonts w:ascii="Times New Roman" w:hAnsi="Times New Roman" w:cs="Times New Roman"/>
          <w:sz w:val="24"/>
          <w:szCs w:val="24"/>
        </w:rPr>
        <w:t>.  We also do not think it is necessary to prescribe requirements related to occupational health exams.  Programs may want to use recommendations for doctors, jurisdiction, or the HSAC. We did think it was necessary to reference the HSAC in this section.</w:t>
      </w:r>
    </w:p>
    <w:p w:rsidR="007862E2" w:rsidRPr="00C1694A" w:rsidRDefault="007862E2" w:rsidP="009A526A">
      <w:pPr>
        <w:spacing w:after="0" w:line="480" w:lineRule="auto"/>
        <w:rPr>
          <w:rFonts w:ascii="Times New Roman" w:hAnsi="Times New Roman" w:cs="Times New Roman"/>
          <w:sz w:val="24"/>
          <w:szCs w:val="24"/>
        </w:rPr>
      </w:pPr>
      <w:r w:rsidRPr="00C1694A">
        <w:rPr>
          <w:rFonts w:ascii="Times New Roman" w:hAnsi="Times New Roman" w:cs="Times New Roman"/>
          <w:i/>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w:t>
      </w:r>
      <w:r w:rsidR="00675B9D" w:rsidRPr="00C1694A">
        <w:rPr>
          <w:rFonts w:ascii="Times New Roman" w:hAnsi="Times New Roman" w:cs="Times New Roman"/>
          <w:sz w:val="24"/>
          <w:szCs w:val="24"/>
        </w:rPr>
        <w:t>mmenters recommend the standard</w:t>
      </w:r>
      <w:r w:rsidRPr="00C1694A">
        <w:rPr>
          <w:rFonts w:ascii="Times New Roman" w:hAnsi="Times New Roman" w:cs="Times New Roman"/>
          <w:sz w:val="24"/>
          <w:szCs w:val="24"/>
        </w:rPr>
        <w:t xml:space="preserve"> in paragraph (b) should be strengthened to include activities beyond making mental health and wellness information available.  For example, commenters suggested we broaden the focus of health and wellness or add a new standard for a daily staff health check.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 we note that an Employee Assistance Program could be used to implement these standards.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noted staff compensation contributed to stress and mental health problems and should be addressed.</w:t>
      </w:r>
    </w:p>
    <w:p w:rsidR="007862E2" w:rsidRPr="00C1694A" w:rsidRDefault="007862E2"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we should strengthen paragraph (b), but that most of the specific suggestions were too prescriptive.  We also believe it is important for programs to have flexibility to develop their own approach to ensure staff wellness.  We revised paragraph (b) to specify that programs must provide regularly scheduled opportunities </w:t>
      </w:r>
      <w:r w:rsidR="00630123" w:rsidRPr="00C1694A">
        <w:rPr>
          <w:rFonts w:ascii="Times New Roman" w:hAnsi="Times New Roman" w:cs="Times New Roman"/>
          <w:sz w:val="24"/>
          <w:szCs w:val="24"/>
        </w:rPr>
        <w:t xml:space="preserve">to learn about </w:t>
      </w:r>
      <w:r w:rsidRPr="00C1694A">
        <w:rPr>
          <w:rFonts w:ascii="Times New Roman" w:hAnsi="Times New Roman" w:cs="Times New Roman"/>
          <w:sz w:val="24"/>
          <w:szCs w:val="24"/>
        </w:rPr>
        <w:t xml:space="preserve">health topics. Staff compensation is outside the purview of this regulation. We agree that the Employee Assistance Program could be helpful but do not think it is appropriate to prescribe that level of specificity. </w:t>
      </w:r>
    </w:p>
    <w:p w:rsidR="007862E2" w:rsidRPr="00C1694A" w:rsidRDefault="007862E2" w:rsidP="009A526A">
      <w:pPr>
        <w:spacing w:after="0" w:line="480" w:lineRule="auto"/>
        <w:rPr>
          <w:rStyle w:val="bodytitle1"/>
          <w:rFonts w:ascii="Times New Roman" w:hAnsi="Times New Roman" w:cs="Times New Roman"/>
          <w:b w:val="0"/>
          <w:i/>
          <w:color w:val="auto"/>
          <w:sz w:val="24"/>
          <w:szCs w:val="24"/>
        </w:rPr>
      </w:pPr>
      <w:r w:rsidRPr="00C1694A">
        <w:rPr>
          <w:rFonts w:ascii="Times New Roman" w:hAnsi="Times New Roman" w:cs="Times New Roman"/>
          <w:i/>
          <w:sz w:val="24"/>
          <w:szCs w:val="24"/>
        </w:rPr>
        <w:t>§</w:t>
      </w:r>
      <w:r w:rsidRPr="00C1694A">
        <w:rPr>
          <w:rStyle w:val="bodytitle1"/>
          <w:rFonts w:ascii="Times New Roman" w:hAnsi="Times New Roman" w:cs="Times New Roman"/>
          <w:b w:val="0"/>
          <w:i/>
          <w:color w:val="auto"/>
          <w:sz w:val="24"/>
          <w:szCs w:val="24"/>
        </w:rPr>
        <w:t xml:space="preserve">1302.94 Volunteers. </w:t>
      </w:r>
    </w:p>
    <w:p w:rsidR="007862E2" w:rsidRPr="00C1694A" w:rsidRDefault="007862E2" w:rsidP="009A526A">
      <w:pPr>
        <w:spacing w:after="0" w:line="480" w:lineRule="auto"/>
        <w:ind w:firstLine="720"/>
        <w:rPr>
          <w:rStyle w:val="bodytitle1"/>
          <w:rFonts w:ascii="Times New Roman" w:hAnsi="Times New Roman" w:cs="Times New Roman"/>
          <w:b w:val="0"/>
          <w:color w:val="auto"/>
          <w:sz w:val="24"/>
          <w:szCs w:val="24"/>
        </w:rPr>
      </w:pPr>
      <w:r w:rsidRPr="00C1694A">
        <w:rPr>
          <w:rStyle w:val="bodytitle1"/>
          <w:rFonts w:ascii="Times New Roman" w:hAnsi="Times New Roman" w:cs="Times New Roman"/>
          <w:b w:val="0"/>
          <w:color w:val="auto"/>
          <w:sz w:val="24"/>
          <w:szCs w:val="24"/>
        </w:rPr>
        <w:t>This section includes requirements related to the utilization of volunteers.  We address comments below.</w:t>
      </w:r>
    </w:p>
    <w:p w:rsidR="007862E2" w:rsidRPr="00C1694A" w:rsidRDefault="007862E2" w:rsidP="009A526A">
      <w:pPr>
        <w:spacing w:after="0" w:line="480" w:lineRule="auto"/>
        <w:rPr>
          <w:rFonts w:ascii="Times New Roman" w:hAnsi="Times New Roman" w:cs="Times New Roman"/>
          <w:sz w:val="24"/>
          <w:szCs w:val="24"/>
        </w:rPr>
      </w:pPr>
      <w:r w:rsidRPr="00C1694A">
        <w:rPr>
          <w:rFonts w:ascii="Times New Roman" w:hAnsi="Times New Roman" w:cs="Times New Roman"/>
          <w:i/>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that we provide a definition for a regular volunteer and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we require volunteers receive an orientation on program and class procedures</w:t>
      </w:r>
      <w:r w:rsidR="002450D3" w:rsidRPr="00C1694A">
        <w:rPr>
          <w:rFonts w:ascii="Times New Roman" w:hAnsi="Times New Roman" w:cs="Times New Roman"/>
          <w:sz w:val="24"/>
          <w:szCs w:val="24"/>
        </w:rPr>
        <w:t>.</w:t>
      </w:r>
    </w:p>
    <w:p w:rsidR="007862E2" w:rsidRPr="00C1694A" w:rsidRDefault="007862E2" w:rsidP="009A526A">
      <w:pPr>
        <w:spacing w:after="0" w:line="480" w:lineRule="auto"/>
        <w:rPr>
          <w:rFonts w:ascii="Times New Roman" w:hAnsi="Times New Roman" w:cs="Times New Roman"/>
          <w:sz w:val="24"/>
          <w:szCs w:val="24"/>
        </w:rPr>
      </w:pPr>
      <w:r w:rsidRPr="00C1694A">
        <w:rPr>
          <w:rFonts w:ascii="Times New Roman" w:hAnsi="Times New Roman" w:cs="Times New Roman"/>
          <w:i/>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the requirement in paragraph (a) about screening for communicable diseases to be consistent with staff requirements in §1302.93.  What constitutes a regular volunteer can vary by program so we did not define this term.  </w:t>
      </w:r>
      <w:r w:rsidR="0028159E">
        <w:rPr>
          <w:rFonts w:ascii="Times New Roman" w:hAnsi="Times New Roman" w:cs="Times New Roman"/>
          <w:sz w:val="24"/>
          <w:szCs w:val="24"/>
        </w:rPr>
        <w:t xml:space="preserve">Section </w:t>
      </w:r>
      <w:r w:rsidRPr="00C1694A">
        <w:rPr>
          <w:rFonts w:ascii="Times New Roman" w:hAnsi="Times New Roman" w:cs="Times New Roman"/>
          <w:sz w:val="24"/>
          <w:szCs w:val="24"/>
        </w:rPr>
        <w:t>1302.92(a) already requires volunteers to receive an orientation on the goals and underlying philosophy of the program and on the ways they are implemented.  We think this is sufficient.</w:t>
      </w:r>
    </w:p>
    <w:p w:rsidR="00437E52" w:rsidRPr="00C1694A" w:rsidRDefault="00437E52" w:rsidP="009A526A">
      <w:pPr>
        <w:spacing w:after="0"/>
        <w:rPr>
          <w:rFonts w:ascii="Times New Roman" w:hAnsi="Times New Roman" w:cs="Times New Roman"/>
          <w:sz w:val="24"/>
          <w:szCs w:val="24"/>
        </w:rPr>
      </w:pPr>
    </w:p>
    <w:p w:rsidR="001A6E55" w:rsidRPr="00C1694A" w:rsidRDefault="001A6E55" w:rsidP="009A526A">
      <w:pPr>
        <w:spacing w:after="0" w:line="240" w:lineRule="auto"/>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 xml:space="preserve">Program Management and </w:t>
      </w:r>
      <w:r w:rsidR="00F42D11" w:rsidRPr="00C1694A">
        <w:rPr>
          <w:rFonts w:ascii="Times New Roman" w:eastAsia="Times New Roman" w:hAnsi="Times New Roman" w:cs="Times New Roman"/>
          <w:b/>
          <w:sz w:val="24"/>
          <w:szCs w:val="24"/>
        </w:rPr>
        <w:t>Quality</w:t>
      </w:r>
      <w:r w:rsidRPr="00C1694A">
        <w:rPr>
          <w:rFonts w:ascii="Times New Roman" w:eastAsia="Times New Roman" w:hAnsi="Times New Roman" w:cs="Times New Roman"/>
          <w:b/>
          <w:sz w:val="24"/>
          <w:szCs w:val="24"/>
        </w:rPr>
        <w:t xml:space="preserve"> Improvement</w:t>
      </w:r>
      <w:r w:rsidR="001A61B5" w:rsidRPr="00C1694A">
        <w:rPr>
          <w:rFonts w:ascii="Times New Roman" w:eastAsia="Times New Roman" w:hAnsi="Times New Roman" w:cs="Times New Roman"/>
          <w:b/>
          <w:sz w:val="24"/>
          <w:szCs w:val="24"/>
        </w:rPr>
        <w:t>; Subpart J</w:t>
      </w:r>
    </w:p>
    <w:p w:rsidR="004B1E6C" w:rsidRPr="00C1694A" w:rsidRDefault="004B1E6C" w:rsidP="009A526A">
      <w:pPr>
        <w:spacing w:after="0" w:line="480" w:lineRule="auto"/>
        <w:ind w:firstLine="720"/>
        <w:rPr>
          <w:rFonts w:ascii="Times New Roman" w:eastAsia="Times New Roman" w:hAnsi="Times New Roman" w:cs="Times New Roman"/>
          <w:sz w:val="24"/>
          <w:szCs w:val="24"/>
        </w:rPr>
      </w:pP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This subpart establishes the roles and responsibilities for a program’s management system and sets requirements for a data-driven management system for continuous improvement toward high-quality service delivery.  It also sets forth requirements for the implementation of this rule.  We received many comments on this subpart, most of which address the timeline for implementation of the final rule.  Other commenters offered positive feedback on the management requirements or requested technical changes for clarity.  We discuss the comments and our rationale for any changes to the regulatory text in this section.</w:t>
      </w:r>
    </w:p>
    <w:p w:rsidR="001A6E55" w:rsidRPr="00C1694A" w:rsidRDefault="001A6E55" w:rsidP="009A526A">
      <w:pPr>
        <w:spacing w:after="0" w:line="480" w:lineRule="auto"/>
        <w:rPr>
          <w:rFonts w:ascii="Times New Roman" w:eastAsia="Times New Roman" w:hAnsi="Times New Roman" w:cs="Times New Roman"/>
          <w:i/>
          <w:sz w:val="24"/>
          <w:szCs w:val="24"/>
        </w:rPr>
      </w:pPr>
      <w:r w:rsidRPr="00C1694A">
        <w:rPr>
          <w:rFonts w:ascii="Times New Roman" w:eastAsia="Times New Roman" w:hAnsi="Times New Roman" w:cs="Times New Roman"/>
          <w:i/>
          <w:sz w:val="24"/>
          <w:szCs w:val="24"/>
        </w:rPr>
        <w:t>General Comments</w:t>
      </w:r>
      <w:r w:rsidR="0078221A" w:rsidRPr="00C1694A">
        <w:rPr>
          <w:rFonts w:ascii="Times New Roman" w:eastAsia="Times New Roman" w:hAnsi="Times New Roman" w:cs="Times New Roman"/>
          <w:i/>
          <w:sz w:val="24"/>
          <w:szCs w:val="24"/>
        </w:rPr>
        <w:t>.</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supported our requirement that programs implement a coordinated approach to serving DLLs and offered further suggestions to increase the focus on DLLs throughout program management.  Specifically, these commenters suggested requirements for programs to identify DLLs as a focal point of the process of ongoing monitoring and self-improvement for achieving program goals in §1302.100.  Commenters also requested a revision to §1302.101(b)</w:t>
      </w:r>
      <w:r w:rsidR="00675B9D" w:rsidRPr="00C1694A">
        <w:rPr>
          <w:rFonts w:ascii="Times New Roman" w:eastAsia="Times New Roman" w:hAnsi="Times New Roman" w:cs="Times New Roman"/>
          <w:sz w:val="24"/>
          <w:szCs w:val="24"/>
        </w:rPr>
        <w:t>(2)</w:t>
      </w:r>
      <w:r w:rsidRPr="00C1694A">
        <w:rPr>
          <w:rFonts w:ascii="Times New Roman" w:eastAsia="Times New Roman" w:hAnsi="Times New Roman" w:cs="Times New Roman"/>
          <w:sz w:val="24"/>
          <w:szCs w:val="24"/>
        </w:rPr>
        <w:t xml:space="preserve"> to indicate how </w:t>
      </w:r>
      <w:r w:rsidR="00514B2A" w:rsidRPr="00C1694A">
        <w:rPr>
          <w:rFonts w:ascii="Times New Roman" w:eastAsia="Times New Roman" w:hAnsi="Times New Roman" w:cs="Times New Roman"/>
          <w:sz w:val="24"/>
          <w:szCs w:val="24"/>
        </w:rPr>
        <w:t>their coordinated approach</w:t>
      </w:r>
      <w:r w:rsidRPr="00C1694A">
        <w:rPr>
          <w:rFonts w:ascii="Times New Roman" w:eastAsia="Times New Roman" w:hAnsi="Times New Roman" w:cs="Times New Roman"/>
          <w:sz w:val="24"/>
          <w:szCs w:val="24"/>
        </w:rPr>
        <w:t xml:space="preserve"> should be evaluated.  Finally, commenters suggested revising §1302.102 to require programs set goals related to first and second language development for DLLs.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The requirements in this subpart apply to all children, including special populations. This subpart </w:t>
      </w:r>
      <w:r w:rsidR="00675B9D" w:rsidRPr="00C1694A">
        <w:rPr>
          <w:rFonts w:ascii="Times New Roman" w:eastAsia="Times New Roman" w:hAnsi="Times New Roman" w:cs="Times New Roman"/>
          <w:sz w:val="24"/>
          <w:szCs w:val="24"/>
        </w:rPr>
        <w:t xml:space="preserve">also </w:t>
      </w:r>
      <w:r w:rsidRPr="00C1694A">
        <w:rPr>
          <w:rFonts w:ascii="Times New Roman" w:eastAsia="Times New Roman" w:hAnsi="Times New Roman" w:cs="Times New Roman"/>
          <w:sz w:val="24"/>
          <w:szCs w:val="24"/>
        </w:rPr>
        <w:t xml:space="preserve">ensures the intentional implementation of a coordinated management approach for the full and effective participation of children who are DLLs and their families. We do not believe it is necessary to further emphasize particular populations within individual requirements throughout program management.  </w:t>
      </w:r>
    </w:p>
    <w:p w:rsidR="001A6E55" w:rsidRPr="00C1694A" w:rsidRDefault="001A6E55" w:rsidP="009A526A">
      <w:pPr>
        <w:spacing w:after="0" w:line="480" w:lineRule="auto"/>
        <w:rPr>
          <w:rFonts w:ascii="Times New Roman" w:eastAsia="Times New Roman" w:hAnsi="Times New Roman" w:cs="Times New Roman"/>
          <w:i/>
          <w:sz w:val="24"/>
          <w:szCs w:val="24"/>
        </w:rPr>
      </w:pPr>
      <w:r w:rsidRPr="00C1694A">
        <w:rPr>
          <w:rFonts w:ascii="Times New Roman" w:eastAsia="Times New Roman" w:hAnsi="Times New Roman" w:cs="Times New Roman"/>
          <w:i/>
          <w:sz w:val="24"/>
          <w:szCs w:val="24"/>
        </w:rPr>
        <w:t xml:space="preserve">§1302.100 </w:t>
      </w:r>
      <w:r w:rsidR="00B56C65">
        <w:rPr>
          <w:rFonts w:ascii="Times New Roman" w:eastAsia="Times New Roman" w:hAnsi="Times New Roman" w:cs="Times New Roman"/>
          <w:i/>
          <w:sz w:val="24"/>
          <w:szCs w:val="24"/>
        </w:rPr>
        <w:t>Purpose</w:t>
      </w:r>
      <w:r w:rsidRPr="00C1694A">
        <w:rPr>
          <w:rFonts w:ascii="Times New Roman" w:eastAsia="Times New Roman" w:hAnsi="Times New Roman" w:cs="Times New Roman"/>
          <w:i/>
          <w:sz w:val="24"/>
          <w:szCs w:val="24"/>
        </w:rPr>
        <w:t>.</w:t>
      </w:r>
    </w:p>
    <w:p w:rsidR="001A6E55" w:rsidRPr="00C1694A" w:rsidRDefault="001A6E55" w:rsidP="009A526A">
      <w:pPr>
        <w:spacing w:after="0" w:line="480" w:lineRule="auto"/>
        <w:ind w:firstLine="720"/>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 xml:space="preserve">This section provides a general requirement for programs to implement management systems and a process of ongoing monitoring and continuous improvement for achieving program goals.  Aside from the overarching comment related to DLLs discussed above, we did not receive comments on this section. </w:t>
      </w:r>
    </w:p>
    <w:p w:rsidR="001A6E55" w:rsidRPr="00C1694A" w:rsidRDefault="001A6E55" w:rsidP="009A526A">
      <w:pPr>
        <w:spacing w:after="0" w:line="480" w:lineRule="auto"/>
        <w:rPr>
          <w:rFonts w:ascii="Times New Roman" w:eastAsia="Times New Roman" w:hAnsi="Times New Roman" w:cs="Times New Roman"/>
          <w:i/>
          <w:sz w:val="24"/>
          <w:szCs w:val="24"/>
        </w:rPr>
      </w:pPr>
      <w:r w:rsidRPr="00C1694A">
        <w:rPr>
          <w:rFonts w:ascii="Times New Roman" w:eastAsia="Times New Roman" w:hAnsi="Times New Roman" w:cs="Times New Roman"/>
          <w:i/>
          <w:sz w:val="24"/>
          <w:szCs w:val="24"/>
        </w:rPr>
        <w:t>§1302.101 Management system.</w:t>
      </w:r>
    </w:p>
    <w:p w:rsidR="001A6E55" w:rsidRPr="00C1694A" w:rsidRDefault="001A6E55" w:rsidP="009A526A">
      <w:pPr>
        <w:spacing w:after="0" w:line="480" w:lineRule="auto"/>
        <w:ind w:firstLine="720"/>
        <w:rPr>
          <w:rFonts w:ascii="Times New Roman" w:hAnsi="Times New Roman" w:cs="Times New Roman"/>
          <w:sz w:val="24"/>
          <w:szCs w:val="24"/>
        </w:rPr>
      </w:pPr>
      <w:r w:rsidRPr="00C1694A">
        <w:rPr>
          <w:rStyle w:val="bodytitle1"/>
          <w:rFonts w:ascii="Times New Roman" w:hAnsi="Times New Roman" w:cs="Times New Roman"/>
          <w:b w:val="0"/>
          <w:color w:val="auto"/>
          <w:sz w:val="24"/>
          <w:szCs w:val="24"/>
        </w:rPr>
        <w:t>This section describes</w:t>
      </w:r>
      <w:r w:rsidRPr="00C1694A">
        <w:rPr>
          <w:rFonts w:ascii="Times New Roman" w:hAnsi="Times New Roman" w:cs="Times New Roman"/>
          <w:sz w:val="24"/>
          <w:szCs w:val="24"/>
        </w:rPr>
        <w:t xml:space="preserve"> the implementation of a program’s management system by requiring regular and ongoing staff supervision to support continuous program improvement.  This section also outlines requirements for programs to establish coordinated approaches to ensure professional development, services for dual language learners, services for children with disabilities, and data management. We received many comments on this section, including suggestions for strengthening management system requirements and requests for clarification.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00667764" w:rsidRPr="00C1694A">
        <w:rPr>
          <w:rFonts w:ascii="Times New Roman" w:eastAsia="Times New Roman" w:hAnsi="Times New Roman" w:cs="Times New Roman"/>
          <w:sz w:val="24"/>
          <w:szCs w:val="24"/>
          <w:u w:val="single"/>
        </w:rPr>
        <w:t>:</w:t>
      </w:r>
      <w:r w:rsidR="00667764" w:rsidRPr="00C1694A">
        <w:rPr>
          <w:rFonts w:ascii="Times New Roman" w:eastAsia="Times New Roman" w:hAnsi="Times New Roman" w:cs="Times New Roman"/>
          <w:sz w:val="24"/>
          <w:szCs w:val="24"/>
        </w:rPr>
        <w:t xml:space="preserve"> We heard from</w:t>
      </w:r>
      <w:r w:rsidRPr="00C1694A">
        <w:rPr>
          <w:rFonts w:ascii="Times New Roman" w:eastAsia="Times New Roman" w:hAnsi="Times New Roman" w:cs="Times New Roman"/>
          <w:sz w:val="24"/>
          <w:szCs w:val="24"/>
        </w:rPr>
        <w:t xml:space="preserve"> commenters about the proposal to remove the requirement to have written plans for management systems.  Some commenters opposed the removal of written plans, suggesting they are critical to building effective management systems.  Other commenters praised the elimination of the written plans, noting that the removal of this requirement would reduce unnecessary bureaucracy. Still other commenters requested guidance or clarification regarding the removal of this requirement.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agree programs may find written plans to be valuable.  We expect these programs will continue to use written planning to coordinate their management systems and ensure that all staff are able to fully implement them.  However, the intention of removing written plans as a requirement is, as </w:t>
      </w:r>
      <w:r w:rsidR="00566A26"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noted, to shift the focus from compliance with prescribed plans to monitory progress toward goals.</w:t>
      </w:r>
      <w:r w:rsidR="00514B2A" w:rsidRPr="00C1694A">
        <w:rPr>
          <w:rFonts w:ascii="Times New Roman" w:eastAsia="Times New Roman" w:hAnsi="Times New Roman" w:cs="Times New Roman"/>
          <w:sz w:val="24"/>
          <w:szCs w:val="24"/>
        </w:rPr>
        <w:t xml:space="preserve">  We did not restore this requirement.</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Pr="00C1694A">
        <w:rPr>
          <w:rFonts w:ascii="Times New Roman" w:eastAsia="Times New Roman" w:hAnsi="Times New Roman" w:cs="Times New Roman"/>
          <w:sz w:val="24"/>
          <w:szCs w:val="24"/>
        </w:rPr>
        <w:t xml:space="preserve"> </w:t>
      </w:r>
      <w:r w:rsidR="00566A26"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suggested that, for clarity, we eliminate the phrase “adequate record keeping” in paragraph (a) and create a new </w:t>
      </w:r>
      <w:r w:rsidR="00675B9D" w:rsidRPr="00C1694A">
        <w:rPr>
          <w:rFonts w:ascii="Times New Roman" w:eastAsia="Times New Roman" w:hAnsi="Times New Roman" w:cs="Times New Roman"/>
          <w:sz w:val="24"/>
          <w:szCs w:val="24"/>
        </w:rPr>
        <w:t>standard</w:t>
      </w:r>
      <w:r w:rsidRPr="00C1694A">
        <w:rPr>
          <w:rFonts w:ascii="Times New Roman" w:eastAsia="Times New Roman" w:hAnsi="Times New Roman" w:cs="Times New Roman"/>
          <w:sz w:val="24"/>
          <w:szCs w:val="24"/>
        </w:rPr>
        <w:t xml:space="preserve"> to address record keeping so that all of the requirements in paragraph (a) were not explicitly linked to record keeping.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agree </w:t>
      </w:r>
      <w:r w:rsidR="00514B2A" w:rsidRPr="00C1694A">
        <w:rPr>
          <w:rFonts w:ascii="Times New Roman" w:eastAsia="Times New Roman" w:hAnsi="Times New Roman" w:cs="Times New Roman"/>
          <w:sz w:val="24"/>
          <w:szCs w:val="24"/>
        </w:rPr>
        <w:t xml:space="preserve">and </w:t>
      </w:r>
      <w:r w:rsidRPr="00C1694A">
        <w:rPr>
          <w:rFonts w:ascii="Times New Roman" w:eastAsia="Times New Roman" w:hAnsi="Times New Roman" w:cs="Times New Roman"/>
          <w:sz w:val="24"/>
          <w:szCs w:val="24"/>
        </w:rPr>
        <w:t>untether</w:t>
      </w:r>
      <w:r w:rsidR="00514B2A" w:rsidRPr="00C1694A">
        <w:rPr>
          <w:rFonts w:ascii="Times New Roman" w:eastAsia="Times New Roman" w:hAnsi="Times New Roman" w:cs="Times New Roman"/>
          <w:sz w:val="24"/>
          <w:szCs w:val="24"/>
        </w:rPr>
        <w:t>ed</w:t>
      </w:r>
      <w:r w:rsidRPr="00C1694A">
        <w:rPr>
          <w:rFonts w:ascii="Times New Roman" w:eastAsia="Times New Roman" w:hAnsi="Times New Roman" w:cs="Times New Roman"/>
          <w:sz w:val="24"/>
          <w:szCs w:val="24"/>
        </w:rPr>
        <w:t xml:space="preserve"> adequate record keeping from the other provisions in paragraph (a)</w:t>
      </w:r>
      <w:r w:rsidR="00514B2A" w:rsidRPr="00C1694A">
        <w:rPr>
          <w:rFonts w:ascii="Times New Roman" w:eastAsia="Times New Roman" w:hAnsi="Times New Roman" w:cs="Times New Roman"/>
          <w:sz w:val="24"/>
          <w:szCs w:val="24"/>
        </w:rPr>
        <w:t xml:space="preserve"> and instead added a new paragraph (a)(4) to reflect this requirement</w:t>
      </w:r>
      <w:r w:rsidRPr="00C1694A">
        <w:rPr>
          <w:rFonts w:ascii="Times New Roman" w:eastAsia="Times New Roman" w:hAnsi="Times New Roman" w:cs="Times New Roman"/>
          <w:sz w:val="24"/>
          <w:szCs w:val="24"/>
        </w:rPr>
        <w:t xml:space="preserve">.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suggested revisions to the reference to promoting continuity of care in paragraph (a)(3).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thought it should be deleted because it is already covered by the full range of services described in subparts C through H.  Other commenters suggested this requirement be linked directly to services for infants and toddlers.</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believe continuity of care is critically important, and therefore we emphasize it in this section, despite its representation throughout the broader set of standards.  Further, while we agree that continuity of care is of particular importance to infants and toddlers, we believe it is also important for preschoolers.  Therefore, we did not revise this requirement.</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suggested we specifically include reflective supervision, particularly for Early Head Start staff, as part of the regular and ongoing supervision required in paragraph (a)(2).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require programs to implement research-based professional development </w:t>
      </w:r>
      <w:r w:rsidR="00514B2A" w:rsidRPr="00C1694A">
        <w:rPr>
          <w:rFonts w:ascii="Times New Roman" w:eastAsia="Times New Roman" w:hAnsi="Times New Roman" w:cs="Times New Roman"/>
          <w:sz w:val="24"/>
          <w:szCs w:val="24"/>
        </w:rPr>
        <w:t xml:space="preserve">in subpart I and regular and ongoing </w:t>
      </w:r>
      <w:r w:rsidR="00C350BE" w:rsidRPr="00C1694A">
        <w:rPr>
          <w:rFonts w:ascii="Times New Roman" w:eastAsia="Times New Roman" w:hAnsi="Times New Roman" w:cs="Times New Roman"/>
          <w:sz w:val="24"/>
          <w:szCs w:val="24"/>
        </w:rPr>
        <w:t>supervision under this subpart.  Re</w:t>
      </w:r>
      <w:r w:rsidRPr="00C1694A">
        <w:rPr>
          <w:rFonts w:ascii="Times New Roman" w:eastAsia="Times New Roman" w:hAnsi="Times New Roman" w:cs="Times New Roman"/>
          <w:sz w:val="24"/>
          <w:szCs w:val="24"/>
        </w:rPr>
        <w:t>flective supervision could be a component</w:t>
      </w:r>
      <w:r w:rsidR="00C350BE" w:rsidRPr="00C1694A">
        <w:rPr>
          <w:rFonts w:ascii="Times New Roman" w:eastAsia="Times New Roman" w:hAnsi="Times New Roman" w:cs="Times New Roman"/>
          <w:sz w:val="24"/>
          <w:szCs w:val="24"/>
        </w:rPr>
        <w:t xml:space="preserve"> of both of these strategies</w:t>
      </w:r>
      <w:r w:rsidRPr="00C1694A">
        <w:rPr>
          <w:rFonts w:ascii="Times New Roman" w:eastAsia="Times New Roman" w:hAnsi="Times New Roman" w:cs="Times New Roman"/>
          <w:sz w:val="24"/>
          <w:szCs w:val="24"/>
        </w:rPr>
        <w:t>.  Therefore, Early Head Start programs may use reflective supervision if it helps them to ensure continuous quality improvement.  However, we believe local flexibility for individual programs to determine the best approach to ensuring their management system provides regular and ongoing supervision, as long as the approach is research-based and effectively supports achieving program goals.  Therefore, we did not revise this requirement.</w:t>
      </w:r>
    </w:p>
    <w:p w:rsidR="006C6CA9" w:rsidRPr="00C1694A" w:rsidRDefault="006C6CA9" w:rsidP="006C6CA9">
      <w:pPr>
        <w:spacing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Some commenters supported and others opposed the requirement that programs integrate Head Start data with other early childhood data systems and work with the state’s K-12 Statewide Longitudinal Data System (SLDS) to share relevant data. Most of these commenters expressed concerns about the burden for programs to participate in their state’s SLDS and recommended that it should be encouraged to the extent practical but not required. Commenters also expressed concerns with the varied capacity of states to partner effectively with Head Start providers to share, use, and interpret data which leads to barriers for programs to participate such as poor data infrastructure in the state’s SLDS, statutory roadblocks, or lack of an SLDS in the state. Commenters stated that programs should not be held fully responsible with SLDS integration since it is beyond the abilities of most individual Head Start programs. Commenters also requested we advocate for the SLDS to send reports and information to programs that participate with their SLDS. One commenter recommended that tribes be explicitly exempt from any requirement to participate in their state’s SLDS. </w:t>
      </w:r>
    </w:p>
    <w:p w:rsidR="006C6CA9" w:rsidRPr="00C1694A" w:rsidRDefault="006C6CA9" w:rsidP="006C6CA9">
      <w:pPr>
        <w:spacing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00675B9D" w:rsidRPr="00C1694A">
        <w:rPr>
          <w:rFonts w:ascii="Times New Roman" w:hAnsi="Times New Roman" w:cs="Times New Roman"/>
          <w:sz w:val="24"/>
          <w:szCs w:val="24"/>
        </w:rPr>
        <w:t xml:space="preserve"> We revised and reorganized the standards previously provided in §1302.101(b)(4)(iii)  to</w:t>
      </w:r>
      <w:r w:rsidRPr="00C1694A">
        <w:rPr>
          <w:rFonts w:ascii="Times New Roman" w:hAnsi="Times New Roman" w:cs="Times New Roman"/>
          <w:sz w:val="24"/>
          <w:szCs w:val="24"/>
        </w:rPr>
        <w:t xml:space="preserve"> §1302.5</w:t>
      </w:r>
      <w:r w:rsidR="00675B9D" w:rsidRPr="00C1694A">
        <w:rPr>
          <w:rFonts w:ascii="Times New Roman" w:hAnsi="Times New Roman" w:cs="Times New Roman"/>
          <w:sz w:val="24"/>
          <w:szCs w:val="24"/>
        </w:rPr>
        <w:t xml:space="preserve">3(b)(3).  There, </w:t>
      </w:r>
      <w:r w:rsidRPr="00C1694A">
        <w:rPr>
          <w:rFonts w:ascii="Times New Roman" w:hAnsi="Times New Roman" w:cs="Times New Roman"/>
          <w:sz w:val="24"/>
          <w:szCs w:val="24"/>
        </w:rPr>
        <w:t>we clarified that a program should participate in their state education data system to the extent practicable and only if the program can receive the same support and benefits as other participating early childhood programs. Since state education data systems can vary greatly from state to state and the practicality of a program to participate in these systems can also vary, we provided programs flexibility as steps are taken to share data with their state within their capacity and existing supports provided. Regarding an exemption for tribes, we agree and added that AIAN programs are exempt from any requirement to participate in their state education data systems</w:t>
      </w:r>
      <w:r w:rsidR="00CB411E" w:rsidRPr="00C1694A">
        <w:rPr>
          <w:rFonts w:ascii="Times New Roman" w:hAnsi="Times New Roman" w:cs="Times New Roman"/>
          <w:sz w:val="24"/>
          <w:szCs w:val="24"/>
        </w:rPr>
        <w:t xml:space="preserve">, unless an AIAN would choose to participate </w:t>
      </w:r>
      <w:r w:rsidR="00EE193D" w:rsidRPr="00C1694A">
        <w:rPr>
          <w:rFonts w:ascii="Times New Roman" w:hAnsi="Times New Roman" w:cs="Times New Roman"/>
          <w:sz w:val="24"/>
          <w:szCs w:val="24"/>
        </w:rPr>
        <w:t xml:space="preserve">in the statewide data system </w:t>
      </w:r>
      <w:r w:rsidR="00CB411E" w:rsidRPr="00C1694A">
        <w:rPr>
          <w:rFonts w:ascii="Times New Roman" w:hAnsi="Times New Roman" w:cs="Times New Roman"/>
          <w:sz w:val="24"/>
          <w:szCs w:val="24"/>
        </w:rPr>
        <w:t>to the extent practicable</w:t>
      </w:r>
      <w:r w:rsidRPr="00C1694A">
        <w:rPr>
          <w:rFonts w:ascii="Times New Roman" w:hAnsi="Times New Roman" w:cs="Times New Roman"/>
          <w:sz w:val="24"/>
          <w:szCs w:val="24"/>
        </w:rPr>
        <w:t>. Further, in paragraph (b)(4), we clarified that AIAN programs can determine whether or not they will participate in such data systems.</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expressed concern with the requirement </w:t>
      </w:r>
      <w:r w:rsidR="00675B9D" w:rsidRPr="00C1694A">
        <w:rPr>
          <w:rFonts w:ascii="Times New Roman" w:hAnsi="Times New Roman" w:cs="Times New Roman"/>
          <w:sz w:val="24"/>
          <w:szCs w:val="24"/>
        </w:rPr>
        <w:t xml:space="preserve">proposed in §1302.101(b)(4) of the NPRM </w:t>
      </w:r>
      <w:r w:rsidRPr="00C1694A">
        <w:rPr>
          <w:rFonts w:ascii="Times New Roman" w:hAnsi="Times New Roman" w:cs="Times New Roman"/>
          <w:sz w:val="24"/>
          <w:szCs w:val="24"/>
        </w:rPr>
        <w:t>to align data collections and definitions to the Common Education Data Standards (CEDS) due to the burden on programs (e.g.</w:t>
      </w:r>
      <w:r w:rsidR="0074402F" w:rsidRPr="00C1694A">
        <w:rPr>
          <w:rFonts w:ascii="Times New Roman" w:hAnsi="Times New Roman" w:cs="Times New Roman"/>
          <w:sz w:val="24"/>
          <w:szCs w:val="24"/>
        </w:rPr>
        <w:t>,</w:t>
      </w:r>
      <w:r w:rsidRPr="00C1694A">
        <w:rPr>
          <w:rFonts w:ascii="Times New Roman" w:hAnsi="Times New Roman" w:cs="Times New Roman"/>
          <w:sz w:val="24"/>
          <w:szCs w:val="24"/>
        </w:rPr>
        <w:t xml:space="preserve"> time, additional staff, and expense), and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indicated that the responsibility to align with CEDS should not be on any individual program.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stated that the definitions in CEDS are not appropriate for all Head Start programs.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guidance on how to fulfill this requirement.</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00675B9D" w:rsidRPr="00C1694A">
        <w:rPr>
          <w:rFonts w:ascii="Times New Roman" w:hAnsi="Times New Roman" w:cs="Times New Roman"/>
          <w:sz w:val="24"/>
          <w:szCs w:val="24"/>
        </w:rPr>
        <w:t xml:space="preserve"> We agree </w:t>
      </w:r>
      <w:r w:rsidRPr="00C1694A">
        <w:rPr>
          <w:rFonts w:ascii="Times New Roman" w:hAnsi="Times New Roman" w:cs="Times New Roman"/>
          <w:sz w:val="24"/>
          <w:szCs w:val="24"/>
        </w:rPr>
        <w:t xml:space="preserve">it is premature to promulgate standards encouraging programs to engage with CEDS since the early childhood data standards are not as far into development as the K-12 standards and there is insufficient information on the benefits and utilization of CEDS at the individual school level or early childhood setting. Additionally, CEDS is meant to be voluntary. As a result, we removed this standard. </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that programs be allowed to disclose PII from child records to the SLDS administrator to facilitate data sharing with the SLDS.</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t>
      </w:r>
      <w:r w:rsidR="00B56C65">
        <w:rPr>
          <w:rFonts w:ascii="Times New Roman" w:hAnsi="Times New Roman"/>
          <w:sz w:val="24"/>
          <w:szCs w:val="24"/>
        </w:rPr>
        <w:t>According to §1303.22(c)(2), a program is allowed to disclose PII from child records without parental consent to federal or state officials, in connection with an audit or evaluation of education or child development programs, as long as the program maintains oversight of child records through a written agreement or other means.</w:t>
      </w:r>
      <w:r w:rsidRPr="00C1694A">
        <w:rPr>
          <w:rFonts w:ascii="Times New Roman" w:hAnsi="Times New Roman" w:cs="Times New Roman"/>
          <w:sz w:val="24"/>
          <w:szCs w:val="24"/>
        </w:rPr>
        <w:t xml:space="preserve"> Therefore, officials representing a state entity that manages a state education data system, such as an SLDS, would fall under this description and a program would be allowed to disclose the necessary PII to such an official.</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Some commenters </w:t>
      </w:r>
      <w:r w:rsidR="00675B9D" w:rsidRPr="00C1694A">
        <w:rPr>
          <w:rFonts w:ascii="Times New Roman" w:hAnsi="Times New Roman" w:cs="Times New Roman"/>
          <w:sz w:val="24"/>
          <w:szCs w:val="24"/>
        </w:rPr>
        <w:t>opposed</w:t>
      </w:r>
      <w:r w:rsidRPr="00C1694A">
        <w:rPr>
          <w:rFonts w:ascii="Times New Roman" w:hAnsi="Times New Roman" w:cs="Times New Roman"/>
          <w:sz w:val="24"/>
          <w:szCs w:val="24"/>
        </w:rPr>
        <w:t xml:space="preserve"> the requirement of a data governance body or council described in </w:t>
      </w:r>
      <w:r w:rsidR="0074402F" w:rsidRPr="00C1694A">
        <w:rPr>
          <w:rFonts w:ascii="Times New Roman" w:hAnsi="Times New Roman" w:cs="Times New Roman"/>
          <w:sz w:val="24"/>
          <w:szCs w:val="24"/>
        </w:rPr>
        <w:t xml:space="preserve">paragraph </w:t>
      </w:r>
      <w:r w:rsidRPr="00C1694A">
        <w:rPr>
          <w:rFonts w:ascii="Times New Roman" w:hAnsi="Times New Roman" w:cs="Times New Roman"/>
          <w:sz w:val="24"/>
          <w:szCs w:val="24"/>
        </w:rPr>
        <w:t xml:space="preserve">(b)(4) and stated that it is an excessive and costly requirement.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were in favor of the requirement. Commenters also requested clarity on the definition of this group, including its purpose, role, and function; how it differs from other governing groups, specifically the board of directors, policy council, and governing board; and whether it applies to Early Head Start programs.</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believe programs have established systems that focus on the security of data, an important goal, but this has overshadowed effective data sharing with other relevant entities. We shifted the focus to encompass a balance between the security, availability, usability, and integrity of data through these provisions. However, commenters misinterpreted our intent, primarily due to the terminology used. Therefore, we changed the term “data governance” to “data management” </w:t>
      </w:r>
      <w:r w:rsidR="00675B9D" w:rsidRPr="00C1694A">
        <w:rPr>
          <w:rFonts w:ascii="Times New Roman" w:hAnsi="Times New Roman" w:cs="Times New Roman"/>
          <w:sz w:val="24"/>
          <w:szCs w:val="24"/>
        </w:rPr>
        <w:t xml:space="preserve">in this paragraph </w:t>
      </w:r>
      <w:r w:rsidRPr="00C1694A">
        <w:rPr>
          <w:rFonts w:ascii="Times New Roman" w:hAnsi="Times New Roman" w:cs="Times New Roman"/>
          <w:sz w:val="24"/>
          <w:szCs w:val="24"/>
        </w:rPr>
        <w:t>and we removed the reference to a “body or council” to focus less on the process and more on the desired outcome of  establishing procedures to ensure data quality and effective data use and sharing, while protecting the privacy of child records. For this same reason, we also removed the requirement to consult with experts and advisors on early childhood data systems in their state. Programs are still encouraged to do this but including it as a standard distracts from the overall focus on outcomes instead of process. To clarify that this requirement also applies to Early Head Start, we changed “Head Start data” to “data.”</w:t>
      </w:r>
    </w:p>
    <w:p w:rsidR="00C07A2D" w:rsidRPr="00C1694A" w:rsidRDefault="00C07A2D"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A commenter requested we require programs to align their data systems with one another.</w:t>
      </w:r>
    </w:p>
    <w:p w:rsidR="00C07A2D" w:rsidRPr="00C1694A" w:rsidRDefault="00C07A2D" w:rsidP="00301051">
      <w:pPr>
        <w:spacing w:after="0" w:line="480" w:lineRule="auto"/>
        <w:rPr>
          <w:rFonts w:ascii="Times New Roman" w:hAnsi="Times New Roman" w:cs="Times New Roman"/>
          <w:sz w:val="24"/>
          <w:szCs w:val="24"/>
        </w:rPr>
      </w:pPr>
      <w:r w:rsidRPr="00C1694A">
        <w:rPr>
          <w:rFonts w:ascii="Times New Roman" w:hAnsi="Times New Roman" w:cs="Times New Roman"/>
          <w:sz w:val="24"/>
          <w:szCs w:val="24"/>
          <w:u w:val="words"/>
        </w:rPr>
        <w:tab/>
        <w:t>Response:</w:t>
      </w:r>
      <w:r w:rsidRPr="00C1694A">
        <w:rPr>
          <w:rFonts w:ascii="Times New Roman" w:hAnsi="Times New Roman" w:cs="Times New Roman"/>
          <w:sz w:val="24"/>
          <w:szCs w:val="24"/>
        </w:rPr>
        <w:t xml:space="preserve"> We disagree with this suggestion. Programs use multiple data systems and not every data system used can or should be aligned. For example, a data system used for salaries, wages, and fringe benefits would not align with a data system for the administration of children immunizations. Thus, requiring programs to align their data systems is too broad of a requirement</w:t>
      </w:r>
      <w:r w:rsidR="00215A21" w:rsidRPr="00C1694A">
        <w:rPr>
          <w:rFonts w:ascii="Times New Roman" w:hAnsi="Times New Roman" w:cs="Times New Roman"/>
          <w:sz w:val="24"/>
          <w:szCs w:val="24"/>
        </w:rPr>
        <w:t xml:space="preserve"> and could create more complications than benefits</w:t>
      </w:r>
      <w:r w:rsidRPr="00C1694A">
        <w:rPr>
          <w:rFonts w:ascii="Times New Roman" w:hAnsi="Times New Roman" w:cs="Times New Roman"/>
          <w:sz w:val="24"/>
          <w:szCs w:val="24"/>
        </w:rPr>
        <w:t>.</w:t>
      </w:r>
    </w:p>
    <w:p w:rsidR="001A6E55" w:rsidRPr="00C1694A" w:rsidRDefault="001A6E55" w:rsidP="00301051">
      <w:pPr>
        <w:spacing w:after="0" w:line="480" w:lineRule="auto"/>
        <w:contextualSpacing/>
        <w:rPr>
          <w:rFonts w:ascii="Times New Roman" w:eastAsia="Times New Roman" w:hAnsi="Times New Roman" w:cs="Times New Roman"/>
          <w:i/>
          <w:sz w:val="24"/>
          <w:szCs w:val="24"/>
        </w:rPr>
      </w:pPr>
      <w:r w:rsidRPr="00C1694A">
        <w:rPr>
          <w:rFonts w:ascii="Times New Roman" w:eastAsia="Times New Roman" w:hAnsi="Times New Roman" w:cs="Times New Roman"/>
          <w:i/>
          <w:sz w:val="24"/>
          <w:szCs w:val="24"/>
        </w:rPr>
        <w:t>§1302.102 Achieving program goals</w:t>
      </w:r>
      <w:r w:rsidR="009E0BCF" w:rsidRPr="00C1694A">
        <w:rPr>
          <w:rFonts w:ascii="Times New Roman" w:eastAsia="Times New Roman" w:hAnsi="Times New Roman" w:cs="Times New Roman"/>
          <w:i/>
          <w:sz w:val="24"/>
          <w:szCs w:val="24"/>
        </w:rPr>
        <w:t>.</w:t>
      </w:r>
    </w:p>
    <w:p w:rsidR="001A6E55" w:rsidRPr="00C1694A" w:rsidRDefault="001A6E55" w:rsidP="00301051">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describes the program goal setting process with respect to quality improvement.  It is reorganized from the previous rule to better convey the importance of establishing goals for effective health and safety practices, all elements of high-quality service provision, and continuous quality improvement for all programs, not just those with identified quality issues or deficiencies.  It includes requirements for each aspect of the cycle of continuous quality improvement including planning; goal setting; and monitoring short- and long-term progress towards achieving goals.  This section also describes reporting requirements as they relate to ongoing monitoring and self-assessment.  Commenters made a number of recommendations f</w:t>
      </w:r>
      <w:r w:rsidR="000C6312" w:rsidRPr="00C1694A">
        <w:rPr>
          <w:rFonts w:ascii="Times New Roman" w:hAnsi="Times New Roman" w:cs="Times New Roman"/>
          <w:sz w:val="24"/>
          <w:szCs w:val="24"/>
        </w:rPr>
        <w:t xml:space="preserve">or strengthening this section, and we made small changes to the language for clarification throughout the section.  </w:t>
      </w:r>
      <w:r w:rsidRPr="00C1694A">
        <w:rPr>
          <w:rFonts w:ascii="Times New Roman" w:hAnsi="Times New Roman" w:cs="Times New Roman"/>
          <w:sz w:val="24"/>
          <w:szCs w:val="24"/>
        </w:rPr>
        <w:t xml:space="preserve">We discuss </w:t>
      </w:r>
      <w:r w:rsidR="000C6312" w:rsidRPr="00C1694A">
        <w:rPr>
          <w:rFonts w:ascii="Times New Roman" w:hAnsi="Times New Roman" w:cs="Times New Roman"/>
          <w:sz w:val="24"/>
          <w:szCs w:val="24"/>
        </w:rPr>
        <w:t>specific comments</w:t>
      </w:r>
      <w:r w:rsidRPr="00C1694A">
        <w:rPr>
          <w:rFonts w:ascii="Times New Roman" w:hAnsi="Times New Roman" w:cs="Times New Roman"/>
          <w:sz w:val="24"/>
          <w:szCs w:val="24"/>
        </w:rPr>
        <w:t xml:space="preserve"> and </w:t>
      </w:r>
      <w:r w:rsidR="000C6312" w:rsidRPr="00C1694A">
        <w:rPr>
          <w:rFonts w:ascii="Times New Roman" w:hAnsi="Times New Roman" w:cs="Times New Roman"/>
          <w:sz w:val="24"/>
          <w:szCs w:val="24"/>
        </w:rPr>
        <w:t>responses</w:t>
      </w:r>
      <w:r w:rsidRPr="00C1694A">
        <w:rPr>
          <w:rFonts w:ascii="Times New Roman" w:hAnsi="Times New Roman" w:cs="Times New Roman"/>
          <w:sz w:val="24"/>
          <w:szCs w:val="24"/>
        </w:rPr>
        <w:t xml:space="preserve"> below.</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Comment: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recommended we require a system that sets benchmarks for child and family outcomes, based on nationally normed assessment measures, and outlines strategies for tracking progress in order to support program improvement efforts, professional development, and evaluation.  These commenters suggest that such a system would better ensure children enter school performing on par with their more advantaged peers.</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believe that it is important for programs to have local flexibility to set their own goals and measure children and families’ progress towards those goals.  We do not think it is appropriate for us to set a single standard all programs must use to assess the continuous improvement of their program.</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Commenters requested we require programs to set goals for the outcomes of educational and other services, rather than for the provision of these services.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also suggested that programs should be required to set goals for the recruitment, retention, and development of qualified staff.   Other commenters suggested we reduce the types of program goals that are required.  These commenters stated that too many goals would prevent programs from being able to focus and achieve desired outcomes.</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believe we have achieved an appropriate balance for the goal-setting requirements.  We encourage programs to set additional goals if it helps them effectively meet the needs of their community and ensure continuous quality improvement.  The intent of this requirement is to set a minimum.</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Many commenters requested programs be allowed to align revisions to their goals, as desc</w:t>
      </w:r>
      <w:r w:rsidR="00852C99" w:rsidRPr="00C1694A">
        <w:rPr>
          <w:rFonts w:ascii="Times New Roman" w:eastAsia="Times New Roman" w:hAnsi="Times New Roman" w:cs="Times New Roman"/>
          <w:sz w:val="24"/>
          <w:szCs w:val="24"/>
        </w:rPr>
        <w:t>ribed in paragraph (a), with their five-</w:t>
      </w:r>
      <w:r w:rsidRPr="00C1694A">
        <w:rPr>
          <w:rFonts w:ascii="Times New Roman" w:eastAsia="Times New Roman" w:hAnsi="Times New Roman" w:cs="Times New Roman"/>
          <w:sz w:val="24"/>
          <w:szCs w:val="24"/>
        </w:rPr>
        <w:t>year grant cycle.</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While we understand that programs may wish to revisit their goals, especially their long-term strategic goals described in paragraph (a)(1) with their five-year grant cycle, we feel continuous quality improvement requires programs to thoughtfully re-evaluate their goals on an ongoing basis.  Additionally, the </w:t>
      </w:r>
      <w:r w:rsidR="00675B9D" w:rsidRPr="00C1694A">
        <w:rPr>
          <w:rFonts w:ascii="Times New Roman" w:eastAsia="Times New Roman" w:hAnsi="Times New Roman" w:cs="Times New Roman"/>
          <w:sz w:val="24"/>
          <w:szCs w:val="24"/>
        </w:rPr>
        <w:t>replacement of</w:t>
      </w:r>
      <w:r w:rsidRPr="00C1694A">
        <w:rPr>
          <w:rFonts w:ascii="Times New Roman" w:eastAsia="Times New Roman" w:hAnsi="Times New Roman" w:cs="Times New Roman"/>
          <w:sz w:val="24"/>
          <w:szCs w:val="24"/>
        </w:rPr>
        <w:t xml:space="preserve"> </w:t>
      </w:r>
      <w:r w:rsidR="00675B9D" w:rsidRPr="00C1694A">
        <w:rPr>
          <w:rFonts w:ascii="Times New Roman" w:eastAsia="Times New Roman" w:hAnsi="Times New Roman" w:cs="Times New Roman"/>
          <w:sz w:val="24"/>
          <w:szCs w:val="24"/>
        </w:rPr>
        <w:t xml:space="preserve">the </w:t>
      </w:r>
      <w:r w:rsidR="00675B9D" w:rsidRPr="00C1694A">
        <w:rPr>
          <w:rFonts w:ascii="Times New Roman" w:eastAsia="Times New Roman" w:hAnsi="Times New Roman" w:cs="Times New Roman"/>
          <w:sz w:val="24"/>
          <w:szCs w:val="24"/>
          <w:u w:val="single"/>
        </w:rPr>
        <w:t>Head Start Child Development and Early Learning Framework</w:t>
      </w:r>
      <w:r w:rsidR="00675B9D" w:rsidRPr="00C1694A">
        <w:rPr>
          <w:rFonts w:ascii="Times New Roman" w:eastAsia="Times New Roman" w:hAnsi="Times New Roman" w:cs="Times New Roman"/>
          <w:sz w:val="24"/>
          <w:szCs w:val="24"/>
        </w:rPr>
        <w:t xml:space="preserve"> for three to five-year-olds with </w:t>
      </w:r>
      <w:r w:rsidRPr="00C1694A">
        <w:rPr>
          <w:rFonts w:ascii="Times New Roman" w:eastAsia="Times New Roman" w:hAnsi="Times New Roman" w:cs="Times New Roman"/>
          <w:sz w:val="24"/>
          <w:szCs w:val="24"/>
        </w:rPr>
        <w:t xml:space="preserve">the </w:t>
      </w:r>
      <w:r w:rsidR="000C6312" w:rsidRPr="00C1694A">
        <w:rPr>
          <w:rFonts w:ascii="Times New Roman" w:eastAsia="Times New Roman" w:hAnsi="Times New Roman" w:cs="Times New Roman"/>
          <w:sz w:val="24"/>
          <w:szCs w:val="24"/>
          <w:u w:val="single"/>
        </w:rPr>
        <w:t>Head Start Early Learning Outcomes Framework: Ages Birth to Five</w:t>
      </w:r>
      <w:r w:rsidRPr="00C1694A">
        <w:rPr>
          <w:rFonts w:ascii="Times New Roman" w:eastAsia="Times New Roman" w:hAnsi="Times New Roman" w:cs="Times New Roman"/>
          <w:sz w:val="24"/>
          <w:szCs w:val="24"/>
        </w:rPr>
        <w:t xml:space="preserve"> should result in a re-evaluation of programs’ school readiness goals to ensure they are promoting the school readiness of all children in all domains. We did not revise this provision.</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Many commenters praised the clear link of the </w:t>
      </w:r>
      <w:r w:rsidRPr="00C1694A">
        <w:rPr>
          <w:rFonts w:ascii="Times New Roman" w:eastAsia="Times New Roman" w:hAnsi="Times New Roman" w:cs="Times New Roman"/>
          <w:sz w:val="24"/>
          <w:szCs w:val="24"/>
          <w:u w:val="single"/>
        </w:rPr>
        <w:t>Head Start Early Lear</w:t>
      </w:r>
      <w:r w:rsidR="000C6312" w:rsidRPr="00C1694A">
        <w:rPr>
          <w:rFonts w:ascii="Times New Roman" w:eastAsia="Times New Roman" w:hAnsi="Times New Roman" w:cs="Times New Roman"/>
          <w:sz w:val="24"/>
          <w:szCs w:val="24"/>
          <w:u w:val="single"/>
        </w:rPr>
        <w:t>ning Outcomes Framework: Ages Birth to Five</w:t>
      </w:r>
      <w:r w:rsidRPr="00C1694A">
        <w:rPr>
          <w:rFonts w:ascii="Times New Roman" w:eastAsia="Times New Roman" w:hAnsi="Times New Roman" w:cs="Times New Roman"/>
          <w:sz w:val="24"/>
          <w:szCs w:val="24"/>
        </w:rPr>
        <w:t xml:space="preserve"> </w:t>
      </w:r>
      <w:r w:rsidR="00B56C65">
        <w:rPr>
          <w:rFonts w:ascii="Times New Roman" w:eastAsia="Times New Roman" w:hAnsi="Times New Roman" w:cs="Times New Roman"/>
          <w:sz w:val="24"/>
          <w:szCs w:val="24"/>
        </w:rPr>
        <w:t>(</w:t>
      </w:r>
      <w:r w:rsidR="00B56C65" w:rsidRPr="00C1694A">
        <w:rPr>
          <w:rFonts w:ascii="Times New Roman" w:eastAsia="Times New Roman" w:hAnsi="Times New Roman" w:cs="Times New Roman"/>
          <w:sz w:val="24"/>
          <w:szCs w:val="24"/>
        </w:rPr>
        <w:t>HSELOF</w:t>
      </w:r>
      <w:r w:rsidR="00B56C65">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 xml:space="preserve">to school readiness goals in paragraph (a)(3).  Other commenters requested </w:t>
      </w:r>
      <w:r w:rsidR="00675B9D" w:rsidRPr="00C1694A">
        <w:rPr>
          <w:rFonts w:ascii="Times New Roman" w:eastAsia="Times New Roman" w:hAnsi="Times New Roman" w:cs="Times New Roman"/>
          <w:sz w:val="24"/>
          <w:szCs w:val="24"/>
        </w:rPr>
        <w:t xml:space="preserve">we allow </w:t>
      </w:r>
      <w:r w:rsidRPr="00C1694A">
        <w:rPr>
          <w:rFonts w:ascii="Times New Roman" w:eastAsia="Times New Roman" w:hAnsi="Times New Roman" w:cs="Times New Roman"/>
          <w:sz w:val="24"/>
          <w:szCs w:val="24"/>
        </w:rPr>
        <w:t xml:space="preserve">programs to align with both HSELOF and their state early learning standards. Further,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expressed confusion about the relationship between performance goals and school readiness goals.</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The requirement in paragraph (a)(3) is for all programs to align with both  HSELOF and their state early learning standards, where state standards are applicable.  We previously issued guidance describing the relationship between school readiness goals and program goals.  This guidance clarifies that school readiness goals are a subset of program goals.  However, we agree that the terminology “program performance goals” is confusing. Therefore, we revised the term throughout subpart J to “program goals.”  We also re-ordered the list of goals that programs must establish in this section to reflect a hierarchy of goals, starting with broad, strategic long-term goals.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w:t>
      </w:r>
      <w:r w:rsidR="00675B9D" w:rsidRPr="00C1694A">
        <w:rPr>
          <w:rFonts w:ascii="Times New Roman" w:eastAsia="Times New Roman" w:hAnsi="Times New Roman" w:cs="Times New Roman"/>
          <w:sz w:val="24"/>
          <w:szCs w:val="24"/>
        </w:rPr>
        <w:t>Many</w:t>
      </w:r>
      <w:r w:rsidRPr="00C1694A">
        <w:rPr>
          <w:rFonts w:ascii="Times New Roman" w:eastAsia="Times New Roman" w:hAnsi="Times New Roman" w:cs="Times New Roman"/>
          <w:sz w:val="24"/>
          <w:szCs w:val="24"/>
        </w:rPr>
        <w:t xml:space="preserve"> commenters noted that the monitoring system will need to be aligned with the outcomes-focused approach to continuous quality improvement described in the section, and the requirements in paragraph (b).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The monitoring process will be revised to align with these program performance standards.</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Commenters offered suggestions for strengthening data use for continuous quality improvement in paragraph (c).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recommended we include requirements for best practices in using data to improve instruction, including how often data must be reviewed and used to inform services. Others suggested strengthening requirements for continuous improvement by referencing feedback loops, which they thought would allow programs to be proactive rather than reactive. These commenters also suggested that programs should be required to develop and implement policies and procedures that guide staff collaboration on the review, interpretation, and use of data to advance policy and practice improvements and professional learning goals.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do not agree that we should set such specific requirements for the process by which individual programs ensure continuous quality improvement.  Rather, we focus on requiring programs to implement a system to ensure continuous quality improvement but leave the details of how each program will achieve this up to local communities to determine.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w:t>
      </w:r>
      <w:r w:rsidR="00566A26"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suggested </w:t>
      </w:r>
      <w:r w:rsidR="00675B9D" w:rsidRPr="00C1694A">
        <w:rPr>
          <w:rFonts w:ascii="Times New Roman" w:eastAsia="Times New Roman" w:hAnsi="Times New Roman" w:cs="Times New Roman"/>
          <w:sz w:val="24"/>
          <w:szCs w:val="24"/>
        </w:rPr>
        <w:t>we require</w:t>
      </w:r>
      <w:r w:rsidRPr="00C1694A">
        <w:rPr>
          <w:rFonts w:ascii="Times New Roman" w:eastAsia="Times New Roman" w:hAnsi="Times New Roman" w:cs="Times New Roman"/>
          <w:sz w:val="24"/>
          <w:szCs w:val="24"/>
        </w:rPr>
        <w:t xml:space="preserve"> additional areas of data collection, aggregation and analysis to ensure continuous program improvement in all areas of program services.  Suggestions included adding family engagement, home visits, group socializations, and staff development.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suggested that the requirement included too many areas for data collection, aggregation, and analysis, stating that grantees need to be able to focus their efforts on a limited set of specific goals for program improvement.</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believe we have achieved an appropriate balance for data requirements.  Programs are encouraged to collect additional data, as necessary, in order to inform their own goals and ensure continuous quality improvement.  The intent of this requirement is to set a minimum for service areas grantees must collect data on.</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stated that it is inappropriate to aggregate data for infants and toddlers, especially in small programs with very few children in similar developmental age ranges, or that it is inappropriate to directly assess infants and toddlers </w:t>
      </w:r>
      <w:r w:rsidR="00F53768" w:rsidRPr="00C1694A">
        <w:rPr>
          <w:rFonts w:ascii="Times New Roman" w:eastAsia="Times New Roman" w:hAnsi="Times New Roman" w:cs="Times New Roman"/>
          <w:sz w:val="24"/>
          <w:szCs w:val="24"/>
        </w:rPr>
        <w:t xml:space="preserve">three </w:t>
      </w:r>
      <w:r w:rsidRPr="00C1694A">
        <w:rPr>
          <w:rFonts w:ascii="Times New Roman" w:eastAsia="Times New Roman" w:hAnsi="Times New Roman" w:cs="Times New Roman"/>
          <w:sz w:val="24"/>
          <w:szCs w:val="24"/>
        </w:rPr>
        <w:t>times per year.</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Response</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The requirement to aggregate and analyze child-level assessment data three times per year </w:t>
      </w:r>
      <w:r w:rsidR="006B6A4E" w:rsidRPr="00C1694A">
        <w:rPr>
          <w:rFonts w:ascii="Times New Roman" w:eastAsia="Times New Roman" w:hAnsi="Times New Roman" w:cs="Times New Roman"/>
          <w:sz w:val="24"/>
          <w:szCs w:val="24"/>
        </w:rPr>
        <w:t xml:space="preserve">in paragraph (c)(2)(ii) </w:t>
      </w:r>
      <w:r w:rsidRPr="00C1694A">
        <w:rPr>
          <w:rFonts w:ascii="Times New Roman" w:eastAsia="Times New Roman" w:hAnsi="Times New Roman" w:cs="Times New Roman"/>
          <w:sz w:val="24"/>
          <w:szCs w:val="24"/>
        </w:rPr>
        <w:t xml:space="preserve">is not new.  Guidance already exists on the topic of assessment and data aggregation for infants and toddlers and can be found at </w:t>
      </w:r>
      <w:r w:rsidRPr="00C1694A">
        <w:rPr>
          <w:rFonts w:ascii="Times New Roman" w:eastAsia="Times New Roman" w:hAnsi="Times New Roman" w:cs="Times New Roman"/>
          <w:sz w:val="24"/>
          <w:szCs w:val="24"/>
          <w:u w:val="single"/>
        </w:rPr>
        <w:t>http://eclkc.ohs.acf.hhs.gov/hslc/tta-system/ehsnrc/school-readiness/SchoolReadiness.htm</w:t>
      </w:r>
      <w:r w:rsidRPr="00C1694A">
        <w:rPr>
          <w:rFonts w:ascii="Times New Roman" w:eastAsia="Times New Roman" w:hAnsi="Times New Roman" w:cs="Times New Roman"/>
          <w:sz w:val="24"/>
          <w:szCs w:val="24"/>
        </w:rPr>
        <w:t>.  This guidance clarifies that aggregation and analysis of data is possible for infants and toddlers and does not have to done by child age.  Further, we revised paragraph (c)</w:t>
      </w:r>
      <w:r w:rsidR="00B56C65">
        <w:rPr>
          <w:rFonts w:ascii="Times New Roman" w:eastAsia="Times New Roman" w:hAnsi="Times New Roman" w:cs="Times New Roman"/>
          <w:sz w:val="24"/>
          <w:szCs w:val="24"/>
        </w:rPr>
        <w:t>(2)</w:t>
      </w:r>
      <w:r w:rsidRPr="00C1694A">
        <w:rPr>
          <w:rFonts w:ascii="Times New Roman" w:eastAsia="Times New Roman" w:hAnsi="Times New Roman" w:cs="Times New Roman"/>
          <w:sz w:val="24"/>
          <w:szCs w:val="24"/>
        </w:rPr>
        <w:t>(ii) to refer programs to the definition of child-level assessment data in part 1305, which includes observation-based as well as direct assessments. We believe this change addresses concerns about frequent direct assessment of infants and toddlers.</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noted that </w:t>
      </w:r>
      <w:r w:rsidR="006B6A4E" w:rsidRPr="00C1694A">
        <w:rPr>
          <w:rFonts w:ascii="Times New Roman" w:eastAsia="Times New Roman" w:hAnsi="Times New Roman" w:cs="Times New Roman"/>
          <w:sz w:val="24"/>
          <w:szCs w:val="24"/>
        </w:rPr>
        <w:t xml:space="preserve">we should add </w:t>
      </w:r>
      <w:r w:rsidRPr="00C1694A">
        <w:rPr>
          <w:rFonts w:ascii="Times New Roman" w:eastAsia="Times New Roman" w:hAnsi="Times New Roman" w:cs="Times New Roman"/>
          <w:sz w:val="24"/>
          <w:szCs w:val="24"/>
        </w:rPr>
        <w:t xml:space="preserve">an exception for programs less than 90 days to the requirement to aggregate and analyze data three times per year.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Response</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We agree and </w:t>
      </w:r>
      <w:r w:rsidR="006B6A4E" w:rsidRPr="00C1694A">
        <w:rPr>
          <w:rFonts w:ascii="Times New Roman" w:eastAsia="Times New Roman" w:hAnsi="Times New Roman" w:cs="Times New Roman"/>
          <w:sz w:val="24"/>
          <w:szCs w:val="24"/>
        </w:rPr>
        <w:t>revised</w:t>
      </w:r>
      <w:r w:rsidRPr="00C1694A">
        <w:rPr>
          <w:rFonts w:ascii="Times New Roman" w:eastAsia="Times New Roman" w:hAnsi="Times New Roman" w:cs="Times New Roman"/>
          <w:sz w:val="24"/>
          <w:szCs w:val="24"/>
        </w:rPr>
        <w:t xml:space="preserve"> paragraph</w:t>
      </w:r>
      <w:r w:rsidR="006B6A4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 (c)</w:t>
      </w:r>
      <w:r w:rsidR="00B56C65">
        <w:rPr>
          <w:rFonts w:ascii="Times New Roman" w:eastAsia="Times New Roman" w:hAnsi="Times New Roman" w:cs="Times New Roman"/>
          <w:sz w:val="24"/>
          <w:szCs w:val="24"/>
        </w:rPr>
        <w:t>(2)</w:t>
      </w:r>
      <w:r w:rsidRPr="00C1694A">
        <w:rPr>
          <w:rFonts w:ascii="Times New Roman" w:eastAsia="Times New Roman" w:hAnsi="Times New Roman" w:cs="Times New Roman"/>
          <w:sz w:val="24"/>
          <w:szCs w:val="24"/>
        </w:rPr>
        <w:t xml:space="preserve">(ii) </w:t>
      </w:r>
      <w:r w:rsidR="006B6A4E" w:rsidRPr="00C1694A">
        <w:rPr>
          <w:rFonts w:ascii="Times New Roman" w:eastAsia="Times New Roman" w:hAnsi="Times New Roman" w:cs="Times New Roman"/>
          <w:sz w:val="24"/>
          <w:szCs w:val="24"/>
        </w:rPr>
        <w:t xml:space="preserve">and (iii) </w:t>
      </w:r>
      <w:r w:rsidRPr="00C1694A">
        <w:rPr>
          <w:rFonts w:ascii="Times New Roman" w:eastAsia="Times New Roman" w:hAnsi="Times New Roman" w:cs="Times New Roman"/>
          <w:sz w:val="24"/>
          <w:szCs w:val="24"/>
        </w:rPr>
        <w:t>and a requirement in paragraph (c)</w:t>
      </w:r>
      <w:r w:rsidR="00B56C65">
        <w:rPr>
          <w:rFonts w:ascii="Times New Roman" w:eastAsia="Times New Roman" w:hAnsi="Times New Roman" w:cs="Times New Roman"/>
          <w:sz w:val="24"/>
          <w:szCs w:val="24"/>
        </w:rPr>
        <w:t>(2)</w:t>
      </w:r>
      <w:r w:rsidRPr="00C1694A">
        <w:rPr>
          <w:rFonts w:ascii="Times New Roman" w:eastAsia="Times New Roman" w:hAnsi="Times New Roman" w:cs="Times New Roman"/>
          <w:sz w:val="24"/>
          <w:szCs w:val="24"/>
        </w:rPr>
        <w:t>(iii) to clarify that programs operating for fewer than 90 days only have to aggregate and analyze their data twice per year.</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asked us to define “lessons” in paragraph (c)(iv</w:t>
      </w:r>
      <w:r w:rsidR="000D7A6A"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formerly paragraph (c)</w:t>
      </w:r>
      <w:r w:rsidR="00B56C65">
        <w:rPr>
          <w:rFonts w:ascii="Times New Roman" w:eastAsia="Times New Roman" w:hAnsi="Times New Roman" w:cs="Times New Roman"/>
          <w:sz w:val="24"/>
          <w:szCs w:val="24"/>
        </w:rPr>
        <w:t>(2)</w:t>
      </w:r>
      <w:r w:rsidRPr="00C1694A">
        <w:rPr>
          <w:rFonts w:ascii="Times New Roman" w:eastAsia="Times New Roman" w:hAnsi="Times New Roman" w:cs="Times New Roman"/>
          <w:sz w:val="24"/>
          <w:szCs w:val="24"/>
        </w:rPr>
        <w:t>(iii</w:t>
      </w:r>
      <w:r w:rsidR="000D7A6A" w:rsidRPr="00C1694A">
        <w:rPr>
          <w:rFonts w:ascii="Times New Roman" w:eastAsia="Times New Roman" w:hAnsi="Times New Roman" w:cs="Times New Roman"/>
          <w:sz w:val="24"/>
          <w:szCs w:val="24"/>
        </w:rPr>
        <w:t>)</w:t>
      </w:r>
      <w:r w:rsidR="006B6A4E" w:rsidRPr="00C1694A">
        <w:rPr>
          <w:rFonts w:ascii="Times New Roman" w:eastAsia="Times New Roman" w:hAnsi="Times New Roman" w:cs="Times New Roman"/>
          <w:sz w:val="24"/>
          <w:szCs w:val="24"/>
        </w:rPr>
        <w:t xml:space="preserve"> in the NPRM</w:t>
      </w:r>
      <w:r w:rsidRPr="00C1694A">
        <w:rPr>
          <w:rFonts w:ascii="Times New Roman" w:eastAsia="Times New Roman" w:hAnsi="Times New Roman" w:cs="Times New Roman"/>
          <w:sz w:val="24"/>
          <w:szCs w:val="24"/>
        </w:rPr>
        <w:t>.</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revised the requirement to read “information,” rather than “lessons” to clarify our intent.</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requested we provide justification for requiring reports.</w:t>
      </w:r>
    </w:p>
    <w:p w:rsidR="001A6E55" w:rsidRPr="00C1694A" w:rsidRDefault="001A6E55" w:rsidP="009A526A">
      <w:pPr>
        <w:spacing w:after="0" w:line="480" w:lineRule="auto"/>
        <w:ind w:firstLine="720"/>
        <w:rPr>
          <w:rFonts w:ascii="Times New Roman" w:eastAsia="Times New Roman" w:hAnsi="Times New Roman" w:cs="Times New Roman"/>
          <w:i/>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t>
      </w:r>
      <w:r w:rsidR="00514B2A" w:rsidRPr="00C1694A">
        <w:rPr>
          <w:rFonts w:ascii="Times New Roman" w:eastAsia="Times New Roman" w:hAnsi="Times New Roman" w:cs="Times New Roman"/>
          <w:sz w:val="24"/>
          <w:szCs w:val="24"/>
        </w:rPr>
        <w:t>The Secretary</w:t>
      </w:r>
      <w:r w:rsidRPr="00C1694A">
        <w:rPr>
          <w:rFonts w:ascii="Times New Roman" w:eastAsia="Times New Roman" w:hAnsi="Times New Roman" w:cs="Times New Roman"/>
          <w:sz w:val="24"/>
          <w:szCs w:val="24"/>
        </w:rPr>
        <w:t xml:space="preserve"> has broad statutory authority</w:t>
      </w:r>
      <w:r w:rsidR="00514B2A" w:rsidRPr="00C1694A">
        <w:rPr>
          <w:rFonts w:ascii="Times New Roman" w:eastAsia="Times New Roman" w:hAnsi="Times New Roman" w:cs="Times New Roman"/>
          <w:sz w:val="24"/>
          <w:szCs w:val="24"/>
        </w:rPr>
        <w:t xml:space="preserve"> under </w:t>
      </w:r>
      <w:r w:rsidR="00147BAE" w:rsidRPr="00C1694A">
        <w:rPr>
          <w:rFonts w:ascii="Times New Roman" w:eastAsia="Times New Roman" w:hAnsi="Times New Roman" w:cs="Times New Roman"/>
          <w:sz w:val="24"/>
          <w:szCs w:val="24"/>
        </w:rPr>
        <w:t>s</w:t>
      </w:r>
      <w:r w:rsidR="00514B2A" w:rsidRPr="00C1694A">
        <w:rPr>
          <w:rFonts w:ascii="Times New Roman" w:eastAsia="Times New Roman" w:hAnsi="Times New Roman" w:cs="Times New Roman"/>
          <w:sz w:val="24"/>
          <w:szCs w:val="24"/>
        </w:rPr>
        <w:t>ection 641A(a)(1) of the Act</w:t>
      </w:r>
      <w:r w:rsidRPr="00C1694A">
        <w:rPr>
          <w:rFonts w:ascii="Times New Roman" w:eastAsia="Times New Roman" w:hAnsi="Times New Roman" w:cs="Times New Roman"/>
          <w:sz w:val="24"/>
          <w:szCs w:val="24"/>
        </w:rPr>
        <w:t xml:space="preserve"> to </w:t>
      </w:r>
      <w:r w:rsidR="00514B2A" w:rsidRPr="00C1694A">
        <w:rPr>
          <w:rFonts w:ascii="Times New Roman" w:eastAsia="Times New Roman" w:hAnsi="Times New Roman" w:cs="Times New Roman"/>
          <w:sz w:val="24"/>
          <w:szCs w:val="24"/>
        </w:rPr>
        <w:t>establish standards to e</w:t>
      </w:r>
      <w:r w:rsidRPr="00C1694A">
        <w:rPr>
          <w:rFonts w:ascii="Times New Roman" w:eastAsia="Times New Roman" w:hAnsi="Times New Roman" w:cs="Times New Roman"/>
          <w:sz w:val="24"/>
          <w:szCs w:val="24"/>
        </w:rPr>
        <w:t>nsure the health and safety of children and appropriate program operation</w:t>
      </w:r>
      <w:r w:rsidR="00514B2A" w:rsidRPr="00C1694A">
        <w:rPr>
          <w:rFonts w:ascii="Times New Roman" w:eastAsia="Times New Roman" w:hAnsi="Times New Roman" w:cs="Times New Roman"/>
          <w:sz w:val="24"/>
          <w:szCs w:val="24"/>
        </w:rPr>
        <w:t>.</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Many commenters suggested that the requirements in paragraph (d)(1)(ii)</w:t>
      </w:r>
      <w:r w:rsidR="000D7A6A"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formerly paragraph (d)(1)(iii)</w:t>
      </w:r>
      <w:r w:rsidR="000D7A6A" w:rsidRPr="00C1694A">
        <w:rPr>
          <w:rFonts w:ascii="Times New Roman" w:eastAsia="Times New Roman" w:hAnsi="Times New Roman" w:cs="Times New Roman"/>
          <w:sz w:val="24"/>
          <w:szCs w:val="24"/>
        </w:rPr>
        <w:t xml:space="preserve"> in the NPRM,</w:t>
      </w:r>
      <w:r w:rsidRPr="00C1694A">
        <w:rPr>
          <w:rFonts w:ascii="Times New Roman" w:eastAsia="Times New Roman" w:hAnsi="Times New Roman" w:cs="Times New Roman"/>
          <w:sz w:val="24"/>
          <w:szCs w:val="24"/>
        </w:rPr>
        <w:t xml:space="preserve"> were too vague.  Specifically, many commenters requested clarity about what risks should be reported under paragraph (d)(1)(ii</w:t>
      </w:r>
      <w:r w:rsidR="000D7A6A" w:rsidRPr="00C1694A">
        <w:rPr>
          <w:rFonts w:ascii="Times New Roman" w:eastAsia="Times New Roman" w:hAnsi="Times New Roman" w:cs="Times New Roman"/>
          <w:sz w:val="24"/>
          <w:szCs w:val="24"/>
        </w:rPr>
        <w:t>i</w:t>
      </w:r>
      <w:r w:rsidRPr="00C1694A">
        <w:rPr>
          <w:rFonts w:ascii="Times New Roman" w:eastAsia="Times New Roman" w:hAnsi="Times New Roman" w:cs="Times New Roman"/>
          <w:sz w:val="24"/>
          <w:szCs w:val="24"/>
        </w:rPr>
        <w:t>)(C)</w:t>
      </w:r>
      <w:r w:rsidR="000D7A6A" w:rsidRPr="00C1694A">
        <w:rPr>
          <w:rFonts w:ascii="Times New Roman" w:eastAsia="Times New Roman" w:hAnsi="Times New Roman" w:cs="Times New Roman"/>
          <w:sz w:val="24"/>
          <w:szCs w:val="24"/>
        </w:rPr>
        <w:t xml:space="preserve"> in the NPRM</w:t>
      </w:r>
      <w:r w:rsidRPr="00C1694A">
        <w:rPr>
          <w:rFonts w:ascii="Times New Roman" w:eastAsia="Times New Roman" w:hAnsi="Times New Roman" w:cs="Times New Roman"/>
          <w:sz w:val="24"/>
          <w:szCs w:val="24"/>
        </w:rPr>
        <w:t xml:space="preserve">.  As proposed, commenters suggested the requirement would include everything from chicken pox to a bite from a classmate to an outbreak of influenza at a nearby nursing home. Commenters also requested clarity on which reasons for </w:t>
      </w:r>
      <w:r w:rsidR="002450D3" w:rsidRPr="00C1694A">
        <w:rPr>
          <w:rFonts w:ascii="Times New Roman" w:eastAsia="Times New Roman" w:hAnsi="Times New Roman" w:cs="Times New Roman"/>
          <w:sz w:val="24"/>
          <w:szCs w:val="24"/>
        </w:rPr>
        <w:t>program</w:t>
      </w:r>
      <w:r w:rsidRPr="00C1694A">
        <w:rPr>
          <w:rFonts w:ascii="Times New Roman" w:eastAsia="Times New Roman" w:hAnsi="Times New Roman" w:cs="Times New Roman"/>
          <w:sz w:val="24"/>
          <w:szCs w:val="24"/>
        </w:rPr>
        <w:t xml:space="preserve"> closure under paragraph (d)(1)(i</w:t>
      </w:r>
      <w:r w:rsidR="000D7A6A" w:rsidRPr="00C1694A">
        <w:rPr>
          <w:rFonts w:ascii="Times New Roman" w:eastAsia="Times New Roman" w:hAnsi="Times New Roman" w:cs="Times New Roman"/>
          <w:sz w:val="24"/>
          <w:szCs w:val="24"/>
        </w:rPr>
        <w:t>i</w:t>
      </w:r>
      <w:r w:rsidRPr="00C1694A">
        <w:rPr>
          <w:rFonts w:ascii="Times New Roman" w:eastAsia="Times New Roman" w:hAnsi="Times New Roman" w:cs="Times New Roman"/>
          <w:sz w:val="24"/>
          <w:szCs w:val="24"/>
        </w:rPr>
        <w:t xml:space="preserve">i)(B) </w:t>
      </w:r>
      <w:r w:rsidR="000D7A6A" w:rsidRPr="00C1694A">
        <w:rPr>
          <w:rFonts w:ascii="Times New Roman" w:eastAsia="Times New Roman" w:hAnsi="Times New Roman" w:cs="Times New Roman"/>
          <w:sz w:val="24"/>
          <w:szCs w:val="24"/>
        </w:rPr>
        <w:t xml:space="preserve">in the NPRM </w:t>
      </w:r>
      <w:r w:rsidRPr="00C1694A">
        <w:rPr>
          <w:rFonts w:ascii="Times New Roman" w:eastAsia="Times New Roman" w:hAnsi="Times New Roman" w:cs="Times New Roman"/>
          <w:sz w:val="24"/>
          <w:szCs w:val="24"/>
        </w:rPr>
        <w:t>need to be reported.  For example, commenters asked whether programs need</w:t>
      </w:r>
      <w:r w:rsidR="006B6A4E" w:rsidRPr="00C1694A">
        <w:rPr>
          <w:rFonts w:ascii="Times New Roman" w:eastAsia="Times New Roman" w:hAnsi="Times New Roman" w:cs="Times New Roman"/>
          <w:sz w:val="24"/>
          <w:szCs w:val="24"/>
        </w:rPr>
        <w:t>ed</w:t>
      </w:r>
      <w:r w:rsidRPr="00C1694A">
        <w:rPr>
          <w:rFonts w:ascii="Times New Roman" w:eastAsia="Times New Roman" w:hAnsi="Times New Roman" w:cs="Times New Roman"/>
          <w:sz w:val="24"/>
          <w:szCs w:val="24"/>
        </w:rPr>
        <w:t xml:space="preserve"> to report when they close due to inclement weather.   Finally, commenters </w:t>
      </w:r>
      <w:r w:rsidR="006B6A4E" w:rsidRPr="00C1694A">
        <w:rPr>
          <w:rFonts w:ascii="Times New Roman" w:eastAsia="Times New Roman" w:hAnsi="Times New Roman" w:cs="Times New Roman"/>
          <w:sz w:val="24"/>
          <w:szCs w:val="24"/>
        </w:rPr>
        <w:t>stated</w:t>
      </w:r>
      <w:r w:rsidRPr="00C1694A">
        <w:rPr>
          <w:rFonts w:ascii="Times New Roman" w:eastAsia="Times New Roman" w:hAnsi="Times New Roman" w:cs="Times New Roman"/>
          <w:sz w:val="24"/>
          <w:szCs w:val="24"/>
        </w:rPr>
        <w:t xml:space="preserve"> the requirement in paragraph (d)(1)(i</w:t>
      </w:r>
      <w:r w:rsidR="000D7A6A" w:rsidRPr="00C1694A">
        <w:rPr>
          <w:rFonts w:ascii="Times New Roman" w:eastAsia="Times New Roman" w:hAnsi="Times New Roman" w:cs="Times New Roman"/>
          <w:sz w:val="24"/>
          <w:szCs w:val="24"/>
        </w:rPr>
        <w:t>i</w:t>
      </w:r>
      <w:r w:rsidRPr="00C1694A">
        <w:rPr>
          <w:rFonts w:ascii="Times New Roman" w:eastAsia="Times New Roman" w:hAnsi="Times New Roman" w:cs="Times New Roman"/>
          <w:sz w:val="24"/>
          <w:szCs w:val="24"/>
        </w:rPr>
        <w:t>i)(D)</w:t>
      </w:r>
      <w:r w:rsidR="000D7A6A" w:rsidRPr="00C1694A">
        <w:rPr>
          <w:rFonts w:ascii="Times New Roman" w:eastAsia="Times New Roman" w:hAnsi="Times New Roman" w:cs="Times New Roman"/>
          <w:sz w:val="24"/>
          <w:szCs w:val="24"/>
        </w:rPr>
        <w:t xml:space="preserve"> in the NPRM</w:t>
      </w:r>
      <w:r w:rsidRPr="00C1694A">
        <w:rPr>
          <w:rFonts w:ascii="Times New Roman" w:eastAsia="Times New Roman" w:hAnsi="Times New Roman" w:cs="Times New Roman"/>
          <w:sz w:val="24"/>
          <w:szCs w:val="24"/>
        </w:rPr>
        <w:t xml:space="preserve"> was too vague and requested clarity on what legal proceedings, involving which related parties, would need to be reported.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agree with commenters that the proposed requirements in paragraph</w:t>
      </w:r>
      <w:r w:rsidR="0028159E">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 (d)(1)(ii)</w:t>
      </w:r>
      <w:r w:rsidR="000D7A6A" w:rsidRPr="00C1694A">
        <w:rPr>
          <w:rFonts w:ascii="Times New Roman" w:eastAsia="Times New Roman" w:hAnsi="Times New Roman" w:cs="Times New Roman"/>
          <w:sz w:val="24"/>
          <w:szCs w:val="24"/>
        </w:rPr>
        <w:t xml:space="preserve"> and (iii) in the NPRM</w:t>
      </w:r>
      <w:r w:rsidRPr="00C1694A">
        <w:rPr>
          <w:rFonts w:ascii="Times New Roman" w:eastAsia="Times New Roman" w:hAnsi="Times New Roman" w:cs="Times New Roman"/>
          <w:sz w:val="24"/>
          <w:szCs w:val="24"/>
        </w:rPr>
        <w:t xml:space="preserve"> were </w:t>
      </w:r>
      <w:r w:rsidR="000D7A6A" w:rsidRPr="00C1694A">
        <w:rPr>
          <w:rFonts w:ascii="Times New Roman" w:eastAsia="Times New Roman" w:hAnsi="Times New Roman" w:cs="Times New Roman"/>
          <w:sz w:val="24"/>
          <w:szCs w:val="24"/>
        </w:rPr>
        <w:t>unclear</w:t>
      </w:r>
      <w:r w:rsidRPr="00C1694A">
        <w:rPr>
          <w:rFonts w:ascii="Times New Roman" w:eastAsia="Times New Roman" w:hAnsi="Times New Roman" w:cs="Times New Roman"/>
          <w:sz w:val="24"/>
          <w:szCs w:val="24"/>
        </w:rPr>
        <w:t xml:space="preserve"> and </w:t>
      </w:r>
      <w:r w:rsidR="000D7A6A" w:rsidRPr="00C1694A">
        <w:rPr>
          <w:rFonts w:ascii="Times New Roman" w:eastAsia="Times New Roman" w:hAnsi="Times New Roman" w:cs="Times New Roman"/>
          <w:sz w:val="24"/>
          <w:szCs w:val="24"/>
        </w:rPr>
        <w:t xml:space="preserve">we </w:t>
      </w:r>
      <w:r w:rsidRPr="00C1694A">
        <w:rPr>
          <w:rFonts w:ascii="Times New Roman" w:eastAsia="Times New Roman" w:hAnsi="Times New Roman" w:cs="Times New Roman"/>
          <w:sz w:val="24"/>
          <w:szCs w:val="24"/>
        </w:rPr>
        <w:t xml:space="preserve">made revisions to clarify our intent.  We revised </w:t>
      </w:r>
      <w:r w:rsidR="006B6A4E" w:rsidRPr="00C1694A">
        <w:rPr>
          <w:rFonts w:ascii="Times New Roman" w:eastAsia="Times New Roman" w:hAnsi="Times New Roman" w:cs="Times New Roman"/>
          <w:sz w:val="24"/>
          <w:szCs w:val="24"/>
        </w:rPr>
        <w:t xml:space="preserve">and restructured these standards into </w:t>
      </w:r>
      <w:r w:rsidRPr="00C1694A">
        <w:rPr>
          <w:rFonts w:ascii="Times New Roman" w:eastAsia="Times New Roman" w:hAnsi="Times New Roman" w:cs="Times New Roman"/>
          <w:sz w:val="24"/>
          <w:szCs w:val="24"/>
        </w:rPr>
        <w:t xml:space="preserve">paragraph (d)(1)(ii) </w:t>
      </w:r>
      <w:r w:rsidR="006B6A4E" w:rsidRPr="00C1694A">
        <w:rPr>
          <w:rFonts w:ascii="Times New Roman" w:eastAsia="Times New Roman" w:hAnsi="Times New Roman" w:cs="Times New Roman"/>
          <w:sz w:val="24"/>
          <w:szCs w:val="24"/>
        </w:rPr>
        <w:t xml:space="preserve">and struck paragraph (d)(1)(iii) </w:t>
      </w:r>
      <w:r w:rsidRPr="00C1694A">
        <w:rPr>
          <w:rFonts w:ascii="Times New Roman" w:eastAsia="Times New Roman" w:hAnsi="Times New Roman" w:cs="Times New Roman"/>
          <w:sz w:val="24"/>
          <w:szCs w:val="24"/>
        </w:rPr>
        <w:t xml:space="preserve">to clarify that programs </w:t>
      </w:r>
      <w:r w:rsidR="007D79A7" w:rsidRPr="00C1694A">
        <w:rPr>
          <w:rFonts w:ascii="Times New Roman" w:eastAsia="Times New Roman" w:hAnsi="Times New Roman" w:cs="Times New Roman"/>
          <w:sz w:val="24"/>
          <w:szCs w:val="24"/>
        </w:rPr>
        <w:t>must</w:t>
      </w:r>
      <w:r w:rsidRPr="00C1694A">
        <w:rPr>
          <w:rFonts w:ascii="Times New Roman" w:eastAsia="Times New Roman" w:hAnsi="Times New Roman" w:cs="Times New Roman"/>
          <w:sz w:val="24"/>
          <w:szCs w:val="24"/>
        </w:rPr>
        <w:t xml:space="preserve"> </w:t>
      </w:r>
      <w:r w:rsidR="007D79A7" w:rsidRPr="00C1694A">
        <w:rPr>
          <w:rFonts w:ascii="Times New Roman" w:eastAsia="Times New Roman" w:hAnsi="Times New Roman" w:cs="Times New Roman"/>
          <w:sz w:val="24"/>
          <w:szCs w:val="24"/>
        </w:rPr>
        <w:t xml:space="preserve">report significant incidents, rather than “risks,” </w:t>
      </w:r>
      <w:r w:rsidRPr="00C1694A">
        <w:rPr>
          <w:rFonts w:ascii="Times New Roman" w:eastAsia="Times New Roman" w:hAnsi="Times New Roman" w:cs="Times New Roman"/>
          <w:sz w:val="24"/>
          <w:szCs w:val="24"/>
        </w:rPr>
        <w:t xml:space="preserve">related to health and safety or financial and administrative circumstances, to the responsible HHS official.  Therefore, inclement weather closings, for example, would not apply to the requirement in </w:t>
      </w:r>
      <w:r w:rsidR="000D7A6A" w:rsidRPr="00C1694A">
        <w:rPr>
          <w:rFonts w:ascii="Times New Roman" w:eastAsia="Times New Roman" w:hAnsi="Times New Roman" w:cs="Times New Roman"/>
          <w:sz w:val="24"/>
          <w:szCs w:val="24"/>
        </w:rPr>
        <w:t xml:space="preserve">what is now </w:t>
      </w:r>
      <w:r w:rsidRPr="00C1694A">
        <w:rPr>
          <w:rFonts w:ascii="Times New Roman" w:eastAsia="Times New Roman" w:hAnsi="Times New Roman" w:cs="Times New Roman"/>
          <w:sz w:val="24"/>
          <w:szCs w:val="24"/>
        </w:rPr>
        <w:t>paragraph (d)(1)(ii)(B)</w:t>
      </w:r>
      <w:r w:rsidR="007D79A7" w:rsidRPr="00C1694A">
        <w:rPr>
          <w:rFonts w:ascii="Times New Roman" w:eastAsia="Times New Roman" w:hAnsi="Times New Roman" w:cs="Times New Roman"/>
          <w:sz w:val="24"/>
          <w:szCs w:val="24"/>
        </w:rPr>
        <w:t xml:space="preserve"> and </w:t>
      </w:r>
      <w:r w:rsidRPr="00C1694A">
        <w:rPr>
          <w:rFonts w:ascii="Times New Roman" w:eastAsia="Times New Roman" w:hAnsi="Times New Roman" w:cs="Times New Roman"/>
          <w:sz w:val="24"/>
          <w:szCs w:val="24"/>
        </w:rPr>
        <w:t>risks such as a nearby outbreak of influenza or minor incidents such as child biting a classmate are</w:t>
      </w:r>
      <w:r w:rsidR="006B6A4E" w:rsidRPr="00C1694A">
        <w:rPr>
          <w:rFonts w:ascii="Times New Roman" w:eastAsia="Times New Roman" w:hAnsi="Times New Roman" w:cs="Times New Roman"/>
          <w:sz w:val="24"/>
          <w:szCs w:val="24"/>
        </w:rPr>
        <w:t xml:space="preserve"> clearly</w:t>
      </w:r>
      <w:r w:rsidRPr="00C1694A">
        <w:rPr>
          <w:rFonts w:ascii="Times New Roman" w:eastAsia="Times New Roman" w:hAnsi="Times New Roman" w:cs="Times New Roman"/>
          <w:sz w:val="24"/>
          <w:szCs w:val="24"/>
        </w:rPr>
        <w:t xml:space="preserve"> not included.</w:t>
      </w:r>
      <w:r w:rsidRPr="00C1694A">
        <w:rPr>
          <w:rFonts w:ascii="Times New Roman" w:eastAsia="Times New Roman" w:hAnsi="Times New Roman" w:cs="Times New Roman"/>
          <w:iCs/>
          <w:sz w:val="24"/>
          <w:szCs w:val="24"/>
        </w:rPr>
        <w:t xml:space="preserve">  Finally, we </w:t>
      </w:r>
      <w:r w:rsidRPr="00C1694A">
        <w:rPr>
          <w:rFonts w:ascii="Times New Roman" w:eastAsia="Times New Roman" w:hAnsi="Times New Roman" w:cs="Times New Roman"/>
          <w:sz w:val="24"/>
          <w:szCs w:val="24"/>
        </w:rPr>
        <w:t xml:space="preserve">revised </w:t>
      </w:r>
      <w:r w:rsidR="00D51EC6" w:rsidRPr="00C1694A">
        <w:rPr>
          <w:rFonts w:ascii="Times New Roman" w:eastAsia="Times New Roman" w:hAnsi="Times New Roman" w:cs="Times New Roman"/>
          <w:sz w:val="24"/>
          <w:szCs w:val="24"/>
        </w:rPr>
        <w:t xml:space="preserve">what is now </w:t>
      </w:r>
      <w:r w:rsidRPr="00C1694A">
        <w:rPr>
          <w:rFonts w:ascii="Times New Roman" w:eastAsia="Times New Roman" w:hAnsi="Times New Roman" w:cs="Times New Roman"/>
          <w:sz w:val="24"/>
          <w:szCs w:val="24"/>
        </w:rPr>
        <w:t>(d)(1)(ii)</w:t>
      </w:r>
      <w:r w:rsidR="006B6A4E" w:rsidRPr="00C1694A">
        <w:rPr>
          <w:rFonts w:ascii="Times New Roman" w:eastAsia="Times New Roman" w:hAnsi="Times New Roman" w:cs="Times New Roman"/>
          <w:sz w:val="24"/>
          <w:szCs w:val="24"/>
        </w:rPr>
        <w:t>(C</w:t>
      </w:r>
      <w:r w:rsidRPr="00C1694A">
        <w:rPr>
          <w:rFonts w:ascii="Times New Roman" w:eastAsia="Times New Roman" w:hAnsi="Times New Roman" w:cs="Times New Roman"/>
          <w:sz w:val="24"/>
          <w:szCs w:val="24"/>
        </w:rPr>
        <w:t xml:space="preserve">) to better clarify that we only require programs to report legal proceedings that are directly related to program operations. </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noted that the community assessment is too long to include in the annual self-assessment.  These commenters suggested amending the requirement to include only a synopsis or summary of the most recent community assessment.  Additionally, </w:t>
      </w:r>
      <w:r w:rsidR="000F5F8E" w:rsidRPr="00C1694A">
        <w:rPr>
          <w:rFonts w:ascii="Times New Roman" w:eastAsia="Times New Roman" w:hAnsi="Times New Roman" w:cs="Times New Roman"/>
          <w:sz w:val="24"/>
          <w:szCs w:val="24"/>
        </w:rPr>
        <w:t>some</w:t>
      </w:r>
      <w:r w:rsidRPr="00C1694A">
        <w:rPr>
          <w:rFonts w:ascii="Times New Roman" w:eastAsia="Times New Roman" w:hAnsi="Times New Roman" w:cs="Times New Roman"/>
          <w:sz w:val="24"/>
          <w:szCs w:val="24"/>
        </w:rPr>
        <w:t xml:space="preserve"> commenters suggested that inclusion of the community assessment in the self-assessment should be aligned with each grantee’s </w:t>
      </w:r>
      <w:r w:rsidR="00D51EC6" w:rsidRPr="00C1694A">
        <w:rPr>
          <w:rFonts w:ascii="Times New Roman" w:eastAsia="Times New Roman" w:hAnsi="Times New Roman" w:cs="Times New Roman"/>
          <w:sz w:val="24"/>
          <w:szCs w:val="24"/>
        </w:rPr>
        <w:t>five-</w:t>
      </w:r>
      <w:r w:rsidRPr="00C1694A">
        <w:rPr>
          <w:rFonts w:ascii="Times New Roman" w:eastAsia="Times New Roman" w:hAnsi="Times New Roman" w:cs="Times New Roman"/>
          <w:sz w:val="24"/>
          <w:szCs w:val="24"/>
        </w:rPr>
        <w:t>year grant cycle, such that grantees would only be required to include it when their grant cycle is being renewed.</w:t>
      </w:r>
    </w:p>
    <w:p w:rsidR="001A6E55" w:rsidRPr="00C1694A" w:rsidRDefault="001A6E55" w:rsidP="009A526A">
      <w:pPr>
        <w:spacing w:after="0" w:line="480" w:lineRule="auto"/>
        <w:ind w:firstLine="720"/>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We revised </w:t>
      </w:r>
      <w:r w:rsidR="006B6A4E" w:rsidRPr="00C1694A">
        <w:rPr>
          <w:rFonts w:ascii="Times New Roman" w:eastAsia="Times New Roman" w:hAnsi="Times New Roman" w:cs="Times New Roman"/>
          <w:sz w:val="24"/>
          <w:szCs w:val="24"/>
        </w:rPr>
        <w:t>paragraph (d)(2)</w:t>
      </w:r>
      <w:r w:rsidRPr="00C1694A">
        <w:rPr>
          <w:rFonts w:ascii="Times New Roman" w:eastAsia="Times New Roman" w:hAnsi="Times New Roman" w:cs="Times New Roman"/>
          <w:sz w:val="24"/>
          <w:szCs w:val="24"/>
        </w:rPr>
        <w:t xml:space="preserve"> to allow for a summary of the most recent community assessment to be included in the annual self-assessment.  We also clarified that programs must be publish and disseminate the report. </w:t>
      </w:r>
    </w:p>
    <w:p w:rsidR="001A6E55" w:rsidRPr="00C1694A" w:rsidRDefault="001A6E55" w:rsidP="009A526A">
      <w:pPr>
        <w:spacing w:after="0" w:line="480" w:lineRule="auto"/>
        <w:rPr>
          <w:rFonts w:ascii="Times New Roman" w:eastAsia="Times New Roman" w:hAnsi="Times New Roman" w:cs="Times New Roman"/>
          <w:i/>
          <w:sz w:val="24"/>
          <w:szCs w:val="24"/>
        </w:rPr>
      </w:pPr>
      <w:r w:rsidRPr="00C1694A">
        <w:rPr>
          <w:rFonts w:ascii="Times New Roman" w:eastAsia="Times New Roman" w:hAnsi="Times New Roman" w:cs="Times New Roman"/>
          <w:i/>
          <w:sz w:val="24"/>
          <w:szCs w:val="24"/>
        </w:rPr>
        <w:t>§1302.103 Implementation of program</w:t>
      </w:r>
      <w:r w:rsidR="00F42D11" w:rsidRPr="00C1694A">
        <w:rPr>
          <w:rFonts w:ascii="Times New Roman" w:eastAsia="Times New Roman" w:hAnsi="Times New Roman" w:cs="Times New Roman"/>
          <w:i/>
          <w:sz w:val="24"/>
          <w:szCs w:val="24"/>
        </w:rPr>
        <w:t xml:space="preserve"> performance</w:t>
      </w:r>
      <w:r w:rsidRPr="00C1694A">
        <w:rPr>
          <w:rFonts w:ascii="Times New Roman" w:eastAsia="Times New Roman" w:hAnsi="Times New Roman" w:cs="Times New Roman"/>
          <w:i/>
          <w:sz w:val="24"/>
          <w:szCs w:val="24"/>
        </w:rPr>
        <w:t xml:space="preserve"> standards.</w:t>
      </w:r>
    </w:p>
    <w:p w:rsidR="001A6E55" w:rsidRPr="00C1694A" w:rsidRDefault="001A6E55" w:rsidP="009A526A">
      <w:pPr>
        <w:spacing w:after="0" w:line="480" w:lineRule="auto"/>
        <w:ind w:firstLine="720"/>
        <w:rPr>
          <w:rFonts w:ascii="Times New Roman" w:eastAsia="Times New Roman" w:hAnsi="Times New Roman" w:cs="Times New Roman"/>
          <w:iCs/>
          <w:sz w:val="24"/>
          <w:szCs w:val="24"/>
        </w:rPr>
      </w:pPr>
      <w:r w:rsidRPr="00C1694A">
        <w:rPr>
          <w:rFonts w:ascii="Times New Roman" w:eastAsia="Times New Roman" w:hAnsi="Times New Roman" w:cs="Times New Roman"/>
          <w:iCs/>
          <w:sz w:val="24"/>
          <w:szCs w:val="24"/>
        </w:rPr>
        <w:t>This section includes requirements to ensure programs implement the program performance standards effectively and to provide flexibility to programs</w:t>
      </w:r>
      <w:r w:rsidR="00AF08EF" w:rsidRPr="00C1694A">
        <w:rPr>
          <w:rFonts w:ascii="Times New Roman" w:eastAsia="Times New Roman" w:hAnsi="Times New Roman" w:cs="Times New Roman"/>
          <w:iCs/>
          <w:sz w:val="24"/>
          <w:szCs w:val="24"/>
        </w:rPr>
        <w:t xml:space="preserve"> in meeting the requirements of s</w:t>
      </w:r>
      <w:r w:rsidRPr="00C1694A">
        <w:rPr>
          <w:rFonts w:ascii="Times New Roman" w:eastAsia="Times New Roman" w:hAnsi="Times New Roman" w:cs="Times New Roman"/>
          <w:iCs/>
          <w:sz w:val="24"/>
          <w:szCs w:val="24"/>
        </w:rPr>
        <w:t>ubpart B, if any currently enrolled Head Start children could be displaced.</w:t>
      </w:r>
    </w:p>
    <w:p w:rsidR="001A6E55" w:rsidRPr="00C1694A" w:rsidRDefault="001A6E55"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iCs/>
          <w:sz w:val="24"/>
          <w:szCs w:val="24"/>
          <w:u w:val="single"/>
        </w:rPr>
        <w:t>Comment</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sz w:val="24"/>
          <w:szCs w:val="24"/>
        </w:rPr>
        <w:t xml:space="preserve"> Many commenters requested consistent guidance, communication, and training and technical assistance to grantees related to the implementation of the final performance standards, and explicitly the move to full day programs.</w:t>
      </w:r>
    </w:p>
    <w:p w:rsidR="009E0BCF" w:rsidRPr="00C1694A" w:rsidRDefault="009E0BCF" w:rsidP="009A526A">
      <w:pPr>
        <w:spacing w:after="0" w:line="480" w:lineRule="auto"/>
        <w:rPr>
          <w:rFonts w:ascii="Times New Roman" w:hAnsi="Times New Roman" w:cs="Times New Roman"/>
        </w:rPr>
      </w:pPr>
      <w:r w:rsidRPr="00C1694A">
        <w:rPr>
          <w:rFonts w:ascii="Times New Roman" w:eastAsia="Times New Roman" w:hAnsi="Times New Roman" w:cs="Times New Roman"/>
          <w:sz w:val="24"/>
          <w:szCs w:val="24"/>
        </w:rPr>
        <w:tab/>
      </w:r>
      <w:r w:rsidR="001A6E55" w:rsidRPr="00C1694A">
        <w:rPr>
          <w:rFonts w:ascii="Times New Roman" w:eastAsia="Times New Roman" w:hAnsi="Times New Roman" w:cs="Times New Roman"/>
          <w:sz w:val="24"/>
          <w:szCs w:val="24"/>
          <w:u w:val="single"/>
        </w:rPr>
        <w:t>Response:</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The final rule includes a compliance table that outlines that dates by which programs have to be in compliance with the new standards. It shows that many of the provisions go into effect 60 days after publication but that others, such as some of the provision</w:t>
      </w:r>
      <w:r w:rsidR="00AF08EF" w:rsidRPr="00C1694A">
        <w:rPr>
          <w:rFonts w:ascii="Times New Roman" w:hAnsi="Times New Roman" w:cs="Times New Roman"/>
          <w:sz w:val="24"/>
          <w:szCs w:val="24"/>
        </w:rPr>
        <w:t>s</w:t>
      </w:r>
      <w:r w:rsidRPr="00C1694A">
        <w:rPr>
          <w:rFonts w:ascii="Times New Roman" w:hAnsi="Times New Roman" w:cs="Times New Roman"/>
          <w:sz w:val="24"/>
          <w:szCs w:val="24"/>
        </w:rPr>
        <w:t xml:space="preserve"> related to curriculum, assessment, </w:t>
      </w:r>
      <w:r w:rsidR="00AF08EF" w:rsidRPr="00C1694A">
        <w:rPr>
          <w:rFonts w:ascii="Times New Roman" w:hAnsi="Times New Roman" w:cs="Times New Roman"/>
          <w:sz w:val="24"/>
          <w:szCs w:val="24"/>
        </w:rPr>
        <w:t xml:space="preserve">and </w:t>
      </w:r>
      <w:r w:rsidR="00155814" w:rsidRPr="00C1694A">
        <w:rPr>
          <w:rFonts w:ascii="Times New Roman" w:hAnsi="Times New Roman" w:cs="Times New Roman"/>
          <w:sz w:val="24"/>
          <w:szCs w:val="24"/>
        </w:rPr>
        <w:t>coaching</w:t>
      </w:r>
      <w:r w:rsidR="00AF08EF" w:rsidRPr="00C1694A">
        <w:rPr>
          <w:rFonts w:ascii="Times New Roman" w:hAnsi="Times New Roman" w:cs="Times New Roman"/>
          <w:sz w:val="24"/>
          <w:szCs w:val="24"/>
        </w:rPr>
        <w:t>,</w:t>
      </w:r>
      <w:r w:rsidRPr="00C1694A">
        <w:rPr>
          <w:rFonts w:ascii="Times New Roman" w:hAnsi="Times New Roman" w:cs="Times New Roman"/>
          <w:sz w:val="24"/>
          <w:szCs w:val="24"/>
        </w:rPr>
        <w:t xml:space="preserve"> do not require compliance until August 2017 and that the requirement for a longer day and year are further delayed</w:t>
      </w:r>
      <w:r w:rsidR="00AF08EF" w:rsidRPr="00C1694A">
        <w:rPr>
          <w:rFonts w:ascii="Times New Roman" w:hAnsi="Times New Roman" w:cs="Times New Roman"/>
          <w:sz w:val="24"/>
          <w:szCs w:val="24"/>
        </w:rPr>
        <w:t xml:space="preserve">.  We think this </w:t>
      </w:r>
      <w:r w:rsidR="00155814" w:rsidRPr="00C1694A">
        <w:rPr>
          <w:rFonts w:ascii="Times New Roman" w:hAnsi="Times New Roman" w:cs="Times New Roman"/>
          <w:sz w:val="24"/>
          <w:szCs w:val="24"/>
        </w:rPr>
        <w:t>staggered phase-</w:t>
      </w:r>
      <w:r w:rsidR="00AF08EF" w:rsidRPr="00C1694A">
        <w:rPr>
          <w:rFonts w:ascii="Times New Roman" w:hAnsi="Times New Roman" w:cs="Times New Roman"/>
          <w:sz w:val="24"/>
          <w:szCs w:val="24"/>
        </w:rPr>
        <w:t>in</w:t>
      </w:r>
      <w:r w:rsidR="00155814" w:rsidRPr="00C1694A">
        <w:rPr>
          <w:rFonts w:ascii="Times New Roman" w:hAnsi="Times New Roman" w:cs="Times New Roman"/>
          <w:sz w:val="24"/>
          <w:szCs w:val="24"/>
        </w:rPr>
        <w:t xml:space="preserve"> timeline</w:t>
      </w:r>
      <w:r w:rsidR="00AF08EF" w:rsidRPr="00C1694A">
        <w:rPr>
          <w:rFonts w:ascii="Times New Roman" w:hAnsi="Times New Roman" w:cs="Times New Roman"/>
          <w:sz w:val="24"/>
          <w:szCs w:val="24"/>
        </w:rPr>
        <w:t xml:space="preserve"> will give programs adequate time to implement these changes in a thoughtful way with support from OHS and our training and technical assistance system.</w:t>
      </w:r>
    </w:p>
    <w:p w:rsidR="00D00E31" w:rsidRPr="00C1694A" w:rsidRDefault="00D00E31" w:rsidP="009A526A">
      <w:pPr>
        <w:autoSpaceDE w:val="0"/>
        <w:autoSpaceDN w:val="0"/>
        <w:adjustRightInd w:val="0"/>
        <w:spacing w:after="0" w:line="240" w:lineRule="auto"/>
        <w:rPr>
          <w:rFonts w:ascii="Times New Roman" w:hAnsi="Times New Roman" w:cs="Times New Roman"/>
          <w:sz w:val="24"/>
          <w:szCs w:val="24"/>
        </w:rPr>
      </w:pPr>
    </w:p>
    <w:p w:rsidR="00692FA2" w:rsidRPr="00C1694A" w:rsidRDefault="00692FA2" w:rsidP="009A526A">
      <w:pPr>
        <w:autoSpaceDE w:val="0"/>
        <w:autoSpaceDN w:val="0"/>
        <w:adjustRightInd w:val="0"/>
        <w:spacing w:after="0" w:line="240" w:lineRule="auto"/>
        <w:rPr>
          <w:rFonts w:ascii="Times New Roman" w:hAnsi="Times New Roman" w:cs="Times New Roman"/>
          <w:b/>
          <w:sz w:val="24"/>
          <w:szCs w:val="24"/>
        </w:rPr>
      </w:pPr>
    </w:p>
    <w:p w:rsidR="004133D8" w:rsidRPr="00C1694A" w:rsidRDefault="004133D8">
      <w:pPr>
        <w:rPr>
          <w:rFonts w:ascii="Times New Roman" w:hAnsi="Times New Roman" w:cs="Times New Roman"/>
        </w:rPr>
      </w:pPr>
      <w:r w:rsidRPr="00C1694A">
        <w:rPr>
          <w:rFonts w:ascii="Times New Roman" w:hAnsi="Times New Roman" w:cs="Times New Roman"/>
          <w:b/>
          <w:kern w:val="36"/>
          <w:sz w:val="24"/>
        </w:rPr>
        <w:t xml:space="preserve">FINANCIAL AND ADMINISTRATIVE REQUIREMENTS; PART 1303 </w:t>
      </w:r>
    </w:p>
    <w:p w:rsidR="00D00E31" w:rsidRPr="00C1694A" w:rsidRDefault="00061E6D" w:rsidP="009A526A">
      <w:pPr>
        <w:autoSpaceDE w:val="0"/>
        <w:autoSpaceDN w:val="0"/>
        <w:adjustRightInd w:val="0"/>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This part lays out financial and administrative requirements for agencies. </w:t>
      </w:r>
    </w:p>
    <w:p w:rsidR="006E7F2E" w:rsidRPr="00C1694A" w:rsidRDefault="006E7F2E" w:rsidP="009A526A">
      <w:pPr>
        <w:autoSpaceDE w:val="0"/>
        <w:autoSpaceDN w:val="0"/>
        <w:adjustRightInd w:val="0"/>
        <w:spacing w:after="0" w:line="240" w:lineRule="auto"/>
        <w:rPr>
          <w:rFonts w:ascii="Times New Roman" w:hAnsi="Times New Roman" w:cs="Times New Roman"/>
          <w:sz w:val="24"/>
          <w:szCs w:val="24"/>
        </w:rPr>
      </w:pPr>
    </w:p>
    <w:p w:rsidR="006E7F2E" w:rsidRPr="00C1694A" w:rsidRDefault="006E7F2E" w:rsidP="009A526A">
      <w:pPr>
        <w:autoSpaceDE w:val="0"/>
        <w:autoSpaceDN w:val="0"/>
        <w:adjustRightInd w:val="0"/>
        <w:spacing w:after="0" w:line="240" w:lineRule="auto"/>
        <w:rPr>
          <w:rFonts w:ascii="Times New Roman" w:hAnsi="Times New Roman" w:cs="Times New Roman"/>
          <w:sz w:val="24"/>
          <w:szCs w:val="24"/>
        </w:rPr>
      </w:pPr>
    </w:p>
    <w:p w:rsidR="006E7F2E" w:rsidRPr="00C1694A" w:rsidRDefault="00F42D11"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w:t>
      </w:r>
      <w:r w:rsidR="006E7F2E" w:rsidRPr="00C1694A">
        <w:rPr>
          <w:rFonts w:ascii="Times New Roman" w:hAnsi="Times New Roman" w:cs="Times New Roman"/>
          <w:i/>
          <w:sz w:val="24"/>
          <w:szCs w:val="24"/>
        </w:rPr>
        <w:t>1 Overview.</w:t>
      </w:r>
    </w:p>
    <w:p w:rsidR="006E7F2E" w:rsidRPr="00C1694A" w:rsidRDefault="006E7F2E" w:rsidP="009A526A">
      <w:pPr>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 xml:space="preserve">This part specifies the financial and administrative requirements for programs consistent with various sections in the Act.  Subpart A outlines the financial requirements; </w:t>
      </w:r>
      <w:r w:rsidR="00CA0B4C" w:rsidRPr="00C1694A">
        <w:rPr>
          <w:rFonts w:ascii="Times New Roman" w:hAnsi="Times New Roman" w:cs="Times New Roman"/>
          <w:bCs/>
          <w:sz w:val="24"/>
          <w:szCs w:val="24"/>
        </w:rPr>
        <w:t>s</w:t>
      </w:r>
      <w:r w:rsidRPr="00C1694A">
        <w:rPr>
          <w:rFonts w:ascii="Times New Roman" w:hAnsi="Times New Roman" w:cs="Times New Roman"/>
          <w:bCs/>
          <w:sz w:val="24"/>
          <w:szCs w:val="24"/>
        </w:rPr>
        <w:t xml:space="preserve">ubpart B focuses on administrative requirements; </w:t>
      </w:r>
      <w:r w:rsidR="00CA0B4C" w:rsidRPr="00C1694A">
        <w:rPr>
          <w:rFonts w:ascii="Times New Roman" w:hAnsi="Times New Roman" w:cs="Times New Roman"/>
          <w:bCs/>
          <w:sz w:val="24"/>
          <w:szCs w:val="24"/>
        </w:rPr>
        <w:t>s</w:t>
      </w:r>
      <w:r w:rsidRPr="00C1694A">
        <w:rPr>
          <w:rFonts w:ascii="Times New Roman" w:hAnsi="Times New Roman" w:cs="Times New Roman"/>
          <w:bCs/>
          <w:sz w:val="24"/>
          <w:szCs w:val="24"/>
        </w:rPr>
        <w:t xml:space="preserve">ubpart C implements statutory provisions related to personally identifiable data, information, and records; </w:t>
      </w:r>
      <w:r w:rsidR="00CA0B4C" w:rsidRPr="00C1694A">
        <w:rPr>
          <w:rFonts w:ascii="Times New Roman" w:hAnsi="Times New Roman" w:cs="Times New Roman"/>
          <w:bCs/>
          <w:sz w:val="24"/>
          <w:szCs w:val="24"/>
        </w:rPr>
        <w:t>s</w:t>
      </w:r>
      <w:r w:rsidRPr="00C1694A">
        <w:rPr>
          <w:rFonts w:ascii="Times New Roman" w:hAnsi="Times New Roman" w:cs="Times New Roman"/>
          <w:bCs/>
          <w:sz w:val="24"/>
          <w:szCs w:val="24"/>
        </w:rPr>
        <w:t xml:space="preserve">ubpart D outlines the requirements for the operation of delegate agencies; </w:t>
      </w:r>
      <w:r w:rsidR="00CA0B4C" w:rsidRPr="00C1694A">
        <w:rPr>
          <w:rFonts w:ascii="Times New Roman" w:hAnsi="Times New Roman" w:cs="Times New Roman"/>
          <w:bCs/>
          <w:sz w:val="24"/>
          <w:szCs w:val="24"/>
        </w:rPr>
        <w:t>s</w:t>
      </w:r>
      <w:r w:rsidRPr="00C1694A">
        <w:rPr>
          <w:rFonts w:ascii="Times New Roman" w:hAnsi="Times New Roman" w:cs="Times New Roman"/>
          <w:bCs/>
          <w:sz w:val="24"/>
          <w:szCs w:val="24"/>
        </w:rPr>
        <w:t>ubpart E implements statutory provisions related to facilities</w:t>
      </w:r>
      <w:r w:rsidR="00B7239C" w:rsidRPr="00C1694A">
        <w:rPr>
          <w:rFonts w:ascii="Times New Roman" w:hAnsi="Times New Roman" w:cs="Times New Roman"/>
          <w:bCs/>
          <w:sz w:val="24"/>
          <w:szCs w:val="24"/>
        </w:rPr>
        <w:t>; and subpart F describes transportation requirements</w:t>
      </w:r>
      <w:r w:rsidRPr="00C1694A">
        <w:rPr>
          <w:rFonts w:ascii="Times New Roman" w:hAnsi="Times New Roman" w:cs="Times New Roman"/>
          <w:bCs/>
          <w:sz w:val="24"/>
          <w:szCs w:val="24"/>
        </w:rPr>
        <w:t xml:space="preserve">. We received comments on each of these subparts. We summarize comments and provide our response below.   </w:t>
      </w:r>
    </w:p>
    <w:p w:rsidR="00F42D11" w:rsidRPr="00C1694A" w:rsidRDefault="00F42D11" w:rsidP="009A526A">
      <w:pPr>
        <w:spacing w:after="0" w:line="480" w:lineRule="auto"/>
        <w:ind w:firstLine="720"/>
        <w:rPr>
          <w:rFonts w:ascii="Times New Roman" w:hAnsi="Times New Roman" w:cs="Times New Roman"/>
          <w:bCs/>
          <w:sz w:val="24"/>
          <w:szCs w:val="24"/>
        </w:rPr>
      </w:pPr>
    </w:p>
    <w:p w:rsidR="006E7F2E" w:rsidRPr="00C1694A" w:rsidRDefault="006E7F2E" w:rsidP="009A526A">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Financial Requirements</w:t>
      </w:r>
      <w:r w:rsidR="001A61B5" w:rsidRPr="00C1694A">
        <w:rPr>
          <w:rFonts w:ascii="Times New Roman" w:hAnsi="Times New Roman" w:cs="Times New Roman"/>
          <w:b/>
          <w:sz w:val="24"/>
          <w:szCs w:val="24"/>
        </w:rPr>
        <w:t>; Subpart A</w:t>
      </w:r>
      <w:r w:rsidRPr="00C1694A">
        <w:rPr>
          <w:rFonts w:ascii="Times New Roman" w:hAnsi="Times New Roman" w:cs="Times New Roman"/>
          <w:b/>
          <w:sz w:val="24"/>
          <w:szCs w:val="24"/>
        </w:rPr>
        <w:t xml:space="preserve"> </w:t>
      </w:r>
    </w:p>
    <w:p w:rsidR="006E7F2E" w:rsidRPr="00C1694A" w:rsidRDefault="006E7F2E" w:rsidP="009A526A">
      <w:pPr>
        <w:spacing w:after="0" w:line="480" w:lineRule="auto"/>
        <w:ind w:firstLine="720"/>
        <w:rPr>
          <w:rFonts w:ascii="Times New Roman" w:hAnsi="Times New Roman" w:cs="Times New Roman"/>
          <w:sz w:val="24"/>
          <w:szCs w:val="24"/>
          <w:u w:val="single"/>
        </w:rPr>
      </w:pPr>
      <w:r w:rsidRPr="00C1694A">
        <w:rPr>
          <w:rFonts w:ascii="Times New Roman" w:eastAsia="Times New Roman" w:hAnsi="Times New Roman" w:cs="Times New Roman"/>
          <w:bCs/>
          <w:sz w:val="24"/>
          <w:szCs w:val="24"/>
        </w:rPr>
        <w:t>This subpart reorganizes, revises</w:t>
      </w:r>
      <w:r w:rsidR="00215A21"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 xml:space="preserve"> and streamlines the financial requirements in subpart</w:t>
      </w:r>
      <w:r w:rsidR="00CA0B4C" w:rsidRPr="00C1694A">
        <w:rPr>
          <w:rFonts w:ascii="Times New Roman" w:eastAsia="Times New Roman" w:hAnsi="Times New Roman" w:cs="Times New Roman"/>
          <w:bCs/>
          <w:sz w:val="24"/>
          <w:szCs w:val="24"/>
        </w:rPr>
        <w:t>s</w:t>
      </w:r>
      <w:r w:rsidRPr="00C1694A">
        <w:rPr>
          <w:rFonts w:ascii="Times New Roman" w:eastAsia="Times New Roman" w:hAnsi="Times New Roman" w:cs="Times New Roman"/>
          <w:bCs/>
          <w:sz w:val="24"/>
          <w:szCs w:val="24"/>
        </w:rPr>
        <w:t xml:space="preserve"> A, B, C</w:t>
      </w:r>
      <w:r w:rsidR="00215A21"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 xml:space="preserve"> and D of part 1301 in the previous performance standards.  This purpose of these changes is to organize the requirements in a more logical order, conform to recent changes in regulations that govern all federal grants, and reduce the administrative burden on agencies.</w:t>
      </w:r>
    </w:p>
    <w:p w:rsidR="006E7F2E" w:rsidRPr="00C1694A" w:rsidRDefault="006E7F2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§1303.2 </w:t>
      </w:r>
      <w:r w:rsidR="00B56C65">
        <w:rPr>
          <w:rFonts w:ascii="Times New Roman" w:hAnsi="Times New Roman" w:cs="Times New Roman"/>
          <w:i/>
          <w:sz w:val="24"/>
          <w:szCs w:val="24"/>
        </w:rPr>
        <w:t>Purpose</w:t>
      </w:r>
      <w:r w:rsidR="00F42D11" w:rsidRPr="00C1694A">
        <w:rPr>
          <w:rFonts w:ascii="Times New Roman" w:hAnsi="Times New Roman" w:cs="Times New Roman"/>
          <w:i/>
          <w:sz w:val="24"/>
          <w:szCs w:val="24"/>
        </w:rPr>
        <w:t>.</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This section specifies that the purpose of this subpart is to establish requirements for program administration and grants management that apply to all grants under the Act. A summary of comments and our responses is below.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w:t>
      </w:r>
      <w:r w:rsidR="000F5F8E" w:rsidRPr="00C1694A">
        <w:rPr>
          <w:rFonts w:ascii="Times New Roman" w:eastAsia="Times New Roman" w:hAnsi="Times New Roman" w:cs="Times New Roman"/>
          <w:bCs/>
          <w:sz w:val="24"/>
          <w:szCs w:val="24"/>
        </w:rPr>
        <w:t>Some</w:t>
      </w:r>
      <w:r w:rsidRPr="00C1694A">
        <w:rPr>
          <w:rFonts w:ascii="Times New Roman" w:eastAsia="Times New Roman" w:hAnsi="Times New Roman" w:cs="Times New Roman"/>
          <w:bCs/>
          <w:sz w:val="24"/>
          <w:szCs w:val="24"/>
        </w:rPr>
        <w:t xml:space="preserve"> commenters were pleased we removed the accounting system certification we required in the previous performance standards at §1303.11.  They stated that it resulted in added cost for programs with limited or no gain.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We agree the certification was an unnecessary burden to grantees and their financial professionals.</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eastAsia="Times New Roman" w:hAnsi="Times New Roman" w:cs="Times New Roman"/>
          <w:bCs/>
          <w:sz w:val="24"/>
          <w:szCs w:val="24"/>
        </w:rPr>
        <w:t>Some</w:t>
      </w:r>
      <w:r w:rsidRPr="00C1694A">
        <w:rPr>
          <w:rFonts w:ascii="Times New Roman" w:eastAsia="Times New Roman" w:hAnsi="Times New Roman" w:cs="Times New Roman"/>
          <w:bCs/>
          <w:sz w:val="24"/>
          <w:szCs w:val="24"/>
        </w:rPr>
        <w:t xml:space="preserve"> commenters suggested that we should not have removed the annual audit requirement in §1301.12 of the previous performance standards.</w:t>
      </w:r>
      <w:r w:rsidR="00596FC8" w:rsidRPr="00C1694A">
        <w:rPr>
          <w:rFonts w:ascii="Times New Roman" w:eastAsia="Times New Roman" w:hAnsi="Times New Roman" w:cs="Times New Roman"/>
          <w:bCs/>
          <w:sz w:val="24"/>
          <w:szCs w:val="24"/>
        </w:rPr>
        <w:t xml:space="preserve">  Many commenters recommended we clarify that an annual audit is still an allowable expense for programs of all sizes.</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Response:</w:t>
      </w:r>
      <w:r w:rsidRPr="00C1694A">
        <w:rPr>
          <w:rFonts w:ascii="Times New Roman" w:hAnsi="Times New Roman" w:cs="Times New Roman"/>
          <w:sz w:val="24"/>
          <w:szCs w:val="24"/>
        </w:rPr>
        <w:t xml:space="preserve">  T</w:t>
      </w:r>
      <w:r w:rsidRPr="00C1694A">
        <w:rPr>
          <w:rFonts w:ascii="Times New Roman" w:eastAsia="Times New Roman" w:hAnsi="Times New Roman" w:cs="Times New Roman"/>
          <w:bCs/>
          <w:sz w:val="24"/>
          <w:szCs w:val="24"/>
        </w:rPr>
        <w:t xml:space="preserve">he Office of Management and Budget establishes audit requirements and specified their requirement related to </w:t>
      </w:r>
      <w:r w:rsidR="0048725D" w:rsidRPr="00C1694A">
        <w:rPr>
          <w:rFonts w:ascii="Times New Roman" w:eastAsia="Times New Roman" w:hAnsi="Times New Roman" w:cs="Times New Roman"/>
          <w:bCs/>
          <w:sz w:val="24"/>
          <w:szCs w:val="24"/>
        </w:rPr>
        <w:t xml:space="preserve">all federally required </w:t>
      </w:r>
      <w:r w:rsidRPr="00C1694A">
        <w:rPr>
          <w:rFonts w:ascii="Times New Roman" w:eastAsia="Times New Roman" w:hAnsi="Times New Roman" w:cs="Times New Roman"/>
          <w:bCs/>
          <w:sz w:val="24"/>
          <w:szCs w:val="24"/>
        </w:rPr>
        <w:t>au</w:t>
      </w:r>
      <w:r w:rsidR="0048725D" w:rsidRPr="00C1694A">
        <w:rPr>
          <w:rFonts w:ascii="Times New Roman" w:eastAsia="Times New Roman" w:hAnsi="Times New Roman" w:cs="Times New Roman"/>
          <w:bCs/>
          <w:sz w:val="24"/>
          <w:szCs w:val="24"/>
        </w:rPr>
        <w:t>dits in the Uniform Guidance.</w:t>
      </w:r>
      <w:r w:rsidRPr="00C1694A">
        <w:rPr>
          <w:rFonts w:ascii="Times New Roman" w:hAnsi="Times New Roman" w:cs="Times New Roman"/>
          <w:sz w:val="24"/>
          <w:szCs w:val="24"/>
        </w:rPr>
        <w:t xml:space="preserve"> </w:t>
      </w:r>
      <w:r w:rsidR="00596FC8" w:rsidRPr="00C1694A">
        <w:rPr>
          <w:rFonts w:ascii="Times New Roman" w:hAnsi="Times New Roman" w:cs="Times New Roman"/>
          <w:sz w:val="24"/>
          <w:szCs w:val="24"/>
        </w:rPr>
        <w:t>Audits are a</w:t>
      </w:r>
      <w:r w:rsidR="002622A0" w:rsidRPr="00C1694A">
        <w:rPr>
          <w:rFonts w:ascii="Times New Roman" w:hAnsi="Times New Roman" w:cs="Times New Roman"/>
          <w:sz w:val="24"/>
          <w:szCs w:val="24"/>
        </w:rPr>
        <w:t xml:space="preserve"> permissible</w:t>
      </w:r>
      <w:r w:rsidR="00596FC8" w:rsidRPr="00C1694A">
        <w:rPr>
          <w:rFonts w:ascii="Times New Roman" w:hAnsi="Times New Roman" w:cs="Times New Roman"/>
          <w:sz w:val="24"/>
          <w:szCs w:val="24"/>
        </w:rPr>
        <w:t xml:space="preserve"> expense</w:t>
      </w:r>
      <w:r w:rsidR="002622A0" w:rsidRPr="00C1694A">
        <w:rPr>
          <w:rFonts w:ascii="Times New Roman" w:hAnsi="Times New Roman" w:cs="Times New Roman"/>
          <w:sz w:val="24"/>
          <w:szCs w:val="24"/>
        </w:rPr>
        <w:t xml:space="preserve"> regardless of program size</w:t>
      </w:r>
      <w:r w:rsidR="00596FC8" w:rsidRPr="00C1694A">
        <w:rPr>
          <w:rFonts w:ascii="Times New Roman" w:hAnsi="Times New Roman" w:cs="Times New Roman"/>
          <w:sz w:val="24"/>
          <w:szCs w:val="24"/>
        </w:rPr>
        <w:t>.  No changes to this section are necessary.</w:t>
      </w:r>
    </w:p>
    <w:p w:rsidR="006E7F2E" w:rsidRPr="00C1694A" w:rsidRDefault="006E7F2E" w:rsidP="009A526A">
      <w:pPr>
        <w:spacing w:after="0" w:line="480" w:lineRule="auto"/>
        <w:rPr>
          <w:rFonts w:ascii="Times New Roman" w:eastAsia="Times New Roman" w:hAnsi="Times New Roman" w:cs="Times New Roman"/>
          <w:bCs/>
          <w:i/>
          <w:sz w:val="24"/>
          <w:szCs w:val="24"/>
        </w:rPr>
      </w:pPr>
      <w:r w:rsidRPr="00C1694A">
        <w:rPr>
          <w:rFonts w:ascii="Times New Roman" w:eastAsia="Times New Roman" w:hAnsi="Times New Roman" w:cs="Times New Roman"/>
          <w:bCs/>
          <w:i/>
          <w:sz w:val="24"/>
          <w:szCs w:val="24"/>
        </w:rPr>
        <w:t xml:space="preserve">§1303.3 Other requirements.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This section displays in a chart an updated list of HHS regulations that apply to all grants made under the Act.  We received </w:t>
      </w:r>
      <w:r w:rsidR="00596FC8" w:rsidRPr="00C1694A">
        <w:rPr>
          <w:rFonts w:ascii="Times New Roman" w:eastAsia="Times New Roman" w:hAnsi="Times New Roman" w:cs="Times New Roman"/>
          <w:bCs/>
          <w:sz w:val="24"/>
          <w:szCs w:val="24"/>
        </w:rPr>
        <w:t>many</w:t>
      </w:r>
      <w:r w:rsidRPr="00C1694A">
        <w:rPr>
          <w:rFonts w:ascii="Times New Roman" w:eastAsia="Times New Roman" w:hAnsi="Times New Roman" w:cs="Times New Roman"/>
          <w:bCs/>
          <w:sz w:val="24"/>
          <w:szCs w:val="24"/>
        </w:rPr>
        <w:t xml:space="preserve"> comments on this chart.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Commenters suggested we clarify what is required for issuance of a Dun and Bradstreet </w:t>
      </w:r>
      <w:r w:rsidRPr="00C1694A">
        <w:rPr>
          <w:rFonts w:ascii="Times New Roman" w:eastAsia="Times New Roman" w:hAnsi="Times New Roman" w:cs="Times New Roman"/>
          <w:bCs/>
          <w:sz w:val="24"/>
          <w:szCs w:val="24"/>
          <w:lang w:val="en"/>
        </w:rPr>
        <w:t>Data Universal Number System (</w:t>
      </w:r>
      <w:r w:rsidRPr="00C1694A">
        <w:rPr>
          <w:rFonts w:ascii="Times New Roman" w:eastAsia="Times New Roman" w:hAnsi="Times New Roman" w:cs="Times New Roman"/>
          <w:bCs/>
          <w:sz w:val="24"/>
          <w:szCs w:val="24"/>
        </w:rPr>
        <w:t>DUNS) number and annual or reoccurring reporting requirements.</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We did not make changes in response to this comment.  We believe that</w:t>
      </w:r>
      <w:r w:rsidR="00301051" w:rsidRPr="00C1694A">
        <w:rPr>
          <w:rFonts w:ascii="Times New Roman" w:eastAsia="Times New Roman" w:hAnsi="Times New Roman" w:cs="Times New Roman"/>
          <w:bCs/>
          <w:sz w:val="24"/>
          <w:szCs w:val="24"/>
        </w:rPr>
        <w:t xml:space="preserve"> the cross-reference to 2 CFR</w:t>
      </w:r>
      <w:r w:rsidRPr="00C1694A">
        <w:rPr>
          <w:rFonts w:ascii="Times New Roman" w:eastAsia="Times New Roman" w:hAnsi="Times New Roman" w:cs="Times New Roman"/>
          <w:bCs/>
          <w:sz w:val="24"/>
          <w:szCs w:val="24"/>
        </w:rPr>
        <w:t xml:space="preserve"> 25.10 CCR (Central Contractor Registration)/DUNS provides grantees with sufficient DUNS information to support initial and ongoing compliance and reporting requirements.    </w:t>
      </w:r>
    </w:p>
    <w:p w:rsidR="006E7F2E" w:rsidRPr="00C1694A" w:rsidRDefault="006E7F2E" w:rsidP="009A526A">
      <w:pPr>
        <w:spacing w:after="0" w:line="480" w:lineRule="auto"/>
        <w:rPr>
          <w:rFonts w:ascii="Times New Roman" w:eastAsia="Times New Roman" w:hAnsi="Times New Roman" w:cs="Times New Roman"/>
          <w:bCs/>
          <w:i/>
          <w:sz w:val="24"/>
          <w:szCs w:val="24"/>
        </w:rPr>
      </w:pPr>
      <w:r w:rsidRPr="00C1694A">
        <w:rPr>
          <w:rFonts w:ascii="Times New Roman" w:eastAsia="Times New Roman" w:hAnsi="Times New Roman" w:cs="Times New Roman"/>
          <w:bCs/>
          <w:i/>
          <w:sz w:val="24"/>
          <w:szCs w:val="24"/>
        </w:rPr>
        <w:t>§1303.4 Federal financial assistance, non-federal match</w:t>
      </w:r>
      <w:r w:rsidR="00F42D11" w:rsidRPr="00C1694A">
        <w:rPr>
          <w:rFonts w:ascii="Times New Roman" w:eastAsia="Times New Roman" w:hAnsi="Times New Roman" w:cs="Times New Roman"/>
          <w:bCs/>
          <w:i/>
          <w:sz w:val="24"/>
          <w:szCs w:val="24"/>
        </w:rPr>
        <w:t>,</w:t>
      </w:r>
      <w:r w:rsidRPr="00C1694A">
        <w:rPr>
          <w:rFonts w:ascii="Times New Roman" w:eastAsia="Times New Roman" w:hAnsi="Times New Roman" w:cs="Times New Roman"/>
          <w:bCs/>
          <w:i/>
          <w:sz w:val="24"/>
          <w:szCs w:val="24"/>
        </w:rPr>
        <w:t xml:space="preserve"> and wa</w:t>
      </w:r>
      <w:r w:rsidR="00F42D11" w:rsidRPr="00C1694A">
        <w:rPr>
          <w:rFonts w:ascii="Times New Roman" w:eastAsia="Times New Roman" w:hAnsi="Times New Roman" w:cs="Times New Roman"/>
          <w:bCs/>
          <w:i/>
          <w:sz w:val="24"/>
          <w:szCs w:val="24"/>
        </w:rPr>
        <w:t>i</w:t>
      </w:r>
      <w:r w:rsidRPr="00C1694A">
        <w:rPr>
          <w:rFonts w:ascii="Times New Roman" w:eastAsia="Times New Roman" w:hAnsi="Times New Roman" w:cs="Times New Roman"/>
          <w:bCs/>
          <w:i/>
          <w:sz w:val="24"/>
          <w:szCs w:val="24"/>
        </w:rPr>
        <w:t>ver requirements</w:t>
      </w:r>
      <w:r w:rsidR="00F42D11" w:rsidRPr="00C1694A">
        <w:rPr>
          <w:rFonts w:ascii="Times New Roman" w:eastAsia="Times New Roman" w:hAnsi="Times New Roman" w:cs="Times New Roman"/>
          <w:bCs/>
          <w:i/>
          <w:sz w:val="24"/>
          <w:szCs w:val="24"/>
        </w:rPr>
        <w:t>.</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This section consolidates into one section the financial assistance, non-federal match, and waiver requirements that were in §§1301.20 and 1301.21 of the previous performance standards. We did not receive comments on this section but made two technical changes to the regulatory text in the final rule.  First, we used the term “non-federal match” throughout, instead of “non-federal share match” or “non-federal share matching” to be consistent and to more closely align with the Uniform Guidance.  Second, we modified the language to state that a waiver of all or a portion of non-federal match could be approved “for” the budget period instead of “during” the budget period.  Since waivers </w:t>
      </w:r>
      <w:r w:rsidR="0048725D" w:rsidRPr="00C1694A">
        <w:rPr>
          <w:rFonts w:ascii="Times New Roman" w:eastAsia="Times New Roman" w:hAnsi="Times New Roman" w:cs="Times New Roman"/>
          <w:bCs/>
          <w:sz w:val="24"/>
          <w:szCs w:val="24"/>
        </w:rPr>
        <w:t xml:space="preserve">after the close of the budget period </w:t>
      </w:r>
      <w:r w:rsidRPr="00C1694A">
        <w:rPr>
          <w:rFonts w:ascii="Times New Roman" w:eastAsia="Times New Roman" w:hAnsi="Times New Roman" w:cs="Times New Roman"/>
          <w:bCs/>
          <w:sz w:val="24"/>
          <w:szCs w:val="24"/>
        </w:rPr>
        <w:t xml:space="preserve">are possible, we wanted to ensure the language reflects </w:t>
      </w:r>
      <w:r w:rsidR="0048725D" w:rsidRPr="00C1694A">
        <w:rPr>
          <w:rFonts w:ascii="Times New Roman" w:eastAsia="Times New Roman" w:hAnsi="Times New Roman" w:cs="Times New Roman"/>
          <w:bCs/>
          <w:sz w:val="24"/>
          <w:szCs w:val="24"/>
        </w:rPr>
        <w:t>that allowable activity</w:t>
      </w:r>
      <w:r w:rsidRPr="00C1694A">
        <w:rPr>
          <w:rFonts w:ascii="Times New Roman" w:eastAsia="Times New Roman" w:hAnsi="Times New Roman" w:cs="Times New Roman"/>
          <w:bCs/>
          <w:sz w:val="24"/>
          <w:szCs w:val="24"/>
        </w:rPr>
        <w:t>.</w:t>
      </w:r>
    </w:p>
    <w:p w:rsidR="006E7F2E" w:rsidRPr="00C1694A" w:rsidRDefault="006E7F2E" w:rsidP="009A526A">
      <w:pPr>
        <w:spacing w:after="0" w:line="480" w:lineRule="auto"/>
        <w:rPr>
          <w:rFonts w:ascii="Times New Roman" w:eastAsia="Times New Roman" w:hAnsi="Times New Roman" w:cs="Times New Roman"/>
          <w:bCs/>
          <w:i/>
          <w:sz w:val="24"/>
          <w:szCs w:val="24"/>
        </w:rPr>
      </w:pPr>
      <w:r w:rsidRPr="00C1694A">
        <w:rPr>
          <w:rFonts w:ascii="Times New Roman" w:eastAsia="Times New Roman" w:hAnsi="Times New Roman" w:cs="Times New Roman"/>
          <w:bCs/>
          <w:i/>
          <w:sz w:val="24"/>
          <w:szCs w:val="24"/>
        </w:rPr>
        <w:t>§1303.5 Limitations on development and administrative costs</w:t>
      </w:r>
      <w:r w:rsidR="00380A4E" w:rsidRPr="00C1694A">
        <w:rPr>
          <w:rFonts w:ascii="Times New Roman" w:eastAsia="Times New Roman" w:hAnsi="Times New Roman" w:cs="Times New Roman"/>
          <w:bCs/>
          <w:i/>
          <w:sz w:val="24"/>
          <w:szCs w:val="24"/>
        </w:rPr>
        <w:t>.</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This section affirms the requirement in</w:t>
      </w:r>
      <w:r w:rsidR="00EF7557" w:rsidRPr="00C1694A">
        <w:rPr>
          <w:rFonts w:ascii="Times New Roman" w:eastAsia="Times New Roman" w:hAnsi="Times New Roman" w:cs="Times New Roman"/>
          <w:bCs/>
          <w:sz w:val="24"/>
          <w:szCs w:val="24"/>
        </w:rPr>
        <w:t xml:space="preserve"> </w:t>
      </w:r>
      <w:r w:rsidR="00147BAE" w:rsidRPr="00C1694A">
        <w:rPr>
          <w:rFonts w:ascii="Times New Roman" w:eastAsia="Times New Roman" w:hAnsi="Times New Roman" w:cs="Times New Roman"/>
          <w:bCs/>
          <w:sz w:val="24"/>
          <w:szCs w:val="24"/>
        </w:rPr>
        <w:t>s</w:t>
      </w:r>
      <w:r w:rsidRPr="00C1694A">
        <w:rPr>
          <w:rFonts w:ascii="Times New Roman" w:eastAsia="Times New Roman" w:hAnsi="Times New Roman" w:cs="Times New Roman"/>
          <w:bCs/>
          <w:sz w:val="24"/>
          <w:szCs w:val="24"/>
        </w:rPr>
        <w:t xml:space="preserve">ection 644(b) of the Act that agencies not exceed the 15 percent cap on development and administration.  It also implements the requirement in </w:t>
      </w:r>
      <w:r w:rsidR="00147BAE" w:rsidRPr="00C1694A">
        <w:rPr>
          <w:rFonts w:ascii="Times New Roman" w:eastAsia="Times New Roman" w:hAnsi="Times New Roman" w:cs="Times New Roman"/>
          <w:bCs/>
          <w:sz w:val="24"/>
          <w:szCs w:val="24"/>
        </w:rPr>
        <w:t>s</w:t>
      </w:r>
      <w:r w:rsidRPr="00C1694A">
        <w:rPr>
          <w:rFonts w:ascii="Times New Roman" w:eastAsia="Times New Roman" w:hAnsi="Times New Roman" w:cs="Times New Roman"/>
          <w:bCs/>
          <w:sz w:val="24"/>
          <w:szCs w:val="24"/>
        </w:rPr>
        <w:t xml:space="preserve">ection 644(b) of the Act that the Secretary establish criteria for determining the costs of developing and administering a program and the total costs of such a program.  In contrast to §1301.32(b) through (f) of the previous performance standards, this section represents a simplified and streamlined approach that requires grantees to categorize, identify, and allocate costs in order to determine whether they meet the 15 percent administrative cap.  This section also specifies the requirements related to waivers of the cap on development and administration.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We received comments on this section </w:t>
      </w:r>
      <w:r w:rsidR="0048725D" w:rsidRPr="00C1694A">
        <w:rPr>
          <w:rFonts w:ascii="Times New Roman" w:eastAsia="Times New Roman" w:hAnsi="Times New Roman" w:cs="Times New Roman"/>
          <w:bCs/>
          <w:sz w:val="24"/>
          <w:szCs w:val="24"/>
        </w:rPr>
        <w:t>and</w:t>
      </w:r>
      <w:r w:rsidRPr="00C1694A">
        <w:rPr>
          <w:rFonts w:ascii="Times New Roman" w:eastAsia="Times New Roman" w:hAnsi="Times New Roman" w:cs="Times New Roman"/>
          <w:bCs/>
          <w:sz w:val="24"/>
          <w:szCs w:val="24"/>
        </w:rPr>
        <w:t xml:space="preserve"> made one technical change to the regulatory text in the final rule. We removed the language requiring that a waiver not exceed 12 months to provide for the possibility of longer budget periods like </w:t>
      </w:r>
      <w:r w:rsidR="000C1E21" w:rsidRPr="00C1694A">
        <w:rPr>
          <w:rFonts w:ascii="Times New Roman" w:eastAsia="Times New Roman" w:hAnsi="Times New Roman" w:cs="Times New Roman"/>
          <w:bCs/>
          <w:sz w:val="24"/>
          <w:szCs w:val="24"/>
        </w:rPr>
        <w:t>those used for</w:t>
      </w:r>
      <w:r w:rsidRPr="00C1694A">
        <w:rPr>
          <w:rFonts w:ascii="Times New Roman" w:eastAsia="Times New Roman" w:hAnsi="Times New Roman" w:cs="Times New Roman"/>
          <w:bCs/>
          <w:sz w:val="24"/>
          <w:szCs w:val="24"/>
        </w:rPr>
        <w:t xml:space="preserve"> the Early Head Start-Child Care partnerships. </w:t>
      </w:r>
      <w:r w:rsidRPr="00C1694A">
        <w:rPr>
          <w:rFonts w:ascii="Times New Roman" w:hAnsi="Times New Roman" w:cs="Times New Roman"/>
          <w:sz w:val="24"/>
          <w:szCs w:val="24"/>
        </w:rPr>
        <w:t>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w:t>
      </w:r>
      <w:r w:rsidR="000F5F8E" w:rsidRPr="00C1694A">
        <w:rPr>
          <w:rFonts w:ascii="Times New Roman" w:eastAsia="Times New Roman" w:hAnsi="Times New Roman" w:cs="Times New Roman"/>
          <w:bCs/>
          <w:sz w:val="24"/>
          <w:szCs w:val="24"/>
        </w:rPr>
        <w:t>Some</w:t>
      </w:r>
      <w:r w:rsidRPr="00C1694A">
        <w:rPr>
          <w:rFonts w:ascii="Times New Roman" w:eastAsia="Times New Roman" w:hAnsi="Times New Roman" w:cs="Times New Roman"/>
          <w:bCs/>
          <w:sz w:val="24"/>
          <w:szCs w:val="24"/>
        </w:rPr>
        <w:t xml:space="preserve"> commenters believed it would be helpful if we train grantees on how to appropriately identify development and administrative costs.  </w:t>
      </w:r>
      <w:r w:rsidR="0048725D" w:rsidRPr="00C1694A">
        <w:rPr>
          <w:rFonts w:ascii="Times New Roman" w:eastAsia="Times New Roman" w:hAnsi="Times New Roman" w:cs="Times New Roman"/>
          <w:bCs/>
          <w:sz w:val="24"/>
          <w:szCs w:val="24"/>
        </w:rPr>
        <w:t>Other</w:t>
      </w:r>
      <w:r w:rsidRPr="00C1694A">
        <w:rPr>
          <w:rFonts w:ascii="Times New Roman" w:eastAsia="Times New Roman" w:hAnsi="Times New Roman" w:cs="Times New Roman"/>
          <w:bCs/>
          <w:sz w:val="24"/>
          <w:szCs w:val="24"/>
        </w:rPr>
        <w:t xml:space="preserve"> commenter</w:t>
      </w:r>
      <w:r w:rsidR="0048725D" w:rsidRPr="00C1694A">
        <w:rPr>
          <w:rFonts w:ascii="Times New Roman" w:eastAsia="Times New Roman" w:hAnsi="Times New Roman" w:cs="Times New Roman"/>
          <w:bCs/>
          <w:sz w:val="24"/>
          <w:szCs w:val="24"/>
        </w:rPr>
        <w:t>s</w:t>
      </w:r>
      <w:r w:rsidRPr="00C1694A">
        <w:rPr>
          <w:rFonts w:ascii="Times New Roman" w:eastAsia="Times New Roman" w:hAnsi="Times New Roman" w:cs="Times New Roman"/>
          <w:bCs/>
          <w:sz w:val="24"/>
          <w:szCs w:val="24"/>
        </w:rPr>
        <w:t xml:space="preserve"> suggested we increase the limit on administrative and development costs we proposed in paragraph (a)(1) of this section.</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We did not increase the limit on administrative and development costs specified in paragraph (a)(1) because it is established in the Act.  </w:t>
      </w:r>
      <w:r w:rsidR="0048725D" w:rsidRPr="00C1694A">
        <w:rPr>
          <w:rFonts w:ascii="Times New Roman" w:eastAsia="Times New Roman" w:hAnsi="Times New Roman" w:cs="Times New Roman"/>
          <w:bCs/>
          <w:sz w:val="24"/>
          <w:szCs w:val="24"/>
        </w:rPr>
        <w:t>Training is available on how to identify administrative and development costs.</w:t>
      </w:r>
    </w:p>
    <w:p w:rsidR="00F42D11" w:rsidRPr="00C1694A" w:rsidRDefault="00F42D11" w:rsidP="009A526A">
      <w:pPr>
        <w:spacing w:after="0" w:line="480" w:lineRule="auto"/>
        <w:rPr>
          <w:rFonts w:ascii="Times New Roman" w:eastAsia="Times New Roman" w:hAnsi="Times New Roman" w:cs="Times New Roman"/>
          <w:b/>
          <w:bCs/>
          <w:sz w:val="24"/>
          <w:szCs w:val="24"/>
        </w:rPr>
      </w:pPr>
    </w:p>
    <w:p w:rsidR="006E7F2E" w:rsidRPr="00C1694A" w:rsidRDefault="006E7F2E" w:rsidP="009A526A">
      <w:pPr>
        <w:spacing w:after="0" w:line="480" w:lineRule="auto"/>
        <w:rPr>
          <w:rFonts w:ascii="Times New Roman" w:eastAsia="Times New Roman" w:hAnsi="Times New Roman" w:cs="Times New Roman"/>
          <w:b/>
          <w:bCs/>
          <w:sz w:val="24"/>
          <w:szCs w:val="24"/>
        </w:rPr>
      </w:pPr>
      <w:r w:rsidRPr="00C1694A">
        <w:rPr>
          <w:rFonts w:ascii="Times New Roman" w:eastAsia="Times New Roman" w:hAnsi="Times New Roman" w:cs="Times New Roman"/>
          <w:b/>
          <w:bCs/>
          <w:sz w:val="24"/>
          <w:szCs w:val="24"/>
        </w:rPr>
        <w:t>Administrative Requirements</w:t>
      </w:r>
      <w:r w:rsidR="00380A4E" w:rsidRPr="00C1694A">
        <w:rPr>
          <w:rFonts w:ascii="Times New Roman" w:eastAsia="Times New Roman" w:hAnsi="Times New Roman" w:cs="Times New Roman"/>
          <w:b/>
          <w:bCs/>
          <w:sz w:val="24"/>
          <w:szCs w:val="24"/>
        </w:rPr>
        <w:t>; Subpart B</w:t>
      </w:r>
      <w:r w:rsidRPr="00C1694A">
        <w:rPr>
          <w:rFonts w:ascii="Times New Roman" w:eastAsia="Times New Roman" w:hAnsi="Times New Roman" w:cs="Times New Roman"/>
          <w:b/>
          <w:bCs/>
          <w:sz w:val="24"/>
          <w:szCs w:val="24"/>
        </w:rPr>
        <w:t xml:space="preserve"> </w:t>
      </w:r>
    </w:p>
    <w:p w:rsidR="006E7F2E" w:rsidRPr="00C1694A" w:rsidRDefault="006E7F2E" w:rsidP="009A526A">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t xml:space="preserve">This subpart outlines the requirements for agency conduct, the limitations and prohibitions to which agencies must adhere, and the requirements for insurance and bonding. </w:t>
      </w:r>
    </w:p>
    <w:p w:rsidR="006E7F2E" w:rsidRPr="00C1694A" w:rsidRDefault="006E7F2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§1303.10 </w:t>
      </w:r>
      <w:r w:rsidR="00B56C65">
        <w:rPr>
          <w:rFonts w:ascii="Times New Roman" w:hAnsi="Times New Roman" w:cs="Times New Roman"/>
          <w:i/>
          <w:sz w:val="24"/>
          <w:szCs w:val="24"/>
        </w:rPr>
        <w:t>Purpose</w:t>
      </w:r>
      <w:r w:rsidRPr="00C1694A">
        <w:rPr>
          <w:rFonts w:ascii="Times New Roman" w:hAnsi="Times New Roman" w:cs="Times New Roman"/>
          <w:i/>
          <w:sz w:val="24"/>
          <w:szCs w:val="24"/>
        </w:rPr>
        <w:t>.</w:t>
      </w:r>
    </w:p>
    <w:p w:rsidR="006E7F2E" w:rsidRPr="00C1694A" w:rsidRDefault="006E7F2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section specifies that grantees must observe standards of organization, management, and administration and conduct activities in a manner consistent with the Act.  We received comments related to these general requirements.  </w:t>
      </w:r>
    </w:p>
    <w:p w:rsidR="006E7F2E" w:rsidRPr="00C1694A" w:rsidRDefault="006E7F2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supported the requirement that grantees observe stated standards of organization, management and administration but urged us to include a new standard that require</w:t>
      </w:r>
      <w:r w:rsidR="0048725D" w:rsidRPr="00C1694A">
        <w:rPr>
          <w:rFonts w:ascii="Times New Roman" w:hAnsi="Times New Roman" w:cs="Times New Roman"/>
          <w:sz w:val="24"/>
          <w:szCs w:val="24"/>
        </w:rPr>
        <w:t xml:space="preserve">s employers to pay living wages, or </w:t>
      </w:r>
      <w:r w:rsidRPr="00C1694A">
        <w:rPr>
          <w:rFonts w:ascii="Times New Roman" w:hAnsi="Times New Roman" w:cs="Times New Roman"/>
          <w:sz w:val="24"/>
          <w:szCs w:val="24"/>
        </w:rPr>
        <w:t>provide compensation levels at parity with e</w:t>
      </w:r>
      <w:r w:rsidR="0048725D" w:rsidRPr="00C1694A">
        <w:rPr>
          <w:rFonts w:ascii="Times New Roman" w:hAnsi="Times New Roman" w:cs="Times New Roman"/>
          <w:sz w:val="24"/>
          <w:szCs w:val="24"/>
        </w:rPr>
        <w:t>lementary school teaching staff</w:t>
      </w:r>
      <w:r w:rsidRPr="00C1694A">
        <w:rPr>
          <w:rFonts w:ascii="Times New Roman" w:hAnsi="Times New Roman" w:cs="Times New Roman"/>
          <w:sz w:val="24"/>
          <w:szCs w:val="24"/>
        </w:rPr>
        <w:t xml:space="preserve"> or the average compensation level </w:t>
      </w:r>
      <w:r w:rsidR="0048725D" w:rsidRPr="00C1694A">
        <w:rPr>
          <w:rFonts w:ascii="Times New Roman" w:hAnsi="Times New Roman" w:cs="Times New Roman"/>
          <w:sz w:val="24"/>
          <w:szCs w:val="24"/>
        </w:rPr>
        <w:t>for comparable work in the area</w:t>
      </w:r>
      <w:r w:rsidRPr="00C1694A">
        <w:rPr>
          <w:rFonts w:ascii="Times New Roman" w:hAnsi="Times New Roman" w:cs="Times New Roman"/>
          <w:sz w:val="24"/>
          <w:szCs w:val="24"/>
        </w:rPr>
        <w:t xml:space="preserve">. </w:t>
      </w:r>
    </w:p>
    <w:p w:rsidR="006E7F2E" w:rsidRPr="00C1694A" w:rsidRDefault="006E7F2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change this requirement.  We continue to require grantees to establish wages that are comparable to those paid in their community </w:t>
      </w:r>
      <w:r w:rsidR="001D0930" w:rsidRPr="00C1694A">
        <w:rPr>
          <w:rFonts w:ascii="Times New Roman" w:hAnsi="Times New Roman" w:cs="Times New Roman"/>
          <w:sz w:val="24"/>
          <w:szCs w:val="24"/>
        </w:rPr>
        <w:t>based on the</w:t>
      </w:r>
      <w:r w:rsidRPr="00C1694A">
        <w:rPr>
          <w:rFonts w:ascii="Times New Roman" w:hAnsi="Times New Roman" w:cs="Times New Roman"/>
          <w:sz w:val="24"/>
          <w:szCs w:val="24"/>
        </w:rPr>
        <w:t xml:space="preserve"> wage comparability </w:t>
      </w:r>
      <w:r w:rsidR="001D0930" w:rsidRPr="00C1694A">
        <w:rPr>
          <w:rFonts w:ascii="Times New Roman" w:hAnsi="Times New Roman" w:cs="Times New Roman"/>
          <w:sz w:val="24"/>
          <w:szCs w:val="24"/>
        </w:rPr>
        <w:t>provision in</w:t>
      </w:r>
      <w:r w:rsidR="0048725D" w:rsidRPr="00C1694A">
        <w:rPr>
          <w:rFonts w:ascii="Times New Roman" w:hAnsi="Times New Roman" w:cs="Times New Roman"/>
          <w:sz w:val="24"/>
          <w:szCs w:val="24"/>
        </w:rPr>
        <w:t xml:space="preserve"> the Act.</w:t>
      </w:r>
    </w:p>
    <w:p w:rsidR="006E7F2E" w:rsidRPr="00C1694A" w:rsidRDefault="006E7F2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 that we eliminated previous language that required each agency to provide reasonable access to information and records.</w:t>
      </w:r>
    </w:p>
    <w:p w:rsidR="006E7F2E" w:rsidRPr="00C1694A" w:rsidRDefault="006E7F2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the issue of access to information and records is already adequately addressed by other applicable federal and state law</w:t>
      </w:r>
      <w:r w:rsidR="0048725D" w:rsidRPr="00C1694A">
        <w:rPr>
          <w:rFonts w:ascii="Times New Roman" w:hAnsi="Times New Roman" w:cs="Times New Roman"/>
          <w:sz w:val="24"/>
          <w:szCs w:val="24"/>
        </w:rPr>
        <w:t xml:space="preserve"> and a Head Start specific provision is not necessary</w:t>
      </w:r>
      <w:r w:rsidRPr="00C1694A">
        <w:rPr>
          <w:rFonts w:ascii="Times New Roman" w:hAnsi="Times New Roman" w:cs="Times New Roman"/>
          <w:sz w:val="24"/>
          <w:szCs w:val="24"/>
        </w:rPr>
        <w:t xml:space="preserve">. </w:t>
      </w:r>
    </w:p>
    <w:p w:rsidR="006E7F2E" w:rsidRPr="00C1694A" w:rsidRDefault="006E7F2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that we consider equipment to be any item with a value of $25,000 or more.</w:t>
      </w:r>
    </w:p>
    <w:p w:rsidR="006E7F2E" w:rsidRPr="00C1694A" w:rsidRDefault="006E7F2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fiscal regulations at 45 CFR part 75 govern the definition of equipment and we cannot adopt contrary requirements in these regulations.  </w:t>
      </w:r>
    </w:p>
    <w:p w:rsidR="006E7F2E" w:rsidRPr="00C1694A" w:rsidRDefault="006E7F2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we allow agencies with Head Start and Early Head Start awards to prepare a single budget</w:t>
      </w:r>
      <w:r w:rsidR="009A10C6" w:rsidRPr="00C1694A">
        <w:rPr>
          <w:rFonts w:ascii="Times New Roman" w:hAnsi="Times New Roman" w:cs="Times New Roman"/>
          <w:sz w:val="24"/>
          <w:szCs w:val="24"/>
        </w:rPr>
        <w:t>.</w:t>
      </w:r>
    </w:p>
    <w:p w:rsidR="006E7F2E" w:rsidRPr="00C1694A" w:rsidRDefault="006E7F2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Head Start and Early Head Start awards </w:t>
      </w:r>
      <w:r w:rsidR="00FD3BD9" w:rsidRPr="00C1694A">
        <w:rPr>
          <w:rFonts w:ascii="Times New Roman" w:hAnsi="Times New Roman" w:cs="Times New Roman"/>
          <w:sz w:val="24"/>
          <w:szCs w:val="24"/>
        </w:rPr>
        <w:t>use separate Central Accounting Numbers (CANs)</w:t>
      </w:r>
      <w:r w:rsidRPr="00C1694A">
        <w:rPr>
          <w:rFonts w:ascii="Times New Roman" w:hAnsi="Times New Roman" w:cs="Times New Roman"/>
          <w:sz w:val="24"/>
          <w:szCs w:val="24"/>
        </w:rPr>
        <w:t xml:space="preserve"> and fiscal regulations require </w:t>
      </w:r>
      <w:r w:rsidR="001D0930" w:rsidRPr="00C1694A">
        <w:rPr>
          <w:rFonts w:ascii="Times New Roman" w:hAnsi="Times New Roman" w:cs="Times New Roman"/>
          <w:sz w:val="24"/>
          <w:szCs w:val="24"/>
        </w:rPr>
        <w:t xml:space="preserve">separate accounting for those funds.  </w:t>
      </w:r>
      <w:r w:rsidRPr="00C1694A">
        <w:rPr>
          <w:rFonts w:ascii="Times New Roman" w:hAnsi="Times New Roman" w:cs="Times New Roman"/>
          <w:sz w:val="24"/>
          <w:szCs w:val="24"/>
        </w:rPr>
        <w:t xml:space="preserve">  </w:t>
      </w:r>
    </w:p>
    <w:p w:rsidR="006E7F2E" w:rsidRPr="00C1694A" w:rsidRDefault="006E7F2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§1303.11 Limitations and prohibitions.  </w:t>
      </w:r>
    </w:p>
    <w:p w:rsidR="006E7F2E" w:rsidRPr="00C1694A" w:rsidRDefault="006E7F2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eastAsia="Times New Roman" w:hAnsi="Times New Roman" w:cs="Times New Roman"/>
          <w:bCs/>
          <w:sz w:val="24"/>
          <w:szCs w:val="24"/>
        </w:rPr>
        <w:t>This section consolidates into one place the sections in the Act that place limitations or prohibitions on agencies.  These sections pertain to union organizing, the Davis Bacon Act, limitations on compensation, nondiscrimination, unlawful activities, political activities and obtaining parental consent.  We received comments on this section.</w:t>
      </w:r>
      <w:r w:rsidRPr="00C1694A">
        <w:rPr>
          <w:rFonts w:ascii="Times New Roman" w:hAnsi="Times New Roman" w:cs="Times New Roman"/>
          <w:sz w:val="24"/>
          <w:szCs w:val="24"/>
        </w:rPr>
        <w:t xml:space="preserve">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w:t>
      </w:r>
      <w:r w:rsidR="00FD3BD9" w:rsidRPr="00C1694A">
        <w:rPr>
          <w:rFonts w:ascii="Times New Roman" w:eastAsia="Times New Roman" w:hAnsi="Times New Roman" w:cs="Times New Roman"/>
          <w:bCs/>
          <w:sz w:val="24"/>
          <w:szCs w:val="24"/>
        </w:rPr>
        <w:t>Some</w:t>
      </w:r>
      <w:r w:rsidRPr="00C1694A">
        <w:rPr>
          <w:rFonts w:ascii="Times New Roman" w:eastAsia="Times New Roman" w:hAnsi="Times New Roman" w:cs="Times New Roman"/>
          <w:bCs/>
          <w:sz w:val="24"/>
          <w:szCs w:val="24"/>
        </w:rPr>
        <w:t xml:space="preserve"> commenters recommended removal of the requirement that programs comply with the Davis-Bacon Act or request</w:t>
      </w:r>
      <w:r w:rsidR="00DE1D0C" w:rsidRPr="00C1694A">
        <w:rPr>
          <w:rFonts w:ascii="Times New Roman" w:eastAsia="Times New Roman" w:hAnsi="Times New Roman" w:cs="Times New Roman"/>
          <w:bCs/>
          <w:sz w:val="24"/>
          <w:szCs w:val="24"/>
        </w:rPr>
        <w:t>ed</w:t>
      </w:r>
      <w:r w:rsidRPr="00C1694A">
        <w:rPr>
          <w:rFonts w:ascii="Times New Roman" w:eastAsia="Times New Roman" w:hAnsi="Times New Roman" w:cs="Times New Roman"/>
          <w:bCs/>
          <w:sz w:val="24"/>
          <w:szCs w:val="24"/>
        </w:rPr>
        <w:t xml:space="preserve"> that we limit the application of the Davis-Bacon Act to new major projects only.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The Act requires compliance with the Davis-Bacon Act, including the definition of covered projects.  We cannot eliminate this requirement through the regulatory process.  </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w:t>
      </w:r>
      <w:r w:rsidR="000F5F8E" w:rsidRPr="00C1694A">
        <w:rPr>
          <w:rFonts w:ascii="Times New Roman" w:eastAsia="Times New Roman" w:hAnsi="Times New Roman" w:cs="Times New Roman"/>
          <w:bCs/>
          <w:sz w:val="24"/>
          <w:szCs w:val="24"/>
        </w:rPr>
        <w:t>Some</w:t>
      </w:r>
      <w:r w:rsidRPr="00C1694A">
        <w:rPr>
          <w:rFonts w:ascii="Times New Roman" w:eastAsia="Times New Roman" w:hAnsi="Times New Roman" w:cs="Times New Roman"/>
          <w:bCs/>
          <w:sz w:val="24"/>
          <w:szCs w:val="24"/>
        </w:rPr>
        <w:t xml:space="preserve"> commenters suggested that Head Start program employees should not be allowed to engage in union organizing.</w:t>
      </w:r>
    </w:p>
    <w:p w:rsidR="006E7F2E" w:rsidRPr="00C1694A" w:rsidRDefault="006E7F2E" w:rsidP="009A526A">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Section 644(e) of the Act states that Head Start funds </w:t>
      </w:r>
      <w:r w:rsidR="00FD3BD9" w:rsidRPr="00C1694A">
        <w:rPr>
          <w:rFonts w:ascii="Times New Roman" w:eastAsia="Times New Roman" w:hAnsi="Times New Roman" w:cs="Times New Roman"/>
          <w:bCs/>
          <w:sz w:val="24"/>
          <w:szCs w:val="24"/>
        </w:rPr>
        <w:t xml:space="preserve">may </w:t>
      </w:r>
      <w:r w:rsidRPr="00C1694A">
        <w:rPr>
          <w:rFonts w:ascii="Times New Roman" w:eastAsia="Times New Roman" w:hAnsi="Times New Roman" w:cs="Times New Roman"/>
          <w:bCs/>
          <w:sz w:val="24"/>
          <w:szCs w:val="24"/>
        </w:rPr>
        <w:t>not be used to assist, promo</w:t>
      </w:r>
      <w:r w:rsidR="00FD3BD9" w:rsidRPr="00C1694A">
        <w:rPr>
          <w:rFonts w:ascii="Times New Roman" w:eastAsia="Times New Roman" w:hAnsi="Times New Roman" w:cs="Times New Roman"/>
          <w:bCs/>
          <w:sz w:val="24"/>
          <w:szCs w:val="24"/>
        </w:rPr>
        <w:t>te, or deter union organizing.  We</w:t>
      </w:r>
      <w:r w:rsidRPr="00C1694A">
        <w:rPr>
          <w:rFonts w:ascii="Times New Roman" w:eastAsia="Times New Roman" w:hAnsi="Times New Roman" w:cs="Times New Roman"/>
          <w:bCs/>
          <w:sz w:val="24"/>
          <w:szCs w:val="24"/>
        </w:rPr>
        <w:t xml:space="preserve"> retained this prohibition in this section by referencing the Act. </w:t>
      </w:r>
    </w:p>
    <w:p w:rsidR="006E7F2E" w:rsidRPr="00C1694A" w:rsidRDefault="006E7F2E" w:rsidP="009A526A">
      <w:pPr>
        <w:spacing w:after="0" w:line="480" w:lineRule="auto"/>
        <w:rPr>
          <w:rFonts w:ascii="Times New Roman" w:eastAsia="Times New Roman" w:hAnsi="Times New Roman" w:cs="Times New Roman"/>
          <w:bCs/>
          <w:i/>
          <w:sz w:val="24"/>
          <w:szCs w:val="24"/>
        </w:rPr>
      </w:pPr>
      <w:r w:rsidRPr="00C1694A">
        <w:rPr>
          <w:rFonts w:ascii="Times New Roman" w:eastAsia="Times New Roman" w:hAnsi="Times New Roman" w:cs="Times New Roman"/>
          <w:bCs/>
          <w:i/>
          <w:sz w:val="24"/>
          <w:szCs w:val="24"/>
        </w:rPr>
        <w:t>§1303.12 Insurance and bonding.</w:t>
      </w:r>
    </w:p>
    <w:p w:rsidR="006E7F2E" w:rsidRPr="00C1694A" w:rsidRDefault="006E7F2E" w:rsidP="00301051">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t xml:space="preserve">This section requires that grantees maintain a documented process to identify risks and provide proof of appropriate coverage in their grant application.  Our approach to require grantees to assess their own risks and determine appropriate cost-effective coverage is a less prescriptive approach that section §1301.11 of the previous performance standards.  We received comments on this section.  </w:t>
      </w:r>
    </w:p>
    <w:p w:rsidR="006E7F2E" w:rsidRPr="00C1694A" w:rsidRDefault="006E7F2E" w:rsidP="00301051">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Comment:</w:t>
      </w:r>
      <w:r w:rsidRPr="00C1694A">
        <w:rPr>
          <w:rFonts w:ascii="Times New Roman" w:eastAsia="Times New Roman" w:hAnsi="Times New Roman" w:cs="Times New Roman"/>
          <w:bCs/>
          <w:sz w:val="24"/>
          <w:szCs w:val="24"/>
        </w:rPr>
        <w:t xml:space="preserve">  Some commenters said removing specific requirements for insurance provides too much leeway, creates risk of liability and that appropriate coverage should be defined, with a minimum threshold or reference to state chil</w:t>
      </w:r>
      <w:r w:rsidR="00FD3BD9" w:rsidRPr="00C1694A">
        <w:rPr>
          <w:rFonts w:ascii="Times New Roman" w:eastAsia="Times New Roman" w:hAnsi="Times New Roman" w:cs="Times New Roman"/>
          <w:bCs/>
          <w:sz w:val="24"/>
          <w:szCs w:val="24"/>
        </w:rPr>
        <w:t xml:space="preserve">d care licensing requirements and suggested </w:t>
      </w:r>
      <w:r w:rsidRPr="00C1694A">
        <w:rPr>
          <w:rFonts w:ascii="Times New Roman" w:eastAsia="Times New Roman" w:hAnsi="Times New Roman" w:cs="Times New Roman"/>
          <w:bCs/>
          <w:sz w:val="24"/>
          <w:szCs w:val="24"/>
        </w:rPr>
        <w:t>we remove the requirement that the process of identifying risks consider the risk of losses resulting from fraudulent acts by individuals authorized to disburse Head Start funds.</w:t>
      </w:r>
    </w:p>
    <w:p w:rsidR="006E7F2E" w:rsidRPr="00C1694A" w:rsidRDefault="006E7F2E" w:rsidP="00301051">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u w:val="single"/>
        </w:rPr>
        <w:t>Response:</w:t>
      </w:r>
      <w:r w:rsidRPr="00C1694A">
        <w:rPr>
          <w:rFonts w:ascii="Times New Roman" w:eastAsia="Times New Roman" w:hAnsi="Times New Roman" w:cs="Times New Roman"/>
          <w:bCs/>
          <w:sz w:val="24"/>
          <w:szCs w:val="24"/>
        </w:rPr>
        <w:t xml:space="preserve">  We did not change this requirement in response to comments.  We believe that implementation of an intentional risk assessment process is an important aspect of grantee fiscal viability and may dictate varying amounts of insurance coverage depending on the grantee’s unique circumstances.  </w:t>
      </w:r>
      <w:r w:rsidR="00FD3BD9" w:rsidRPr="00C1694A">
        <w:rPr>
          <w:rFonts w:ascii="Times New Roman" w:eastAsia="Times New Roman" w:hAnsi="Times New Roman" w:cs="Times New Roman"/>
          <w:bCs/>
          <w:sz w:val="24"/>
          <w:szCs w:val="24"/>
        </w:rPr>
        <w:t>W</w:t>
      </w:r>
      <w:r w:rsidRPr="00C1694A">
        <w:rPr>
          <w:rFonts w:ascii="Times New Roman" w:eastAsia="Times New Roman" w:hAnsi="Times New Roman" w:cs="Times New Roman"/>
          <w:bCs/>
          <w:sz w:val="24"/>
          <w:szCs w:val="24"/>
        </w:rPr>
        <w:t>e believe assurance that Head Start funds are not lost to fraudulent acts is an important part of identifying risks.</w:t>
      </w:r>
    </w:p>
    <w:p w:rsidR="006E7F2E" w:rsidRPr="00C1694A" w:rsidRDefault="006E7F2E" w:rsidP="00301051">
      <w:pPr>
        <w:autoSpaceDE w:val="0"/>
        <w:autoSpaceDN w:val="0"/>
        <w:adjustRightInd w:val="0"/>
        <w:spacing w:after="0" w:line="480" w:lineRule="auto"/>
        <w:rPr>
          <w:rFonts w:ascii="Times New Roman" w:hAnsi="Times New Roman" w:cs="Times New Roman"/>
          <w:sz w:val="24"/>
          <w:szCs w:val="24"/>
        </w:rPr>
      </w:pPr>
    </w:p>
    <w:p w:rsidR="009B38FE" w:rsidRPr="00C1694A" w:rsidRDefault="009B38FE" w:rsidP="00301051">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Protections for the Privacy of Child Records</w:t>
      </w:r>
      <w:r w:rsidR="00380A4E" w:rsidRPr="00C1694A">
        <w:rPr>
          <w:rFonts w:ascii="Times New Roman" w:hAnsi="Times New Roman" w:cs="Times New Roman"/>
          <w:b/>
          <w:sz w:val="24"/>
          <w:szCs w:val="24"/>
        </w:rPr>
        <w:t>; Subpart C</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subpart outlines the requirements for programs to ensure the protection of child records, including requirements for parental consent and instances where disclosure of children’s personally identifiable information (PII) without parental consent is allowable. We added standards that ensure the protection of the confidentiality of PII contained in child records. These standards align with the policies, protections, and rights found in the Family Educational Rights and Privacy Act (FERPA), as appropriate for Head Start and Early Head Start programs. We received comments on all sections of this subpart. Overall, commenters were supportive and positive about these standards, especially the alignment to FERPA and the emphasis placed on parent rights in respect to their child’s record.</w:t>
      </w:r>
    </w:p>
    <w:p w:rsidR="006C6CA9" w:rsidRPr="00C1694A" w:rsidRDefault="006C6CA9" w:rsidP="00301051">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§1303.20 </w:t>
      </w:r>
      <w:r w:rsidR="00B56C65">
        <w:rPr>
          <w:rFonts w:ascii="Times New Roman" w:hAnsi="Times New Roman" w:cs="Times New Roman"/>
          <w:i/>
          <w:sz w:val="24"/>
          <w:szCs w:val="24"/>
        </w:rPr>
        <w:t>Establishing procedures</w:t>
      </w:r>
      <w:r w:rsidRPr="00C1694A">
        <w:rPr>
          <w:rFonts w:ascii="Times New Roman" w:hAnsi="Times New Roman" w:cs="Times New Roman"/>
          <w:i/>
          <w:sz w:val="24"/>
          <w:szCs w:val="24"/>
        </w:rPr>
        <w:t>.</w:t>
      </w:r>
    </w:p>
    <w:p w:rsidR="006C6CA9" w:rsidRPr="00C1694A" w:rsidRDefault="006C6CA9" w:rsidP="00301051">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outlines required procedures that support the sections that follow on confidentiality of PII in child records. We respond to the comments we received below. </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requested clarification on whether programs are required to have procedures for parents to inspect a child’s record or challenge the sharing of the child’s PII, and suggested we reference this subpart in subpart D Health Program Services to ensure programs consider the privacy of child records in health program services.</w:t>
      </w:r>
    </w:p>
    <w:p w:rsidR="00D118C5" w:rsidRPr="00C1694A" w:rsidRDefault="00D118C5" w:rsidP="00D118C5">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According to §1303.20, a program must establish procedures to protect the confidentiality of any PII in child records. As part of these procedures, programs must ensure parents have the right to inspect, ask to amend, and obtain copies of their child’s records, request hearings, and inspect written agreements. This subpart is not specified in subpart D since the protections of the privacy of child records should be considered throughout the entire final rule.</w:t>
      </w:r>
      <w:r w:rsidR="00493113" w:rsidRPr="00C1694A">
        <w:rPr>
          <w:rFonts w:ascii="Times New Roman" w:hAnsi="Times New Roman" w:cs="Times New Roman"/>
          <w:sz w:val="24"/>
          <w:szCs w:val="24"/>
        </w:rPr>
        <w:t xml:space="preserve"> We also added breaches of PII to the issues that programs must report in §1302.102(d)(1)(ii).</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requested federal support and training opportunities on this subpart to ensure proper implementation, especially for programs without a deep understanding of privacy rules and while programs link data to their state and federal data systems.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we require capacity building for data privacy as part of staff training.</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are committed to providing support for programs to understand, build capacity, and comply with the new privacy regulations. Programs must ensure staff, consultants, and volunteers comply with program confidentiality policies in accordance with §1302.90(c)</w:t>
      </w:r>
      <w:r w:rsidR="00B56C65">
        <w:rPr>
          <w:rFonts w:ascii="Times New Roman" w:hAnsi="Times New Roman" w:cs="Times New Roman"/>
          <w:sz w:val="24"/>
          <w:szCs w:val="24"/>
        </w:rPr>
        <w:t>(1)</w:t>
      </w:r>
      <w:r w:rsidRPr="00C1694A">
        <w:rPr>
          <w:rFonts w:ascii="Times New Roman" w:hAnsi="Times New Roman" w:cs="Times New Roman"/>
          <w:sz w:val="24"/>
          <w:szCs w:val="24"/>
        </w:rPr>
        <w:t>(iv).</w:t>
      </w:r>
    </w:p>
    <w:p w:rsidR="006C6CA9" w:rsidRPr="00C1694A" w:rsidRDefault="00F42D11" w:rsidP="00301051">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§1303.21 Program procedures – a</w:t>
      </w:r>
      <w:r w:rsidR="006C6CA9" w:rsidRPr="00C1694A">
        <w:rPr>
          <w:rFonts w:ascii="Times New Roman" w:hAnsi="Times New Roman" w:cs="Times New Roman"/>
          <w:i/>
          <w:sz w:val="24"/>
          <w:szCs w:val="24"/>
        </w:rPr>
        <w:t>pplicable confidentiality provisions.</w:t>
      </w:r>
    </w:p>
    <w:p w:rsidR="008A55FA" w:rsidRPr="00C1694A" w:rsidRDefault="00D118C5" w:rsidP="008A55F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section, we describe in </w:t>
      </w:r>
      <w:r w:rsidR="002668AB">
        <w:rPr>
          <w:rFonts w:ascii="Times New Roman" w:hAnsi="Times New Roman" w:cs="Times New Roman"/>
          <w:sz w:val="24"/>
          <w:szCs w:val="24"/>
        </w:rPr>
        <w:t>paragraph</w:t>
      </w:r>
      <w:r w:rsidR="002668AB"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(a) that when FERPA’s confidentiality requirements apply (i.e., for educational agencies and institutions that maintain education records), the confidentiality requirements in this subpart do not apply because those educational agencies and institutions must comply with FERPA.  </w:t>
      </w:r>
      <w:r w:rsidR="008A55FA" w:rsidRPr="00C1694A">
        <w:rPr>
          <w:rFonts w:ascii="Times New Roman" w:hAnsi="Times New Roman" w:cs="Times New Roman"/>
          <w:sz w:val="24"/>
          <w:szCs w:val="24"/>
        </w:rPr>
        <w:t xml:space="preserve">Similarly, we describe in </w:t>
      </w:r>
      <w:r w:rsidR="002668AB">
        <w:rPr>
          <w:rFonts w:ascii="Times New Roman" w:hAnsi="Times New Roman" w:cs="Times New Roman"/>
          <w:sz w:val="24"/>
          <w:szCs w:val="24"/>
        </w:rPr>
        <w:t>paragraph</w:t>
      </w:r>
      <w:r w:rsidR="002668AB" w:rsidRPr="00C1694A">
        <w:rPr>
          <w:rFonts w:ascii="Times New Roman" w:hAnsi="Times New Roman" w:cs="Times New Roman"/>
          <w:sz w:val="24"/>
          <w:szCs w:val="24"/>
        </w:rPr>
        <w:t xml:space="preserve"> </w:t>
      </w:r>
      <w:r w:rsidR="008A55FA" w:rsidRPr="00C1694A">
        <w:rPr>
          <w:rFonts w:ascii="Times New Roman" w:hAnsi="Times New Roman" w:cs="Times New Roman"/>
          <w:sz w:val="24"/>
          <w:szCs w:val="24"/>
        </w:rPr>
        <w:t xml:space="preserve">(b) that the Head Start confidentiality requirements in this subpart also do not apply when IDEA’s confidentiality provisions apply (i.e. a program collects, uses, or maintains early intervention records of infants and toddlers with disabilities referred to or eligible under Part C of the IDEA or education records </w:t>
      </w:r>
      <w:r w:rsidR="00985699">
        <w:rPr>
          <w:rFonts w:ascii="Times New Roman" w:hAnsi="Times New Roman" w:cs="Times New Roman"/>
          <w:sz w:val="24"/>
          <w:szCs w:val="24"/>
        </w:rPr>
        <w:t>of</w:t>
      </w:r>
      <w:r w:rsidR="00985699" w:rsidRPr="00C1694A">
        <w:rPr>
          <w:rFonts w:ascii="Times New Roman" w:hAnsi="Times New Roman" w:cs="Times New Roman"/>
          <w:sz w:val="24"/>
          <w:szCs w:val="24"/>
        </w:rPr>
        <w:t xml:space="preserve"> </w:t>
      </w:r>
      <w:r w:rsidR="008A55FA" w:rsidRPr="00C1694A">
        <w:rPr>
          <w:rFonts w:ascii="Times New Roman" w:hAnsi="Times New Roman" w:cs="Times New Roman"/>
          <w:sz w:val="24"/>
          <w:szCs w:val="24"/>
        </w:rPr>
        <w:t xml:space="preserve">children with disabilities referred to or eligible under Part B of the IDEA). Therefore, the Head Start confidentiality requirements in this subpart do not apply to the records of those children covered by IDEA or programs covered by FERPA. Commenters raised specific concerns and requested clarity, and our responses are discussed below. </w:t>
      </w:r>
    </w:p>
    <w:p w:rsidR="00D118C5" w:rsidRPr="00C1694A" w:rsidRDefault="00D118C5"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requested we provide guidance and clarity on how other privacy laws apply including state laws and the Children’s Online Privacy Protection Act (COPPA).</w:t>
      </w:r>
    </w:p>
    <w:p w:rsidR="00D118C5" w:rsidRPr="00C1694A" w:rsidRDefault="00D118C5"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A program must comply with other applicable federal, state, or local privacy laws such as COPPA, which applies to all programs, the Children’s Internet Protection Act (CIPA) which applies to programs in the E-Rate program, and the Protection of Pupil Rights Amendment (PPRA), which applies to programs administered by the U.S. Department of Education (ED) receiving federal funds.</w:t>
      </w:r>
    </w:p>
    <w:p w:rsidR="00D118C5" w:rsidRPr="00C1694A" w:rsidRDefault="00D118C5"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Some commenters expressed concern that it will be burdensome and confusing for some programs to comply with FERPA and this subpart, and that we make this subpart consistent with FERPA or provide guidance on how to comply with both.</w:t>
      </w:r>
    </w:p>
    <w:p w:rsidR="00D118C5" w:rsidRPr="00C1694A" w:rsidRDefault="00D118C5" w:rsidP="00D118C5">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agree that we are not duplicating under Head Start the confidentiality protections that already apply under FERPA and IDEA.  The provisions we are promulgating are very similar to FERPA.  However, we want to reiterate that when programs comply with FERPA or IDEA for the records of those children and programs covered under FERPA and/or IDEA, then this subpart does not apply. Thus, we are eliminating any perceived burden and duplication.  We changed and restructured the language in this section to implement these provisions.  </w:t>
      </w:r>
    </w:p>
    <w:p w:rsidR="006C6CA9" w:rsidRPr="00C1694A" w:rsidRDefault="006C6CA9" w:rsidP="00301051">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§1303.22 Disclosures with, and without, parental consent.</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section, we describe provisions programs must follow to protect the privacy of child records and to share data. Most commenters in this section made recommendations or requested clarifications related to specific needs of Head Start programs, which are discussed below. </w:t>
      </w:r>
    </w:p>
    <w:p w:rsidR="00D118C5" w:rsidRPr="00C1694A" w:rsidRDefault="00D118C5"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recommended several changes to this section to reflect FERPA, such as: add an exception to parental consent for disclosing PII classified as “directory information”; include the entire criteria in FERPA on a written agreement; remove the term “disaster” from §1303.22(c)(4); add other FERPA requirements on the disclosure of PII without parental consent for a lawfully issued subpoena or judicial order; require the class of recipients be specified within the consent form; and permit disclosure without parental consent to a school the child intends to enroll or is already enrolled.</w:t>
      </w:r>
    </w:p>
    <w:p w:rsidR="00D118C5" w:rsidRPr="00C1694A" w:rsidRDefault="00D118C5"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intended to align this section with FERPA while meeting the needs of Head Start and Early Head Start programs, and therefore a direct replication of FERPA would not be appropriate.  In regards to directory information, we believe that a list of names, addresses, photographs, and other information that may fall under directory information can be harmful if disclosed without parental consent for the vulnerable population we serve, and therefore no change was made. In regards to the written agreement, our intent is for the program to determine the reasonable method to maintain control appropriate for the disclosure including a written agreement, direct supervision, and/or other methods. We updated §1303.22(c)(1) through (3) to focus on our intent which provides programs flexibility without being overly prescriptive. In regards to “disaster,” the term refers to an emergency such as a natural or manmade disaster. We agreed with the recommendations to include the class of recipients in the consent form and to permit disclosure in compliance with a subpoena without consent, similar to what FERPA permits, and these changes have been made. Lastly, the disclosure without parental consent related to a child’s enrollment or transfer is already addressed in §1303.22(b), and parental consent is not required.</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recommended we add clarify, replace, or define terms in this section including, “dependency matters” as this could refer to any case involving a dependent child and an adult caregiver, “case plan</w:t>
      </w:r>
      <w:r w:rsidR="002F658A" w:rsidRPr="00C1694A">
        <w:rPr>
          <w:rFonts w:ascii="Times New Roman" w:hAnsi="Times New Roman" w:cs="Times New Roman"/>
          <w:sz w:val="24"/>
          <w:szCs w:val="24"/>
        </w:rPr>
        <w:t>,</w:t>
      </w:r>
      <w:r w:rsidRPr="00C1694A">
        <w:rPr>
          <w:rFonts w:ascii="Times New Roman" w:hAnsi="Times New Roman" w:cs="Times New Roman"/>
          <w:sz w:val="24"/>
          <w:szCs w:val="24"/>
        </w:rPr>
        <w:t>” and “foster care</w:t>
      </w:r>
      <w:r w:rsidR="002F658A" w:rsidRPr="00C1694A">
        <w:rPr>
          <w:rFonts w:ascii="Times New Roman" w:hAnsi="Times New Roman" w:cs="Times New Roman"/>
          <w:sz w:val="24"/>
          <w:szCs w:val="24"/>
        </w:rPr>
        <w:t>.</w:t>
      </w:r>
      <w:r w:rsidRPr="00C1694A">
        <w:rPr>
          <w:rFonts w:ascii="Times New Roman" w:hAnsi="Times New Roman" w:cs="Times New Roman"/>
          <w:sz w:val="24"/>
          <w:szCs w:val="24"/>
        </w:rPr>
        <w:t>” Commenters expressed concern that these terms could differ from state to state.</w:t>
      </w:r>
    </w:p>
    <w:p w:rsidR="008A55FA" w:rsidRPr="00C1694A" w:rsidRDefault="006C6CA9" w:rsidP="008A55FA">
      <w:pPr>
        <w:spacing w:after="0" w:line="480" w:lineRule="auto"/>
        <w:ind w:firstLine="720"/>
        <w:rPr>
          <w:rFonts w:ascii="Times New Roman" w:hAnsi="Times New Roman" w:cs="Times New Roman"/>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disagree on defining dependency matters. However, it is not our intent that any case involving a dependent child and an adult caregiver inherently involves dependency matters, so we clarified that the court proceedings must directly involve dependency matters. Foster care is defined in </w:t>
      </w:r>
      <w:r w:rsidR="002668AB">
        <w:rPr>
          <w:rFonts w:ascii="Times New Roman" w:hAnsi="Times New Roman" w:cs="Times New Roman"/>
          <w:sz w:val="24"/>
          <w:szCs w:val="24"/>
        </w:rPr>
        <w:t xml:space="preserve">part </w:t>
      </w:r>
      <w:r w:rsidRPr="00C1694A">
        <w:rPr>
          <w:rFonts w:ascii="Times New Roman" w:hAnsi="Times New Roman" w:cs="Times New Roman"/>
          <w:sz w:val="24"/>
          <w:szCs w:val="24"/>
        </w:rPr>
        <w:t xml:space="preserve">1305. </w:t>
      </w:r>
      <w:r w:rsidR="008A55FA" w:rsidRPr="00C1694A">
        <w:rPr>
          <w:rFonts w:ascii="Times New Roman" w:hAnsi="Times New Roman" w:cs="Times New Roman"/>
          <w:sz w:val="24"/>
          <w:szCs w:val="24"/>
        </w:rPr>
        <w:t xml:space="preserve"> The definition for “case plan” was added to </w:t>
      </w:r>
      <w:r w:rsidR="002668AB">
        <w:rPr>
          <w:rFonts w:ascii="Times New Roman" w:hAnsi="Times New Roman" w:cs="Times New Roman"/>
          <w:sz w:val="24"/>
          <w:szCs w:val="24"/>
        </w:rPr>
        <w:t xml:space="preserve">part </w:t>
      </w:r>
      <w:r w:rsidR="008A55FA" w:rsidRPr="00C1694A">
        <w:rPr>
          <w:rFonts w:ascii="Times New Roman" w:hAnsi="Times New Roman" w:cs="Times New Roman"/>
          <w:sz w:val="24"/>
          <w:szCs w:val="24"/>
        </w:rPr>
        <w:t>1305.</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expressed concern that posting child allergy information prominently as described in §1302.47(b)(7)(vi) violates the privacy of children. </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believe it is critical that food allergies are prominently displayed in areas wherever food is served to mitigate a serious health and safety risk for infants, toddlers, and preschool aged children. We also believe programs should be able to address other serious health and safety risks without parental consent to disclose PII. As a result, we added a “serious health and safety risk such as a serious food allergy” to §1303.22(c)(4) of this section.</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recommended that violators of the privacy rule be given the opportunity to self-correct before any sanctions are applied. </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Any violations of the privacy rule will be handled through existing monitoring and Head Start enforcement mechanisms.</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requested an exception to release PII without consent in the case of reporting child abuse or neglect if they are required to do so by law.</w:t>
      </w:r>
    </w:p>
    <w:p w:rsidR="00114F7B" w:rsidRPr="00C1694A" w:rsidRDefault="008A55FA" w:rsidP="008A55FA">
      <w:pPr>
        <w:spacing w:after="0" w:line="480" w:lineRule="auto"/>
        <w:ind w:firstLine="720"/>
        <w:rPr>
          <w:rFonts w:ascii="Times New Roman" w:hAnsi="Times New Roman" w:cs="Times New Roman"/>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States receiving funds under the Child Abuse Prevention and Treatment Act (CAPTA) from HHS are required to enact laws mandating the reporting of known and suspected instances of child abuse and neglect. </w:t>
      </w:r>
      <w:r w:rsidR="00114F7B" w:rsidRPr="00C1694A">
        <w:rPr>
          <w:rFonts w:ascii="Times New Roman" w:hAnsi="Times New Roman" w:cs="Times New Roman"/>
          <w:sz w:val="24"/>
          <w:szCs w:val="24"/>
        </w:rPr>
        <w:t>States must also ensure that the disclosure is made only to persons or entities determined by the State to have a need for the information. To ensure this section of the regulation does not conflict with federal, state, local, or tribal laws that require reporting of child abuse or neglect, we added §1303.22(c)(8) which allows the disclosure of PII without parental consent to an appropriate party to address suspected or known child maltreatment to comply with applicable federal, state, local, or tribal laws on reporting child abuse and neglect. We do not specify the persons who may access the records and under what circumstances since these vary by state.</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expressed concern that a program would apply the five-year rule that used to appear in §1303.22(d) automatically after a single violation of a written agreement which could lead to conflicts with state and local mandatory reporting requirements; that barring third parties from accessing child records for any violation of the written agreement is too broad; and the annual review of the written agreement seems arbitrary.</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agree with the concerns on the five-year rule</w:t>
      </w:r>
      <w:r w:rsidR="00114F7B"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we modified the provision to allow a program greater flexibility in handling third party violations. A program must review the written agreement annually, but only update it if necessary.</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expressed concern that programs will not be allowed to share data with partners critical to Head Start programs such as community partners, health partners, contractors, consultants, subrecipients, and volunteers. Commenters requested that we clarify data sharing with community partners; the term “educational interest”; and the term “official</w:t>
      </w:r>
      <w:r w:rsidR="002F658A" w:rsidRPr="00C1694A">
        <w:rPr>
          <w:rFonts w:ascii="Times New Roman" w:hAnsi="Times New Roman" w:cs="Times New Roman"/>
          <w:sz w:val="24"/>
          <w:szCs w:val="24"/>
        </w:rPr>
        <w:t>.</w:t>
      </w:r>
      <w:r w:rsidRPr="00C1694A">
        <w:rPr>
          <w:rFonts w:ascii="Times New Roman" w:hAnsi="Times New Roman" w:cs="Times New Roman"/>
          <w:sz w:val="24"/>
          <w:szCs w:val="24"/>
        </w:rPr>
        <w:t>”</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A program may disclose PII from a child record without consent to a partner if the partner meets one of the conditions in §1303.22(c). A partner will most likely qualify as an “official acting for the program” if they are directly or indirectly providing program services for which the agency would otherwise use an employee. If a community partner does not qualify under any condition in §1303.22(c), we recommend programs build written consent into the enrollment process for these partners. We removed “educational interests” and replaced it with plain language for clarity. We added language to §1303.22(c)(1) through (3) to clarify the term official. </w:t>
      </w:r>
    </w:p>
    <w:p w:rsidR="006C6CA9" w:rsidRPr="00C1694A" w:rsidRDefault="00F42D11" w:rsidP="00301051">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§1303.23 Parental</w:t>
      </w:r>
      <w:r w:rsidR="006C6CA9" w:rsidRPr="00C1694A">
        <w:rPr>
          <w:rFonts w:ascii="Times New Roman" w:hAnsi="Times New Roman" w:cs="Times New Roman"/>
          <w:i/>
          <w:sz w:val="24"/>
          <w:szCs w:val="24"/>
        </w:rPr>
        <w:t xml:space="preserve"> rights.</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this section, we focus on parents' rights. We recognize that parents should be at the forefront when it comes to the collection, use, and sharing of the PII in respect to their child’s record.  Most commenters in this section supported the rights provided to parents. Other commenters raised concerns, which are discussed below.</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we provide an additional requirement for programs to annually inform the parent on what data are being collected, how and why the data are used, and how the data are being safeguarded.</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The parent</w:t>
      </w:r>
      <w:r w:rsidR="00A74C4D" w:rsidRPr="00C1694A">
        <w:rPr>
          <w:rFonts w:ascii="Times New Roman" w:hAnsi="Times New Roman" w:cs="Times New Roman"/>
          <w:sz w:val="24"/>
          <w:szCs w:val="24"/>
        </w:rPr>
        <w:t>al</w:t>
      </w:r>
      <w:r w:rsidRPr="00C1694A">
        <w:rPr>
          <w:rFonts w:ascii="Times New Roman" w:hAnsi="Times New Roman" w:cs="Times New Roman"/>
          <w:sz w:val="24"/>
          <w:szCs w:val="24"/>
        </w:rPr>
        <w:t xml:space="preserve"> consent form coupled with the annual notice already provides this information to the parent. We believe that requiring details on each data element collected, how each is used and for what exact purpose, and the specific security measures taken to protect the data would be excessive and burdensome.</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Commenters both agreed and disagreed with informing parents of their rights annually due to the conflicting perceived level of effort required by the program. Another commenter noted a conflicting requirement that allowed a parent the right to obtain a copy of the child record even when court ordered the contents related to disclosure not be disclosed or when it involves a child abuse or neglect case.</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believe that it is important that the program annually notify parents of their rights. However, this notification does not necessarily need to be individualized for every parent. For instance, the program could include a standard handout as part of the material the parent will already receive during the program year. This flexibility reduces burden on programs. In regards to the conflicting information, we added language in §1303.23(d) to ensure the parents’ right to a copy of a record does not conflict with a court order.</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 with programs making decisions on how to effectively share data and what specific data to share.</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agree that it can be challenging for programs to make decisions about how to share data and what data to share. Programs may request guidance through the training and technical assistance system. Additionally, we did not intend for programs to share all PII during a disclosure, therefore we added §1303.22(f) to limit the program to only disclose the PII that is necessary for the purpose of the disclosure.  </w:t>
      </w:r>
    </w:p>
    <w:p w:rsidR="006C6CA9" w:rsidRPr="00C1694A" w:rsidRDefault="006C6CA9" w:rsidP="00301051">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§1303.24 Maintaining records.</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section, we describe recordkeeping requirements related to the protection of child privacy. Programs must maintain, with each child's record, a list of all individuals, agencies, or organizations that obtained access to PII from child records. The list must indicate the expressed interests that each person, agency, or organization had to obtain this information. Recordkeeping of disclosures to program officials or parents are not required since it would be too burdensome for programs. Programs must ensure that only parents, officials, and appropriate staff have access to records. We received some comments on this section, discussed below. </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we provide the amount of time a child record must be maintained and how IDEA relates to record maintenance.</w:t>
      </w:r>
    </w:p>
    <w:p w:rsidR="008A55FA" w:rsidRPr="00C1694A" w:rsidRDefault="008A55FA" w:rsidP="008A55FA">
      <w:pPr>
        <w:spacing w:after="0" w:line="480" w:lineRule="auto"/>
        <w:rPr>
          <w:rFonts w:ascii="Times New Roman" w:hAnsi="Times New Roman" w:cs="Times New Roman"/>
        </w:rPr>
      </w:pPr>
      <w:r w:rsidRPr="00C1694A">
        <w:rPr>
          <w:rFonts w:ascii="Times New Roman" w:hAnsi="Times New Roman" w:cs="Times New Roman"/>
          <w:sz w:val="24"/>
          <w:szCs w:val="24"/>
          <w:u w:val="words"/>
        </w:rPr>
        <w:tab/>
      </w:r>
      <w:r w:rsidR="00114F7B" w:rsidRPr="00C1694A">
        <w:rPr>
          <w:rFonts w:ascii="Times New Roman" w:hAnsi="Times New Roman" w:cs="Times New Roman"/>
          <w:sz w:val="24"/>
          <w:szCs w:val="24"/>
          <w:u w:val="words"/>
        </w:rPr>
        <w:t>Response:</w:t>
      </w:r>
      <w:r w:rsidR="00114F7B" w:rsidRPr="00C1694A">
        <w:rPr>
          <w:rFonts w:ascii="Times New Roman" w:hAnsi="Times New Roman" w:cs="Times New Roman"/>
          <w:sz w:val="24"/>
          <w:szCs w:val="24"/>
        </w:rPr>
        <w:t xml:space="preserve"> Depending on the type of data involved and the context in which the data are being used, there may be requirements for destruction of data with which programs must comply.  We do not address information about other applicable program requirements, including those that may apply under IDEA, as that is beyond the scope of this regulation, but note that programs may be subject to record retention requirements for children they are serving based on applicable Federal and State statutes of limitations. </w:t>
      </w:r>
      <w:r w:rsidRPr="00C1694A">
        <w:rPr>
          <w:rFonts w:ascii="Times New Roman" w:hAnsi="Times New Roman" w:cs="Times New Roman"/>
          <w:sz w:val="24"/>
          <w:szCs w:val="24"/>
        </w:rPr>
        <w:t xml:space="preserve">However, when no other requirement exists, a program must destroy child records within a reasonable timeframe after the child has been served – this was added to §1303.24(a). We also added a restriction to data destruction in §1303.23(a)(4) to protect the parental right to inspect a record.  </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pointed out an inconsistency between the NPRM preamble and proposed regulatory text. Specifically, for §1303.24(b), the NPRM preamble required a program maintain information of all requested access to PII from child records, but the proposed regulation stated that information on these parties is only maintained when a disclosure of PII is actually made. The commenters preferred the proposed regulatory text.</w:t>
      </w:r>
    </w:p>
    <w:p w:rsidR="006C6CA9" w:rsidRPr="00C1694A" w:rsidRDefault="006C6CA9" w:rsidP="00301051">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words"/>
        </w:rPr>
        <w:t>Response:</w:t>
      </w:r>
      <w:r w:rsidRPr="00C1694A">
        <w:rPr>
          <w:rFonts w:ascii="Times New Roman" w:hAnsi="Times New Roman" w:cs="Times New Roman"/>
          <w:sz w:val="24"/>
          <w:szCs w:val="24"/>
        </w:rPr>
        <w:t xml:space="preserve"> We agree that programs must only maintain this information when a disclosure is actually made. It is not necessary to maintain records on each request for PII from child records if the program does not make a disclosure of PII in response to the request.</w:t>
      </w:r>
    </w:p>
    <w:p w:rsidR="00A9254A" w:rsidRPr="00C1694A" w:rsidRDefault="00A9254A" w:rsidP="00301051">
      <w:pPr>
        <w:autoSpaceDE w:val="0"/>
        <w:autoSpaceDN w:val="0"/>
        <w:adjustRightInd w:val="0"/>
        <w:spacing w:after="0" w:line="480" w:lineRule="auto"/>
        <w:rPr>
          <w:rFonts w:ascii="Times New Roman" w:hAnsi="Times New Roman" w:cs="Times New Roman"/>
          <w:sz w:val="24"/>
          <w:szCs w:val="24"/>
        </w:rPr>
      </w:pPr>
    </w:p>
    <w:p w:rsidR="00C945F2" w:rsidRPr="00C1694A" w:rsidRDefault="00C945F2" w:rsidP="00301051">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Delegation of Program Operations</w:t>
      </w:r>
      <w:r w:rsidR="00380A4E" w:rsidRPr="00C1694A">
        <w:rPr>
          <w:rFonts w:ascii="Times New Roman" w:hAnsi="Times New Roman" w:cs="Times New Roman"/>
          <w:b/>
          <w:sz w:val="24"/>
          <w:szCs w:val="24"/>
        </w:rPr>
        <w:t>; Subpart D</w:t>
      </w:r>
    </w:p>
    <w:p w:rsidR="002A469E" w:rsidRPr="00C1694A" w:rsidRDefault="00A74C4D" w:rsidP="00A74C4D">
      <w:pPr>
        <w:spacing w:after="0" w:line="480" w:lineRule="auto"/>
        <w:ind w:firstLine="720"/>
        <w:rPr>
          <w:rFonts w:ascii="Times New Roman" w:hAnsi="Times New Roman" w:cs="Times New Roman"/>
          <w:bCs/>
          <w:i/>
          <w:sz w:val="24"/>
          <w:szCs w:val="24"/>
        </w:rPr>
      </w:pPr>
      <w:r w:rsidRPr="00C1694A">
        <w:rPr>
          <w:rFonts w:ascii="Times New Roman" w:hAnsi="Times New Roman" w:cs="Times New Roman"/>
          <w:bCs/>
          <w:sz w:val="24"/>
          <w:szCs w:val="24"/>
        </w:rPr>
        <w:t>T</w:t>
      </w:r>
      <w:r w:rsidR="002A469E" w:rsidRPr="00C1694A">
        <w:rPr>
          <w:rFonts w:ascii="Times New Roman" w:hAnsi="Times New Roman" w:cs="Times New Roman"/>
          <w:bCs/>
          <w:sz w:val="24"/>
          <w:szCs w:val="24"/>
        </w:rPr>
        <w:t>his subpart consolidate</w:t>
      </w:r>
      <w:r w:rsidRPr="00C1694A">
        <w:rPr>
          <w:rFonts w:ascii="Times New Roman" w:hAnsi="Times New Roman" w:cs="Times New Roman"/>
          <w:bCs/>
          <w:sz w:val="24"/>
          <w:szCs w:val="24"/>
        </w:rPr>
        <w:t>s</w:t>
      </w:r>
      <w:r w:rsidR="002A469E" w:rsidRPr="00C1694A">
        <w:rPr>
          <w:rFonts w:ascii="Times New Roman" w:hAnsi="Times New Roman" w:cs="Times New Roman"/>
          <w:bCs/>
          <w:sz w:val="24"/>
          <w:szCs w:val="24"/>
        </w:rPr>
        <w:t xml:space="preserve"> </w:t>
      </w:r>
      <w:r w:rsidRPr="00C1694A">
        <w:rPr>
          <w:rFonts w:ascii="Times New Roman" w:hAnsi="Times New Roman" w:cs="Times New Roman"/>
          <w:bCs/>
          <w:sz w:val="24"/>
          <w:szCs w:val="24"/>
        </w:rPr>
        <w:t xml:space="preserve">previous </w:t>
      </w:r>
      <w:r w:rsidR="002A469E" w:rsidRPr="00C1694A">
        <w:rPr>
          <w:rFonts w:ascii="Times New Roman" w:hAnsi="Times New Roman" w:cs="Times New Roman"/>
          <w:bCs/>
          <w:sz w:val="24"/>
          <w:szCs w:val="24"/>
        </w:rPr>
        <w:t>performance standards on delegation of program operations into one section and revise</w:t>
      </w:r>
      <w:r w:rsidRPr="00C1694A">
        <w:rPr>
          <w:rFonts w:ascii="Times New Roman" w:hAnsi="Times New Roman" w:cs="Times New Roman"/>
          <w:bCs/>
          <w:sz w:val="24"/>
          <w:szCs w:val="24"/>
        </w:rPr>
        <w:t>s requirements</w:t>
      </w:r>
      <w:r w:rsidR="002A469E" w:rsidRPr="00C1694A">
        <w:rPr>
          <w:rFonts w:ascii="Times New Roman" w:hAnsi="Times New Roman" w:cs="Times New Roman"/>
          <w:bCs/>
          <w:sz w:val="24"/>
          <w:szCs w:val="24"/>
        </w:rPr>
        <w:t xml:space="preserve"> to conform </w:t>
      </w:r>
      <w:r w:rsidRPr="00C1694A">
        <w:rPr>
          <w:rFonts w:ascii="Times New Roman" w:hAnsi="Times New Roman" w:cs="Times New Roman"/>
          <w:bCs/>
          <w:sz w:val="24"/>
          <w:szCs w:val="24"/>
        </w:rPr>
        <w:t xml:space="preserve">with </w:t>
      </w:r>
      <w:r w:rsidR="002A469E" w:rsidRPr="00C1694A">
        <w:rPr>
          <w:rFonts w:ascii="Times New Roman" w:hAnsi="Times New Roman" w:cs="Times New Roman"/>
          <w:bCs/>
          <w:sz w:val="24"/>
          <w:szCs w:val="24"/>
        </w:rPr>
        <w:t xml:space="preserve">the Act.  Section 641A(d) of the Act requires agencies to establish procedures that relate to its delegate agencies and that provide further specifics related to evaluation, corrective actions, and terminations.  We discuss and analyze the comments </w:t>
      </w:r>
      <w:r w:rsidRPr="00C1694A">
        <w:rPr>
          <w:rFonts w:ascii="Times New Roman" w:hAnsi="Times New Roman" w:cs="Times New Roman"/>
          <w:bCs/>
          <w:sz w:val="24"/>
          <w:szCs w:val="24"/>
        </w:rPr>
        <w:t xml:space="preserve">on this section </w:t>
      </w:r>
      <w:r w:rsidR="002A469E" w:rsidRPr="00C1694A">
        <w:rPr>
          <w:rFonts w:ascii="Times New Roman" w:hAnsi="Times New Roman" w:cs="Times New Roman"/>
          <w:bCs/>
          <w:sz w:val="24"/>
          <w:szCs w:val="24"/>
        </w:rPr>
        <w:t xml:space="preserve">below.   </w:t>
      </w:r>
    </w:p>
    <w:p w:rsidR="002A469E" w:rsidRPr="00C1694A" w:rsidRDefault="002A469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§1303.30 </w:t>
      </w:r>
      <w:r w:rsidR="005F3C0D" w:rsidRPr="001E00C8">
        <w:rPr>
          <w:rFonts w:ascii="Times New Roman" w:hAnsi="Times New Roman" w:cs="Times New Roman"/>
          <w:i/>
          <w:sz w:val="24"/>
          <w:szCs w:val="24"/>
        </w:rPr>
        <w:t>Grantee responsibility and accountability</w:t>
      </w:r>
      <w:r w:rsidRPr="00C1694A">
        <w:rPr>
          <w:rFonts w:ascii="Times New Roman" w:hAnsi="Times New Roman" w:cs="Times New Roman"/>
          <w:i/>
          <w:sz w:val="24"/>
          <w:szCs w:val="24"/>
        </w:rPr>
        <w:t>.</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this section, we clarify that a grantee is accountable for its delegate agencies.  That means the grantee retains legal authority and financial accountability for the program when services are provided by delegate agencies.  Consequently, the grantee must support and oversee delegate agenci</w:t>
      </w:r>
      <w:r w:rsidR="00535E9D" w:rsidRPr="00C1694A">
        <w:rPr>
          <w:rFonts w:ascii="Times New Roman" w:hAnsi="Times New Roman" w:cs="Times New Roman"/>
          <w:sz w:val="24"/>
          <w:szCs w:val="24"/>
        </w:rPr>
        <w:t>es and ensure they provide high-</w:t>
      </w:r>
      <w:r w:rsidRPr="00C1694A">
        <w:rPr>
          <w:rFonts w:ascii="Times New Roman" w:hAnsi="Times New Roman" w:cs="Times New Roman"/>
          <w:sz w:val="24"/>
          <w:szCs w:val="24"/>
        </w:rPr>
        <w:t>quality services to children and families and meet all applicable regulations.  We also clarify a grantee may not terminate a delegate agency without showing cause and must establish a process for delegate agencies to appeal adverse decisions.</w:t>
      </w:r>
      <w:r w:rsidR="00A74C4D" w:rsidRPr="00C1694A">
        <w:rPr>
          <w:rFonts w:ascii="Times New Roman" w:hAnsi="Times New Roman" w:cs="Times New Roman"/>
          <w:sz w:val="24"/>
          <w:szCs w:val="24"/>
        </w:rPr>
        <w:t xml:space="preserve">  </w:t>
      </w:r>
      <w:r w:rsidRPr="00C1694A">
        <w:rPr>
          <w:rFonts w:ascii="Times New Roman" w:hAnsi="Times New Roman" w:cs="Times New Roman"/>
          <w:sz w:val="24"/>
          <w:szCs w:val="24"/>
        </w:rPr>
        <w:t>We discuss the few comments we received on this section below.</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stated the phrase “bears financial accountability” in the fourth sentence in this paragraph, implied the grantee was responsible for any financial debt a delegate incurred.  The commenter recommended we clarify the grantee bears responsibility for those allowable transactions it authorizes that are directly related to the Head Start program provided by delegate agencies.  </w:t>
      </w:r>
    </w:p>
    <w:p w:rsidR="002A469E" w:rsidRPr="00C1694A" w:rsidRDefault="002A469E"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E5749E" w:rsidRPr="00C1694A">
        <w:rPr>
          <w:rFonts w:ascii="Times New Roman" w:hAnsi="Times New Roman" w:cs="Times New Roman"/>
          <w:sz w:val="24"/>
          <w:szCs w:val="24"/>
        </w:rPr>
        <w:t xml:space="preserve">When the phrase “bears financial accountability” is taken in context of the entire section, it implies the grantee is responsible for </w:t>
      </w:r>
      <w:r w:rsidR="00993880" w:rsidRPr="00C1694A">
        <w:rPr>
          <w:rFonts w:ascii="Times New Roman" w:hAnsi="Times New Roman" w:cs="Times New Roman"/>
          <w:sz w:val="24"/>
          <w:szCs w:val="24"/>
        </w:rPr>
        <w:t>the use of Head Start funds by the delegate</w:t>
      </w:r>
      <w:r w:rsidR="00E5749E" w:rsidRPr="00C1694A">
        <w:rPr>
          <w:rFonts w:ascii="Times New Roman" w:hAnsi="Times New Roman" w:cs="Times New Roman"/>
          <w:sz w:val="24"/>
          <w:szCs w:val="24"/>
        </w:rPr>
        <w:t>.  Therefore</w:t>
      </w:r>
      <w:r w:rsidRPr="00C1694A">
        <w:rPr>
          <w:rFonts w:ascii="Times New Roman" w:hAnsi="Times New Roman" w:cs="Times New Roman"/>
          <w:sz w:val="24"/>
          <w:szCs w:val="24"/>
        </w:rPr>
        <w:t xml:space="preserve">, we did not make any changes to this section.  </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asked us to allow programs to terminate delegate agencies “at will” with provisions that cause the least amount of undue stress and harm as possible to children and families served.  </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allow grantees to terminate delegate agencies “at will.”  Grantees can only terminate delegate agencies, if the grantee shows cause why termination is necessary and the grantee’s decision to terminate cannot be arbitrary or capricious.  </w:t>
      </w:r>
    </w:p>
    <w:p w:rsidR="002A469E" w:rsidRPr="00C1694A" w:rsidRDefault="002A469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§1303.31 Determining and establishing delegate agencies.</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Under this section in the NPRM, we proposed to require an agency that enters into an agreement with another entity to serve children to determine if the agreement meets the definition of “delegate agency” in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637(3) of the Act.  We proposed this performance standard to clarify that if an entity meets the definition of delegate in the Act, it is a delegate, regardless of what a grantee calls the entity to which it has delegated all or part of the responsibility for operating the program.  </w:t>
      </w:r>
    </w:p>
    <w:p w:rsidR="002A469E" w:rsidRPr="00C1694A" w:rsidRDefault="002A469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The </w:t>
      </w:r>
      <w:r w:rsidR="00D60493" w:rsidRPr="00C1694A">
        <w:rPr>
          <w:rFonts w:ascii="Times New Roman" w:hAnsi="Times New Roman" w:cs="Times New Roman"/>
          <w:sz w:val="24"/>
          <w:szCs w:val="24"/>
        </w:rPr>
        <w:t>NPRM proposed a requirement for</w:t>
      </w:r>
      <w:r w:rsidRPr="00C1694A">
        <w:rPr>
          <w:rFonts w:ascii="Times New Roman" w:hAnsi="Times New Roman" w:cs="Times New Roman"/>
          <w:sz w:val="24"/>
          <w:szCs w:val="24"/>
        </w:rPr>
        <w:t xml:space="preserve"> HHS to approve the delegate agency before the grantee may delegate program operations.  One commenter suggested </w:t>
      </w:r>
      <w:r w:rsidR="00A74C4D" w:rsidRPr="00C1694A">
        <w:rPr>
          <w:rFonts w:ascii="Times New Roman" w:hAnsi="Times New Roman" w:cs="Times New Roman"/>
          <w:sz w:val="24"/>
          <w:szCs w:val="24"/>
        </w:rPr>
        <w:t>that a delegate agreement be considered as approved if HHS had not approved or denied it</w:t>
      </w:r>
      <w:r w:rsidRPr="00C1694A">
        <w:rPr>
          <w:rFonts w:ascii="Times New Roman" w:hAnsi="Times New Roman" w:cs="Times New Roman"/>
          <w:sz w:val="24"/>
          <w:szCs w:val="24"/>
        </w:rPr>
        <w:t xml:space="preserve"> 60 days before the program year starts.  </w:t>
      </w:r>
    </w:p>
    <w:p w:rsidR="002A469E" w:rsidRPr="00C1694A" w:rsidRDefault="002A469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t>
      </w:r>
      <w:r w:rsidR="00FD3BD9" w:rsidRPr="00C1694A">
        <w:rPr>
          <w:rFonts w:ascii="Times New Roman" w:hAnsi="Times New Roman" w:cs="Times New Roman"/>
          <w:sz w:val="24"/>
          <w:szCs w:val="24"/>
        </w:rPr>
        <w:t>We believe HHS approval of delegates is important.  We did not change the requirement.</w:t>
      </w:r>
    </w:p>
    <w:p w:rsidR="002A469E" w:rsidRPr="00C1694A" w:rsidRDefault="002A469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asked whether or not programs could grandfather in existing delegate relationships or must they still have written agreements.  </w:t>
      </w:r>
    </w:p>
    <w:p w:rsidR="002A469E" w:rsidRPr="00C1694A" w:rsidRDefault="002A469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All grantee/delegate relationships must have written agreements approved by</w:t>
      </w:r>
      <w:r w:rsidR="00FD3BD9" w:rsidRPr="00C1694A">
        <w:rPr>
          <w:rFonts w:ascii="Times New Roman" w:hAnsi="Times New Roman" w:cs="Times New Roman"/>
          <w:sz w:val="24"/>
          <w:szCs w:val="24"/>
        </w:rPr>
        <w:t xml:space="preserve"> the responsible HHS official.  This is not a new provision.</w:t>
      </w:r>
    </w:p>
    <w:p w:rsidR="002A469E" w:rsidRPr="00C1694A" w:rsidRDefault="002A469E" w:rsidP="004932C1">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commenters asked us to differentiate between “delegate agency” and “contractors.”  Another commenter asked if partners and family child care homes were considered delegates and if so does the grantee provide appeal procedures of the agreement is terminated.  If family child care homes are considered delegates, the commenter recommended for us to add the following language to paragraph (a) to clarify that a grantee, partner, or family child care home can mutually agree to decline a delegate/grantee relationship: “</w:t>
      </w:r>
      <w:r w:rsidR="00A74C4D" w:rsidRPr="00C1694A">
        <w:rPr>
          <w:rFonts w:ascii="Times New Roman" w:hAnsi="Times New Roman" w:cs="Times New Roman"/>
          <w:sz w:val="24"/>
          <w:szCs w:val="24"/>
        </w:rPr>
        <w:t>…</w:t>
      </w:r>
      <w:r w:rsidRPr="00C1694A">
        <w:rPr>
          <w:rFonts w:ascii="Times New Roman" w:hAnsi="Times New Roman" w:cs="Times New Roman"/>
          <w:sz w:val="24"/>
          <w:szCs w:val="24"/>
        </w:rPr>
        <w:t xml:space="preserve">unless the grantee and the entity negotiate to form a contractual rather than a delegate relationship.”  This will provide flexibility to the entity regarding the requirement to form a policy committee or other delegate responsibility.  </w:t>
      </w:r>
    </w:p>
    <w:p w:rsidR="002A469E" w:rsidRPr="00C1694A" w:rsidRDefault="002A469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A “delegate agency” is a public, private nonprofit (including a community based organization, as defined in section 9101 of the Elementary and Second</w:t>
      </w:r>
      <w:r w:rsidR="00301051" w:rsidRPr="00C1694A">
        <w:rPr>
          <w:rFonts w:ascii="Times New Roman" w:hAnsi="Times New Roman" w:cs="Times New Roman"/>
          <w:sz w:val="24"/>
          <w:szCs w:val="24"/>
        </w:rPr>
        <w:t>ary Education Act of 1965 (20 U</w:t>
      </w:r>
      <w:r w:rsidR="002668AB">
        <w:rPr>
          <w:rFonts w:ascii="Times New Roman" w:hAnsi="Times New Roman" w:cs="Times New Roman"/>
          <w:sz w:val="24"/>
          <w:szCs w:val="24"/>
        </w:rPr>
        <w:t>.</w:t>
      </w:r>
      <w:r w:rsidR="00301051" w:rsidRPr="00C1694A">
        <w:rPr>
          <w:rFonts w:ascii="Times New Roman" w:hAnsi="Times New Roman" w:cs="Times New Roman"/>
          <w:sz w:val="24"/>
          <w:szCs w:val="24"/>
        </w:rPr>
        <w:t>S</w:t>
      </w:r>
      <w:r w:rsidR="002668AB">
        <w:rPr>
          <w:rFonts w:ascii="Times New Roman" w:hAnsi="Times New Roman" w:cs="Times New Roman"/>
          <w:sz w:val="24"/>
          <w:szCs w:val="24"/>
        </w:rPr>
        <w:t>.</w:t>
      </w:r>
      <w:r w:rsidR="00301051" w:rsidRPr="00C1694A">
        <w:rPr>
          <w:rFonts w:ascii="Times New Roman" w:hAnsi="Times New Roman" w:cs="Times New Roman"/>
          <w:sz w:val="24"/>
          <w:szCs w:val="24"/>
        </w:rPr>
        <w:t>C</w:t>
      </w:r>
      <w:r w:rsidR="002668AB">
        <w:rPr>
          <w:rFonts w:ascii="Times New Roman" w:hAnsi="Times New Roman" w:cs="Times New Roman"/>
          <w:sz w:val="24"/>
          <w:szCs w:val="24"/>
        </w:rPr>
        <w:t>.</w:t>
      </w:r>
      <w:r w:rsidRPr="00C1694A">
        <w:rPr>
          <w:rFonts w:ascii="Times New Roman" w:hAnsi="Times New Roman" w:cs="Times New Roman"/>
          <w:sz w:val="24"/>
          <w:szCs w:val="24"/>
        </w:rPr>
        <w:t xml:space="preserve"> 7801), or for profit organization or agency to which a grantee has delegated all or part of the responsibility of the grantee for operating a Head Start program.   Generally, a “contractor” either performs work or provides goods at a certain price or within a certain time. </w:t>
      </w:r>
    </w:p>
    <w:p w:rsidR="002A469E" w:rsidRPr="00C1694A" w:rsidRDefault="002A469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We did not make any changes to paragraph (a) in this section.  Family child care providers do not meet our </w:t>
      </w:r>
      <w:r w:rsidR="00FD3BD9" w:rsidRPr="00C1694A">
        <w:rPr>
          <w:rFonts w:ascii="Times New Roman" w:hAnsi="Times New Roman" w:cs="Times New Roman"/>
          <w:sz w:val="24"/>
          <w:szCs w:val="24"/>
        </w:rPr>
        <w:t>definition for “delegate agency</w:t>
      </w:r>
      <w:r w:rsidRPr="00C1694A">
        <w:rPr>
          <w:rFonts w:ascii="Times New Roman" w:hAnsi="Times New Roman" w:cs="Times New Roman"/>
          <w:sz w:val="24"/>
          <w:szCs w:val="24"/>
        </w:rPr>
        <w:t>”</w:t>
      </w:r>
      <w:r w:rsidR="00FD3BD9" w:rsidRPr="00C1694A">
        <w:rPr>
          <w:rFonts w:ascii="Times New Roman" w:hAnsi="Times New Roman" w:cs="Times New Roman"/>
          <w:sz w:val="24"/>
          <w:szCs w:val="24"/>
        </w:rPr>
        <w:t xml:space="preserve"> because they do not meet the first part of that definition.</w:t>
      </w:r>
      <w:r w:rsidRPr="00C1694A">
        <w:rPr>
          <w:rFonts w:ascii="Times New Roman" w:hAnsi="Times New Roman" w:cs="Times New Roman"/>
          <w:sz w:val="24"/>
          <w:szCs w:val="24"/>
        </w:rPr>
        <w:t xml:space="preserve">  They are our partners under the Early Head Start Child Care Partnership (EHS-CCP).  Under EHS-CCP, new or existing Early Head Start grantees partner with regulated center-based or family child care providers who agree to meet Head Start program performance standards.  </w:t>
      </w:r>
    </w:p>
    <w:p w:rsidR="002A469E" w:rsidRPr="00C1694A" w:rsidRDefault="002A469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§1303.32 Evaluations and corrective actions for delegate agencies.</w:t>
      </w:r>
    </w:p>
    <w:p w:rsidR="002A469E" w:rsidRPr="00C1694A" w:rsidRDefault="002A469E" w:rsidP="009A526A">
      <w:pPr>
        <w:spacing w:after="0" w:line="480" w:lineRule="auto"/>
        <w:ind w:firstLine="720"/>
        <w:rPr>
          <w:rFonts w:ascii="Times New Roman" w:hAnsi="Times New Roman" w:cs="Times New Roman"/>
          <w:i/>
          <w:sz w:val="24"/>
          <w:szCs w:val="24"/>
        </w:rPr>
      </w:pPr>
      <w:r w:rsidRPr="00C1694A">
        <w:rPr>
          <w:rFonts w:ascii="Times New Roman" w:hAnsi="Times New Roman" w:cs="Times New Roman"/>
          <w:sz w:val="24"/>
          <w:szCs w:val="24"/>
        </w:rPr>
        <w:t xml:space="preserve">This section includes requirements from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641A(d) of the Act with respect to the evaluation of delegate agencies and corrective actions in the event of a deficiency.  </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w:t>
      </w:r>
      <w:r w:rsidR="00392490" w:rsidRPr="00C1694A">
        <w:rPr>
          <w:rFonts w:ascii="Times New Roman" w:hAnsi="Times New Roman" w:cs="Times New Roman"/>
          <w:sz w:val="24"/>
          <w:szCs w:val="24"/>
        </w:rPr>
        <w:t>s</w:t>
      </w:r>
      <w:r w:rsidRPr="00C1694A">
        <w:rPr>
          <w:rFonts w:ascii="Times New Roman" w:hAnsi="Times New Roman" w:cs="Times New Roman"/>
          <w:sz w:val="24"/>
          <w:szCs w:val="24"/>
        </w:rPr>
        <w:t xml:space="preserve"> asked us to include the actual language of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641A(d) of the Act rather than cite to it and to clarify that the Act’s requirement for each Head Start agency to establish procedures to evaluate and defund delegate agencies and for delegate agencies to appeal defunding decisions may be satisfied with provisions on those topics in its delegate agency agreement(s). </w:t>
      </w:r>
    </w:p>
    <w:p w:rsidR="002A469E" w:rsidRPr="00C1694A" w:rsidRDefault="002A469E" w:rsidP="009A526A">
      <w:pPr>
        <w:spacing w:after="0" w:line="480" w:lineRule="auto"/>
        <w:ind w:firstLine="720"/>
        <w:jc w:val="both"/>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refer to the Act when possible to streamline and to make the regulation read better.  We did not make any changes to this section.   </w:t>
      </w:r>
    </w:p>
    <w:p w:rsidR="002A469E" w:rsidRPr="00C1694A" w:rsidRDefault="002A469E" w:rsidP="009A526A">
      <w:pPr>
        <w:spacing w:after="0"/>
        <w:rPr>
          <w:rFonts w:ascii="Times New Roman" w:hAnsi="Times New Roman" w:cs="Times New Roman"/>
          <w:i/>
          <w:sz w:val="24"/>
          <w:szCs w:val="24"/>
        </w:rPr>
      </w:pPr>
      <w:r w:rsidRPr="00C1694A">
        <w:rPr>
          <w:rFonts w:ascii="Times New Roman" w:hAnsi="Times New Roman" w:cs="Times New Roman"/>
          <w:i/>
          <w:sz w:val="24"/>
          <w:szCs w:val="24"/>
        </w:rPr>
        <w:t>§1303.33 Termination of delegate agencies.</w:t>
      </w:r>
    </w:p>
    <w:p w:rsidR="00380A4E" w:rsidRPr="00C1694A" w:rsidRDefault="00380A4E" w:rsidP="009A526A">
      <w:pPr>
        <w:spacing w:after="0"/>
        <w:rPr>
          <w:rFonts w:ascii="Times New Roman" w:hAnsi="Times New Roman" w:cs="Times New Roman"/>
          <w:i/>
          <w:sz w:val="24"/>
          <w:szCs w:val="24"/>
        </w:rPr>
      </w:pP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section, we clarify that a grantee cannot terminate a delegate agency without showing cause and the grantee’s decision to terminate cannot be arbitrary or capricious.  To align with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641A(d)(1)(C) of the Act, we require grantees to establish procedures to defund a delegate agency.  We also require grantees to establish procedures that are fair and timely for a delegate agency to appeal a defunding decision.  </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Furthermore, we removed the appeal procedures for delegate agencies that were under part 1303 subpart C in the previous rule.  The reason being, grantees are accountable for the services their delegate agencies provide to children and families.  We believe they must have the necessary tools at their disposal to remove delegate agencies.  We believe the previous system inappropriately tied the hands of grantees and had become overly </w:t>
      </w:r>
      <w:r w:rsidR="00A74C4D" w:rsidRPr="00C1694A">
        <w:rPr>
          <w:rFonts w:ascii="Times New Roman" w:hAnsi="Times New Roman" w:cs="Times New Roman"/>
          <w:sz w:val="24"/>
          <w:szCs w:val="24"/>
        </w:rPr>
        <w:t>burdensome</w:t>
      </w:r>
      <w:r w:rsidRPr="00C1694A">
        <w:rPr>
          <w:rFonts w:ascii="Times New Roman" w:hAnsi="Times New Roman" w:cs="Times New Roman"/>
          <w:sz w:val="24"/>
          <w:szCs w:val="24"/>
        </w:rPr>
        <w:t xml:space="preserve">.  </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address the comments we received on this section below. </w:t>
      </w:r>
    </w:p>
    <w:p w:rsidR="002A469E" w:rsidRPr="00C1694A" w:rsidRDefault="002A469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supported our proposal to eliminate complex delegate agency appeals procedures.   They believed this provided helpful flexibility to Head Start agencies that, for reasons of cost or inadequate delegate agency performance, may find it necessary to terminate a delegate agency relationship.</w:t>
      </w:r>
    </w:p>
    <w:p w:rsidR="002A469E" w:rsidRPr="00C1694A" w:rsidRDefault="002A469E" w:rsidP="00301051">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00392490" w:rsidRPr="00C1694A">
        <w:rPr>
          <w:rFonts w:ascii="Times New Roman" w:hAnsi="Times New Roman" w:cs="Times New Roman"/>
          <w:sz w:val="24"/>
          <w:szCs w:val="24"/>
        </w:rPr>
        <w:t xml:space="preserve">  We agree that g</w:t>
      </w:r>
      <w:r w:rsidRPr="00C1694A">
        <w:rPr>
          <w:rFonts w:ascii="Times New Roman" w:hAnsi="Times New Roman" w:cs="Times New Roman"/>
          <w:sz w:val="24"/>
          <w:szCs w:val="24"/>
        </w:rPr>
        <w:t xml:space="preserve">rantees are ultimately accountable for their delegates.  Consequently, grantees must be able to remove delegates when necessary, without having to go through an overly </w:t>
      </w:r>
      <w:r w:rsidR="00A74C4D" w:rsidRPr="00C1694A">
        <w:rPr>
          <w:rFonts w:ascii="Times New Roman" w:hAnsi="Times New Roman" w:cs="Times New Roman"/>
          <w:sz w:val="24"/>
          <w:szCs w:val="24"/>
        </w:rPr>
        <w:t xml:space="preserve">burdensome </w:t>
      </w:r>
      <w:r w:rsidRPr="00C1694A">
        <w:rPr>
          <w:rFonts w:ascii="Times New Roman" w:hAnsi="Times New Roman" w:cs="Times New Roman"/>
          <w:sz w:val="24"/>
          <w:szCs w:val="24"/>
        </w:rPr>
        <w:t>process.  Furthermore, we believe grantees are in the best position to provide appeal processes for delegate agencies.</w:t>
      </w:r>
      <w:r w:rsidR="00392490" w:rsidRPr="00C1694A">
        <w:rPr>
          <w:rFonts w:ascii="Times New Roman" w:hAnsi="Times New Roman" w:cs="Times New Roman"/>
          <w:sz w:val="24"/>
          <w:szCs w:val="24"/>
        </w:rPr>
        <w:t xml:space="preserve">  We have not changed this provision.</w:t>
      </w:r>
    </w:p>
    <w:p w:rsidR="00C945F2" w:rsidRPr="00C1694A" w:rsidRDefault="00C945F2" w:rsidP="00301051">
      <w:pPr>
        <w:autoSpaceDE w:val="0"/>
        <w:autoSpaceDN w:val="0"/>
        <w:adjustRightInd w:val="0"/>
        <w:spacing w:after="0" w:line="480" w:lineRule="auto"/>
        <w:rPr>
          <w:rFonts w:ascii="Times New Roman" w:hAnsi="Times New Roman" w:cs="Times New Roman"/>
          <w:sz w:val="24"/>
          <w:szCs w:val="24"/>
        </w:rPr>
      </w:pPr>
    </w:p>
    <w:p w:rsidR="00C945F2" w:rsidRPr="00C1694A" w:rsidRDefault="00C945F2" w:rsidP="00301051">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Facilities</w:t>
      </w:r>
      <w:r w:rsidR="00380A4E" w:rsidRPr="00C1694A">
        <w:rPr>
          <w:rFonts w:ascii="Times New Roman" w:hAnsi="Times New Roman" w:cs="Times New Roman"/>
          <w:b/>
          <w:sz w:val="24"/>
          <w:szCs w:val="24"/>
        </w:rPr>
        <w:t>; Subpart E</w:t>
      </w:r>
    </w:p>
    <w:p w:rsidR="001A7DEE" w:rsidRPr="00C1694A" w:rsidRDefault="001A7DEE" w:rsidP="00301051">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This subpart implements</w:t>
      </w:r>
      <w:r w:rsidR="00F65246" w:rsidRPr="00C1694A">
        <w:rPr>
          <w:rFonts w:ascii="Times New Roman" w:eastAsia="Calibri" w:hAnsi="Times New Roman" w:cs="Times New Roman"/>
          <w:sz w:val="24"/>
          <w:szCs w:val="24"/>
        </w:rPr>
        <w:t xml:space="preserve"> the statutory requirements </w:t>
      </w:r>
      <w:r w:rsidR="00301051" w:rsidRPr="00C1694A">
        <w:rPr>
          <w:rFonts w:ascii="Times New Roman" w:eastAsia="Calibri" w:hAnsi="Times New Roman" w:cs="Times New Roman"/>
          <w:sz w:val="24"/>
          <w:szCs w:val="24"/>
        </w:rPr>
        <w:t xml:space="preserve">related to facilities </w:t>
      </w:r>
      <w:r w:rsidR="00F65246" w:rsidRPr="00C1694A">
        <w:rPr>
          <w:rFonts w:ascii="Times New Roman" w:eastAsia="Calibri" w:hAnsi="Times New Roman" w:cs="Times New Roman"/>
          <w:sz w:val="24"/>
          <w:szCs w:val="24"/>
        </w:rPr>
        <w:t xml:space="preserve">in </w:t>
      </w:r>
      <w:r w:rsidR="00147BAE" w:rsidRPr="00C1694A">
        <w:rPr>
          <w:rFonts w:ascii="Times New Roman" w:eastAsia="Calibri" w:hAnsi="Times New Roman" w:cs="Times New Roman"/>
          <w:sz w:val="24"/>
          <w:szCs w:val="24"/>
        </w:rPr>
        <w:t>s</w:t>
      </w:r>
      <w:r w:rsidRPr="00C1694A">
        <w:rPr>
          <w:rFonts w:ascii="Times New Roman" w:eastAsia="Calibri" w:hAnsi="Times New Roman" w:cs="Times New Roman"/>
          <w:sz w:val="24"/>
          <w:szCs w:val="24"/>
        </w:rPr>
        <w:t>ection 644(c), (f), and (g) of the Act.</w:t>
      </w:r>
      <w:r w:rsidRPr="00C1694A">
        <w:rPr>
          <w:rFonts w:ascii="Times New Roman" w:eastAsia="Times New Roman" w:hAnsi="Times New Roman" w:cs="Times New Roman"/>
          <w:sz w:val="24"/>
          <w:szCs w:val="24"/>
        </w:rPr>
        <w:t xml:space="preserve">  It clarifies </w:t>
      </w:r>
      <w:r w:rsidR="00F65246" w:rsidRPr="00C1694A">
        <w:rPr>
          <w:rFonts w:ascii="Times New Roman" w:eastAsia="Times New Roman" w:hAnsi="Times New Roman" w:cs="Times New Roman"/>
          <w:sz w:val="24"/>
          <w:szCs w:val="24"/>
        </w:rPr>
        <w:t>and reorganizes requirements for</w:t>
      </w:r>
      <w:r w:rsidRPr="00C1694A">
        <w:rPr>
          <w:rFonts w:ascii="Times New Roman" w:eastAsia="Times New Roman" w:hAnsi="Times New Roman" w:cs="Times New Roman"/>
          <w:sz w:val="24"/>
          <w:szCs w:val="24"/>
        </w:rPr>
        <w:t xml:space="preserve"> grantees when they apply to use Head Start funds to purchase, construct or make major renovations to facilities.  </w:t>
      </w:r>
    </w:p>
    <w:p w:rsidR="001A7DEE" w:rsidRPr="00C1694A" w:rsidRDefault="001A7DEE" w:rsidP="009A526A">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Th</w:t>
      </w:r>
      <w:r w:rsidR="00301051" w:rsidRPr="00C1694A">
        <w:rPr>
          <w:rFonts w:ascii="Times New Roman" w:eastAsia="Times New Roman" w:hAnsi="Times New Roman" w:cs="Times New Roman"/>
          <w:sz w:val="24"/>
          <w:szCs w:val="24"/>
        </w:rPr>
        <w:t>is subpart</w:t>
      </w:r>
      <w:r w:rsidRPr="00C1694A">
        <w:rPr>
          <w:rFonts w:ascii="Times New Roman" w:eastAsia="Times New Roman" w:hAnsi="Times New Roman" w:cs="Times New Roman"/>
          <w:sz w:val="24"/>
          <w:szCs w:val="24"/>
        </w:rPr>
        <w:t xml:space="preserve"> logically organizes all relevant information and requirements for protecting the federal interest under a broad variety of circumstances.  It also removes requirements that are not Head Start-specific but rather are overarching requirements for managing federal grants and aligns all remaining provisions with the </w:t>
      </w:r>
      <w:r w:rsidRPr="00C1694A">
        <w:rPr>
          <w:rFonts w:ascii="Times New Roman" w:hAnsi="Times New Roman" w:cs="Times New Roman"/>
          <w:sz w:val="24"/>
          <w:szCs w:val="24"/>
        </w:rPr>
        <w:t>Uniform Administrative Requirements, Cost Principles, and Audit Requirements for Federal Awards</w:t>
      </w:r>
      <w:r w:rsidRPr="00C1694A">
        <w:rPr>
          <w:rFonts w:ascii="Times New Roman" w:eastAsia="Times New Roman" w:hAnsi="Times New Roman" w:cs="Times New Roman"/>
          <w:sz w:val="24"/>
          <w:szCs w:val="24"/>
        </w:rPr>
        <w:t xml:space="preserve">.  We address comments we received on each section within this subpart below.  </w:t>
      </w:r>
    </w:p>
    <w:p w:rsidR="001A7DEE" w:rsidRPr="00AC521C" w:rsidRDefault="001A7DEE" w:rsidP="009A526A">
      <w:pPr>
        <w:spacing w:after="0" w:line="480" w:lineRule="auto"/>
        <w:contextualSpacing/>
        <w:rPr>
          <w:rFonts w:ascii="Times New Roman" w:hAnsi="Times New Roman" w:cs="Times New Roman"/>
          <w:i/>
          <w:sz w:val="24"/>
          <w:szCs w:val="24"/>
        </w:rPr>
      </w:pPr>
      <w:r w:rsidRPr="00AC521C">
        <w:rPr>
          <w:rFonts w:ascii="Times New Roman" w:hAnsi="Times New Roman" w:cs="Times New Roman"/>
          <w:i/>
          <w:sz w:val="24"/>
          <w:szCs w:val="24"/>
        </w:rPr>
        <w:t xml:space="preserve">§1303.40 </w:t>
      </w:r>
      <w:r w:rsidR="005F3C0D" w:rsidRPr="005F3C0D">
        <w:rPr>
          <w:rFonts w:ascii="Times New Roman" w:hAnsi="Times New Roman" w:cs="Times New Roman"/>
          <w:i/>
          <w:sz w:val="24"/>
          <w:szCs w:val="24"/>
        </w:rPr>
        <w:t>Purpose</w:t>
      </w:r>
      <w:r w:rsidRPr="00AC521C">
        <w:rPr>
          <w:rFonts w:ascii="Times New Roman" w:hAnsi="Times New Roman" w:cs="Times New Roman"/>
          <w:i/>
          <w:sz w:val="24"/>
          <w:szCs w:val="24"/>
        </w:rPr>
        <w:t xml:space="preserve">.   </w:t>
      </w:r>
    </w:p>
    <w:p w:rsidR="001A7DEE" w:rsidRPr="00C1694A" w:rsidRDefault="001A7DEE" w:rsidP="009A526A">
      <w:pPr>
        <w:spacing w:after="0" w:line="480" w:lineRule="auto"/>
        <w:ind w:firstLine="720"/>
        <w:contextualSpacing/>
        <w:rPr>
          <w:rFonts w:ascii="Times New Roman" w:hAnsi="Times New Roman" w:cs="Times New Roman"/>
          <w:i/>
          <w:sz w:val="24"/>
          <w:szCs w:val="24"/>
        </w:rPr>
      </w:pPr>
      <w:r w:rsidRPr="00C1694A">
        <w:rPr>
          <w:rFonts w:ascii="Times New Roman" w:hAnsi="Times New Roman" w:cs="Times New Roman"/>
          <w:sz w:val="24"/>
          <w:szCs w:val="24"/>
        </w:rPr>
        <w:t xml:space="preserve">This section clarifies that the whole of subpart E applies to major renovations.  It explains these provisions apply only to minor renovations and repairs when they are included in a purchase and are part of the purchase costs.  We address the one comment we received on this section below. </w:t>
      </w:r>
    </w:p>
    <w:p w:rsidR="001A7DEE" w:rsidRPr="00C1694A" w:rsidRDefault="001A7DEE" w:rsidP="009A526A">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noted that it may be necessary to us to clarify that information contained in</w:t>
      </w:r>
      <w:r w:rsidR="00F65246" w:rsidRPr="00C1694A">
        <w:rPr>
          <w:rFonts w:ascii="Times New Roman" w:hAnsi="Times New Roman" w:cs="Times New Roman"/>
          <w:sz w:val="24"/>
          <w:szCs w:val="24"/>
        </w:rPr>
        <w:t xml:space="preserve"> </w:t>
      </w:r>
      <w:r w:rsidR="004C1F46" w:rsidRPr="00C1694A">
        <w:rPr>
          <w:rFonts w:ascii="Times New Roman" w:hAnsi="Times New Roman" w:cs="Times New Roman"/>
          <w:sz w:val="24"/>
          <w:szCs w:val="24"/>
        </w:rPr>
        <w:t>a Program Instruction and</w:t>
      </w:r>
      <w:r w:rsidRPr="00C1694A">
        <w:rPr>
          <w:rFonts w:ascii="Times New Roman" w:hAnsi="Times New Roman" w:cs="Times New Roman"/>
          <w:sz w:val="24"/>
          <w:szCs w:val="24"/>
        </w:rPr>
        <w:t xml:space="preserve"> its application be made clear in this section.</w:t>
      </w:r>
      <w:r w:rsidRPr="00C1694A">
        <w:rPr>
          <w:rFonts w:ascii="Times New Roman" w:hAnsi="Times New Roman" w:cs="Times New Roman"/>
          <w:sz w:val="24"/>
          <w:szCs w:val="24"/>
          <w:u w:val="single"/>
        </w:rPr>
        <w:t xml:space="preserve">  </w:t>
      </w:r>
    </w:p>
    <w:p w:rsidR="001A7DEE" w:rsidRPr="00C1694A" w:rsidRDefault="001A7DE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integrated the information </w:t>
      </w:r>
      <w:r w:rsidR="004C1F46" w:rsidRPr="00C1694A">
        <w:rPr>
          <w:rFonts w:ascii="Times New Roman" w:hAnsi="Times New Roman" w:cs="Times New Roman"/>
          <w:sz w:val="24"/>
          <w:szCs w:val="24"/>
        </w:rPr>
        <w:t>from Program Instructions</w:t>
      </w:r>
      <w:r w:rsidRPr="00C1694A">
        <w:rPr>
          <w:rFonts w:ascii="Times New Roman" w:hAnsi="Times New Roman" w:cs="Times New Roman"/>
          <w:sz w:val="24"/>
          <w:szCs w:val="24"/>
        </w:rPr>
        <w:t xml:space="preserve"> into </w:t>
      </w:r>
      <w:r w:rsidR="00F65246" w:rsidRPr="00C1694A">
        <w:rPr>
          <w:rFonts w:ascii="Times New Roman" w:hAnsi="Times New Roman" w:cs="Times New Roman"/>
          <w:sz w:val="24"/>
          <w:szCs w:val="24"/>
        </w:rPr>
        <w:t xml:space="preserve">this section and into </w:t>
      </w:r>
      <w:r w:rsidRPr="00C1694A">
        <w:rPr>
          <w:rFonts w:ascii="Times New Roman" w:hAnsi="Times New Roman" w:cs="Times New Roman"/>
          <w:sz w:val="24"/>
          <w:szCs w:val="24"/>
        </w:rPr>
        <w:t xml:space="preserve">our definition for “purchase” in </w:t>
      </w:r>
      <w:r w:rsidR="00F65246" w:rsidRPr="00C1694A">
        <w:rPr>
          <w:rFonts w:ascii="Times New Roman" w:hAnsi="Times New Roman" w:cs="Times New Roman"/>
          <w:sz w:val="24"/>
          <w:szCs w:val="24"/>
        </w:rPr>
        <w:t>p</w:t>
      </w:r>
      <w:r w:rsidRPr="00C1694A">
        <w:rPr>
          <w:rFonts w:ascii="Times New Roman" w:hAnsi="Times New Roman" w:cs="Times New Roman"/>
          <w:sz w:val="24"/>
          <w:szCs w:val="24"/>
        </w:rPr>
        <w:t xml:space="preserve">art 1305.  We did not make any changes here.  </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§1303.41 Approval of previously purchased facilities.</w:t>
      </w:r>
    </w:p>
    <w:p w:rsidR="001A7DEE" w:rsidRPr="00C1694A" w:rsidRDefault="001A7DEE" w:rsidP="00667764">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Our previous regulation did not address refinancing.  But as interest rates have fallen, grantees have asked us for permission to apply for more advantageous loan terms.  In this section, we allow grantees that have purchased facilities beginning in 1987 and that continue to pay purchase costs or seek to refinance indebtedness to apply for funds to meet costs associated with refinancing.  We also </w:t>
      </w:r>
      <w:r w:rsidR="000C6312" w:rsidRPr="00C1694A">
        <w:rPr>
          <w:rFonts w:ascii="Times New Roman" w:hAnsi="Times New Roman" w:cs="Times New Roman"/>
          <w:sz w:val="24"/>
          <w:szCs w:val="24"/>
        </w:rPr>
        <w:t>revised</w:t>
      </w:r>
      <w:r w:rsidRPr="00C1694A">
        <w:rPr>
          <w:rFonts w:ascii="Times New Roman" w:hAnsi="Times New Roman" w:cs="Times New Roman"/>
          <w:sz w:val="24"/>
          <w:szCs w:val="24"/>
        </w:rPr>
        <w:t xml:space="preserve"> </w:t>
      </w:r>
      <w:r w:rsidR="000C6312" w:rsidRPr="00C1694A">
        <w:rPr>
          <w:rFonts w:ascii="Times New Roman" w:hAnsi="Times New Roman" w:cs="Times New Roman"/>
          <w:sz w:val="24"/>
          <w:szCs w:val="24"/>
        </w:rPr>
        <w:t>the language to clarify that</w:t>
      </w:r>
      <w:r w:rsidRPr="00C1694A">
        <w:rPr>
          <w:rFonts w:ascii="Times New Roman" w:hAnsi="Times New Roman" w:cs="Times New Roman"/>
          <w:sz w:val="24"/>
          <w:szCs w:val="24"/>
        </w:rPr>
        <w:t xml:space="preserve"> a </w:t>
      </w:r>
      <w:r w:rsidR="000C6312" w:rsidRPr="00C1694A">
        <w:rPr>
          <w:rFonts w:ascii="Times New Roman" w:hAnsi="Times New Roman" w:cs="Times New Roman"/>
          <w:sz w:val="24"/>
          <w:szCs w:val="24"/>
        </w:rPr>
        <w:t>purchase includes both principal</w:t>
      </w:r>
      <w:r w:rsidRPr="00C1694A">
        <w:rPr>
          <w:rFonts w:ascii="Times New Roman" w:hAnsi="Times New Roman" w:cs="Times New Roman"/>
          <w:sz w:val="24"/>
          <w:szCs w:val="24"/>
        </w:rPr>
        <w:t xml:space="preserve"> and interest payments </w:t>
      </w:r>
      <w:r w:rsidR="000C6312" w:rsidRPr="00C1694A">
        <w:rPr>
          <w:rFonts w:ascii="Times New Roman" w:hAnsi="Times New Roman" w:cs="Times New Roman"/>
          <w:sz w:val="24"/>
          <w:szCs w:val="24"/>
        </w:rPr>
        <w:t xml:space="preserve">on approved loans </w:t>
      </w:r>
      <w:r w:rsidRPr="00C1694A">
        <w:rPr>
          <w:rFonts w:ascii="Times New Roman" w:hAnsi="Times New Roman" w:cs="Times New Roman"/>
          <w:sz w:val="24"/>
          <w:szCs w:val="24"/>
        </w:rPr>
        <w:t xml:space="preserve">in accordance with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644(g)(2) of the Act.   We received comments on this section</w:t>
      </w:r>
      <w:r w:rsidR="000F5F8E" w:rsidRPr="00C1694A">
        <w:rPr>
          <w:rFonts w:ascii="Times New Roman" w:hAnsi="Times New Roman" w:cs="Times New Roman"/>
          <w:sz w:val="24"/>
          <w:szCs w:val="24"/>
        </w:rPr>
        <w:t xml:space="preserve"> and</w:t>
      </w:r>
      <w:r w:rsidRPr="00C1694A">
        <w:rPr>
          <w:rFonts w:ascii="Times New Roman" w:hAnsi="Times New Roman" w:cs="Times New Roman"/>
          <w:sz w:val="24"/>
          <w:szCs w:val="24"/>
        </w:rPr>
        <w:t xml:space="preserve"> address </w:t>
      </w:r>
      <w:r w:rsidR="000F5F8E" w:rsidRPr="00C1694A">
        <w:rPr>
          <w:rFonts w:ascii="Times New Roman" w:hAnsi="Times New Roman" w:cs="Times New Roman"/>
          <w:sz w:val="24"/>
          <w:szCs w:val="24"/>
        </w:rPr>
        <w:t>them</w:t>
      </w:r>
      <w:r w:rsidRPr="00C1694A">
        <w:rPr>
          <w:rFonts w:ascii="Times New Roman" w:hAnsi="Times New Roman" w:cs="Times New Roman"/>
          <w:sz w:val="24"/>
          <w:szCs w:val="24"/>
        </w:rPr>
        <w:t xml:space="preserve"> below. </w:t>
      </w:r>
    </w:p>
    <w:p w:rsidR="001A7DEE" w:rsidRPr="00C1694A" w:rsidRDefault="001A7DEE" w:rsidP="00667764">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asked why we included “1987” in this section.    </w:t>
      </w:r>
    </w:p>
    <w:p w:rsidR="001A7DEE" w:rsidRPr="00C1694A" w:rsidRDefault="001A7DEE" w:rsidP="00667764">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“1987” date is consistent with the Act.  The date notes </w:t>
      </w:r>
      <w:r w:rsidR="00F65246" w:rsidRPr="00C1694A">
        <w:rPr>
          <w:rFonts w:ascii="Times New Roman" w:hAnsi="Times New Roman" w:cs="Times New Roman"/>
          <w:sz w:val="24"/>
          <w:szCs w:val="24"/>
        </w:rPr>
        <w:t xml:space="preserve">it is allowable to use </w:t>
      </w:r>
      <w:r w:rsidRPr="00C1694A">
        <w:rPr>
          <w:rFonts w:ascii="Times New Roman" w:hAnsi="Times New Roman" w:cs="Times New Roman"/>
          <w:sz w:val="24"/>
          <w:szCs w:val="24"/>
        </w:rPr>
        <w:t xml:space="preserve">funds </w:t>
      </w:r>
      <w:r w:rsidR="00F65246" w:rsidRPr="00C1694A">
        <w:rPr>
          <w:rFonts w:ascii="Times New Roman" w:hAnsi="Times New Roman" w:cs="Times New Roman"/>
          <w:sz w:val="24"/>
          <w:szCs w:val="24"/>
        </w:rPr>
        <w:t>to purchase or</w:t>
      </w:r>
      <w:r w:rsidRPr="00C1694A">
        <w:rPr>
          <w:rFonts w:ascii="Times New Roman" w:hAnsi="Times New Roman" w:cs="Times New Roman"/>
          <w:sz w:val="24"/>
          <w:szCs w:val="24"/>
        </w:rPr>
        <w:t xml:space="preserve"> continue the purchase of facilities after December 31, 1986.  We revised the language to</w:t>
      </w:r>
      <w:r w:rsidR="00392490" w:rsidRPr="00C1694A">
        <w:rPr>
          <w:rFonts w:ascii="Times New Roman" w:hAnsi="Times New Roman" w:cs="Times New Roman"/>
          <w:sz w:val="24"/>
          <w:szCs w:val="24"/>
        </w:rPr>
        <w:t xml:space="preserve"> more closely mirror the Act.  </w:t>
      </w:r>
    </w:p>
    <w:p w:rsidR="001A7DEE" w:rsidRPr="00C1694A" w:rsidRDefault="001A7DEE" w:rsidP="00667764">
      <w:pPr>
        <w:spacing w:after="0" w:line="480" w:lineRule="auto"/>
        <w:rPr>
          <w:rFonts w:ascii="Times New Roman" w:hAnsi="Times New Roman" w:cs="Times New Roman"/>
          <w:sz w:val="24"/>
        </w:rPr>
      </w:pPr>
      <w:r w:rsidRPr="00C1694A">
        <w:rPr>
          <w:rFonts w:ascii="Times New Roman" w:hAnsi="Times New Roman" w:cs="Times New Roman"/>
        </w:rPr>
        <w:t xml:space="preserve"> </w:t>
      </w:r>
      <w:r w:rsidRPr="00C1694A">
        <w:rPr>
          <w:rFonts w:ascii="Times New Roman" w:hAnsi="Times New Roman" w:cs="Times New Roman"/>
        </w:rPr>
        <w:tab/>
      </w:r>
      <w:r w:rsidRPr="00C1694A">
        <w:rPr>
          <w:rFonts w:ascii="Times New Roman" w:hAnsi="Times New Roman" w:cs="Times New Roman"/>
          <w:sz w:val="24"/>
          <w:u w:val="single"/>
        </w:rPr>
        <w:t>Comment:</w:t>
      </w:r>
      <w:r w:rsidRPr="00C1694A">
        <w:rPr>
          <w:rFonts w:ascii="Times New Roman" w:hAnsi="Times New Roman" w:cs="Times New Roman"/>
          <w:sz w:val="24"/>
        </w:rPr>
        <w:t xml:space="preserve">  One commenter asked us to remove language that requires grantees to </w:t>
      </w:r>
      <w:r w:rsidR="00F65246" w:rsidRPr="00C1694A">
        <w:rPr>
          <w:rFonts w:ascii="Times New Roman" w:hAnsi="Times New Roman" w:cs="Times New Roman"/>
          <w:sz w:val="24"/>
        </w:rPr>
        <w:t xml:space="preserve">obtain </w:t>
      </w:r>
      <w:r w:rsidRPr="00C1694A">
        <w:rPr>
          <w:rFonts w:ascii="Times New Roman" w:hAnsi="Times New Roman" w:cs="Times New Roman"/>
          <w:sz w:val="24"/>
        </w:rPr>
        <w:t>HHS permission to refinance an existing mortgage.</w:t>
      </w:r>
    </w:p>
    <w:p w:rsidR="001A7DEE" w:rsidRPr="00C1694A" w:rsidRDefault="001A7DEE" w:rsidP="00667764">
      <w:pPr>
        <w:spacing w:after="0" w:line="480" w:lineRule="auto"/>
        <w:rPr>
          <w:rFonts w:ascii="Times New Roman" w:hAnsi="Times New Roman" w:cs="Times New Roman"/>
          <w:sz w:val="24"/>
        </w:rPr>
      </w:pPr>
      <w:r w:rsidRPr="00C1694A">
        <w:rPr>
          <w:rFonts w:ascii="Times New Roman" w:hAnsi="Times New Roman" w:cs="Times New Roman"/>
          <w:sz w:val="24"/>
        </w:rPr>
        <w:tab/>
      </w:r>
      <w:r w:rsidRPr="00C1694A">
        <w:rPr>
          <w:rFonts w:ascii="Times New Roman" w:hAnsi="Times New Roman" w:cs="Times New Roman"/>
          <w:sz w:val="24"/>
          <w:u w:val="single"/>
        </w:rPr>
        <w:t>Response:</w:t>
      </w:r>
      <w:r w:rsidRPr="00C1694A">
        <w:rPr>
          <w:rFonts w:ascii="Times New Roman" w:hAnsi="Times New Roman" w:cs="Times New Roman"/>
          <w:sz w:val="24"/>
        </w:rPr>
        <w:t xml:space="preserve"> We did not remove language that requires grantees to get HHS permission to refinance an existing mortgage.  Refinancing of existing indebtedness may result in cross-collateral or cross-default provisions that put facilities subject to a federal interest at risk of foreclosure for debt not associated with the Head Start program.  </w:t>
      </w:r>
    </w:p>
    <w:p w:rsidR="001A7DEE" w:rsidRPr="00C1694A" w:rsidRDefault="001A7DEE" w:rsidP="009A526A">
      <w:pPr>
        <w:spacing w:after="0" w:line="480" w:lineRule="auto"/>
        <w:rPr>
          <w:rFonts w:ascii="Times New Roman" w:hAnsi="Times New Roman" w:cs="Times New Roman"/>
          <w:i/>
          <w:sz w:val="24"/>
        </w:rPr>
      </w:pPr>
      <w:r w:rsidRPr="00C1694A">
        <w:rPr>
          <w:rFonts w:ascii="Times New Roman" w:hAnsi="Times New Roman" w:cs="Times New Roman"/>
          <w:i/>
          <w:sz w:val="24"/>
        </w:rPr>
        <w:t xml:space="preserve">§1303.42 Eligibility to purchase, construct, and renovate facilities.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This section prescribes what grantees must show to be eligible to construct or renovate a facility.  It also clarifies grantees that apply for funds to purchase, construct or renovate a facility must establish that the facility will be available to Indian tribes, rural</w:t>
      </w:r>
      <w:r w:rsidR="00DA036E" w:rsidRPr="00C1694A">
        <w:rPr>
          <w:rFonts w:ascii="Times New Roman" w:hAnsi="Times New Roman" w:cs="Times New Roman"/>
          <w:sz w:val="24"/>
          <w:szCs w:val="24"/>
        </w:rPr>
        <w:t>,</w:t>
      </w:r>
      <w:r w:rsidRPr="00C1694A">
        <w:rPr>
          <w:rFonts w:ascii="Times New Roman" w:hAnsi="Times New Roman" w:cs="Times New Roman"/>
          <w:sz w:val="24"/>
          <w:szCs w:val="24"/>
        </w:rPr>
        <w:t xml:space="preserve"> or other low-income communities.</w:t>
      </w:r>
      <w:r w:rsidR="00056B85" w:rsidRPr="00C1694A">
        <w:rPr>
          <w:rFonts w:ascii="Times New Roman" w:hAnsi="Times New Roman" w:cs="Times New Roman"/>
          <w:sz w:val="24"/>
          <w:szCs w:val="24"/>
        </w:rPr>
        <w:t xml:space="preserve">  </w:t>
      </w:r>
      <w:r w:rsidRPr="00C1694A">
        <w:rPr>
          <w:rFonts w:ascii="Times New Roman" w:hAnsi="Times New Roman" w:cs="Times New Roman"/>
          <w:sz w:val="24"/>
          <w:szCs w:val="24"/>
        </w:rPr>
        <w:t>We received multiple comments on this section. We address those comments below.</w:t>
      </w:r>
    </w:p>
    <w:p w:rsidR="001A7DEE" w:rsidRPr="00C1694A" w:rsidRDefault="001A7DEE"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w:t>
      </w:r>
      <w:r w:rsidR="00056B85" w:rsidRPr="00C1694A">
        <w:rPr>
          <w:rFonts w:ascii="Times New Roman" w:hAnsi="Times New Roman" w:cs="Times New Roman"/>
          <w:sz w:val="24"/>
        </w:rPr>
        <w:t>C</w:t>
      </w:r>
      <w:r w:rsidRPr="00C1694A">
        <w:rPr>
          <w:rFonts w:ascii="Times New Roman" w:hAnsi="Times New Roman" w:cs="Times New Roman"/>
          <w:sz w:val="24"/>
        </w:rPr>
        <w:t>ommenter</w:t>
      </w:r>
      <w:r w:rsidR="00056B85" w:rsidRPr="00C1694A">
        <w:rPr>
          <w:rFonts w:ascii="Times New Roman" w:hAnsi="Times New Roman" w:cs="Times New Roman"/>
          <w:sz w:val="24"/>
        </w:rPr>
        <w:t>s</w:t>
      </w:r>
      <w:r w:rsidRPr="00C1694A">
        <w:rPr>
          <w:rFonts w:ascii="Times New Roman" w:hAnsi="Times New Roman" w:cs="Times New Roman"/>
          <w:sz w:val="24"/>
        </w:rPr>
        <w:t xml:space="preserve"> suggested we clarify in paragraph (a) how a grantee can establish that preliminary eligibility requirements are satisfied.</w:t>
      </w:r>
    </w:p>
    <w:p w:rsidR="001A7DEE" w:rsidRPr="00C1694A" w:rsidRDefault="001A7DEE"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revise language in this section to prescribe how a grantee can establish preliminary eligibility</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 xml:space="preserve">to purchase, construct, or renovate a facility. </w:t>
      </w:r>
      <w:r w:rsidRPr="00C1694A">
        <w:rPr>
          <w:rFonts w:ascii="Times New Roman" w:hAnsi="Times New Roman" w:cs="Times New Roman"/>
          <w:sz w:val="24"/>
        </w:rPr>
        <w:t xml:space="preserve">We believe that a grantee may demonstrate preliminary eligibility in a variety of ways and that a prescriptive process might create compliance challenges for some grantees.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felt we created an unnecessary cost burden because we require a certified appraiser to address availability of suitable facilities in paragraph (b) of this section.  These commenters believed a real estate professional’s opinion was sufficient.</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availability of suitable facilities can be adequately established, at lower cost, by an independent real estate professional familiar with the local commercial real property market.   Therefore, we revised paragraph (b) to clarify a real estate professional’s opinion is sufficient.</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§1303.43 Use of grant funds to pay fees.</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This section clarifies the type and extent of pre-project costs, such as project feasibility studies and professional fees, we may approve before a grantee applies for funding to purchase, construct, and renovate facilities.  </w:t>
      </w:r>
    </w:p>
    <w:p w:rsidR="001A7DEE" w:rsidRPr="00C1694A" w:rsidRDefault="001A7DEE"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One commenter asked us to revise this section to allow grantees to use funds from their then-current Head Start grant for facilities projects or apply for and receive funds under the noted section.</w:t>
      </w:r>
    </w:p>
    <w:p w:rsidR="001A7DEE" w:rsidRPr="00C1694A" w:rsidRDefault="001A7DEE"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We did not revise this section to allow grantees to use existing grant funds for fees and costs associated with a facilities project.   We believe that can be addressed through existing facilities regulations at 45 CFR </w:t>
      </w:r>
      <w:r w:rsidR="002668AB">
        <w:rPr>
          <w:rFonts w:ascii="Times New Roman" w:hAnsi="Times New Roman" w:cs="Times New Roman"/>
          <w:sz w:val="24"/>
        </w:rPr>
        <w:t>p</w:t>
      </w:r>
      <w:r w:rsidRPr="00C1694A">
        <w:rPr>
          <w:rFonts w:ascii="Times New Roman" w:hAnsi="Times New Roman" w:cs="Times New Roman"/>
          <w:sz w:val="24"/>
        </w:rPr>
        <w:t xml:space="preserve">art 75.  </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§1303.44 Applications to purchase, construct, and renovate facilities.</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This section focuses on the process grantees must use to apply for funds to purchase, construct, and renovate facilities.  We address comments we received on this section below.</w:t>
      </w:r>
    </w:p>
    <w:p w:rsidR="001A7DEE" w:rsidRPr="00C1694A" w:rsidRDefault="001A7DEE"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One commenter queried whether the facilities application process is applicable to all uses of funds for facilities activities or only when additional funds are requested.</w:t>
      </w:r>
    </w:p>
    <w:p w:rsidR="001A7DEE" w:rsidRPr="00C1694A" w:rsidRDefault="001A7DEE" w:rsidP="009A526A">
      <w:pPr>
        <w:spacing w:after="0" w:line="480" w:lineRule="auto"/>
        <w:rPr>
          <w:rFonts w:ascii="Times New Roman" w:hAnsi="Times New Roman" w:cs="Times New Roman"/>
          <w:sz w:val="24"/>
        </w:rPr>
      </w:pPr>
      <w:r w:rsidRPr="00C1694A">
        <w:rPr>
          <w:rFonts w:ascii="Times New Roman" w:hAnsi="Times New Roman" w:cs="Times New Roman"/>
          <w:sz w:val="24"/>
        </w:rPr>
        <w:t>Another suggested we should add a performance standard that requires the responsible HHS official to promptly review and make final decisions regarding completed applications under this subpart.</w:t>
      </w:r>
    </w:p>
    <w:p w:rsidR="001A7DEE" w:rsidRPr="00C1694A" w:rsidRDefault="001A7DEE"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General language in §1303.40 refers to </w:t>
      </w:r>
      <w:r w:rsidRPr="00C1694A">
        <w:rPr>
          <w:rFonts w:ascii="Times New Roman" w:eastAsiaTheme="minorHAnsi" w:hAnsi="Times New Roman" w:cs="Times New Roman"/>
          <w:sz w:val="24"/>
        </w:rPr>
        <w:t>facilities purchased, constructed or renovated with grant funds</w:t>
      </w:r>
      <w:r w:rsidRPr="00C1694A">
        <w:rPr>
          <w:rFonts w:ascii="Times New Roman" w:hAnsi="Times New Roman" w:cs="Times New Roman"/>
          <w:sz w:val="24"/>
        </w:rPr>
        <w:t xml:space="preserve"> and applies to all defined activities regardless of how funding is awarded.  Therefore, we did not make changes here.  </w:t>
      </w:r>
    </w:p>
    <w:p w:rsidR="001A7DEE" w:rsidRPr="00C1694A" w:rsidRDefault="001A7DEE"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rPr>
        <w:t xml:space="preserve">We also did not require the responsible HHS official to promptly review and make final decisions.  The primary reason being facilities applications require substantial information and some applications are incomplete when submitted.  The length of time the responsible HHS official may need to help a grantee submit a complete application and determine availability of funding varies.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noted in paragraph (a)(2) of this section a deed or proof of legal ownership should not be the sole requirement for renovations on leased facilities.  Grantees should be able to present a proposed lease agreement.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We currently require grantees to submit a proposed lease in paragraph (b)(1) in this section currently requires submission of a proposed lease agreement and landlord consent.  A slight amendment was made to remove the requirement that the submitted copy by an “official” copy since leases are not subject to official certification.</w:t>
      </w:r>
    </w:p>
    <w:p w:rsidR="001A7DEE" w:rsidRPr="00C1694A" w:rsidRDefault="001A7DEE" w:rsidP="009A526A">
      <w:pPr>
        <w:spacing w:after="0" w:line="480" w:lineRule="auto"/>
        <w:rPr>
          <w:rFonts w:ascii="Times New Roman" w:hAnsi="Times New Roman" w:cs="Times New Roman"/>
          <w:sz w:val="24"/>
        </w:rPr>
      </w:pPr>
      <w:r w:rsidRPr="00C1694A">
        <w:rPr>
          <w:rFonts w:ascii="Times New Roman" w:hAnsi="Times New Roman" w:cs="Times New Roman"/>
          <w:sz w:val="24"/>
        </w:rPr>
        <w:tab/>
      </w:r>
      <w:r w:rsidRPr="00C1694A">
        <w:rPr>
          <w:rFonts w:ascii="Times New Roman" w:hAnsi="Times New Roman" w:cs="Times New Roman"/>
          <w:sz w:val="24"/>
          <w:u w:val="single"/>
        </w:rPr>
        <w:t>Comment:</w:t>
      </w:r>
      <w:r w:rsidRPr="00C1694A">
        <w:rPr>
          <w:rFonts w:ascii="Times New Roman" w:hAnsi="Times New Roman" w:cs="Times New Roman"/>
          <w:sz w:val="24"/>
        </w:rPr>
        <w:t xml:space="preserve">  One commenter contended value appraisals for major renovations to leased properties were an unnecessary expense.  The commenter also suggested we should allow grantees to submit bids and/or procurement documents in lieu of appraisals.</w:t>
      </w:r>
    </w:p>
    <w:p w:rsidR="001A7DEE" w:rsidRPr="00C1694A" w:rsidRDefault="001A7DEE" w:rsidP="009A526A">
      <w:pPr>
        <w:spacing w:after="0" w:line="480" w:lineRule="auto"/>
        <w:ind w:firstLine="720"/>
        <w:contextualSpacing/>
        <w:rPr>
          <w:rFonts w:ascii="Times New Roman" w:hAnsi="Times New Roman" w:cs="Times New Roman"/>
          <w:sz w:val="24"/>
          <w:szCs w:val="24"/>
          <w:u w:val="single"/>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Since a grantee does not obtain title to leased property subject to major renovations, we agree that an appraisal is not needed in that limited circumstance.  We revised paragraph (a)(7) accordingly.  However, we did not revise paragraph (a)(7) to allow grantees to submit bids and/or procurement documents in lieu of appraisals . We believe a licensed appraisal to establish value ensures consistency and accuracy.   </w:t>
      </w:r>
    </w:p>
    <w:p w:rsidR="001A7DEE" w:rsidRPr="00C1694A" w:rsidRDefault="001A7DEE" w:rsidP="009A526A">
      <w:pPr>
        <w:spacing w:after="0" w:line="480" w:lineRule="auto"/>
        <w:ind w:firstLine="720"/>
        <w:contextualSpacing/>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One commenter suggested we should eliminate the required Phase I environmental assessment of proposed facilities sites in paragraph (a)(12) because remediation would increase project costs and prove to be an impediment to facilities projects on leased property.  Another commenter suggested we should not require environmental assessments for major renovations.</w:t>
      </w:r>
    </w:p>
    <w:p w:rsidR="001A7DEE" w:rsidRPr="00C1694A" w:rsidRDefault="001A7DEE" w:rsidP="009A526A">
      <w:pPr>
        <w:spacing w:after="0" w:line="480" w:lineRule="auto"/>
        <w:ind w:firstLine="720"/>
        <w:contextualSpacing/>
        <w:rPr>
          <w:rFonts w:ascii="Times New Roman" w:hAnsi="Times New Roman" w:cs="Times New Roman"/>
          <w:sz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We did not remove this performance standard.  We rely on environmental assessments to ensure we only fund those activities that result in safe and healthy care environments for children, families and staff whether the facility is owned or leased.  </w:t>
      </w:r>
    </w:p>
    <w:p w:rsidR="001A7DEE" w:rsidRPr="00C1694A" w:rsidRDefault="001A7DEE" w:rsidP="009A526A">
      <w:pPr>
        <w:spacing w:after="0" w:line="480" w:lineRule="auto"/>
        <w:ind w:firstLine="720"/>
        <w:contextualSpacing/>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One commenter asked us to reduce the lease term requirement for modular units on property not owned by the grantee from 15 years to 10 years.</w:t>
      </w:r>
    </w:p>
    <w:p w:rsidR="001A7DEE" w:rsidRPr="00C1694A" w:rsidRDefault="001A7DEE" w:rsidP="009A526A">
      <w:pPr>
        <w:spacing w:after="0" w:line="480" w:lineRule="auto"/>
        <w:ind w:firstLine="720"/>
        <w:contextualSpacing/>
        <w:rPr>
          <w:rFonts w:ascii="Times New Roman" w:hAnsi="Times New Roman" w:cs="Times New Roman"/>
          <w:sz w:val="24"/>
          <w:szCs w:val="24"/>
          <w:u w:val="single"/>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Modular units often represent a substantial expenditure.  We believe that a lease term of 15 years will assure grantees have a location for the modular unit for a period of occupancy long enough to use the full value of the federal investment in the modular unit.</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§1303.45 Cost comparison to purchase, construct, and renovate facilities.</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We require grantees to compare costs to renovate, to lease an existing facility, or to construct a new facility to determine which activity would be most cost effective to meet program needs.  Grantees must be able to demonstrate that they have compared costs and weighed options so we know our investment in a particular facility activity is cost-effective and service-relevant.  This section allows grantees greater flexibility to describe projects and to compare costs to other alternatives within their service areas.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We address the one comment we received on this section below.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asked us to revise the last sentence in paragraph (a)(1) in this section so that it refers to a “comparable alternative facility.”</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revise paragraph (a)(1). We believe the term “alternative,” allows for the possibility of a non-comparable facility, such as one that might be made usable through major renovations.  </w:t>
      </w:r>
    </w:p>
    <w:p w:rsidR="001A7DEE" w:rsidRPr="00C1694A" w:rsidRDefault="001A7DE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§1303.46 Recording and posting notices of federal interest.</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focuses on federal interest and clarifies when grantees must file notices of federal interest and what the notices must contain. We address comments we received on this section below.</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contended grantees would not be able to file federal interest notices until the purchase, construction</w:t>
      </w:r>
      <w:r w:rsidR="00DA036E" w:rsidRPr="00C1694A">
        <w:rPr>
          <w:rFonts w:ascii="Times New Roman" w:hAnsi="Times New Roman" w:cs="Times New Roman"/>
          <w:sz w:val="24"/>
          <w:szCs w:val="24"/>
        </w:rPr>
        <w:t>,</w:t>
      </w:r>
      <w:r w:rsidRPr="00C1694A">
        <w:rPr>
          <w:rFonts w:ascii="Times New Roman" w:hAnsi="Times New Roman" w:cs="Times New Roman"/>
          <w:sz w:val="24"/>
          <w:szCs w:val="24"/>
        </w:rPr>
        <w:t xml:space="preserve"> or major renovation was either complete or at least when these activities have begun or when a grantee obtains ownership or begins occupancy.</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To protect federal interest in acquired facilities or in facilities undergoing major renovations with federal funds, we believe the notice of federal interest must be filed as early as possible to avoid the superior placement of liens for materials and services that would compromise priority of the federal interest.  Therefore, we did not revise paragraph</w:t>
      </w:r>
      <w:r w:rsidR="002668AB">
        <w:rPr>
          <w:rFonts w:ascii="Times New Roman" w:hAnsi="Times New Roman" w:cs="Times New Roman"/>
          <w:sz w:val="24"/>
          <w:szCs w:val="24"/>
        </w:rPr>
        <w:t>s</w:t>
      </w:r>
      <w:r w:rsidRPr="00C1694A">
        <w:rPr>
          <w:rFonts w:ascii="Times New Roman" w:hAnsi="Times New Roman" w:cs="Times New Roman"/>
          <w:sz w:val="24"/>
          <w:szCs w:val="24"/>
        </w:rPr>
        <w:t xml:space="preserve"> (b)(1)-(3).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felt the performance standard in paragraph (b)(4) that requires grantees to post the notice of federal interest on the exterior and the interior of modular units, could be cost prohibitive.</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revise paragraph (b)(4).  Posting the notice of federal interest on the exterior of the property informs all third parties that there is federal interest in the property.  The exterior notice of federal interest for a modular unit can be as simple as a single-page laminated weatherproof copy of the interior notice firmly attached to the exterior of the modular unit, which would involve minimal cost.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4C1F46" w:rsidRPr="00C1694A">
        <w:rPr>
          <w:rFonts w:ascii="Times New Roman" w:hAnsi="Times New Roman" w:cs="Times New Roman"/>
          <w:sz w:val="24"/>
          <w:szCs w:val="24"/>
        </w:rPr>
        <w:t>C</w:t>
      </w:r>
      <w:r w:rsidRPr="00C1694A">
        <w:rPr>
          <w:rFonts w:ascii="Times New Roman" w:hAnsi="Times New Roman" w:cs="Times New Roman"/>
          <w:sz w:val="24"/>
          <w:szCs w:val="24"/>
        </w:rPr>
        <w:t xml:space="preserve">ommenters liked our streamlined definition for “major renovations,” but asked us to either define or clarify what we mean by “federal interest.”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our former definition for “major renovations” was difficult for grantees to apply.  </w:t>
      </w:r>
    </w:p>
    <w:p w:rsidR="001A7DEE" w:rsidRPr="00C1694A" w:rsidRDefault="001A7DEE"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 xml:space="preserve">We did not change our definition for “federal interest,” because we believe it fully advises grantees of when a federal interest is created and </w:t>
      </w:r>
      <w:r w:rsidR="00667764" w:rsidRPr="00C1694A">
        <w:rPr>
          <w:rFonts w:ascii="Times New Roman" w:hAnsi="Times New Roman" w:cs="Times New Roman"/>
          <w:sz w:val="24"/>
          <w:szCs w:val="24"/>
        </w:rPr>
        <w:t>how property that is being used to meet non-federal match is treated</w:t>
      </w:r>
      <w:r w:rsidRPr="00C1694A">
        <w:rPr>
          <w:rFonts w:ascii="Times New Roman" w:hAnsi="Times New Roman" w:cs="Times New Roman"/>
          <w:sz w:val="24"/>
          <w:szCs w:val="24"/>
        </w:rPr>
        <w:t xml:space="preserve">.  We believe what we mean by “federal interest” is more detailed and complete in this final rule.  </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§1303.47 Contents of notices of federal interest.</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This section comprehensively explains what notices of federal interest must contain when a grantee owns a facility, when a grantee leases a facility, and when a grantee occupies a modular unit.  We received </w:t>
      </w:r>
      <w:r w:rsidR="00566A26" w:rsidRPr="00C1694A">
        <w:rPr>
          <w:rFonts w:ascii="Times New Roman" w:hAnsi="Times New Roman" w:cs="Times New Roman"/>
          <w:sz w:val="24"/>
          <w:szCs w:val="24"/>
        </w:rPr>
        <w:t xml:space="preserve">some </w:t>
      </w:r>
      <w:r w:rsidRPr="00C1694A">
        <w:rPr>
          <w:rFonts w:ascii="Times New Roman" w:hAnsi="Times New Roman" w:cs="Times New Roman"/>
          <w:sz w:val="24"/>
          <w:szCs w:val="24"/>
        </w:rPr>
        <w:t>comments on this section</w:t>
      </w:r>
      <w:r w:rsidR="00566A26" w:rsidRPr="00C1694A">
        <w:rPr>
          <w:rFonts w:ascii="Times New Roman" w:hAnsi="Times New Roman" w:cs="Times New Roman"/>
          <w:sz w:val="24"/>
          <w:szCs w:val="24"/>
        </w:rPr>
        <w:t>, which we address below.</w:t>
      </w:r>
    </w:p>
    <w:p w:rsidR="001A7DEE" w:rsidRPr="00C1694A" w:rsidRDefault="001A7DE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asked us to strike the term “or minor” from paragraph (a)(4).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(a)(4)  to remove the phrase “or minor” because minor renovations or repairs are not subject to this subpart unless they are part of a purchase.</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recommended we remove the performance standard in paragraph (a)(8) that requires the governing body to formally approve the notice of federal interest because it was unnecessarily prescriptive.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believe as the entity fiscally and legally responsible for the grantee, the governing body should be made aware of any notices of federal interest the grantee files.  However, given the governing body must approve all facilities applications, we agree they do not also need to approve the notice of federal interest.  We revised paragraph (a)(8) accordingly.</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asked us to clarify whether a recorded lease could serve as a notice of federal interest.  Other commenters noted the reference in paragraph (b)(1)(vi) of this section to notices of federal interest on leased property should have referred to §1303.50(b)(1) through (4).</w:t>
      </w:r>
      <w:r w:rsidR="002668AB">
        <w:rPr>
          <w:rFonts w:ascii="Times New Roman" w:hAnsi="Times New Roman" w:cs="Times New Roman"/>
          <w:sz w:val="24"/>
          <w:szCs w:val="24"/>
        </w:rPr>
        <w:t xml:space="preserve">  </w:t>
      </w:r>
      <w:r w:rsidRPr="00C1694A">
        <w:rPr>
          <w:rFonts w:ascii="Times New Roman" w:hAnsi="Times New Roman" w:cs="Times New Roman"/>
          <w:sz w:val="24"/>
          <w:szCs w:val="24"/>
        </w:rPr>
        <w:t>Another commenter stated landlords may be unwilling to lease to Head Start grantees if a notice of federal interest for major renovations to leased property is required.</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(b)(1)(vi),  so it is clear a recorded lease that includes requisite provisions can serve as a notice of federal interest for leased property subject to major renovations.  We also revised paragraph (b)(1)(vi) so that it references paragraph (b)(1)(i) through (v).</w:t>
      </w:r>
    </w:p>
    <w:p w:rsidR="00E5749E" w:rsidRPr="00C1694A" w:rsidRDefault="001A7DEE" w:rsidP="00E5749E">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Finally, we did not revise this performance standard to accommodate situations where landlords may be unwilling to lease to Head Start grantees if a notice of federal interest for major renovations to leased property is required.  </w:t>
      </w:r>
      <w:r w:rsidR="00E5749E" w:rsidRPr="00C1694A">
        <w:rPr>
          <w:rFonts w:ascii="Times New Roman" w:hAnsi="Times New Roman" w:cs="Times New Roman"/>
          <w:sz w:val="24"/>
          <w:szCs w:val="24"/>
        </w:rPr>
        <w:t xml:space="preserve">We believe </w:t>
      </w:r>
      <w:r w:rsidR="00F4507D" w:rsidRPr="00C1694A">
        <w:rPr>
          <w:rFonts w:ascii="Times New Roman" w:hAnsi="Times New Roman" w:cs="Times New Roman"/>
          <w:sz w:val="24"/>
          <w:szCs w:val="24"/>
        </w:rPr>
        <w:t>requiring recognition</w:t>
      </w:r>
      <w:r w:rsidR="00E5749E" w:rsidRPr="00C1694A">
        <w:rPr>
          <w:rFonts w:ascii="Times New Roman" w:hAnsi="Times New Roman" w:cs="Times New Roman"/>
          <w:sz w:val="24"/>
          <w:szCs w:val="24"/>
        </w:rPr>
        <w:t xml:space="preserve"> of </w:t>
      </w:r>
      <w:r w:rsidR="00F4507D" w:rsidRPr="00C1694A">
        <w:rPr>
          <w:rFonts w:ascii="Times New Roman" w:hAnsi="Times New Roman" w:cs="Times New Roman"/>
          <w:sz w:val="24"/>
          <w:szCs w:val="24"/>
        </w:rPr>
        <w:t xml:space="preserve">the </w:t>
      </w:r>
      <w:r w:rsidR="00E5749E" w:rsidRPr="00C1694A">
        <w:rPr>
          <w:rFonts w:ascii="Times New Roman" w:hAnsi="Times New Roman" w:cs="Times New Roman"/>
          <w:sz w:val="24"/>
          <w:szCs w:val="24"/>
        </w:rPr>
        <w:t xml:space="preserve">federal interest </w:t>
      </w:r>
      <w:r w:rsidR="00F4507D" w:rsidRPr="00C1694A">
        <w:rPr>
          <w:rFonts w:ascii="Times New Roman" w:hAnsi="Times New Roman" w:cs="Times New Roman"/>
          <w:sz w:val="24"/>
          <w:szCs w:val="24"/>
        </w:rPr>
        <w:t xml:space="preserve">resulting from </w:t>
      </w:r>
      <w:r w:rsidR="00E5749E" w:rsidRPr="00C1694A">
        <w:rPr>
          <w:rFonts w:ascii="Times New Roman" w:hAnsi="Times New Roman" w:cs="Times New Roman"/>
          <w:sz w:val="24"/>
          <w:szCs w:val="24"/>
        </w:rPr>
        <w:t xml:space="preserve">major renovations </w:t>
      </w:r>
      <w:r w:rsidR="00F4507D" w:rsidRPr="00C1694A">
        <w:rPr>
          <w:rFonts w:ascii="Times New Roman" w:hAnsi="Times New Roman" w:cs="Times New Roman"/>
          <w:sz w:val="24"/>
          <w:szCs w:val="24"/>
        </w:rPr>
        <w:t xml:space="preserve">in lease agreements filed in the public record </w:t>
      </w:r>
      <w:r w:rsidR="00E5749E" w:rsidRPr="00C1694A">
        <w:rPr>
          <w:rFonts w:ascii="Times New Roman" w:hAnsi="Times New Roman" w:cs="Times New Roman"/>
          <w:sz w:val="24"/>
          <w:szCs w:val="24"/>
        </w:rPr>
        <w:t>protect</w:t>
      </w:r>
      <w:r w:rsidR="00F4507D" w:rsidRPr="00C1694A">
        <w:rPr>
          <w:rFonts w:ascii="Times New Roman" w:hAnsi="Times New Roman" w:cs="Times New Roman"/>
          <w:sz w:val="24"/>
          <w:szCs w:val="24"/>
        </w:rPr>
        <w:t>s</w:t>
      </w:r>
      <w:r w:rsidR="00E5749E" w:rsidRPr="00C1694A">
        <w:rPr>
          <w:rFonts w:ascii="Times New Roman" w:hAnsi="Times New Roman" w:cs="Times New Roman"/>
          <w:sz w:val="24"/>
          <w:szCs w:val="24"/>
        </w:rPr>
        <w:t xml:space="preserve"> the ongoing use of improved properties for Head Start purposes during the useful life of the improvements financed with Head Start funds.  </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asked us to clarify what the word “proof” in paragraph (c)(3) meant. </w:t>
      </w:r>
    </w:p>
    <w:p w:rsidR="001A7DEE" w:rsidRPr="00C1694A" w:rsidRDefault="001A7DEE" w:rsidP="002646D8">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replaced the word “proof” with the phrase “[A] statement that.” </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§1303.49 Protection of federal interest in mortgage agreements.</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Funding for facilities often includes both federal funds and mortgage proceeds.  As funding for facilities has become more complex, it is common to find federal funds and mortgages on the same property.  In order to protect federal interest, we require grantees to ensure that any mortgage agreements they have include specific provisions that would mitigate our risk of loss and ensure the property remains for Head Start purposes.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This section prescribes what mortgage agreements must contain.  We address comments we received on this section below.    </w:t>
      </w:r>
    </w:p>
    <w:p w:rsidR="00DA036E" w:rsidRPr="00C1694A" w:rsidRDefault="001A7DEE"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Commenter indicated the term “a real property… agreement” made paragraph (b) in the s</w:t>
      </w:r>
      <w:r w:rsidR="00301051" w:rsidRPr="00C1694A">
        <w:rPr>
          <w:rFonts w:ascii="Times New Roman" w:hAnsi="Times New Roman" w:cs="Times New Roman"/>
          <w:sz w:val="24"/>
        </w:rPr>
        <w:t xml:space="preserve">ection unclear.  The commenter </w:t>
      </w:r>
      <w:r w:rsidRPr="00C1694A">
        <w:rPr>
          <w:rFonts w:ascii="Times New Roman" w:hAnsi="Times New Roman" w:cs="Times New Roman"/>
          <w:sz w:val="24"/>
        </w:rPr>
        <w:t xml:space="preserve">asked us to reference any default under “an agreement described in §1303.49(a) instead.  </w:t>
      </w:r>
    </w:p>
    <w:p w:rsidR="001A7DEE" w:rsidRPr="00C1694A" w:rsidRDefault="001A7DEE"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We revised paragraph (b) accordingly. </w:t>
      </w:r>
    </w:p>
    <w:p w:rsidR="001A7DEE" w:rsidRPr="00C1694A" w:rsidRDefault="001A7DEE" w:rsidP="009A526A">
      <w:pPr>
        <w:spacing w:after="0" w:line="480" w:lineRule="auto"/>
        <w:contextualSpacing/>
        <w:rPr>
          <w:rFonts w:ascii="Times New Roman" w:hAnsi="Times New Roman" w:cs="Times New Roman"/>
          <w:sz w:val="24"/>
          <w:szCs w:val="24"/>
          <w:u w:val="single"/>
        </w:rPr>
      </w:pPr>
      <w:r w:rsidRPr="00C1694A">
        <w:rPr>
          <w:rFonts w:ascii="Times New Roman" w:hAnsi="Times New Roman" w:cs="Times New Roman"/>
          <w:sz w:val="24"/>
          <w:szCs w:val="24"/>
          <w:u w:val="single"/>
        </w:rPr>
        <w:t>§1303.50 Third party leases and occupancy arrangements.</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Grantees may use federal funds to renovate leased property, often at substantial cost.  This section requires grantees to have leases in place for 30 years for construction of a facility and at least 15 years for a renovation or placement of a modular unit to protect federal interests in these unusual cases where the government is putting major costs into facilities on land that they do not own.  We address comments we received on this section below.</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w:t>
      </w:r>
      <w:r w:rsidR="00301051" w:rsidRPr="00C1694A">
        <w:rPr>
          <w:rFonts w:ascii="Times New Roman" w:hAnsi="Times New Roman" w:cs="Times New Roman"/>
          <w:sz w:val="24"/>
          <w:szCs w:val="24"/>
        </w:rPr>
        <w:t xml:space="preserve">asked us </w:t>
      </w:r>
      <w:r w:rsidR="002668AB">
        <w:rPr>
          <w:rFonts w:ascii="Times New Roman" w:hAnsi="Times New Roman" w:cs="Times New Roman"/>
          <w:sz w:val="24"/>
          <w:szCs w:val="24"/>
        </w:rPr>
        <w:t xml:space="preserve">to </w:t>
      </w:r>
      <w:r w:rsidR="00301051" w:rsidRPr="00C1694A">
        <w:rPr>
          <w:rFonts w:ascii="Times New Roman" w:hAnsi="Times New Roman" w:cs="Times New Roman"/>
          <w:sz w:val="24"/>
          <w:szCs w:val="24"/>
        </w:rPr>
        <w:t>not apply</w:t>
      </w:r>
      <w:r w:rsidRPr="00C1694A">
        <w:rPr>
          <w:rFonts w:ascii="Times New Roman" w:hAnsi="Times New Roman" w:cs="Times New Roman"/>
          <w:sz w:val="24"/>
          <w:szCs w:val="24"/>
        </w:rPr>
        <w:t xml:space="preserve"> paragraph (a) in this section to existing leases that did not meet term requirements.</w:t>
      </w:r>
    </w:p>
    <w:p w:rsidR="001A7DEE" w:rsidRPr="00C1694A" w:rsidRDefault="001A7DE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Other commenters suggested there should be a flexible approach to lease term lengths that depended on the cost of the facilities project, individual circumstances of the grantee, community and nature of the facilities project or, that we adopt a fixed period of 10 years.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also noted that </w:t>
      </w:r>
      <w:r w:rsidR="002646D8" w:rsidRPr="00C1694A">
        <w:rPr>
          <w:rFonts w:ascii="Times New Roman" w:hAnsi="Times New Roman" w:cs="Times New Roman"/>
          <w:sz w:val="24"/>
          <w:szCs w:val="24"/>
        </w:rPr>
        <w:t>five-</w:t>
      </w:r>
      <w:r w:rsidRPr="00C1694A">
        <w:rPr>
          <w:rFonts w:ascii="Times New Roman" w:hAnsi="Times New Roman" w:cs="Times New Roman"/>
          <w:sz w:val="24"/>
          <w:szCs w:val="24"/>
        </w:rPr>
        <w:t>year grant cycles did not align with 15 or 30 year leases.</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(a) to clarify that its terms did not apply to existing leases prior to the effective date of the regulations</w:t>
      </w:r>
      <w:r w:rsidR="002646D8" w:rsidRPr="00C1694A">
        <w:rPr>
          <w:rFonts w:ascii="Times New Roman" w:hAnsi="Times New Roman" w:cs="Times New Roman"/>
          <w:sz w:val="24"/>
          <w:szCs w:val="24"/>
        </w:rPr>
        <w:t>.</w:t>
      </w:r>
      <w:r w:rsidRPr="00C1694A">
        <w:rPr>
          <w:rFonts w:ascii="Times New Roman" w:hAnsi="Times New Roman" w:cs="Times New Roman"/>
          <w:sz w:val="24"/>
          <w:szCs w:val="24"/>
        </w:rPr>
        <w:t xml:space="preserve"> We did not take a flexible approach to lease term lengths. Given that facilities activities involve substantial Head Start funds and are intended to be available for Head Start use as needed during the useful life of the facility, we made lease term lengths consistent.   We also set term lengths to ensure grantees are subject to comparable lease term length requirements, regardless of location.  Finally, we believe long term occupancy agreements for the full useful life of major renovations and purchases are needed to protect the Head Start funds used for major renovations and purchase of facilities located on leased property.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It is understood that migrant and seasonal Head Start programs may not utilize leased premises for entire program years.  However, given the high dollar cost of major renovations and purchase of facilities, we believe that long term occupancy agreements, even if for limited portions of the program year, are needed.  If a facility is no longer needed for program purposes, grantees can request disposition of the leasehold interest in the property.  </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 xml:space="preserve">§1303.51 Subordination of </w:t>
      </w:r>
      <w:r w:rsidR="00F42D11" w:rsidRPr="00C1694A">
        <w:rPr>
          <w:rFonts w:ascii="Times New Roman" w:hAnsi="Times New Roman" w:cs="Times New Roman"/>
          <w:i/>
          <w:sz w:val="24"/>
          <w:szCs w:val="24"/>
        </w:rPr>
        <w:t xml:space="preserve">the </w:t>
      </w:r>
      <w:r w:rsidRPr="00C1694A">
        <w:rPr>
          <w:rFonts w:ascii="Times New Roman" w:hAnsi="Times New Roman" w:cs="Times New Roman"/>
          <w:i/>
          <w:sz w:val="24"/>
          <w:szCs w:val="24"/>
        </w:rPr>
        <w:t>federal interest.</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This section emphasizes that only the responsible HHS official can </w:t>
      </w:r>
      <w:r w:rsidRPr="00C1694A">
        <w:rPr>
          <w:rFonts w:ascii="Times New Roman" w:eastAsia="Times New Roman" w:hAnsi="Times New Roman" w:cs="Times New Roman"/>
          <w:sz w:val="24"/>
          <w:szCs w:val="24"/>
        </w:rPr>
        <w:t xml:space="preserve">subordinate federal interest to a lender or other third party.  Grantees cannot subordinate federal interest on their own.  The </w:t>
      </w:r>
      <w:r w:rsidR="00DA036E" w:rsidRPr="00C1694A">
        <w:rPr>
          <w:rFonts w:ascii="Times New Roman" w:eastAsia="Times New Roman" w:hAnsi="Times New Roman" w:cs="Times New Roman"/>
          <w:sz w:val="24"/>
          <w:szCs w:val="24"/>
        </w:rPr>
        <w:t xml:space="preserve">HHS </w:t>
      </w:r>
      <w:r w:rsidRPr="00C1694A">
        <w:rPr>
          <w:rFonts w:ascii="Times New Roman" w:eastAsia="Times New Roman" w:hAnsi="Times New Roman" w:cs="Times New Roman"/>
          <w:sz w:val="24"/>
          <w:szCs w:val="24"/>
        </w:rPr>
        <w:t>official must agree to subordination in writing.  In addition to a written agreement, the mortgage agreement or security agreement for which subordination is requested must comply with §1303.49, and the amount of federal funds already contributed to the facility must not exceed the amount provided by the lender seeking subordination.</w:t>
      </w:r>
      <w:r w:rsidRPr="00C1694A">
        <w:rPr>
          <w:rFonts w:ascii="Times New Roman" w:hAnsi="Times New Roman" w:cs="Times New Roman"/>
          <w:sz w:val="24"/>
          <w:szCs w:val="24"/>
        </w:rPr>
        <w:t xml:space="preserve"> We address comments we received on this section below.</w:t>
      </w:r>
    </w:p>
    <w:p w:rsidR="00F42D11" w:rsidRPr="00C1694A" w:rsidRDefault="001A7DEE" w:rsidP="009A526A">
      <w:pPr>
        <w:spacing w:after="0" w:line="480" w:lineRule="auto"/>
        <w:ind w:firstLine="720"/>
        <w:contextualSpacing/>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Commenters indicated that limiting subordination of the federal interest to circumstances where the amount requested exceeds the amount of federal funding in the property would result in reluctant lenders.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We revised this performance standard to integrate the possibility of subordination to a lesser debt if certain conditions are met.</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§1303.52 Insurance, bonding</w:t>
      </w:r>
      <w:r w:rsidR="00F42D11" w:rsidRPr="00C1694A">
        <w:rPr>
          <w:rFonts w:ascii="Times New Roman" w:hAnsi="Times New Roman" w:cs="Times New Roman"/>
          <w:i/>
          <w:sz w:val="24"/>
          <w:szCs w:val="24"/>
        </w:rPr>
        <w:t>,</w:t>
      </w:r>
      <w:r w:rsidRPr="00C1694A">
        <w:rPr>
          <w:rFonts w:ascii="Times New Roman" w:hAnsi="Times New Roman" w:cs="Times New Roman"/>
          <w:i/>
          <w:sz w:val="24"/>
          <w:szCs w:val="24"/>
        </w:rPr>
        <w:t xml:space="preserve"> and maintenance.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Our experience has demonstrated that grantees have not maintained sufficient insurance for replacement of facilities that are substantially damaged or destroyed, particularly through floods and other natural disasters.  After Hurricane Sandy, we realized we had to be more vigilant to protect grantees against loss.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In this section, we require grantees to obtain flood insurance if their facilities are located in areas the National Flood Insurance Program defines as high risk.  We also clarify for grantees that physical damage or destruction insurance must cover full replacement value.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We address comments we received on this section below.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noted that the cost of flood insurance should be included in the Cost and Savings Analysis so as not to create an unfunded mandate upon the grantee.</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make any changes here because flood insurance is an allowable cost to the Head Start award and can be included in the grantee’s application for funding.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asked us to revise paragraph (b)(3) to read,  “A grantee must submit to the responsible HHS official, within 10 days after coverage begins, copies of applicable certificates of insurance.”</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revised paragraph (b)(3)  to clarify what insurance coverage must be proven but leaves it to the grantee to choose what documents to present to prove coverage. </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 xml:space="preserve">§1303.53 Copies of documents.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This section adds notices of federal interest to the list of required documents grantees must provide to the responsible HHS official.  It also requires grantees to give copies of notices of federal interest to the responsible HHS official after they have filed the notices in their jurisdiction’s property records.   This is particularly important because notices of federal interest do not fully protect the federal share until the notices are filed in the appropriate property records. We address comments we received on this section below.</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was concerned</w:t>
      </w:r>
      <w:r w:rsidR="00DA036E" w:rsidRPr="00C1694A">
        <w:rPr>
          <w:rFonts w:ascii="Times New Roman" w:hAnsi="Times New Roman" w:cs="Times New Roman"/>
          <w:sz w:val="24"/>
          <w:szCs w:val="24"/>
        </w:rPr>
        <w:t xml:space="preserve"> that</w:t>
      </w:r>
      <w:r w:rsidRPr="00C1694A">
        <w:rPr>
          <w:rFonts w:ascii="Times New Roman" w:hAnsi="Times New Roman" w:cs="Times New Roman"/>
          <w:sz w:val="24"/>
          <w:szCs w:val="24"/>
        </w:rPr>
        <w:t xml:space="preserve"> if we include leases in this section, we might create a situation wherein large numbers of leases would have to be reviewed annually.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do not require grantees to submit documents listed in this section annually.  Furthermore, these documents are only necessary when related to purchase, construction or major renovation, so we believe the volume of submissions will be manageable.  We revised this section to clarify these documents must be submitted when Head Start funds are used for the noted facilities activities.</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§1303.54 Record retention.</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This section clarifies what documents grantees must retain as records.  This section does not change the basic retention period, which is aligned with general requirements in the Uniform Administrative Requirements, Cost Principles, and Audit Requirements for Federal Awards. We did not receive any comments on this section. </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§1303.55 Procurement procedures.</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This section summarizes general procurement procedures as context for grantees.  We did not receive any comments on this section.</w:t>
      </w:r>
    </w:p>
    <w:p w:rsidR="001A7DEE" w:rsidRPr="00C1694A" w:rsidRDefault="001A7DEE" w:rsidP="009A526A">
      <w:pPr>
        <w:spacing w:after="0" w:line="480" w:lineRule="auto"/>
        <w:contextualSpacing/>
        <w:rPr>
          <w:rFonts w:ascii="Times New Roman" w:hAnsi="Times New Roman" w:cs="Times New Roman"/>
          <w:i/>
          <w:sz w:val="24"/>
          <w:szCs w:val="24"/>
        </w:rPr>
      </w:pPr>
      <w:r w:rsidRPr="00C1694A">
        <w:rPr>
          <w:rFonts w:ascii="Times New Roman" w:hAnsi="Times New Roman" w:cs="Times New Roman"/>
          <w:i/>
          <w:sz w:val="24"/>
          <w:szCs w:val="24"/>
        </w:rPr>
        <w:t xml:space="preserve">§1303.56 Inspection of work.   </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This section aligns the elements of the final inspection report with those required in the engineer or architect’s certification that accompanies the initial facilities project application.  We address comments we received on this section below.</w:t>
      </w:r>
    </w:p>
    <w:p w:rsidR="001A7DEE" w:rsidRPr="00C1694A" w:rsidRDefault="001A7DEE" w:rsidP="009A526A">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recommended that we do not require project architects to certify compliance with regulations beyond his control such as licensing and Section 504 of the Rehabilitation Act.</w:t>
      </w:r>
    </w:p>
    <w:p w:rsidR="001A7DEE" w:rsidRPr="00C1694A" w:rsidRDefault="001A7DE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did not make any changes here.  We believe the project architect is a qualified professional familiar with the project, who can express an opinion as to whether a facility subject to purchase, construction or major renovation with Head Start funds meets all applicable federal, state</w:t>
      </w:r>
      <w:r w:rsidR="00DA036E"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local requirements</w:t>
      </w:r>
    </w:p>
    <w:p w:rsidR="00844F6B" w:rsidRPr="00C1694A" w:rsidRDefault="00844F6B" w:rsidP="009A526A">
      <w:pPr>
        <w:autoSpaceDE w:val="0"/>
        <w:autoSpaceDN w:val="0"/>
        <w:adjustRightInd w:val="0"/>
        <w:spacing w:after="0" w:line="240" w:lineRule="auto"/>
        <w:rPr>
          <w:rFonts w:ascii="Times New Roman" w:hAnsi="Times New Roman" w:cs="Times New Roman"/>
          <w:sz w:val="24"/>
          <w:szCs w:val="24"/>
        </w:rPr>
      </w:pPr>
    </w:p>
    <w:p w:rsidR="004B1E6C" w:rsidRPr="00C1694A" w:rsidRDefault="00A6768B" w:rsidP="009A526A">
      <w:pPr>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Transportation</w:t>
      </w:r>
      <w:r w:rsidR="00380A4E" w:rsidRPr="00C1694A">
        <w:rPr>
          <w:rFonts w:ascii="Times New Roman" w:hAnsi="Times New Roman" w:cs="Times New Roman"/>
          <w:b/>
          <w:sz w:val="24"/>
          <w:szCs w:val="24"/>
        </w:rPr>
        <w:t>; Subpart F</w:t>
      </w:r>
    </w:p>
    <w:p w:rsidR="004B1E6C" w:rsidRPr="00C1694A" w:rsidRDefault="004B1E6C" w:rsidP="004932C1">
      <w:pPr>
        <w:spacing w:after="0" w:line="240" w:lineRule="auto"/>
        <w:rPr>
          <w:rFonts w:ascii="Times New Roman" w:hAnsi="Times New Roman" w:cs="Times New Roman"/>
          <w:sz w:val="24"/>
          <w:szCs w:val="24"/>
        </w:rPr>
      </w:pPr>
    </w:p>
    <w:p w:rsidR="00A6768B" w:rsidRPr="00C1694A" w:rsidRDefault="00A6768B"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subpart describes the requirements for programs related to transportation services. We received comments on this subpart.  Some commenters supported the requirements in this section and stated that without transportation provided by the program, many high need families would be unable to access the program as they do not have private vehicles or access to public transportation. Other commenters expressed concerns or asked for clarifications. These comments are discussed in further detail below along with our responses. </w:t>
      </w:r>
    </w:p>
    <w:p w:rsidR="00A6768B" w:rsidRPr="00C1694A" w:rsidRDefault="00F42D11"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General C</w:t>
      </w:r>
      <w:r w:rsidR="00A6768B" w:rsidRPr="00C1694A">
        <w:rPr>
          <w:rFonts w:ascii="Times New Roman" w:hAnsi="Times New Roman" w:cs="Times New Roman"/>
          <w:i/>
          <w:sz w:val="24"/>
          <w:szCs w:val="24"/>
        </w:rPr>
        <w:t>omments</w:t>
      </w:r>
      <w:r w:rsidR="0078221A" w:rsidRPr="00C1694A">
        <w:rPr>
          <w:rFonts w:ascii="Times New Roman" w:hAnsi="Times New Roman" w:cs="Times New Roman"/>
          <w:i/>
          <w:sz w:val="24"/>
          <w:szCs w:val="24"/>
        </w:rPr>
        <w:t>.</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asked about the applicability of the regulation including for field trips or transporting children and parents to medical appointments.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 about the cost of transportation services or specific elements, such as requiring bus monitors. One commenter asked about the relative cost, quality, and compliance of contractual versus directly provided transportation.</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Incidental transportation as described under the definition of “transportation services” in </w:t>
      </w:r>
      <w:r w:rsidR="002668AB">
        <w:rPr>
          <w:rFonts w:ascii="Times New Roman" w:hAnsi="Times New Roman" w:cs="Times New Roman"/>
          <w:sz w:val="24"/>
          <w:szCs w:val="24"/>
        </w:rPr>
        <w:t xml:space="preserve">part </w:t>
      </w:r>
      <w:r w:rsidRPr="00C1694A">
        <w:rPr>
          <w:rFonts w:ascii="Times New Roman" w:hAnsi="Times New Roman" w:cs="Times New Roman"/>
          <w:sz w:val="24"/>
          <w:szCs w:val="24"/>
        </w:rPr>
        <w:t xml:space="preserve">1305 is exempt from the requirements of this subpart.  This includes taking a sick child home or taking a child and parent on a medical visit. Field trips are not incidental transportation and therefore are subject to the requirements of this subpart. </w:t>
      </w:r>
      <w:r w:rsidR="002668AB">
        <w:rPr>
          <w:rFonts w:ascii="Times New Roman" w:hAnsi="Times New Roman" w:cs="Times New Roman"/>
          <w:sz w:val="24"/>
          <w:szCs w:val="24"/>
        </w:rPr>
        <w:t xml:space="preserve"> </w:t>
      </w:r>
      <w:r w:rsidRPr="00C1694A">
        <w:rPr>
          <w:rFonts w:ascii="Times New Roman" w:hAnsi="Times New Roman" w:cs="Times New Roman"/>
          <w:sz w:val="24"/>
          <w:szCs w:val="24"/>
        </w:rPr>
        <w:t>Additionally, we recognize that providing transportation is expensive, but that many high need children would not be able to participate in Head Start without transportation services.  No program is required to transport all or any children, but if high need families require transportation services to access the program, such services should be part of the program design.   Programs should also regularly assess the cost and quality of their transportation service and make informed decisions about the safest and most cost efficient options.  We did not make any changes to the regulation in response to these comments.</w:t>
      </w:r>
    </w:p>
    <w:p w:rsidR="00A6768B" w:rsidRPr="00C1694A" w:rsidRDefault="00A6768B" w:rsidP="009A526A">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§1303.70 </w:t>
      </w:r>
      <w:r w:rsidR="005F3C0D">
        <w:rPr>
          <w:rFonts w:ascii="Times New Roman" w:hAnsi="Times New Roman" w:cs="Times New Roman"/>
          <w:i/>
          <w:sz w:val="24"/>
          <w:szCs w:val="24"/>
        </w:rPr>
        <w:t>Purpose</w:t>
      </w:r>
      <w:r w:rsidRPr="00C1694A">
        <w:rPr>
          <w:rFonts w:ascii="Times New Roman" w:hAnsi="Times New Roman" w:cs="Times New Roman"/>
          <w:i/>
          <w:sz w:val="24"/>
          <w:szCs w:val="24"/>
        </w:rPr>
        <w:t xml:space="preserve">.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describes transportation services and waiver options for programs. We received some comments on this section,</w:t>
      </w:r>
      <w:r w:rsidR="00DA036E" w:rsidRPr="00C1694A">
        <w:rPr>
          <w:rFonts w:ascii="Times New Roman" w:hAnsi="Times New Roman" w:cs="Times New Roman"/>
          <w:sz w:val="24"/>
          <w:szCs w:val="24"/>
        </w:rPr>
        <w:t xml:space="preserve"> which are</w:t>
      </w:r>
      <w:r w:rsidRPr="00C1694A">
        <w:rPr>
          <w:rFonts w:ascii="Times New Roman" w:hAnsi="Times New Roman" w:cs="Times New Roman"/>
          <w:sz w:val="24"/>
          <w:szCs w:val="24"/>
        </w:rPr>
        <w:t xml:space="preserve"> discussed below.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objected to the requirement in paragraph (b) that programs not offering transportation services make reasonable efforts to assist families who might otherwise have difficulty ensuring their child’s participation.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indicated this provision could be especially difficult in rural areas and should therefore be removed.  </w:t>
      </w:r>
      <w:r w:rsidR="000F5F8E"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requested more clarity about what constitutes “reasonable assistance.”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This provision is intended to ensure that programs that do not provide transportation ensure that lack of such service does not pose a barrier to participation in the program for the highest need children and families.  Many rural Head Start programs, for example, provide transportation because not doing so would greatly limit the number of the highest need children who could participate.  We expect that when a program has determined transportation is not a needed service, there are available alternatives.  Therefore we retained this requirement, but added an example of reasonable assistance to paragraph (b).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suggested that programs must ensure compliance with the requirements of this subpart when obtaining Head Start transportation services by coordinating with another human service agency.</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with this comment but do not think it requires a revision to the regulation.  As defined in </w:t>
      </w:r>
      <w:r w:rsidR="002668AB">
        <w:rPr>
          <w:rFonts w:ascii="Times New Roman" w:hAnsi="Times New Roman" w:cs="Times New Roman"/>
          <w:sz w:val="24"/>
          <w:szCs w:val="24"/>
        </w:rPr>
        <w:t xml:space="preserve">part </w:t>
      </w:r>
      <w:r w:rsidRPr="00C1694A">
        <w:rPr>
          <w:rFonts w:ascii="Times New Roman" w:hAnsi="Times New Roman" w:cs="Times New Roman"/>
          <w:sz w:val="24"/>
          <w:szCs w:val="24"/>
        </w:rPr>
        <w:t xml:space="preserve">1305, Head Start transportation services include “the planned transporting of children to and from sites where an agency provides services funded under the Head Start Act.” Therefore services provided through a coordinating agency would have to meet the requirements of this subpart. </w:t>
      </w:r>
      <w:r w:rsidR="002668AB">
        <w:rPr>
          <w:rFonts w:ascii="Times New Roman" w:hAnsi="Times New Roman" w:cs="Times New Roman"/>
          <w:sz w:val="24"/>
          <w:szCs w:val="24"/>
        </w:rPr>
        <w:t xml:space="preserve"> </w:t>
      </w:r>
      <w:r w:rsidRPr="00C1694A">
        <w:rPr>
          <w:rFonts w:ascii="Times New Roman" w:hAnsi="Times New Roman" w:cs="Times New Roman"/>
          <w:sz w:val="24"/>
          <w:szCs w:val="24"/>
        </w:rPr>
        <w:t>Each program is responsible for ensuring that the transportation services it provides, whether directly, through a coordinated effort with an LEA or community partner, or through a contractual arrangement, meet these requirements.</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566A26"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asked for additional information about the circumstances under which a waiver can be issued and how decisions regarding waiver approval are made.</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Per the regulation, we will only consider waivers in circumstances where adherence to this subpart would create a safety hazard or, for preschool children, a major program disruption in relation to the requirements for child restraint systems or bus monitors, such that a waiver is in the best interest of enrolled children.  We did not make any changes to these provisions.  Typically, programs receiving transportation services through a partnership with a local education agency are the only ones approved for waivers.  Programs can find information about applying for a transportation waiver through the Head Start Enterprise System (HSES) or by contacting their program official.</w:t>
      </w:r>
    </w:p>
    <w:p w:rsidR="00A6768B" w:rsidRPr="00C1694A" w:rsidRDefault="00A6768B"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§1303.71 Vehicles.</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describes the requirements for vehicles used to transport children.  We received some comments on this section,</w:t>
      </w:r>
      <w:r w:rsidR="00DA036E" w:rsidRPr="00C1694A">
        <w:rPr>
          <w:rFonts w:ascii="Times New Roman" w:hAnsi="Times New Roman" w:cs="Times New Roman"/>
          <w:sz w:val="24"/>
          <w:szCs w:val="24"/>
        </w:rPr>
        <w:t xml:space="preserve"> which are</w:t>
      </w:r>
      <w:r w:rsidRPr="00C1694A">
        <w:rPr>
          <w:rFonts w:ascii="Times New Roman" w:hAnsi="Times New Roman" w:cs="Times New Roman"/>
          <w:sz w:val="24"/>
          <w:szCs w:val="24"/>
        </w:rPr>
        <w:t xml:space="preserve"> discussed below.</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requested additional information about allowable alternate vehicles.</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The definition of “allowable alternate vehicle” is provided in </w:t>
      </w:r>
      <w:r w:rsidR="002668AB">
        <w:rPr>
          <w:rFonts w:ascii="Times New Roman" w:hAnsi="Times New Roman" w:cs="Times New Roman"/>
          <w:sz w:val="24"/>
          <w:szCs w:val="24"/>
        </w:rPr>
        <w:t xml:space="preserve">part </w:t>
      </w:r>
      <w:r w:rsidRPr="00C1694A">
        <w:rPr>
          <w:rFonts w:ascii="Times New Roman" w:hAnsi="Times New Roman" w:cs="Times New Roman"/>
          <w:sz w:val="24"/>
          <w:szCs w:val="24"/>
        </w:rPr>
        <w:t xml:space="preserve">1305 and refers to  a vehicle designed for carrying eleven or more people, including the driver, that meets all the Federal Motor Vehicle Safety Standards applicable to school buses, except 49 CFR 571.108 and 571.131. It is a vehicle that may not look like a traditional school bus, but has the required safety features such as compartmentalized seating, rollover protection, joint impact strength, and fuel system integrity. We did not make any changes to this provision.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objected to the removal of the former requirement that safety equipment be strategically placed and marked.</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While we expect each program to store such equipment where it is safe from children but accessible in an emergency, we agree that such equipment should be clearly labeled. We amended paragraph (b) to specify this. </w:t>
      </w:r>
    </w:p>
    <w:p w:rsidR="00A6768B" w:rsidRPr="00C1694A" w:rsidRDefault="00F42D11"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§1303.72 Vehicle o</w:t>
      </w:r>
      <w:r w:rsidR="00A6768B" w:rsidRPr="00C1694A">
        <w:rPr>
          <w:rFonts w:ascii="Times New Roman" w:hAnsi="Times New Roman" w:cs="Times New Roman"/>
          <w:i/>
          <w:sz w:val="24"/>
          <w:szCs w:val="24"/>
        </w:rPr>
        <w:t>peration.</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describes safety requirements during vehicle operation, driver qualification and application review requirements, and requirements for driver and bus monitor training. We received some comments on this section, discussed below.</w:t>
      </w:r>
    </w:p>
    <w:p w:rsidR="00A6768B" w:rsidRPr="00C1694A" w:rsidRDefault="00A6768B" w:rsidP="009A526A">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suggested that we allow reasonable accommodation related to the requirements of the commercial driver’s license (CDL) and that drivers should follow applicable </w:t>
      </w:r>
      <w:r w:rsidR="00876845" w:rsidRPr="00C1694A">
        <w:rPr>
          <w:rFonts w:ascii="Times New Roman" w:hAnsi="Times New Roman" w:cs="Times New Roman"/>
          <w:sz w:val="24"/>
          <w:szCs w:val="24"/>
        </w:rPr>
        <w:t>Department of Transportation (</w:t>
      </w:r>
      <w:r w:rsidRPr="00C1694A">
        <w:rPr>
          <w:rFonts w:ascii="Times New Roman" w:hAnsi="Times New Roman" w:cs="Times New Roman"/>
          <w:sz w:val="24"/>
          <w:szCs w:val="24"/>
        </w:rPr>
        <w:t>DOT</w:t>
      </w:r>
      <w:r w:rsidR="00876845" w:rsidRPr="00C1694A">
        <w:rPr>
          <w:rFonts w:ascii="Times New Roman" w:hAnsi="Times New Roman" w:cs="Times New Roman"/>
          <w:sz w:val="24"/>
          <w:szCs w:val="24"/>
        </w:rPr>
        <w:t>)</w:t>
      </w:r>
      <w:r w:rsidRPr="00C1694A">
        <w:rPr>
          <w:rFonts w:ascii="Times New Roman" w:hAnsi="Times New Roman" w:cs="Times New Roman"/>
          <w:sz w:val="24"/>
          <w:szCs w:val="24"/>
        </w:rPr>
        <w:t xml:space="preserve"> regulations, including for drug and alcohol testing.</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 addition to possessing an appropriate CDL, drivers providing Head Start transportation services must meet applicable DOT, tribal, state, and local requirements for their jurisdiction.  There are requirements for drug and alcohol testing associated with a CDL. Therefore, we did not make any revisions to this provision.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26573A"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expressed concern that the requirement to review a driver candidate’s record through the National Driver Register could delay the hiring of needed drivers.</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While we understand the concerns about the expediency of various background checks, we believe it is very important to use available sources that may provide information about the safety record of driver candidates. Therefore, we retained this requirement to check the National Driver Register </w:t>
      </w:r>
      <w:r w:rsidR="00DA036E" w:rsidRPr="00C1694A">
        <w:rPr>
          <w:rFonts w:ascii="Times New Roman" w:hAnsi="Times New Roman" w:cs="Times New Roman"/>
          <w:sz w:val="24"/>
          <w:szCs w:val="24"/>
        </w:rPr>
        <w:t xml:space="preserve">where </w:t>
      </w:r>
      <w:r w:rsidRPr="00C1694A">
        <w:rPr>
          <w:rFonts w:ascii="Times New Roman" w:hAnsi="Times New Roman" w:cs="Times New Roman"/>
          <w:sz w:val="24"/>
          <w:szCs w:val="24"/>
        </w:rPr>
        <w:t xml:space="preserve">available.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One commenter expressed concern that standards articulated the requirement for child safety restraint systems, but did not actually require that children be seated while using them.</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safety restraint systems only afford protection if they are properly used.  We amended §1303.72(a)(1) to specify that each child should be seated in a child restraint system appropriate to the child’s age, height and weight.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26573A"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referred to the requirement in paragraph </w:t>
      </w:r>
      <w:r w:rsidR="003765E4" w:rsidRPr="00C1694A">
        <w:rPr>
          <w:rFonts w:ascii="Times New Roman" w:hAnsi="Times New Roman" w:cs="Times New Roman"/>
          <w:sz w:val="24"/>
          <w:szCs w:val="24"/>
        </w:rPr>
        <w:t>(</w:t>
      </w:r>
      <w:r w:rsidRPr="00C1694A">
        <w:rPr>
          <w:rFonts w:ascii="Times New Roman" w:hAnsi="Times New Roman" w:cs="Times New Roman"/>
          <w:sz w:val="24"/>
          <w:szCs w:val="24"/>
        </w:rPr>
        <w:t>d</w:t>
      </w:r>
      <w:r w:rsidR="003765E4" w:rsidRPr="00C1694A">
        <w:rPr>
          <w:rFonts w:ascii="Times New Roman" w:hAnsi="Times New Roman" w:cs="Times New Roman"/>
          <w:sz w:val="24"/>
          <w:szCs w:val="24"/>
        </w:rPr>
        <w:t>)</w:t>
      </w:r>
      <w:r w:rsidRPr="00C1694A">
        <w:rPr>
          <w:rFonts w:ascii="Times New Roman" w:hAnsi="Times New Roman" w:cs="Times New Roman"/>
          <w:sz w:val="24"/>
          <w:szCs w:val="24"/>
        </w:rPr>
        <w:t xml:space="preserve"> that drivers receive training in first aid. One suggested that Cardio Pulmonary Resuscitation (CPR) also be required. Another suggested it is not necessary to require first aid training for drivers.</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drivers should have both first aid and CPR training</w:t>
      </w:r>
      <w:r w:rsidR="00876845" w:rsidRPr="00C1694A">
        <w:rPr>
          <w:rFonts w:ascii="Times New Roman" w:hAnsi="Times New Roman" w:cs="Times New Roman"/>
          <w:sz w:val="24"/>
          <w:szCs w:val="24"/>
        </w:rPr>
        <w:t>.  This is required in §1302.47, and is therefore deleted from the list of training requirements in this section.</w:t>
      </w:r>
    </w:p>
    <w:p w:rsidR="00A6768B" w:rsidRPr="00C1694A" w:rsidRDefault="00A6768B"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w:t>
      </w:r>
      <w:r w:rsidR="00F42D11" w:rsidRPr="00C1694A">
        <w:rPr>
          <w:rFonts w:ascii="Times New Roman" w:hAnsi="Times New Roman" w:cs="Times New Roman"/>
          <w:i/>
          <w:sz w:val="24"/>
          <w:szCs w:val="24"/>
        </w:rPr>
        <w:t>1303.73 Trip r</w:t>
      </w:r>
      <w:r w:rsidRPr="00C1694A">
        <w:rPr>
          <w:rFonts w:ascii="Times New Roman" w:hAnsi="Times New Roman" w:cs="Times New Roman"/>
          <w:i/>
          <w:sz w:val="24"/>
          <w:szCs w:val="24"/>
        </w:rPr>
        <w:t>outing.</w:t>
      </w:r>
    </w:p>
    <w:p w:rsidR="00876845" w:rsidRPr="00C1694A" w:rsidRDefault="00876845"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This section establishes requirements for the safe and efficient planning of transportation routes.</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26573A"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had concerns about the length of bus routes, including that some bus routes exceed an hour due to the geography of the service area and that complying with the trip routing safety requirements results in longer trips.</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Programs must keep trips under one hour, to the extent possible.  We recognize that in some areas, such as rural areas, routes may be longer than an hour. We encourage programs to train bus monitors to provide meaningful interactions, discussion, songs, etc. with children during the time on the bus.  We also understand that such things as requiring no U turns and curbside </w:t>
      </w:r>
      <w:r w:rsidR="00301051" w:rsidRPr="00C1694A">
        <w:rPr>
          <w:rFonts w:ascii="Times New Roman" w:hAnsi="Times New Roman" w:cs="Times New Roman"/>
          <w:sz w:val="24"/>
          <w:szCs w:val="24"/>
        </w:rPr>
        <w:t>pick-up</w:t>
      </w:r>
      <w:r w:rsidRPr="00C1694A">
        <w:rPr>
          <w:rFonts w:ascii="Times New Roman" w:hAnsi="Times New Roman" w:cs="Times New Roman"/>
          <w:sz w:val="24"/>
          <w:szCs w:val="24"/>
        </w:rPr>
        <w:t xml:space="preserve"> and drop off may extend routes.  However, as the majority of school bus related child fatalities occur before boarding or after exiting the bus, we believe these safety provisions are necessary. We did not make any changes to these provisions.</w:t>
      </w:r>
    </w:p>
    <w:p w:rsidR="00A6768B" w:rsidRPr="00C1694A" w:rsidRDefault="00F42D11"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§1303.74 Safety p</w:t>
      </w:r>
      <w:r w:rsidR="00A6768B" w:rsidRPr="00C1694A">
        <w:rPr>
          <w:rFonts w:ascii="Times New Roman" w:hAnsi="Times New Roman" w:cs="Times New Roman"/>
          <w:i/>
          <w:sz w:val="24"/>
          <w:szCs w:val="24"/>
        </w:rPr>
        <w:t xml:space="preserve">rocedures. </w:t>
      </w:r>
    </w:p>
    <w:p w:rsidR="00A6768B" w:rsidRPr="00C1694A" w:rsidRDefault="00A6768B"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section describes the safety procedures programs must adhere to as part of transportation. We did not receive any comments on this section and therefore did not make any changes to these provisions. </w:t>
      </w:r>
    </w:p>
    <w:p w:rsidR="00A6768B" w:rsidRPr="00C1694A" w:rsidRDefault="00F42D11"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§1303.75 Children with d</w:t>
      </w:r>
      <w:r w:rsidR="00A6768B" w:rsidRPr="00C1694A">
        <w:rPr>
          <w:rFonts w:ascii="Times New Roman" w:hAnsi="Times New Roman" w:cs="Times New Roman"/>
          <w:i/>
          <w:sz w:val="24"/>
          <w:szCs w:val="24"/>
        </w:rPr>
        <w:t>isabilities.</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section describes requirements for transporting children with disabilities. Below we discuss the comments we received on this section and our corresponding responses. </w:t>
      </w:r>
    </w:p>
    <w:p w:rsidR="00A6768B" w:rsidRPr="00C1694A" w:rsidRDefault="00A6768B"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supported the provision in paragraph (a) of this section that children with disabilities must be transported in the same vehicles used to transport other children whenever possible.  </w:t>
      </w:r>
      <w:r w:rsidR="0026573A" w:rsidRPr="00C1694A">
        <w:rPr>
          <w:rFonts w:ascii="Times New Roman" w:hAnsi="Times New Roman" w:cs="Times New Roman"/>
          <w:sz w:val="24"/>
          <w:szCs w:val="24"/>
        </w:rPr>
        <w:t>O</w:t>
      </w:r>
      <w:r w:rsidRPr="00C1694A">
        <w:rPr>
          <w:rFonts w:ascii="Times New Roman" w:hAnsi="Times New Roman" w:cs="Times New Roman"/>
          <w:sz w:val="24"/>
          <w:szCs w:val="24"/>
        </w:rPr>
        <w:t xml:space="preserve">ther commenters raised questions or concerns including a request to retain a previous provision to ensure special transportation requirements in a child’s IEP or IFSP are followed, and a question about whether a program must ensure that drivers from other agencies are trained.  </w:t>
      </w:r>
    </w:p>
    <w:p w:rsidR="00A6768B" w:rsidRPr="00C1694A" w:rsidRDefault="00A6768B" w:rsidP="009A526A">
      <w:pPr>
        <w:spacing w:after="0" w:line="480" w:lineRule="auto"/>
        <w:rPr>
          <w:rFonts w:ascii="Times New Roman" w:hAnsi="Times New Roman" w:cs="Times New Roman"/>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 paragraph (b), we retained the provision that ensures special transportation requirements in a child’s IEP or IFSP are followed; this provision was also retained in the NPRM. All Head Start transportation services, including those for children with disabilities, must meet the requirements of this regulation, whether they are provided directly, contractually, or through agreement with a local education</w:t>
      </w:r>
      <w:r w:rsidR="007C64DA" w:rsidRPr="00C1694A">
        <w:rPr>
          <w:rFonts w:ascii="Times New Roman" w:hAnsi="Times New Roman" w:cs="Times New Roman"/>
          <w:sz w:val="24"/>
          <w:szCs w:val="24"/>
        </w:rPr>
        <w:t>al</w:t>
      </w:r>
      <w:r w:rsidRPr="00C1694A">
        <w:rPr>
          <w:rFonts w:ascii="Times New Roman" w:hAnsi="Times New Roman" w:cs="Times New Roman"/>
          <w:sz w:val="24"/>
          <w:szCs w:val="24"/>
        </w:rPr>
        <w:t xml:space="preserve"> agency or other partner. </w:t>
      </w:r>
    </w:p>
    <w:p w:rsidR="00D00E31" w:rsidRPr="00C1694A" w:rsidRDefault="00D00E31" w:rsidP="009A526A">
      <w:pPr>
        <w:autoSpaceDE w:val="0"/>
        <w:autoSpaceDN w:val="0"/>
        <w:adjustRightInd w:val="0"/>
        <w:spacing w:after="0" w:line="240" w:lineRule="auto"/>
        <w:rPr>
          <w:rFonts w:ascii="Times New Roman" w:hAnsi="Times New Roman" w:cs="Times New Roman"/>
          <w:b/>
          <w:sz w:val="24"/>
          <w:szCs w:val="24"/>
        </w:rPr>
      </w:pPr>
    </w:p>
    <w:p w:rsidR="004133D8" w:rsidRPr="00C1694A" w:rsidRDefault="004133D8"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FEDERAL ADMINISTRATIVE PROCEDURES; PART 1304</w:t>
      </w:r>
    </w:p>
    <w:p w:rsidR="004133D8" w:rsidRPr="00C1694A" w:rsidRDefault="004133D8" w:rsidP="004133D8">
      <w:pPr>
        <w:spacing w:after="0" w:line="480" w:lineRule="auto"/>
        <w:rPr>
          <w:rFonts w:ascii="Times New Roman" w:hAnsi="Times New Roman" w:cs="Times New Roman"/>
        </w:rPr>
      </w:pPr>
      <w:r w:rsidRPr="00C1694A">
        <w:rPr>
          <w:rFonts w:ascii="Times New Roman" w:hAnsi="Times New Roman" w:cs="Times New Roman"/>
          <w:b/>
          <w:sz w:val="24"/>
          <w:szCs w:val="24"/>
        </w:rPr>
        <w:t>Monitoring, Suspension, Termination, Denial of Refunding, Reduction in Funding, and their Appeals; Subpart A</w:t>
      </w:r>
    </w:p>
    <w:p w:rsidR="000402BE" w:rsidRPr="00C1694A" w:rsidRDefault="000402BE" w:rsidP="009A526A">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This subpart focuses on monitoring, areas of noncompliance, deficiencies, and quality improvement plans.  It outlines what happens when a grantee is suspended, </w:t>
      </w:r>
      <w:r w:rsidRPr="00C1694A">
        <w:rPr>
          <w:rFonts w:ascii="Times New Roman" w:hAnsi="Times New Roman" w:cs="Times New Roman"/>
          <w:sz w:val="24"/>
          <w:szCs w:val="24"/>
        </w:rPr>
        <w:t xml:space="preserve">when a grantee is terminated, </w:t>
      </w:r>
      <w:r w:rsidRPr="00C1694A">
        <w:rPr>
          <w:rFonts w:ascii="Times New Roman" w:eastAsia="Calibri" w:hAnsi="Times New Roman" w:cs="Times New Roman"/>
          <w:sz w:val="24"/>
          <w:szCs w:val="24"/>
        </w:rPr>
        <w:t xml:space="preserve">when a grantee’s </w:t>
      </w:r>
      <w:r w:rsidRPr="00C1694A">
        <w:rPr>
          <w:rFonts w:ascii="Times New Roman" w:hAnsi="Times New Roman" w:cs="Times New Roman"/>
          <w:sz w:val="24"/>
          <w:szCs w:val="24"/>
        </w:rPr>
        <w:t xml:space="preserve">financial assistance or application for refunding is denied, and when a grantee’s assistance is reduced.  </w:t>
      </w:r>
      <w:r w:rsidRPr="00C1694A">
        <w:rPr>
          <w:rFonts w:ascii="Times New Roman" w:eastAsia="Calibri" w:hAnsi="Times New Roman" w:cs="Times New Roman"/>
          <w:sz w:val="24"/>
          <w:szCs w:val="24"/>
        </w:rPr>
        <w:t>It also clarifies the appeals process</w:t>
      </w:r>
      <w:r w:rsidRPr="00C1694A">
        <w:rPr>
          <w:rFonts w:ascii="Times New Roman" w:hAnsi="Times New Roman" w:cs="Times New Roman"/>
          <w:sz w:val="24"/>
          <w:szCs w:val="24"/>
        </w:rPr>
        <w:t xml:space="preserve"> for certain adverse actions</w:t>
      </w:r>
      <w:r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 xml:space="preserve">We analyze the comments </w:t>
      </w:r>
      <w:r w:rsidR="003765E4" w:rsidRPr="00C1694A">
        <w:rPr>
          <w:rFonts w:ascii="Times New Roman" w:hAnsi="Times New Roman" w:cs="Times New Roman"/>
          <w:sz w:val="24"/>
          <w:szCs w:val="24"/>
        </w:rPr>
        <w:t xml:space="preserve">received on this subpart </w:t>
      </w:r>
      <w:r w:rsidRPr="00C1694A">
        <w:rPr>
          <w:rFonts w:ascii="Times New Roman" w:hAnsi="Times New Roman" w:cs="Times New Roman"/>
          <w:sz w:val="24"/>
          <w:szCs w:val="24"/>
        </w:rPr>
        <w:t>below.</w:t>
      </w:r>
    </w:p>
    <w:p w:rsidR="000402BE" w:rsidRPr="00C1694A" w:rsidRDefault="000402B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§1304.1 </w:t>
      </w:r>
      <w:r w:rsidR="005F3C0D">
        <w:rPr>
          <w:rFonts w:ascii="Times New Roman" w:hAnsi="Times New Roman" w:cs="Times New Roman"/>
          <w:i/>
          <w:sz w:val="24"/>
          <w:szCs w:val="24"/>
        </w:rPr>
        <w:t>Purpose</w:t>
      </w:r>
      <w:r w:rsidRPr="00C1694A">
        <w:rPr>
          <w:rFonts w:ascii="Times New Roman" w:hAnsi="Times New Roman" w:cs="Times New Roman"/>
          <w:i/>
          <w:sz w:val="24"/>
          <w:szCs w:val="24"/>
        </w:rPr>
        <w:t>.</w:t>
      </w:r>
    </w:p>
    <w:p w:rsidR="000402BE" w:rsidRPr="00C1694A" w:rsidRDefault="000402BE"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This section lays out the Secretary’s authority to monitor whether grantees meet program performance standards and to prescribe notice and appeal procedures.   We did not receive any comments on this section.</w:t>
      </w:r>
    </w:p>
    <w:p w:rsidR="000402BE" w:rsidRPr="00C1694A" w:rsidRDefault="000402BE" w:rsidP="009A526A">
      <w:pPr>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§1304.2 Monitoring.</w:t>
      </w:r>
    </w:p>
    <w:p w:rsidR="000402BE" w:rsidRPr="00C1694A" w:rsidRDefault="000402B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clarifies our authority to monitor grantees to ensure they comply with the Act, all program performance standards, and other federal regulations.   We also clarify for programs that a deficiency can develop from an uncorrected area of noncompliance and from monitoring findings that show either a grantee’s systemic or substantial material failure to comply with standards.  We received comments from the public on this section</w:t>
      </w:r>
      <w:r w:rsidR="003765E4" w:rsidRPr="00C1694A">
        <w:rPr>
          <w:rFonts w:ascii="Times New Roman" w:hAnsi="Times New Roman" w:cs="Times New Roman"/>
          <w:sz w:val="24"/>
          <w:szCs w:val="24"/>
        </w:rPr>
        <w:t xml:space="preserve"> and w</w:t>
      </w:r>
      <w:r w:rsidRPr="00C1694A">
        <w:rPr>
          <w:rFonts w:ascii="Times New Roman" w:hAnsi="Times New Roman" w:cs="Times New Roman"/>
          <w:sz w:val="24"/>
          <w:szCs w:val="24"/>
        </w:rPr>
        <w:t>e discuss those comments below.</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26573A"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urged </w:t>
      </w:r>
      <w:r w:rsidRPr="00C1694A">
        <w:rPr>
          <w:rFonts w:ascii="Times New Roman" w:hAnsi="Times New Roman" w:cs="Times New Roman"/>
          <w:iCs/>
          <w:sz w:val="24"/>
          <w:szCs w:val="24"/>
        </w:rPr>
        <w:t>us to take the lead to streamline Early Head Sta</w:t>
      </w:r>
      <w:r w:rsidR="00247A08" w:rsidRPr="00C1694A">
        <w:rPr>
          <w:rFonts w:ascii="Times New Roman" w:hAnsi="Times New Roman" w:cs="Times New Roman"/>
          <w:iCs/>
          <w:sz w:val="24"/>
          <w:szCs w:val="24"/>
        </w:rPr>
        <w:t>rt, Head Start, and Child Care and</w:t>
      </w:r>
      <w:r w:rsidRPr="00C1694A">
        <w:rPr>
          <w:rFonts w:ascii="Times New Roman" w:hAnsi="Times New Roman" w:cs="Times New Roman"/>
          <w:iCs/>
          <w:sz w:val="24"/>
          <w:szCs w:val="24"/>
        </w:rPr>
        <w:t xml:space="preserve"> Development Fund monitoring requirements and practices so that programs can focus more on performance and outcomes and less on monitoring compliance with detailed regulation.  These commenters suggest for ACF to work more collaboratively with other federal partners to coordinate approaches to monitoring, and evaluating and supporting continuous quality improvement of early learning programs and their impacts. One commenter urged us to take the lead to build better integration between Early/Head Start data and state/local data systems.</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We will continue to work to </w:t>
      </w:r>
      <w:r w:rsidR="00392490" w:rsidRPr="00C1694A">
        <w:rPr>
          <w:rFonts w:ascii="Times New Roman" w:hAnsi="Times New Roman" w:cs="Times New Roman"/>
          <w:iCs/>
          <w:sz w:val="24"/>
          <w:szCs w:val="24"/>
        </w:rPr>
        <w:t>better align</w:t>
      </w:r>
      <w:r w:rsidRPr="00C1694A">
        <w:rPr>
          <w:rFonts w:ascii="Times New Roman" w:hAnsi="Times New Roman" w:cs="Times New Roman"/>
          <w:iCs/>
          <w:sz w:val="24"/>
          <w:szCs w:val="24"/>
        </w:rPr>
        <w:t xml:space="preserve"> Early Head Start, Hea</w:t>
      </w:r>
      <w:r w:rsidR="00392490" w:rsidRPr="00C1694A">
        <w:rPr>
          <w:rFonts w:ascii="Times New Roman" w:hAnsi="Times New Roman" w:cs="Times New Roman"/>
          <w:iCs/>
          <w:sz w:val="24"/>
          <w:szCs w:val="24"/>
        </w:rPr>
        <w:t>d Start, and Child Care and</w:t>
      </w:r>
      <w:r w:rsidRPr="00C1694A">
        <w:rPr>
          <w:rFonts w:ascii="Times New Roman" w:hAnsi="Times New Roman" w:cs="Times New Roman"/>
          <w:iCs/>
          <w:sz w:val="24"/>
          <w:szCs w:val="24"/>
        </w:rPr>
        <w:t xml:space="preserve"> Development Fund monitoring requirements and practices</w:t>
      </w:r>
      <w:r w:rsidR="00392490" w:rsidRPr="00C1694A">
        <w:rPr>
          <w:rFonts w:ascii="Times New Roman" w:hAnsi="Times New Roman" w:cs="Times New Roman"/>
          <w:iCs/>
          <w:sz w:val="24"/>
          <w:szCs w:val="24"/>
        </w:rPr>
        <w:t xml:space="preserve"> where possible</w:t>
      </w:r>
      <w:r w:rsidRPr="00C1694A">
        <w:rPr>
          <w:rFonts w:ascii="Times New Roman" w:hAnsi="Times New Roman" w:cs="Times New Roman"/>
          <w:iCs/>
          <w:sz w:val="24"/>
          <w:szCs w:val="24"/>
        </w:rPr>
        <w:t xml:space="preserve">.  We will also continue to work with other federal partners to coordinate approaches to monitoring.  We will </w:t>
      </w:r>
      <w:r w:rsidR="00B23B74" w:rsidRPr="00C1694A">
        <w:rPr>
          <w:rFonts w:ascii="Times New Roman" w:hAnsi="Times New Roman" w:cs="Times New Roman"/>
          <w:iCs/>
          <w:sz w:val="24"/>
          <w:szCs w:val="24"/>
        </w:rPr>
        <w:t>continue to work with partners to facilitate</w:t>
      </w:r>
      <w:r w:rsidRPr="00C1694A">
        <w:rPr>
          <w:rFonts w:ascii="Times New Roman" w:hAnsi="Times New Roman" w:cs="Times New Roman"/>
          <w:iCs/>
          <w:sz w:val="24"/>
          <w:szCs w:val="24"/>
        </w:rPr>
        <w:t xml:space="preserve"> better integration between Early/Head Start data and state/local data systems.</w:t>
      </w:r>
      <w:r w:rsidRPr="00C1694A">
        <w:rPr>
          <w:rFonts w:ascii="Times New Roman" w:hAnsi="Times New Roman" w:cs="Times New Roman"/>
          <w:bCs/>
          <w:iCs/>
          <w:sz w:val="24"/>
          <w:szCs w:val="24"/>
        </w:rPr>
        <w:t xml:space="preserve">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Comment:</w:t>
      </w:r>
      <w:r w:rsidRPr="00C1694A">
        <w:rPr>
          <w:rFonts w:ascii="Times New Roman" w:hAnsi="Times New Roman" w:cs="Times New Roman"/>
          <w:iCs/>
          <w:sz w:val="24"/>
          <w:szCs w:val="24"/>
        </w:rPr>
        <w:t xml:space="preserve">  </w:t>
      </w:r>
      <w:r w:rsidR="0026573A" w:rsidRPr="00C1694A">
        <w:rPr>
          <w:rFonts w:ascii="Times New Roman" w:hAnsi="Times New Roman" w:cs="Times New Roman"/>
          <w:iCs/>
          <w:sz w:val="24"/>
          <w:szCs w:val="24"/>
        </w:rPr>
        <w:t>Some</w:t>
      </w:r>
      <w:r w:rsidRPr="00C1694A">
        <w:rPr>
          <w:rFonts w:ascii="Times New Roman" w:hAnsi="Times New Roman" w:cs="Times New Roman"/>
          <w:iCs/>
          <w:sz w:val="24"/>
          <w:szCs w:val="24"/>
        </w:rPr>
        <w:t xml:space="preserve"> commenters asked us to define “immediate deficiencies,” to prescribe how these deficiencies can be resolved, set time frames to correct areas of noncompliance and deficiencies, and, establish a deficiency review board that is independent of the regional office. </w:t>
      </w:r>
    </w:p>
    <w:p w:rsidR="000402BE" w:rsidRPr="00C1694A" w:rsidRDefault="000402BE" w:rsidP="009A526A">
      <w:pPr>
        <w:spacing w:after="0" w:line="480" w:lineRule="auto"/>
        <w:ind w:firstLine="720"/>
        <w:rPr>
          <w:rFonts w:ascii="Times New Roman" w:hAnsi="Times New Roman" w:cs="Times New Roman"/>
          <w:bCs/>
          <w:iCs/>
          <w:sz w:val="24"/>
          <w:szCs w:val="24"/>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w:t>
      </w:r>
      <w:r w:rsidRPr="00C1694A">
        <w:rPr>
          <w:rFonts w:ascii="Times New Roman" w:hAnsi="Times New Roman" w:cs="Times New Roman"/>
          <w:bCs/>
          <w:iCs/>
          <w:sz w:val="24"/>
          <w:szCs w:val="24"/>
        </w:rPr>
        <w:t xml:space="preserve"> We defer to the Act’s definition for </w:t>
      </w:r>
      <w:r w:rsidR="00392490" w:rsidRPr="00C1694A">
        <w:rPr>
          <w:rFonts w:ascii="Times New Roman" w:hAnsi="Times New Roman" w:cs="Times New Roman"/>
          <w:bCs/>
          <w:iCs/>
          <w:sz w:val="24"/>
          <w:szCs w:val="24"/>
        </w:rPr>
        <w:t>“</w:t>
      </w:r>
      <w:r w:rsidR="00B23B74" w:rsidRPr="00C1694A">
        <w:rPr>
          <w:rFonts w:ascii="Times New Roman" w:hAnsi="Times New Roman" w:cs="Times New Roman"/>
          <w:bCs/>
          <w:iCs/>
          <w:sz w:val="24"/>
          <w:szCs w:val="24"/>
        </w:rPr>
        <w:t>deficiency,” at section 637.   Def</w:t>
      </w:r>
      <w:r w:rsidRPr="00C1694A">
        <w:rPr>
          <w:rFonts w:ascii="Times New Roman" w:hAnsi="Times New Roman" w:cs="Times New Roman"/>
          <w:bCs/>
          <w:iCs/>
          <w:sz w:val="24"/>
          <w:szCs w:val="24"/>
        </w:rPr>
        <w:t xml:space="preserve">iciencies </w:t>
      </w:r>
      <w:r w:rsidR="00B23B74" w:rsidRPr="00C1694A">
        <w:rPr>
          <w:rFonts w:ascii="Times New Roman" w:hAnsi="Times New Roman" w:cs="Times New Roman"/>
          <w:bCs/>
          <w:iCs/>
          <w:sz w:val="24"/>
          <w:szCs w:val="24"/>
        </w:rPr>
        <w:t>are not determined at the</w:t>
      </w:r>
      <w:r w:rsidRPr="00C1694A">
        <w:rPr>
          <w:rFonts w:ascii="Times New Roman" w:hAnsi="Times New Roman" w:cs="Times New Roman"/>
          <w:bCs/>
          <w:iCs/>
          <w:sz w:val="24"/>
          <w:szCs w:val="24"/>
        </w:rPr>
        <w:t xml:space="preserve"> regional level</w:t>
      </w:r>
      <w:r w:rsidR="00B23B74" w:rsidRPr="00C1694A">
        <w:rPr>
          <w:rFonts w:ascii="Times New Roman" w:hAnsi="Times New Roman" w:cs="Times New Roman"/>
          <w:bCs/>
          <w:iCs/>
          <w:sz w:val="24"/>
          <w:szCs w:val="24"/>
        </w:rPr>
        <w:t>, though they were many years ago</w:t>
      </w:r>
      <w:r w:rsidRPr="00C1694A">
        <w:rPr>
          <w:rFonts w:ascii="Times New Roman" w:hAnsi="Times New Roman" w:cs="Times New Roman"/>
          <w:bCs/>
          <w:iCs/>
          <w:sz w:val="24"/>
          <w:szCs w:val="24"/>
        </w:rPr>
        <w:t xml:space="preserve">.  Now, the Director of </w:t>
      </w:r>
      <w:r w:rsidR="003765E4" w:rsidRPr="00C1694A">
        <w:rPr>
          <w:rFonts w:ascii="Times New Roman" w:hAnsi="Times New Roman" w:cs="Times New Roman"/>
          <w:bCs/>
          <w:iCs/>
          <w:sz w:val="24"/>
          <w:szCs w:val="24"/>
        </w:rPr>
        <w:t xml:space="preserve">the Office of </w:t>
      </w:r>
      <w:r w:rsidRPr="00C1694A">
        <w:rPr>
          <w:rFonts w:ascii="Times New Roman" w:hAnsi="Times New Roman" w:cs="Times New Roman"/>
          <w:bCs/>
          <w:iCs/>
          <w:sz w:val="24"/>
          <w:szCs w:val="24"/>
        </w:rPr>
        <w:t xml:space="preserve">Head Start determines </w:t>
      </w:r>
      <w:r w:rsidR="00392490" w:rsidRPr="00C1694A">
        <w:rPr>
          <w:rFonts w:ascii="Times New Roman" w:hAnsi="Times New Roman" w:cs="Times New Roman"/>
          <w:bCs/>
          <w:iCs/>
          <w:sz w:val="24"/>
          <w:szCs w:val="24"/>
        </w:rPr>
        <w:t xml:space="preserve">all </w:t>
      </w:r>
      <w:r w:rsidRPr="00C1694A">
        <w:rPr>
          <w:rFonts w:ascii="Times New Roman" w:hAnsi="Times New Roman" w:cs="Times New Roman"/>
          <w:bCs/>
          <w:iCs/>
          <w:sz w:val="24"/>
          <w:szCs w:val="24"/>
        </w:rPr>
        <w:t>deficiencies</w:t>
      </w:r>
      <w:r w:rsidR="00392490" w:rsidRPr="00C1694A">
        <w:rPr>
          <w:rFonts w:ascii="Times New Roman" w:hAnsi="Times New Roman" w:cs="Times New Roman"/>
          <w:bCs/>
          <w:iCs/>
          <w:sz w:val="24"/>
          <w:szCs w:val="24"/>
        </w:rPr>
        <w:t xml:space="preserve"> independently</w:t>
      </w:r>
      <w:r w:rsidRPr="00C1694A">
        <w:rPr>
          <w:rFonts w:ascii="Times New Roman" w:hAnsi="Times New Roman" w:cs="Times New Roman"/>
          <w:bCs/>
          <w:iCs/>
          <w:sz w:val="24"/>
          <w:szCs w:val="24"/>
        </w:rPr>
        <w:t xml:space="preserve">.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Comment:</w:t>
      </w:r>
      <w:r w:rsidRPr="00C1694A">
        <w:rPr>
          <w:rFonts w:ascii="Times New Roman" w:hAnsi="Times New Roman" w:cs="Times New Roman"/>
          <w:iCs/>
          <w:sz w:val="24"/>
          <w:szCs w:val="24"/>
        </w:rPr>
        <w:t xml:space="preserve">  One commenter asked us to consider whether CLASS scores</w:t>
      </w:r>
      <w:r w:rsidR="003765E4" w:rsidRPr="00C1694A">
        <w:rPr>
          <w:rFonts w:ascii="Times New Roman" w:hAnsi="Times New Roman" w:cs="Times New Roman"/>
          <w:iCs/>
          <w:sz w:val="24"/>
          <w:szCs w:val="24"/>
        </w:rPr>
        <w:t xml:space="preserve"> that</w:t>
      </w:r>
      <w:r w:rsidRPr="00C1694A">
        <w:rPr>
          <w:rFonts w:ascii="Times New Roman" w:hAnsi="Times New Roman" w:cs="Times New Roman"/>
          <w:iCs/>
          <w:sz w:val="24"/>
          <w:szCs w:val="24"/>
        </w:rPr>
        <w:t xml:space="preserve"> fall below national norms, should be a non-compliance issue rather than a deficiency.  The commenter believes data, including CLASS results, should be used as flashlight to illuminate paths to professional development and the central tenet of Head Start, continuous improvement. </w:t>
      </w:r>
    </w:p>
    <w:p w:rsidR="000402BE" w:rsidRPr="00C1694A" w:rsidRDefault="000402BE"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w:t>
      </w:r>
      <w:r w:rsidRPr="00C1694A">
        <w:rPr>
          <w:rFonts w:ascii="Times New Roman" w:hAnsi="Times New Roman" w:cs="Times New Roman"/>
          <w:sz w:val="24"/>
          <w:szCs w:val="24"/>
        </w:rPr>
        <w:t xml:space="preserve">We did not propose any changes to the designation renewal system at former part 1307 in the NPRM.  </w:t>
      </w:r>
      <w:r w:rsidR="003765E4" w:rsidRPr="00C1694A">
        <w:rPr>
          <w:rFonts w:ascii="Times New Roman" w:hAnsi="Times New Roman" w:cs="Times New Roman"/>
          <w:sz w:val="24"/>
          <w:szCs w:val="24"/>
        </w:rPr>
        <w:t xml:space="preserve">As </w:t>
      </w:r>
      <w:r w:rsidRPr="00C1694A">
        <w:rPr>
          <w:rFonts w:ascii="Times New Roman" w:hAnsi="Times New Roman" w:cs="Times New Roman"/>
          <w:sz w:val="24"/>
          <w:szCs w:val="24"/>
        </w:rPr>
        <w:t xml:space="preserve">we did not invite comments on the designation renewal system in the NPRM, we cannot respond to this comment here.    </w:t>
      </w:r>
    </w:p>
    <w:p w:rsidR="000402BE" w:rsidRPr="00C1694A" w:rsidRDefault="000402BE" w:rsidP="009A526A">
      <w:pPr>
        <w:spacing w:after="0" w:line="480" w:lineRule="auto"/>
        <w:rPr>
          <w:rFonts w:ascii="Times New Roman" w:hAnsi="Times New Roman" w:cs="Times New Roman"/>
          <w:i/>
          <w:iCs/>
          <w:sz w:val="24"/>
          <w:szCs w:val="24"/>
        </w:rPr>
      </w:pPr>
      <w:r w:rsidRPr="00C1694A">
        <w:rPr>
          <w:rFonts w:ascii="Times New Roman" w:hAnsi="Times New Roman" w:cs="Times New Roman"/>
          <w:i/>
          <w:iCs/>
          <w:sz w:val="24"/>
          <w:szCs w:val="24"/>
        </w:rPr>
        <w:t>§1304.3 Suspension with notice.</w:t>
      </w:r>
    </w:p>
    <w:p w:rsidR="000402BE" w:rsidRPr="00C1694A" w:rsidRDefault="000402B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section includes the program performance standards for suspensions</w:t>
      </w:r>
      <w:r w:rsidR="00392490" w:rsidRPr="00C1694A">
        <w:rPr>
          <w:rFonts w:ascii="Times New Roman" w:hAnsi="Times New Roman" w:cs="Times New Roman"/>
          <w:sz w:val="24"/>
          <w:szCs w:val="24"/>
        </w:rPr>
        <w:t xml:space="preserve"> with notice</w:t>
      </w:r>
      <w:r w:rsidRPr="00C1694A">
        <w:rPr>
          <w:rFonts w:ascii="Times New Roman" w:hAnsi="Times New Roman" w:cs="Times New Roman"/>
          <w:sz w:val="24"/>
          <w:szCs w:val="24"/>
        </w:rPr>
        <w:t>. Although we retained, without change, most performance standards in this section, we proposed a few changes in the NPRM.  We received comments on what we proposed in the NPRM and we address them below.</w:t>
      </w:r>
    </w:p>
    <w:p w:rsidR="000402BE" w:rsidRPr="00C1694A" w:rsidRDefault="000402BE" w:rsidP="009A526A">
      <w:pPr>
        <w:spacing w:after="0" w:line="480" w:lineRule="auto"/>
        <w:ind w:firstLine="720"/>
        <w:rPr>
          <w:rFonts w:ascii="Times New Roman" w:hAnsi="Times New Roman" w:cs="Times New Roman"/>
          <w:bCs/>
          <w:sz w:val="24"/>
          <w:szCs w:val="24"/>
        </w:rPr>
      </w:pPr>
      <w:r w:rsidRPr="00C1694A">
        <w:rPr>
          <w:rFonts w:ascii="Times New Roman" w:hAnsi="Times New Roman" w:cs="Times New Roman"/>
          <w:iCs/>
          <w:sz w:val="24"/>
          <w:szCs w:val="24"/>
          <w:u w:val="single"/>
        </w:rPr>
        <w:t>Comment:</w:t>
      </w:r>
      <w:r w:rsidRPr="00C1694A">
        <w:rPr>
          <w:rFonts w:ascii="Times New Roman" w:hAnsi="Times New Roman" w:cs="Times New Roman"/>
          <w:iCs/>
          <w:sz w:val="24"/>
          <w:szCs w:val="24"/>
        </w:rPr>
        <w:t xml:space="preserve">  </w:t>
      </w:r>
      <w:r w:rsidR="0026573A"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complained paragraph (g) in this section gives the HHS official unilateral authority to impose additional suspensions indefinitely without having to verify in writing that deficiencies still exist.  They argue that this practice conflicts with </w:t>
      </w:r>
      <w:r w:rsidR="00147BAE" w:rsidRPr="00C1694A">
        <w:rPr>
          <w:rFonts w:ascii="Times New Roman" w:hAnsi="Times New Roman" w:cs="Times New Roman"/>
          <w:bCs/>
          <w:sz w:val="24"/>
          <w:szCs w:val="24"/>
        </w:rPr>
        <w:t>s</w:t>
      </w:r>
      <w:r w:rsidRPr="00C1694A">
        <w:rPr>
          <w:rFonts w:ascii="Times New Roman" w:hAnsi="Times New Roman" w:cs="Times New Roman"/>
          <w:bCs/>
          <w:sz w:val="24"/>
          <w:szCs w:val="24"/>
        </w:rPr>
        <w:t xml:space="preserve">ection 646(a)(5)(A) of </w:t>
      </w:r>
      <w:r w:rsidRPr="00C1694A">
        <w:rPr>
          <w:rFonts w:ascii="Times New Roman" w:hAnsi="Times New Roman" w:cs="Times New Roman"/>
          <w:sz w:val="24"/>
          <w:szCs w:val="24"/>
        </w:rPr>
        <w:t xml:space="preserve">the Act which </w:t>
      </w:r>
      <w:r w:rsidRPr="00C1694A">
        <w:rPr>
          <w:rFonts w:ascii="Times New Roman" w:hAnsi="Times New Roman" w:cs="Times New Roman"/>
          <w:bCs/>
          <w:sz w:val="24"/>
          <w:szCs w:val="24"/>
        </w:rPr>
        <w:t xml:space="preserve">requires the Secretary to prescribe  </w:t>
      </w:r>
      <w:r w:rsidRPr="00C1694A">
        <w:rPr>
          <w:rFonts w:ascii="Times New Roman" w:hAnsi="Times New Roman" w:cs="Times New Roman"/>
          <w:sz w:val="24"/>
          <w:szCs w:val="24"/>
        </w:rPr>
        <w:t>procedures to assure that the</w:t>
      </w:r>
      <w:r w:rsidRPr="00C1694A">
        <w:rPr>
          <w:rFonts w:ascii="Times New Roman" w:hAnsi="Times New Roman" w:cs="Times New Roman"/>
          <w:iCs/>
          <w:sz w:val="24"/>
          <w:szCs w:val="24"/>
          <w:u w:val="single"/>
        </w:rPr>
        <w:t xml:space="preserve"> </w:t>
      </w:r>
      <w:r w:rsidRPr="00C1694A">
        <w:rPr>
          <w:rFonts w:ascii="Times New Roman" w:hAnsi="Times New Roman" w:cs="Times New Roman"/>
          <w:sz w:val="24"/>
          <w:szCs w:val="24"/>
        </w:rPr>
        <w:t xml:space="preserve">Secretary may suspend financial assistance, </w:t>
      </w:r>
      <w:r w:rsidR="003765E4" w:rsidRPr="00C1694A">
        <w:rPr>
          <w:rFonts w:ascii="Times New Roman" w:hAnsi="Times New Roman" w:cs="Times New Roman"/>
          <w:sz w:val="24"/>
          <w:szCs w:val="24"/>
        </w:rPr>
        <w:t>“</w:t>
      </w:r>
      <w:r w:rsidRPr="00C1694A">
        <w:rPr>
          <w:rFonts w:ascii="Times New Roman" w:hAnsi="Times New Roman" w:cs="Times New Roman"/>
          <w:iCs/>
          <w:sz w:val="24"/>
          <w:szCs w:val="24"/>
        </w:rPr>
        <w:t>for not more than 30 days</w:t>
      </w:r>
      <w:r w:rsidRPr="00C1694A">
        <w:rPr>
          <w:rFonts w:ascii="Times New Roman" w:hAnsi="Times New Roman" w:cs="Times New Roman"/>
          <w:sz w:val="24"/>
          <w:szCs w:val="24"/>
        </w:rPr>
        <w:t>…</w:t>
      </w:r>
      <w:r w:rsidR="003765E4" w:rsidRPr="00C1694A">
        <w:rPr>
          <w:rFonts w:ascii="Times New Roman" w:hAnsi="Times New Roman" w:cs="Times New Roman"/>
          <w:sz w:val="24"/>
          <w:szCs w:val="24"/>
        </w:rPr>
        <w:t>”</w:t>
      </w:r>
      <w:r w:rsidRPr="00C1694A">
        <w:rPr>
          <w:rFonts w:ascii="Times New Roman" w:hAnsi="Times New Roman" w:cs="Times New Roman"/>
          <w:sz w:val="24"/>
          <w:szCs w:val="24"/>
        </w:rPr>
        <w:t xml:space="preserve">  To comply with the Act, they asked us to remove the sentence: “</w:t>
      </w:r>
      <w:r w:rsidRPr="00C1694A">
        <w:rPr>
          <w:rFonts w:ascii="Times New Roman" w:hAnsi="Times New Roman" w:cs="Times New Roman"/>
          <w:bCs/>
          <w:sz w:val="24"/>
          <w:szCs w:val="24"/>
        </w:rPr>
        <w:t xml:space="preserve">Nothing in this section precludes the HHS official from imposing suspension again for an additional 30 days if the cause of the suspension has been corrected.”  </w:t>
      </w:r>
    </w:p>
    <w:p w:rsidR="000402BE" w:rsidRPr="00C1694A" w:rsidRDefault="000402B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bCs/>
          <w:sz w:val="24"/>
          <w:szCs w:val="24"/>
          <w:u w:val="single"/>
        </w:rPr>
        <w:t>Response:</w:t>
      </w:r>
      <w:r w:rsidRPr="00C1694A">
        <w:rPr>
          <w:rFonts w:ascii="Times New Roman" w:hAnsi="Times New Roman" w:cs="Times New Roman"/>
          <w:bCs/>
          <w:sz w:val="24"/>
          <w:szCs w:val="24"/>
        </w:rPr>
        <w:t xml:space="preserve">  Paragraph </w:t>
      </w:r>
      <w:r w:rsidRPr="00C1694A">
        <w:rPr>
          <w:rFonts w:ascii="Times New Roman" w:hAnsi="Times New Roman" w:cs="Times New Roman"/>
          <w:sz w:val="24"/>
          <w:szCs w:val="24"/>
        </w:rPr>
        <w:t>(g) in</w:t>
      </w:r>
      <w:r w:rsidR="006B6A4E" w:rsidRPr="00C1694A">
        <w:rPr>
          <w:rFonts w:ascii="Times New Roman" w:hAnsi="Times New Roman" w:cs="Times New Roman"/>
          <w:sz w:val="24"/>
          <w:szCs w:val="24"/>
        </w:rPr>
        <w:t xml:space="preserve"> this section does not violate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646(a)(5)(A) of the Act.  </w:t>
      </w:r>
      <w:r w:rsidR="00E5749E" w:rsidRPr="00C1694A">
        <w:rPr>
          <w:rFonts w:ascii="Times New Roman" w:hAnsi="Times New Roman" w:cs="Times New Roman"/>
          <w:sz w:val="24"/>
          <w:szCs w:val="24"/>
        </w:rPr>
        <w:t xml:space="preserve">If a grantee has not </w:t>
      </w:r>
      <w:r w:rsidR="00993880" w:rsidRPr="00C1694A">
        <w:rPr>
          <w:rFonts w:ascii="Times New Roman" w:hAnsi="Times New Roman" w:cs="Times New Roman"/>
          <w:sz w:val="24"/>
          <w:szCs w:val="24"/>
        </w:rPr>
        <w:t xml:space="preserve">satisfactorily </w:t>
      </w:r>
      <w:r w:rsidR="00E5749E" w:rsidRPr="00C1694A">
        <w:rPr>
          <w:rFonts w:ascii="Times New Roman" w:hAnsi="Times New Roman" w:cs="Times New Roman"/>
          <w:sz w:val="24"/>
          <w:szCs w:val="24"/>
        </w:rPr>
        <w:t xml:space="preserve">corrected </w:t>
      </w:r>
      <w:r w:rsidR="00993880" w:rsidRPr="00C1694A">
        <w:rPr>
          <w:rFonts w:ascii="Times New Roman" w:hAnsi="Times New Roman" w:cs="Times New Roman"/>
          <w:sz w:val="24"/>
          <w:szCs w:val="24"/>
        </w:rPr>
        <w:t>what led to the suspension in 30 days, HHS has the ability to impose another suspension for 30 days.</w:t>
      </w:r>
    </w:p>
    <w:p w:rsidR="000402BE" w:rsidRPr="00C1694A" w:rsidRDefault="000402BE" w:rsidP="009A526A">
      <w:pPr>
        <w:spacing w:after="0" w:line="480" w:lineRule="auto"/>
        <w:rPr>
          <w:rFonts w:ascii="Times New Roman" w:hAnsi="Times New Roman" w:cs="Times New Roman"/>
          <w:i/>
          <w:iCs/>
          <w:sz w:val="24"/>
          <w:szCs w:val="24"/>
        </w:rPr>
      </w:pPr>
      <w:r w:rsidRPr="00C1694A">
        <w:rPr>
          <w:rFonts w:ascii="Times New Roman" w:hAnsi="Times New Roman" w:cs="Times New Roman"/>
          <w:i/>
          <w:iCs/>
          <w:sz w:val="24"/>
          <w:szCs w:val="24"/>
        </w:rPr>
        <w:t>§1304.4 Emergency suspension without advance notice.</w:t>
      </w:r>
    </w:p>
    <w:p w:rsidR="000402BE" w:rsidRPr="00C1694A" w:rsidRDefault="000402B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this section, we discuss the circumstances that warrant emergency suspension without notice.  We proposed a few small changes in the NPRM, specifically we added the term “emergency situation” to the reasons we can suspend without notice, to be more closely aligned with the Act.  And we proposed to no longer allow grantees to use contributions during the suspended period to count toward in-kind match. We received comments on this section</w:t>
      </w:r>
      <w:r w:rsidR="0026573A" w:rsidRPr="00C1694A">
        <w:rPr>
          <w:rFonts w:ascii="Times New Roman" w:hAnsi="Times New Roman" w:cs="Times New Roman"/>
          <w:sz w:val="24"/>
          <w:szCs w:val="24"/>
        </w:rPr>
        <w:t xml:space="preserve"> and</w:t>
      </w:r>
      <w:r w:rsidRPr="00C1694A">
        <w:rPr>
          <w:rFonts w:ascii="Times New Roman" w:hAnsi="Times New Roman" w:cs="Times New Roman"/>
          <w:sz w:val="24"/>
          <w:szCs w:val="24"/>
        </w:rPr>
        <w:t xml:space="preserve"> discuss those comments below.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Comment:</w:t>
      </w:r>
      <w:r w:rsidRPr="00C1694A">
        <w:rPr>
          <w:rFonts w:ascii="Times New Roman" w:hAnsi="Times New Roman" w:cs="Times New Roman"/>
          <w:iCs/>
          <w:sz w:val="24"/>
          <w:szCs w:val="24"/>
        </w:rPr>
        <w:t xml:space="preserve">  </w:t>
      </w:r>
      <w:r w:rsidR="0026573A" w:rsidRPr="00C1694A">
        <w:rPr>
          <w:rFonts w:ascii="Times New Roman" w:hAnsi="Times New Roman" w:cs="Times New Roman"/>
          <w:iCs/>
          <w:sz w:val="24"/>
          <w:szCs w:val="24"/>
        </w:rPr>
        <w:t>Some</w:t>
      </w:r>
      <w:r w:rsidRPr="00C1694A">
        <w:rPr>
          <w:rFonts w:ascii="Times New Roman" w:hAnsi="Times New Roman" w:cs="Times New Roman"/>
          <w:iCs/>
          <w:sz w:val="24"/>
          <w:szCs w:val="24"/>
        </w:rPr>
        <w:t xml:space="preserve"> commenter</w:t>
      </w:r>
      <w:r w:rsidR="00574213" w:rsidRPr="00C1694A">
        <w:rPr>
          <w:rFonts w:ascii="Times New Roman" w:hAnsi="Times New Roman" w:cs="Times New Roman"/>
          <w:iCs/>
          <w:sz w:val="24"/>
          <w:szCs w:val="24"/>
        </w:rPr>
        <w:t>s</w:t>
      </w:r>
      <w:r w:rsidRPr="00C1694A">
        <w:rPr>
          <w:rFonts w:ascii="Times New Roman" w:hAnsi="Times New Roman" w:cs="Times New Roman"/>
          <w:iCs/>
          <w:sz w:val="24"/>
          <w:szCs w:val="24"/>
        </w:rPr>
        <w:t xml:space="preserve"> </w:t>
      </w:r>
      <w:r w:rsidR="00574213" w:rsidRPr="00C1694A">
        <w:rPr>
          <w:rFonts w:ascii="Times New Roman" w:hAnsi="Times New Roman" w:cs="Times New Roman"/>
          <w:iCs/>
          <w:sz w:val="24"/>
          <w:szCs w:val="24"/>
        </w:rPr>
        <w:t>believed</w:t>
      </w:r>
      <w:r w:rsidRPr="00C1694A">
        <w:rPr>
          <w:rFonts w:ascii="Times New Roman" w:hAnsi="Times New Roman" w:cs="Times New Roman"/>
          <w:iCs/>
          <w:sz w:val="24"/>
          <w:szCs w:val="24"/>
        </w:rPr>
        <w:t xml:space="preserve"> paragraph (b) was worded awkwardly.  To make the paragraph read better, the commenter asked us to make the following changes:  delete the phrase “by any means” in paragraph (b)(2); reword paragraph (b)(3); and clarify what the “informal meeting” is in paragraph (b)(4).  The commenter also pointed out something was missing in paragraph (c).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w:t>
      </w:r>
      <w:r w:rsidR="003F2A4B" w:rsidRPr="00C1694A">
        <w:rPr>
          <w:rFonts w:ascii="Times New Roman" w:hAnsi="Times New Roman" w:cs="Times New Roman"/>
          <w:iCs/>
          <w:sz w:val="24"/>
          <w:szCs w:val="24"/>
        </w:rPr>
        <w:t xml:space="preserve">We revised the language in paragraphs (b)(1)(iv), </w:t>
      </w:r>
      <w:r w:rsidR="00740061">
        <w:rPr>
          <w:rFonts w:ascii="Times New Roman" w:hAnsi="Times New Roman" w:cs="Times New Roman"/>
          <w:iCs/>
          <w:sz w:val="24"/>
          <w:szCs w:val="24"/>
        </w:rPr>
        <w:t>(b)</w:t>
      </w:r>
      <w:r w:rsidR="003F2A4B" w:rsidRPr="00C1694A">
        <w:rPr>
          <w:rFonts w:ascii="Times New Roman" w:hAnsi="Times New Roman" w:cs="Times New Roman"/>
          <w:iCs/>
          <w:sz w:val="24"/>
          <w:szCs w:val="24"/>
        </w:rPr>
        <w:t>(2) and (3)</w:t>
      </w:r>
      <w:r w:rsidR="00740061">
        <w:rPr>
          <w:rFonts w:ascii="Times New Roman" w:hAnsi="Times New Roman" w:cs="Times New Roman"/>
          <w:iCs/>
          <w:sz w:val="24"/>
          <w:szCs w:val="24"/>
        </w:rPr>
        <w:t>,</w:t>
      </w:r>
      <w:r w:rsidR="003F2A4B" w:rsidRPr="00C1694A">
        <w:rPr>
          <w:rFonts w:ascii="Times New Roman" w:hAnsi="Times New Roman" w:cs="Times New Roman"/>
          <w:iCs/>
          <w:sz w:val="24"/>
          <w:szCs w:val="24"/>
        </w:rPr>
        <w:t xml:space="preserve"> and (c) for clarification.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Comment:</w:t>
      </w:r>
      <w:r w:rsidRPr="00C1694A">
        <w:rPr>
          <w:rFonts w:ascii="Times New Roman" w:hAnsi="Times New Roman" w:cs="Times New Roman"/>
          <w:iCs/>
          <w:sz w:val="24"/>
          <w:szCs w:val="24"/>
        </w:rPr>
        <w:softHyphen/>
        <w:t xml:space="preserve">  </w:t>
      </w:r>
      <w:r w:rsidR="0026573A" w:rsidRPr="00C1694A">
        <w:rPr>
          <w:rFonts w:ascii="Times New Roman" w:hAnsi="Times New Roman" w:cs="Times New Roman"/>
          <w:iCs/>
          <w:sz w:val="24"/>
          <w:szCs w:val="24"/>
        </w:rPr>
        <w:t>Some</w:t>
      </w:r>
      <w:r w:rsidRPr="00C1694A">
        <w:rPr>
          <w:rFonts w:ascii="Times New Roman" w:hAnsi="Times New Roman" w:cs="Times New Roman"/>
          <w:iCs/>
          <w:sz w:val="24"/>
          <w:szCs w:val="24"/>
        </w:rPr>
        <w:t xml:space="preserve"> commenter</w:t>
      </w:r>
      <w:r w:rsidR="00574213" w:rsidRPr="00C1694A">
        <w:rPr>
          <w:rFonts w:ascii="Times New Roman" w:hAnsi="Times New Roman" w:cs="Times New Roman"/>
          <w:iCs/>
          <w:sz w:val="24"/>
          <w:szCs w:val="24"/>
        </w:rPr>
        <w:t>s</w:t>
      </w:r>
      <w:r w:rsidRPr="00C1694A">
        <w:rPr>
          <w:rFonts w:ascii="Times New Roman" w:hAnsi="Times New Roman" w:cs="Times New Roman"/>
          <w:iCs/>
          <w:sz w:val="24"/>
          <w:szCs w:val="24"/>
        </w:rPr>
        <w:t xml:space="preserve"> noted if we allow the responsible HHS official to impose additional 30 days suspensions, then in effect we have terminated the program.  If a Head Start program loses funding for 60, 90, or more days, the program is likely to be so financially handicapped that the result could be the same as a termination of funding.</w:t>
      </w:r>
    </w:p>
    <w:p w:rsidR="000402BE" w:rsidRPr="00C1694A" w:rsidRDefault="000402BE" w:rsidP="009A526A">
      <w:pPr>
        <w:spacing w:after="0" w:line="480" w:lineRule="auto"/>
        <w:ind w:firstLine="720"/>
        <w:rPr>
          <w:rFonts w:ascii="Times New Roman" w:hAnsi="Times New Roman" w:cs="Times New Roman"/>
          <w:iCs/>
          <w:sz w:val="24"/>
          <w:szCs w:val="24"/>
          <w:u w:val="single"/>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We disagree that suspension is tantamount to termination.  We only use suspension when such measure is allowed under the Act and usually in extraordinary circumstances.  From 2013</w:t>
      </w:r>
      <w:r w:rsidR="003765E4" w:rsidRPr="00C1694A">
        <w:rPr>
          <w:rFonts w:ascii="Times New Roman" w:hAnsi="Times New Roman" w:cs="Times New Roman"/>
          <w:iCs/>
          <w:sz w:val="24"/>
          <w:szCs w:val="24"/>
        </w:rPr>
        <w:t xml:space="preserve"> to </w:t>
      </w:r>
      <w:r w:rsidRPr="00C1694A">
        <w:rPr>
          <w:rFonts w:ascii="Times New Roman" w:hAnsi="Times New Roman" w:cs="Times New Roman"/>
          <w:iCs/>
          <w:sz w:val="24"/>
          <w:szCs w:val="24"/>
        </w:rPr>
        <w:t xml:space="preserve">2015, we issued 5 summary suspensions.  Of the 5 summary suspensions, 4 resulted in termination.   </w:t>
      </w:r>
      <w:r w:rsidRPr="00C1694A">
        <w:rPr>
          <w:rFonts w:ascii="Times New Roman" w:hAnsi="Times New Roman" w:cs="Times New Roman"/>
          <w:iCs/>
          <w:sz w:val="24"/>
          <w:szCs w:val="24"/>
          <w:u w:val="single"/>
        </w:rPr>
        <w:t xml:space="preserve"> </w:t>
      </w:r>
    </w:p>
    <w:p w:rsidR="000402BE" w:rsidRPr="00C1694A" w:rsidRDefault="000402BE" w:rsidP="009A526A">
      <w:pPr>
        <w:spacing w:after="0" w:line="480" w:lineRule="auto"/>
        <w:ind w:firstLine="720"/>
        <w:rPr>
          <w:rFonts w:ascii="Times New Roman" w:hAnsi="Times New Roman" w:cs="Times New Roman"/>
          <w:sz w:val="24"/>
          <w:szCs w:val="24"/>
          <w:lang w:val="en"/>
        </w:rPr>
      </w:pPr>
      <w:r w:rsidRPr="00C1694A">
        <w:rPr>
          <w:rFonts w:ascii="Times New Roman" w:hAnsi="Times New Roman" w:cs="Times New Roman"/>
          <w:sz w:val="24"/>
          <w:szCs w:val="24"/>
          <w:u w:val="single"/>
          <w:lang w:val="en"/>
        </w:rPr>
        <w:t>Comment:</w:t>
      </w:r>
      <w:r w:rsidRPr="00C1694A">
        <w:rPr>
          <w:rFonts w:ascii="Times New Roman" w:hAnsi="Times New Roman" w:cs="Times New Roman"/>
          <w:sz w:val="24"/>
          <w:szCs w:val="24"/>
          <w:lang w:val="en"/>
        </w:rPr>
        <w:t xml:space="preserve">  </w:t>
      </w:r>
      <w:r w:rsidR="0026573A" w:rsidRPr="00C1694A">
        <w:rPr>
          <w:rFonts w:ascii="Times New Roman" w:hAnsi="Times New Roman" w:cs="Times New Roman"/>
          <w:sz w:val="24"/>
          <w:szCs w:val="24"/>
          <w:lang w:val="en"/>
        </w:rPr>
        <w:t>Some</w:t>
      </w:r>
      <w:r w:rsidRPr="00C1694A">
        <w:rPr>
          <w:rFonts w:ascii="Times New Roman" w:hAnsi="Times New Roman" w:cs="Times New Roman"/>
          <w:sz w:val="24"/>
          <w:szCs w:val="24"/>
          <w:lang w:val="en"/>
        </w:rPr>
        <w:t xml:space="preserve"> commenter</w:t>
      </w:r>
      <w:r w:rsidR="00574213" w:rsidRPr="00C1694A">
        <w:rPr>
          <w:rFonts w:ascii="Times New Roman" w:hAnsi="Times New Roman" w:cs="Times New Roman"/>
          <w:sz w:val="24"/>
          <w:szCs w:val="24"/>
          <w:lang w:val="en"/>
        </w:rPr>
        <w:t>s</w:t>
      </w:r>
      <w:r w:rsidRPr="00C1694A">
        <w:rPr>
          <w:rFonts w:ascii="Times New Roman" w:hAnsi="Times New Roman" w:cs="Times New Roman"/>
          <w:sz w:val="24"/>
          <w:szCs w:val="24"/>
          <w:lang w:val="en"/>
        </w:rPr>
        <w:t xml:space="preserve"> recommended we describe how programs should appeal findings to the HHS official.</w:t>
      </w:r>
    </w:p>
    <w:p w:rsidR="000402BE" w:rsidRPr="00C1694A" w:rsidRDefault="000402BE" w:rsidP="009A526A">
      <w:pPr>
        <w:spacing w:after="0" w:line="480" w:lineRule="auto"/>
        <w:ind w:firstLine="720"/>
        <w:rPr>
          <w:rFonts w:ascii="Times New Roman" w:hAnsi="Times New Roman" w:cs="Times New Roman"/>
          <w:sz w:val="24"/>
          <w:szCs w:val="24"/>
          <w:lang w:val="en"/>
        </w:rPr>
      </w:pPr>
      <w:r w:rsidRPr="00C1694A">
        <w:rPr>
          <w:rFonts w:ascii="Times New Roman" w:hAnsi="Times New Roman" w:cs="Times New Roman"/>
          <w:sz w:val="24"/>
          <w:szCs w:val="24"/>
          <w:u w:val="single"/>
          <w:lang w:val="en"/>
        </w:rPr>
        <w:t>Response:</w:t>
      </w:r>
      <w:r w:rsidRPr="00C1694A">
        <w:rPr>
          <w:rFonts w:ascii="Times New Roman" w:hAnsi="Times New Roman" w:cs="Times New Roman"/>
          <w:sz w:val="24"/>
          <w:szCs w:val="24"/>
          <w:lang w:val="en"/>
        </w:rPr>
        <w:t xml:space="preserve">  We did not prescribe how programs should appeal findings to the HHS official.  There is no formal process for how programs must appeal findings to the HHS official.  However, regardless of how evidence is presented to the HHS official, we will consider it.  </w:t>
      </w:r>
    </w:p>
    <w:p w:rsidR="000402BE" w:rsidRPr="00C1694A" w:rsidRDefault="000402BE" w:rsidP="009A526A">
      <w:pPr>
        <w:spacing w:after="0" w:line="480" w:lineRule="auto"/>
        <w:rPr>
          <w:rFonts w:ascii="Times New Roman" w:hAnsi="Times New Roman" w:cs="Times New Roman"/>
          <w:i/>
          <w:iCs/>
          <w:sz w:val="24"/>
          <w:szCs w:val="24"/>
        </w:rPr>
      </w:pPr>
      <w:r w:rsidRPr="00C1694A">
        <w:rPr>
          <w:rFonts w:ascii="Times New Roman" w:hAnsi="Times New Roman" w:cs="Times New Roman"/>
          <w:i/>
          <w:iCs/>
          <w:sz w:val="24"/>
          <w:szCs w:val="24"/>
        </w:rPr>
        <w:t>§1304.5 Termination and denial of refunding.</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rPr>
        <w:t xml:space="preserve">In this section describe the circumstances under which HHS can terminate, and, deny refunding or reduce funding.  We also discuss appeal procedures for terminations and denials of refunding. We address the one comment we received on this section below.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Comment:</w:t>
      </w:r>
      <w:r w:rsidRPr="00C1694A">
        <w:rPr>
          <w:rFonts w:ascii="Times New Roman" w:hAnsi="Times New Roman" w:cs="Times New Roman"/>
          <w:iCs/>
          <w:sz w:val="24"/>
          <w:szCs w:val="24"/>
        </w:rPr>
        <w:t xml:space="preserve">  </w:t>
      </w:r>
      <w:r w:rsidR="0026573A" w:rsidRPr="00C1694A">
        <w:rPr>
          <w:rFonts w:ascii="Times New Roman" w:hAnsi="Times New Roman" w:cs="Times New Roman"/>
          <w:iCs/>
          <w:sz w:val="24"/>
          <w:szCs w:val="24"/>
        </w:rPr>
        <w:t>Some</w:t>
      </w:r>
      <w:r w:rsidRPr="00C1694A">
        <w:rPr>
          <w:rFonts w:ascii="Times New Roman" w:hAnsi="Times New Roman" w:cs="Times New Roman"/>
          <w:iCs/>
          <w:sz w:val="24"/>
          <w:szCs w:val="24"/>
        </w:rPr>
        <w:t xml:space="preserve"> commenter</w:t>
      </w:r>
      <w:r w:rsidR="00574213" w:rsidRPr="00C1694A">
        <w:rPr>
          <w:rFonts w:ascii="Times New Roman" w:hAnsi="Times New Roman" w:cs="Times New Roman"/>
          <w:iCs/>
          <w:sz w:val="24"/>
          <w:szCs w:val="24"/>
        </w:rPr>
        <w:t>s</w:t>
      </w:r>
      <w:r w:rsidRPr="00C1694A">
        <w:rPr>
          <w:rFonts w:ascii="Times New Roman" w:hAnsi="Times New Roman" w:cs="Times New Roman"/>
          <w:iCs/>
          <w:sz w:val="24"/>
          <w:szCs w:val="24"/>
        </w:rPr>
        <w:t xml:space="preserve"> asked us to define “financial viability” again because our proposed definition was too broad and too subjective.  </w:t>
      </w:r>
      <w:r w:rsidR="00574213" w:rsidRPr="00C1694A">
        <w:rPr>
          <w:rFonts w:ascii="Times New Roman" w:hAnsi="Times New Roman" w:cs="Times New Roman"/>
          <w:iCs/>
          <w:sz w:val="24"/>
          <w:szCs w:val="24"/>
        </w:rPr>
        <w:t>A</w:t>
      </w:r>
      <w:r w:rsidRPr="00C1694A">
        <w:rPr>
          <w:rFonts w:ascii="Times New Roman" w:hAnsi="Times New Roman" w:cs="Times New Roman"/>
          <w:iCs/>
          <w:sz w:val="24"/>
          <w:szCs w:val="24"/>
        </w:rPr>
        <w:t xml:space="preserve"> commenter proposed the following definition:  </w:t>
      </w:r>
      <w:r w:rsidR="003765E4" w:rsidRPr="00C1694A">
        <w:rPr>
          <w:rFonts w:ascii="Times New Roman" w:hAnsi="Times New Roman" w:cs="Times New Roman"/>
          <w:iCs/>
          <w:sz w:val="24"/>
          <w:szCs w:val="24"/>
        </w:rPr>
        <w:t>“</w:t>
      </w:r>
      <w:r w:rsidRPr="00C1694A">
        <w:rPr>
          <w:rFonts w:ascii="Times New Roman" w:hAnsi="Times New Roman" w:cs="Times New Roman"/>
          <w:iCs/>
          <w:sz w:val="24"/>
          <w:szCs w:val="24"/>
        </w:rPr>
        <w:t>Financial viability means that an organization is able to meet its financial obligations as they become due.</w:t>
      </w:r>
      <w:r w:rsidR="003765E4" w:rsidRPr="00C1694A">
        <w:rPr>
          <w:rFonts w:ascii="Times New Roman" w:hAnsi="Times New Roman" w:cs="Times New Roman"/>
          <w:iCs/>
          <w:sz w:val="24"/>
          <w:szCs w:val="24"/>
        </w:rPr>
        <w:t>”</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We did not revise our definition for “financial viability.”   However, we will clarify here what we mean by the phrase “balance funding and expenses.”  The phrase “balance funding and expenses” refers to the status of a grantee’s funds and obligations by the end of the funding period.  We understand throughout a funding period, funding and expenses will n</w:t>
      </w:r>
      <w:r w:rsidR="009A2680" w:rsidRPr="00C1694A">
        <w:rPr>
          <w:rFonts w:ascii="Times New Roman" w:hAnsi="Times New Roman" w:cs="Times New Roman"/>
          <w:iCs/>
          <w:sz w:val="24"/>
          <w:szCs w:val="24"/>
        </w:rPr>
        <w:t>ot always remain balanced.   However,</w:t>
      </w:r>
      <w:r w:rsidRPr="00C1694A">
        <w:rPr>
          <w:rFonts w:ascii="Times New Roman" w:hAnsi="Times New Roman" w:cs="Times New Roman"/>
          <w:iCs/>
          <w:sz w:val="24"/>
          <w:szCs w:val="24"/>
        </w:rPr>
        <w:t xml:space="preserve"> they should balance by the end of the funding period.   </w:t>
      </w:r>
    </w:p>
    <w:p w:rsidR="000402BE" w:rsidRPr="00C1694A" w:rsidRDefault="000402BE" w:rsidP="009A526A">
      <w:pPr>
        <w:spacing w:after="0" w:line="480" w:lineRule="auto"/>
        <w:rPr>
          <w:rFonts w:ascii="Times New Roman" w:hAnsi="Times New Roman" w:cs="Times New Roman"/>
          <w:i/>
          <w:iCs/>
          <w:sz w:val="24"/>
          <w:szCs w:val="24"/>
        </w:rPr>
      </w:pPr>
      <w:r w:rsidRPr="00C1694A">
        <w:rPr>
          <w:rFonts w:ascii="Times New Roman" w:hAnsi="Times New Roman" w:cs="Times New Roman"/>
          <w:i/>
          <w:iCs/>
          <w:sz w:val="24"/>
          <w:szCs w:val="24"/>
        </w:rPr>
        <w:t>§1304.6 Appeal for prospective delegate agencies.</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rPr>
        <w:t xml:space="preserve">Section 646(a)(1) of the Act requires appeal procedures for certain conflicts between delegates and grantees.  The Act requires a timely and expeditious appeal to the Secretary for an entity who wants to serve as a delegate and whose application has been rejected or not acted upon.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rPr>
        <w:t>The previous regulation included an additional step that allowed prospective delegate agencies to appeal application decisions to the grantee first.  This extra step added nothing to the application appeal process beyond extending it.  Therefore, in the NPRM, we proposed to eliminate this extra step</w:t>
      </w:r>
      <w:r w:rsidR="009A2680" w:rsidRPr="00C1694A">
        <w:rPr>
          <w:rFonts w:ascii="Times New Roman" w:hAnsi="Times New Roman" w:cs="Times New Roman"/>
          <w:iCs/>
          <w:sz w:val="24"/>
          <w:szCs w:val="24"/>
        </w:rPr>
        <w:t>.</w:t>
      </w:r>
      <w:r w:rsidRPr="00C1694A">
        <w:rPr>
          <w:rFonts w:ascii="Times New Roman" w:hAnsi="Times New Roman" w:cs="Times New Roman"/>
          <w:iCs/>
          <w:sz w:val="24"/>
          <w:szCs w:val="24"/>
        </w:rPr>
        <w:t xml:space="preserve">  We also proposed to eliminate the reconsideration process.</w:t>
      </w:r>
      <w:r w:rsidR="003765E4" w:rsidRPr="00C1694A">
        <w:rPr>
          <w:rFonts w:ascii="Times New Roman" w:hAnsi="Times New Roman" w:cs="Times New Roman"/>
          <w:iCs/>
          <w:sz w:val="24"/>
          <w:szCs w:val="24"/>
        </w:rPr>
        <w:t xml:space="preserve">  </w:t>
      </w:r>
      <w:r w:rsidRPr="00C1694A">
        <w:rPr>
          <w:rFonts w:ascii="Times New Roman" w:hAnsi="Times New Roman" w:cs="Times New Roman"/>
          <w:iCs/>
          <w:sz w:val="24"/>
          <w:szCs w:val="24"/>
        </w:rPr>
        <w:t>We address the one comment we received on this section below.</w:t>
      </w:r>
    </w:p>
    <w:p w:rsidR="000402BE" w:rsidRPr="00C1694A" w:rsidRDefault="000402B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iCs/>
          <w:sz w:val="24"/>
          <w:szCs w:val="24"/>
          <w:u w:val="single"/>
        </w:rPr>
        <w:t>Comment:</w:t>
      </w:r>
      <w:r w:rsidRPr="00C1694A">
        <w:rPr>
          <w:rFonts w:ascii="Times New Roman" w:hAnsi="Times New Roman" w:cs="Times New Roman"/>
          <w:iCs/>
          <w:sz w:val="24"/>
          <w:szCs w:val="24"/>
        </w:rPr>
        <w:t xml:space="preserve">  According to </w:t>
      </w:r>
      <w:r w:rsidRPr="00C1694A">
        <w:rPr>
          <w:rFonts w:ascii="Times New Roman" w:hAnsi="Times New Roman" w:cs="Times New Roman"/>
          <w:sz w:val="24"/>
          <w:szCs w:val="24"/>
        </w:rPr>
        <w:t xml:space="preserve">one commenter, because we eliminated the appeal between prospective delegate agencies and grantees and require only the appeal to ACF, there may be occasions where a grantee wishes to reconsider its decision about a prospective delegate agency.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u w:val="single"/>
        </w:rPr>
        <w:t>Response:</w:t>
      </w:r>
      <w:r w:rsidRPr="00C1694A">
        <w:rPr>
          <w:rFonts w:ascii="Times New Roman" w:hAnsi="Times New Roman" w:cs="Times New Roman"/>
          <w:iCs/>
          <w:sz w:val="24"/>
          <w:szCs w:val="24"/>
        </w:rPr>
        <w:t xml:space="preserve">  Granted, there may be occasions where a grantee wishes to reconsider its decision about a delegate agency.  We did not prohibit a grantee that chooses to reconsider its decision about a prospective delegate agency, but we did not require the grantee to do so either.</w:t>
      </w:r>
    </w:p>
    <w:p w:rsidR="000402BE" w:rsidRPr="00C1694A" w:rsidRDefault="000402BE" w:rsidP="009A526A">
      <w:pPr>
        <w:spacing w:after="0" w:line="480" w:lineRule="auto"/>
        <w:rPr>
          <w:rFonts w:ascii="Times New Roman" w:hAnsi="Times New Roman" w:cs="Times New Roman"/>
          <w:i/>
          <w:iCs/>
          <w:sz w:val="24"/>
          <w:szCs w:val="24"/>
        </w:rPr>
      </w:pPr>
      <w:r w:rsidRPr="00C1694A">
        <w:rPr>
          <w:rFonts w:ascii="Times New Roman" w:hAnsi="Times New Roman" w:cs="Times New Roman"/>
          <w:i/>
          <w:iCs/>
          <w:sz w:val="24"/>
          <w:szCs w:val="24"/>
        </w:rPr>
        <w:t xml:space="preserve">§1304.7 Legal fees. </w:t>
      </w:r>
    </w:p>
    <w:p w:rsidR="000402BE" w:rsidRPr="00C1694A" w:rsidRDefault="000402BE" w:rsidP="009A526A">
      <w:pPr>
        <w:spacing w:after="0" w:line="480" w:lineRule="auto"/>
        <w:ind w:firstLine="720"/>
        <w:rPr>
          <w:rFonts w:ascii="Times New Roman" w:hAnsi="Times New Roman" w:cs="Times New Roman"/>
          <w:iCs/>
          <w:sz w:val="24"/>
          <w:szCs w:val="24"/>
        </w:rPr>
      </w:pPr>
      <w:r w:rsidRPr="00C1694A">
        <w:rPr>
          <w:rFonts w:ascii="Times New Roman" w:hAnsi="Times New Roman" w:cs="Times New Roman"/>
          <w:iCs/>
          <w:sz w:val="24"/>
          <w:szCs w:val="24"/>
        </w:rPr>
        <w:t xml:space="preserve">This section focuses on grantees’ right to attorneys and attorney fees.  In the NPRM, we proposed to revise this section to align with </w:t>
      </w:r>
      <w:r w:rsidR="00147BAE" w:rsidRPr="00C1694A">
        <w:rPr>
          <w:rFonts w:ascii="Times New Roman" w:hAnsi="Times New Roman" w:cs="Times New Roman"/>
          <w:iCs/>
          <w:sz w:val="24"/>
          <w:szCs w:val="24"/>
        </w:rPr>
        <w:t>s</w:t>
      </w:r>
      <w:r w:rsidRPr="00C1694A">
        <w:rPr>
          <w:rFonts w:ascii="Times New Roman" w:hAnsi="Times New Roman" w:cs="Times New Roman"/>
          <w:iCs/>
          <w:sz w:val="24"/>
          <w:szCs w:val="24"/>
        </w:rPr>
        <w:t xml:space="preserve">ection 646(a)(4)(C) of the Act, which requires the Secretary to prescribe procedures that prohibit a Head Start agency from using program grant funds to pay attorney fees and costs incurred during an appeal.  </w:t>
      </w:r>
      <w:r w:rsidRPr="00C1694A">
        <w:rPr>
          <w:rFonts w:ascii="Times New Roman" w:hAnsi="Times New Roman" w:cs="Times New Roman"/>
          <w:sz w:val="24"/>
          <w:szCs w:val="24"/>
        </w:rPr>
        <w:t xml:space="preserve">This section also addresses when an agency may apply for reimbursement of fees and the procedures for doing so.  </w:t>
      </w:r>
    </w:p>
    <w:p w:rsidR="000402BE" w:rsidRPr="00C1694A" w:rsidRDefault="000402BE"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26573A" w:rsidRPr="00C1694A">
        <w:rPr>
          <w:rFonts w:ascii="Times New Roman" w:hAnsi="Times New Roman" w:cs="Times New Roman"/>
          <w:sz w:val="24"/>
          <w:szCs w:val="24"/>
        </w:rPr>
        <w:t>Some</w:t>
      </w:r>
      <w:r w:rsidR="00247A08" w:rsidRPr="00C1694A">
        <w:rPr>
          <w:rFonts w:ascii="Times New Roman" w:hAnsi="Times New Roman" w:cs="Times New Roman"/>
          <w:sz w:val="24"/>
          <w:szCs w:val="24"/>
        </w:rPr>
        <w:t xml:space="preserve"> </w:t>
      </w:r>
      <w:r w:rsidRPr="00C1694A">
        <w:rPr>
          <w:rFonts w:ascii="Times New Roman" w:hAnsi="Times New Roman" w:cs="Times New Roman"/>
          <w:sz w:val="24"/>
          <w:szCs w:val="24"/>
        </w:rPr>
        <w:t>commenter</w:t>
      </w:r>
      <w:r w:rsidR="00247A08" w:rsidRPr="00C1694A">
        <w:rPr>
          <w:rFonts w:ascii="Times New Roman" w:hAnsi="Times New Roman" w:cs="Times New Roman"/>
          <w:sz w:val="24"/>
          <w:szCs w:val="24"/>
        </w:rPr>
        <w:t>s</w:t>
      </w:r>
      <w:r w:rsidRPr="00C1694A">
        <w:rPr>
          <w:rFonts w:ascii="Times New Roman" w:hAnsi="Times New Roman" w:cs="Times New Roman"/>
          <w:sz w:val="24"/>
          <w:szCs w:val="24"/>
        </w:rPr>
        <w:t xml:space="preserve"> asked us to clarify whether delegate agencies can seek reimbursement for legal fees.</w:t>
      </w:r>
    </w:p>
    <w:p w:rsidR="000402BE" w:rsidRPr="00C1694A" w:rsidRDefault="000402BE" w:rsidP="009A526A">
      <w:pPr>
        <w:spacing w:after="0" w:line="480" w:lineRule="auto"/>
        <w:ind w:firstLine="720"/>
        <w:rPr>
          <w:rFonts w:ascii="Times New Roman" w:hAnsi="Times New Roman" w:cs="Times New Roman"/>
          <w:sz w:val="24"/>
          <w:szCs w:val="24"/>
          <w:lang w:val="en"/>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No.  Delegate agencies cannot seek reimbursement for legal fees</w:t>
      </w:r>
      <w:r w:rsidR="009A2680" w:rsidRPr="00C1694A">
        <w:rPr>
          <w:rFonts w:ascii="Times New Roman" w:hAnsi="Times New Roman" w:cs="Times New Roman"/>
          <w:sz w:val="24"/>
          <w:szCs w:val="24"/>
        </w:rPr>
        <w:t xml:space="preserve">.  The Act only speaks to the reimbursement of legal fees for the grantee appealing an HHS decision. </w:t>
      </w:r>
    </w:p>
    <w:p w:rsidR="000402BE" w:rsidRPr="00C1694A" w:rsidRDefault="000402BE" w:rsidP="009A526A">
      <w:pPr>
        <w:spacing w:after="0" w:line="480" w:lineRule="auto"/>
        <w:rPr>
          <w:rFonts w:ascii="Times New Roman" w:hAnsi="Times New Roman" w:cs="Times New Roman"/>
          <w:sz w:val="24"/>
          <w:szCs w:val="24"/>
        </w:rPr>
      </w:pPr>
    </w:p>
    <w:p w:rsidR="00FB650E" w:rsidRPr="00C1694A" w:rsidRDefault="00FB650E" w:rsidP="009A526A">
      <w:pPr>
        <w:autoSpaceDE w:val="0"/>
        <w:autoSpaceDN w:val="0"/>
        <w:adjustRightInd w:val="0"/>
        <w:spacing w:after="0" w:line="240" w:lineRule="auto"/>
        <w:rPr>
          <w:rFonts w:ascii="Times New Roman" w:hAnsi="Times New Roman" w:cs="Times New Roman"/>
          <w:b/>
          <w:sz w:val="24"/>
          <w:szCs w:val="24"/>
        </w:rPr>
      </w:pPr>
      <w:r w:rsidRPr="00C1694A">
        <w:rPr>
          <w:rFonts w:ascii="Times New Roman" w:hAnsi="Times New Roman" w:cs="Times New Roman"/>
          <w:b/>
          <w:sz w:val="24"/>
          <w:szCs w:val="24"/>
        </w:rPr>
        <w:t>Designation Renewal</w:t>
      </w:r>
      <w:r w:rsidR="00222953" w:rsidRPr="00C1694A">
        <w:rPr>
          <w:rFonts w:ascii="Times New Roman" w:hAnsi="Times New Roman" w:cs="Times New Roman"/>
          <w:b/>
          <w:sz w:val="24"/>
          <w:szCs w:val="24"/>
        </w:rPr>
        <w:t>; Subpart B</w:t>
      </w:r>
    </w:p>
    <w:p w:rsidR="000402BE" w:rsidRPr="00C1694A" w:rsidRDefault="000402BE" w:rsidP="009A526A">
      <w:pPr>
        <w:autoSpaceDE w:val="0"/>
        <w:autoSpaceDN w:val="0"/>
        <w:adjustRightInd w:val="0"/>
        <w:spacing w:after="0" w:line="480" w:lineRule="auto"/>
        <w:ind w:firstLine="720"/>
        <w:rPr>
          <w:rFonts w:ascii="Times New Roman" w:hAnsi="Times New Roman" w:cs="Times New Roman"/>
          <w:sz w:val="24"/>
          <w:szCs w:val="24"/>
        </w:rPr>
      </w:pPr>
    </w:p>
    <w:p w:rsidR="00692FA2" w:rsidRPr="00C1694A" w:rsidRDefault="00692FA2" w:rsidP="009A526A">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w:t>
      </w:r>
      <w:r w:rsidR="00E03FE2" w:rsidRPr="00C1694A">
        <w:rPr>
          <w:rFonts w:ascii="Times New Roman" w:hAnsi="Times New Roman" w:cs="Times New Roman"/>
          <w:sz w:val="24"/>
          <w:szCs w:val="24"/>
        </w:rPr>
        <w:t xml:space="preserve">did not make changes to the content of this subpart and therefore </w:t>
      </w:r>
      <w:r w:rsidRPr="00C1694A">
        <w:rPr>
          <w:rFonts w:ascii="Times New Roman" w:hAnsi="Times New Roman" w:cs="Times New Roman"/>
          <w:sz w:val="24"/>
          <w:szCs w:val="24"/>
        </w:rPr>
        <w:t xml:space="preserve">did not invite comments in </w:t>
      </w:r>
      <w:r w:rsidR="00E03FE2" w:rsidRPr="00C1694A">
        <w:rPr>
          <w:rFonts w:ascii="Times New Roman" w:hAnsi="Times New Roman" w:cs="Times New Roman"/>
          <w:sz w:val="24"/>
          <w:szCs w:val="24"/>
        </w:rPr>
        <w:t xml:space="preserve">the </w:t>
      </w:r>
      <w:r w:rsidRPr="00C1694A">
        <w:rPr>
          <w:rFonts w:ascii="Times New Roman" w:hAnsi="Times New Roman" w:cs="Times New Roman"/>
          <w:sz w:val="24"/>
          <w:szCs w:val="24"/>
        </w:rPr>
        <w:t xml:space="preserve">NPRM.  We </w:t>
      </w:r>
      <w:r w:rsidR="00AF031A" w:rsidRPr="00C1694A">
        <w:rPr>
          <w:rFonts w:ascii="Times New Roman" w:hAnsi="Times New Roman" w:cs="Times New Roman"/>
          <w:sz w:val="24"/>
          <w:szCs w:val="24"/>
        </w:rPr>
        <w:t>made</w:t>
      </w:r>
      <w:r w:rsidRPr="00C1694A">
        <w:rPr>
          <w:rFonts w:ascii="Times New Roman" w:hAnsi="Times New Roman" w:cs="Times New Roman"/>
          <w:sz w:val="24"/>
          <w:szCs w:val="24"/>
        </w:rPr>
        <w:t xml:space="preserve"> technical changes to reorder </w:t>
      </w:r>
      <w:r w:rsidR="00E03FE2" w:rsidRPr="00C1694A">
        <w:rPr>
          <w:rFonts w:ascii="Times New Roman" w:hAnsi="Times New Roman" w:cs="Times New Roman"/>
          <w:sz w:val="24"/>
          <w:szCs w:val="24"/>
        </w:rPr>
        <w:t xml:space="preserve">what was </w:t>
      </w:r>
      <w:r w:rsidR="00AF031A" w:rsidRPr="00C1694A">
        <w:rPr>
          <w:rFonts w:ascii="Times New Roman" w:hAnsi="Times New Roman" w:cs="Times New Roman"/>
          <w:sz w:val="24"/>
          <w:szCs w:val="24"/>
        </w:rPr>
        <w:t xml:space="preserve">part 1307, where this subpart was </w:t>
      </w:r>
      <w:r w:rsidR="006945A9" w:rsidRPr="00C1694A">
        <w:rPr>
          <w:rFonts w:ascii="Times New Roman" w:hAnsi="Times New Roman" w:cs="Times New Roman"/>
          <w:sz w:val="24"/>
          <w:szCs w:val="24"/>
        </w:rPr>
        <w:t xml:space="preserve">located </w:t>
      </w:r>
      <w:r w:rsidR="00AF031A" w:rsidRPr="00C1694A">
        <w:rPr>
          <w:rFonts w:ascii="Times New Roman" w:hAnsi="Times New Roman" w:cs="Times New Roman"/>
          <w:sz w:val="24"/>
          <w:szCs w:val="24"/>
        </w:rPr>
        <w:t xml:space="preserve">in the previous rule, </w:t>
      </w:r>
      <w:r w:rsidR="00536C05" w:rsidRPr="00C1694A">
        <w:rPr>
          <w:rFonts w:ascii="Times New Roman" w:hAnsi="Times New Roman" w:cs="Times New Roman"/>
          <w:sz w:val="24"/>
          <w:szCs w:val="24"/>
        </w:rPr>
        <w:t xml:space="preserve">in </w:t>
      </w:r>
      <w:r w:rsidRPr="00C1694A">
        <w:rPr>
          <w:rFonts w:ascii="Times New Roman" w:hAnsi="Times New Roman" w:cs="Times New Roman"/>
          <w:sz w:val="24"/>
          <w:szCs w:val="24"/>
        </w:rPr>
        <w:t xml:space="preserve">a logical order for this rule. </w:t>
      </w:r>
      <w:r w:rsidR="00536C05" w:rsidRPr="00C1694A">
        <w:rPr>
          <w:rFonts w:ascii="Times New Roman" w:hAnsi="Times New Roman" w:cs="Times New Roman"/>
          <w:sz w:val="24"/>
          <w:szCs w:val="24"/>
        </w:rPr>
        <w:t xml:space="preserve"> Although we did not invite comments, some c</w:t>
      </w:r>
      <w:r w:rsidRPr="00C1694A">
        <w:rPr>
          <w:rFonts w:ascii="Times New Roman" w:hAnsi="Times New Roman" w:cs="Times New Roman"/>
          <w:sz w:val="24"/>
          <w:szCs w:val="24"/>
        </w:rPr>
        <w:t xml:space="preserve">ommenters raised concerns about </w:t>
      </w:r>
      <w:r w:rsidR="00536C05" w:rsidRPr="00C1694A">
        <w:rPr>
          <w:rFonts w:ascii="Times New Roman" w:hAnsi="Times New Roman" w:cs="Times New Roman"/>
          <w:sz w:val="24"/>
          <w:szCs w:val="24"/>
        </w:rPr>
        <w:t xml:space="preserve">the Designation Renewal System </w:t>
      </w:r>
      <w:r w:rsidRPr="00C1694A">
        <w:rPr>
          <w:rFonts w:ascii="Times New Roman" w:hAnsi="Times New Roman" w:cs="Times New Roman"/>
          <w:sz w:val="24"/>
          <w:szCs w:val="24"/>
        </w:rPr>
        <w:t>and</w:t>
      </w:r>
      <w:r w:rsidR="00536C05" w:rsidRPr="00C1694A">
        <w:rPr>
          <w:rFonts w:ascii="Times New Roman" w:hAnsi="Times New Roman" w:cs="Times New Roman"/>
          <w:sz w:val="24"/>
          <w:szCs w:val="24"/>
        </w:rPr>
        <w:t xml:space="preserve"> offered suggestions for</w:t>
      </w:r>
      <w:r w:rsidRPr="00C1694A">
        <w:rPr>
          <w:rFonts w:ascii="Times New Roman" w:hAnsi="Times New Roman" w:cs="Times New Roman"/>
          <w:sz w:val="24"/>
          <w:szCs w:val="24"/>
        </w:rPr>
        <w:t xml:space="preserve"> alternate approaches.  As prescribed by the Administrative Procedures Act, </w:t>
      </w:r>
      <w:r w:rsidR="00536C05" w:rsidRPr="00C1694A">
        <w:rPr>
          <w:rFonts w:ascii="Times New Roman" w:hAnsi="Times New Roman" w:cs="Times New Roman"/>
          <w:sz w:val="24"/>
          <w:szCs w:val="24"/>
        </w:rPr>
        <w:t>because</w:t>
      </w:r>
      <w:r w:rsidRPr="00C1694A">
        <w:rPr>
          <w:rFonts w:ascii="Times New Roman" w:hAnsi="Times New Roman" w:cs="Times New Roman"/>
          <w:sz w:val="24"/>
          <w:szCs w:val="24"/>
        </w:rPr>
        <w:t xml:space="preserve"> we did not give notice of any potential changes we cannot make any changes in the final rule.  </w:t>
      </w:r>
    </w:p>
    <w:p w:rsidR="00307A26" w:rsidRPr="00C1694A" w:rsidRDefault="00307A26" w:rsidP="009A526A">
      <w:pPr>
        <w:autoSpaceDE w:val="0"/>
        <w:autoSpaceDN w:val="0"/>
        <w:adjustRightInd w:val="0"/>
        <w:spacing w:after="0" w:line="480" w:lineRule="auto"/>
        <w:rPr>
          <w:rFonts w:ascii="Times New Roman" w:hAnsi="Times New Roman" w:cs="Times New Roman"/>
          <w:sz w:val="24"/>
          <w:szCs w:val="24"/>
        </w:rPr>
      </w:pPr>
    </w:p>
    <w:p w:rsidR="00B75D5D" w:rsidRPr="00C1694A" w:rsidRDefault="00B75D5D" w:rsidP="009A526A">
      <w:pPr>
        <w:spacing w:after="0"/>
        <w:rPr>
          <w:rFonts w:ascii="Times New Roman" w:hAnsi="Times New Roman" w:cs="Times New Roman"/>
          <w:b/>
          <w:sz w:val="24"/>
          <w:szCs w:val="24"/>
        </w:rPr>
      </w:pPr>
      <w:r w:rsidRPr="00C1694A">
        <w:rPr>
          <w:rFonts w:ascii="Times New Roman" w:hAnsi="Times New Roman" w:cs="Times New Roman"/>
          <w:b/>
          <w:sz w:val="24"/>
          <w:szCs w:val="24"/>
        </w:rPr>
        <w:t>Selection of Grantees through Competition</w:t>
      </w:r>
      <w:r w:rsidR="00222953" w:rsidRPr="00C1694A">
        <w:rPr>
          <w:rFonts w:ascii="Times New Roman" w:hAnsi="Times New Roman" w:cs="Times New Roman"/>
          <w:b/>
          <w:sz w:val="24"/>
          <w:szCs w:val="24"/>
        </w:rPr>
        <w:t>; Subpart C</w:t>
      </w:r>
    </w:p>
    <w:p w:rsidR="004B1E6C" w:rsidRPr="00C1694A" w:rsidRDefault="004B1E6C" w:rsidP="009A526A">
      <w:pPr>
        <w:spacing w:after="0"/>
        <w:rPr>
          <w:rFonts w:ascii="Times New Roman" w:hAnsi="Times New Roman" w:cs="Times New Roman"/>
          <w:b/>
          <w:sz w:val="24"/>
          <w:szCs w:val="24"/>
        </w:rPr>
      </w:pPr>
    </w:p>
    <w:p w:rsidR="00B75D5D" w:rsidRPr="00C1694A" w:rsidRDefault="00B75D5D"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Section 641(d)(2) of the Act outlines the specific criteria the Secretary must use to select grantees and allow consideration of “other factors” and we refer to this citation in our regulatory text. This subpart revises previous program performance standards to reflect </w:t>
      </w:r>
      <w:r w:rsidR="00A51501" w:rsidRPr="00C1694A">
        <w:rPr>
          <w:rFonts w:ascii="Times New Roman" w:hAnsi="Times New Roman" w:cs="Times New Roman"/>
          <w:sz w:val="24"/>
          <w:szCs w:val="24"/>
        </w:rPr>
        <w:t>a</w:t>
      </w:r>
      <w:r w:rsidRPr="00C1694A">
        <w:rPr>
          <w:rFonts w:ascii="Times New Roman" w:hAnsi="Times New Roman" w:cs="Times New Roman"/>
          <w:sz w:val="24"/>
          <w:szCs w:val="24"/>
        </w:rPr>
        <w:t xml:space="preserve"> more transparent and streamlined process for Head Start grant competitions and outline the other factors </w:t>
      </w:r>
      <w:r w:rsidR="003765E4" w:rsidRPr="00C1694A">
        <w:rPr>
          <w:rFonts w:ascii="Times New Roman" w:hAnsi="Times New Roman" w:cs="Times New Roman"/>
          <w:sz w:val="24"/>
          <w:szCs w:val="24"/>
        </w:rPr>
        <w:t>that are</w:t>
      </w:r>
      <w:r w:rsidRPr="00C1694A">
        <w:rPr>
          <w:rFonts w:ascii="Times New Roman" w:hAnsi="Times New Roman" w:cs="Times New Roman"/>
          <w:sz w:val="24"/>
          <w:szCs w:val="24"/>
        </w:rPr>
        <w:t xml:space="preserve"> considered.  </w:t>
      </w:r>
      <w:r w:rsidR="00103739" w:rsidRPr="00C1694A">
        <w:rPr>
          <w:rFonts w:ascii="Times New Roman" w:hAnsi="Times New Roman" w:cs="Times New Roman"/>
          <w:sz w:val="24"/>
          <w:szCs w:val="24"/>
        </w:rPr>
        <w:t>We received comments on this section and discuss them below.</w:t>
      </w:r>
    </w:p>
    <w:p w:rsidR="00103739" w:rsidRPr="00C1694A" w:rsidRDefault="00124EE7"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Commenters were concerned about removing the previous criteria for grantee selection regarding opportunities for employment and for the direct participation of parents in planning, conducting, and administering the program. </w:t>
      </w:r>
    </w:p>
    <w:p w:rsidR="00124EE7" w:rsidRPr="00C1694A" w:rsidRDefault="00124EE7" w:rsidP="009A526A">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 the Act, Congress included an extensive list of criteria that must be considered when selecting from among qualified applicants.  This list includes family and community involvement, and thus by referencing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641(d)(2) of the Act, these important concepts are covered by this section of the regulation.  This list includes the important participation of families and communities.</w:t>
      </w:r>
    </w:p>
    <w:p w:rsidR="00B75D5D" w:rsidRPr="00C1694A" w:rsidRDefault="00B75D5D" w:rsidP="009A526A">
      <w:pPr>
        <w:spacing w:after="0"/>
        <w:rPr>
          <w:rFonts w:ascii="Times New Roman" w:hAnsi="Times New Roman" w:cs="Times New Roman"/>
          <w:b/>
          <w:sz w:val="24"/>
          <w:szCs w:val="24"/>
        </w:rPr>
      </w:pPr>
    </w:p>
    <w:p w:rsidR="004B1E6C" w:rsidRPr="00C1694A" w:rsidRDefault="00B75D5D" w:rsidP="009A526A">
      <w:pPr>
        <w:spacing w:after="0"/>
        <w:rPr>
          <w:rFonts w:ascii="Times New Roman" w:hAnsi="Times New Roman" w:cs="Times New Roman"/>
          <w:b/>
          <w:sz w:val="24"/>
          <w:szCs w:val="24"/>
        </w:rPr>
      </w:pPr>
      <w:r w:rsidRPr="00C1694A">
        <w:rPr>
          <w:rFonts w:ascii="Times New Roman" w:hAnsi="Times New Roman" w:cs="Times New Roman"/>
          <w:b/>
          <w:sz w:val="24"/>
          <w:szCs w:val="24"/>
        </w:rPr>
        <w:t>Replacement of American In</w:t>
      </w:r>
      <w:r w:rsidR="00BB7A28" w:rsidRPr="00C1694A">
        <w:rPr>
          <w:rFonts w:ascii="Times New Roman" w:hAnsi="Times New Roman" w:cs="Times New Roman"/>
          <w:b/>
          <w:sz w:val="24"/>
          <w:szCs w:val="24"/>
        </w:rPr>
        <w:t xml:space="preserve">dian and </w:t>
      </w:r>
      <w:r w:rsidRPr="00C1694A">
        <w:rPr>
          <w:rFonts w:ascii="Times New Roman" w:hAnsi="Times New Roman" w:cs="Times New Roman"/>
          <w:b/>
          <w:sz w:val="24"/>
          <w:szCs w:val="24"/>
        </w:rPr>
        <w:t>Alaska Native Grantees</w:t>
      </w:r>
      <w:r w:rsidR="00222953" w:rsidRPr="00C1694A">
        <w:rPr>
          <w:rFonts w:ascii="Times New Roman" w:hAnsi="Times New Roman" w:cs="Times New Roman"/>
          <w:b/>
          <w:sz w:val="24"/>
          <w:szCs w:val="24"/>
        </w:rPr>
        <w:t>; Subpart D</w:t>
      </w:r>
    </w:p>
    <w:p w:rsidR="004B1E6C" w:rsidRPr="00C1694A" w:rsidRDefault="004B1E6C" w:rsidP="004932C1">
      <w:pPr>
        <w:spacing w:after="0"/>
        <w:rPr>
          <w:rFonts w:ascii="Times New Roman" w:hAnsi="Times New Roman" w:cs="Times New Roman"/>
          <w:sz w:val="24"/>
          <w:szCs w:val="24"/>
        </w:rPr>
      </w:pPr>
    </w:p>
    <w:p w:rsidR="00B75D5D" w:rsidRPr="00C1694A" w:rsidRDefault="00B75D5D"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subpart </w:t>
      </w:r>
      <w:r w:rsidR="00A51501" w:rsidRPr="00C1694A">
        <w:rPr>
          <w:rFonts w:ascii="Times New Roman" w:hAnsi="Times New Roman" w:cs="Times New Roman"/>
          <w:sz w:val="24"/>
          <w:szCs w:val="24"/>
        </w:rPr>
        <w:t>outlines the</w:t>
      </w:r>
      <w:r w:rsidRPr="00C1694A">
        <w:rPr>
          <w:rFonts w:ascii="Times New Roman" w:hAnsi="Times New Roman" w:cs="Times New Roman"/>
          <w:sz w:val="24"/>
          <w:szCs w:val="24"/>
        </w:rPr>
        <w:t xml:space="preserve"> requirement</w:t>
      </w:r>
      <w:r w:rsidR="00BB7A28" w:rsidRPr="00C1694A">
        <w:rPr>
          <w:rFonts w:ascii="Times New Roman" w:hAnsi="Times New Roman" w:cs="Times New Roman"/>
          <w:sz w:val="24"/>
          <w:szCs w:val="24"/>
        </w:rPr>
        <w:t xml:space="preserve">s for replacing American Indian and </w:t>
      </w:r>
      <w:r w:rsidRPr="00C1694A">
        <w:rPr>
          <w:rFonts w:ascii="Times New Roman" w:hAnsi="Times New Roman" w:cs="Times New Roman"/>
          <w:sz w:val="24"/>
          <w:szCs w:val="24"/>
        </w:rPr>
        <w:t xml:space="preserve">Alaska Native Head Start programs.  We did not receive any comments on this section and did not make any changes. </w:t>
      </w:r>
    </w:p>
    <w:p w:rsidR="00B75D5D" w:rsidRPr="00C1694A" w:rsidRDefault="00B75D5D" w:rsidP="009A526A">
      <w:pPr>
        <w:spacing w:after="0" w:line="480" w:lineRule="auto"/>
        <w:rPr>
          <w:rFonts w:ascii="Times New Roman" w:hAnsi="Times New Roman" w:cs="Times New Roman"/>
          <w:b/>
          <w:sz w:val="24"/>
          <w:szCs w:val="24"/>
        </w:rPr>
      </w:pPr>
    </w:p>
    <w:p w:rsidR="00B75D5D" w:rsidRPr="00C1694A" w:rsidRDefault="00B75D5D" w:rsidP="009A526A">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Head Start Fellows Program</w:t>
      </w:r>
      <w:r w:rsidR="00222953" w:rsidRPr="00C1694A">
        <w:rPr>
          <w:rFonts w:ascii="Times New Roman" w:hAnsi="Times New Roman" w:cs="Times New Roman"/>
          <w:b/>
          <w:sz w:val="24"/>
          <w:szCs w:val="24"/>
        </w:rPr>
        <w:t>, Subpart E</w:t>
      </w:r>
    </w:p>
    <w:p w:rsidR="00B75D5D" w:rsidRPr="00C1694A" w:rsidRDefault="00B75D5D" w:rsidP="009A526A">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subpart </w:t>
      </w:r>
      <w:r w:rsidR="00A51501" w:rsidRPr="00C1694A">
        <w:rPr>
          <w:rFonts w:ascii="Times New Roman" w:hAnsi="Times New Roman" w:cs="Times New Roman"/>
          <w:sz w:val="24"/>
          <w:szCs w:val="24"/>
        </w:rPr>
        <w:t>outlines the</w:t>
      </w:r>
      <w:r w:rsidRPr="00C1694A">
        <w:rPr>
          <w:rFonts w:ascii="Times New Roman" w:hAnsi="Times New Roman" w:cs="Times New Roman"/>
          <w:sz w:val="24"/>
          <w:szCs w:val="24"/>
        </w:rPr>
        <w:t xml:space="preserve"> requirements for administration of the Head Start Fellows Program.  We did not receive any comments on this section and did not make any changes.</w:t>
      </w:r>
    </w:p>
    <w:p w:rsidR="00B75D5D" w:rsidRPr="00C1694A" w:rsidRDefault="00B75D5D" w:rsidP="009A526A">
      <w:pPr>
        <w:autoSpaceDE w:val="0"/>
        <w:autoSpaceDN w:val="0"/>
        <w:adjustRightInd w:val="0"/>
        <w:spacing w:after="0" w:line="480" w:lineRule="auto"/>
        <w:rPr>
          <w:rFonts w:ascii="Times New Roman" w:hAnsi="Times New Roman" w:cs="Times New Roman"/>
          <w:sz w:val="24"/>
          <w:szCs w:val="24"/>
        </w:rPr>
      </w:pPr>
    </w:p>
    <w:p w:rsidR="004A61D4" w:rsidRPr="00C1694A" w:rsidRDefault="00335131" w:rsidP="009A526A">
      <w:pPr>
        <w:spacing w:after="0"/>
        <w:rPr>
          <w:rFonts w:ascii="Times New Roman" w:hAnsi="Times New Roman" w:cs="Times New Roman"/>
          <w:b/>
          <w:sz w:val="24"/>
        </w:rPr>
      </w:pPr>
      <w:r w:rsidRPr="00C1694A">
        <w:rPr>
          <w:rFonts w:ascii="Times New Roman" w:hAnsi="Times New Roman" w:cs="Times New Roman"/>
          <w:b/>
          <w:sz w:val="24"/>
        </w:rPr>
        <w:t>DEFINITIONS; PART 1305</w:t>
      </w:r>
    </w:p>
    <w:p w:rsidR="00335131" w:rsidRPr="00C1694A" w:rsidRDefault="00335131" w:rsidP="009A526A">
      <w:pPr>
        <w:spacing w:after="0"/>
        <w:rPr>
          <w:rFonts w:ascii="Times New Roman" w:hAnsi="Times New Roman" w:cs="Times New Roman"/>
          <w:b/>
          <w:sz w:val="24"/>
        </w:rPr>
      </w:pPr>
    </w:p>
    <w:p w:rsidR="0049394F" w:rsidRPr="00C1694A" w:rsidRDefault="0049394F"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rPr>
        <w:t xml:space="preserve">In this part, we include definitions from all sections of the </w:t>
      </w:r>
      <w:r w:rsidR="0098295A" w:rsidRPr="00C1694A">
        <w:rPr>
          <w:rFonts w:ascii="Times New Roman" w:hAnsi="Times New Roman" w:cs="Times New Roman"/>
          <w:sz w:val="24"/>
        </w:rPr>
        <w:t>previous</w:t>
      </w:r>
      <w:r w:rsidRPr="00C1694A">
        <w:rPr>
          <w:rFonts w:ascii="Times New Roman" w:hAnsi="Times New Roman" w:cs="Times New Roman"/>
          <w:sz w:val="24"/>
        </w:rPr>
        <w:t xml:space="preserve"> rule for ease of grantee and prospective grantee understanding and transparency.  In the previous rule, definitions were attached to each section.  </w:t>
      </w:r>
      <w:r w:rsidR="0098295A" w:rsidRPr="00C1694A">
        <w:rPr>
          <w:rFonts w:ascii="Times New Roman" w:hAnsi="Times New Roman" w:cs="Times New Roman"/>
          <w:sz w:val="24"/>
        </w:rPr>
        <w:t>W</w:t>
      </w:r>
      <w:r w:rsidRPr="00C1694A">
        <w:rPr>
          <w:rFonts w:ascii="Times New Roman" w:hAnsi="Times New Roman" w:cs="Times New Roman"/>
          <w:sz w:val="24"/>
        </w:rPr>
        <w:t>e consolidated definitions that were repeated in multiple sections in the previous rule.  In addition, we removed many definitions that were either not meaningful or d</w:t>
      </w:r>
      <w:r w:rsidR="0098295A" w:rsidRPr="00C1694A">
        <w:rPr>
          <w:rFonts w:ascii="Times New Roman" w:hAnsi="Times New Roman" w:cs="Times New Roman"/>
          <w:sz w:val="24"/>
        </w:rPr>
        <w:t>id</w:t>
      </w:r>
      <w:r w:rsidRPr="00C1694A">
        <w:rPr>
          <w:rFonts w:ascii="Times New Roman" w:hAnsi="Times New Roman" w:cs="Times New Roman"/>
          <w:sz w:val="24"/>
        </w:rPr>
        <w:t xml:space="preserve"> not add to the widely understood meaning.  We also removed definitions </w:t>
      </w:r>
      <w:r w:rsidR="0098295A" w:rsidRPr="00C1694A">
        <w:rPr>
          <w:rFonts w:ascii="Times New Roman" w:hAnsi="Times New Roman" w:cs="Times New Roman"/>
          <w:sz w:val="24"/>
        </w:rPr>
        <w:t>when it was clearer to</w:t>
      </w:r>
      <w:r w:rsidRPr="00C1694A">
        <w:rPr>
          <w:rFonts w:ascii="Times New Roman" w:hAnsi="Times New Roman" w:cs="Times New Roman"/>
          <w:sz w:val="24"/>
        </w:rPr>
        <w:t xml:space="preserve"> </w:t>
      </w:r>
      <w:r w:rsidR="0098295A" w:rsidRPr="00C1694A">
        <w:rPr>
          <w:rFonts w:ascii="Times New Roman" w:hAnsi="Times New Roman" w:cs="Times New Roman"/>
          <w:sz w:val="24"/>
        </w:rPr>
        <w:t>incorporate their meaning</w:t>
      </w:r>
      <w:r w:rsidRPr="00C1694A">
        <w:rPr>
          <w:rFonts w:ascii="Times New Roman" w:hAnsi="Times New Roman" w:cs="Times New Roman"/>
          <w:sz w:val="24"/>
        </w:rPr>
        <w:t xml:space="preserve"> into the provisions themselves</w:t>
      </w:r>
      <w:r w:rsidR="00ED74F5" w:rsidRPr="00C1694A">
        <w:rPr>
          <w:rFonts w:ascii="Times New Roman" w:hAnsi="Times New Roman" w:cs="Times New Roman"/>
          <w:sz w:val="24"/>
        </w:rPr>
        <w:t xml:space="preserve"> or when the terms were not included in the final rule</w:t>
      </w:r>
      <w:r w:rsidRPr="00C1694A">
        <w:rPr>
          <w:rFonts w:ascii="Times New Roman" w:hAnsi="Times New Roman" w:cs="Times New Roman"/>
          <w:sz w:val="24"/>
        </w:rPr>
        <w:t xml:space="preserve">.  </w:t>
      </w:r>
      <w:r w:rsidR="00A50F2C" w:rsidRPr="00C1694A">
        <w:rPr>
          <w:rFonts w:ascii="Times New Roman" w:hAnsi="Times New Roman" w:cs="Times New Roman"/>
          <w:sz w:val="24"/>
        </w:rPr>
        <w:t xml:space="preserve">We restored definitions from the previous rule that were not included in the NPRM when we used these terms in the final rule.  </w:t>
      </w:r>
      <w:r w:rsidR="005F3C0D">
        <w:rPr>
          <w:rFonts w:ascii="Times New Roman" w:hAnsi="Times New Roman" w:cs="Times New Roman"/>
          <w:sz w:val="24"/>
        </w:rPr>
        <w:t>W</w:t>
      </w:r>
      <w:r w:rsidRPr="00C1694A">
        <w:rPr>
          <w:rFonts w:ascii="Times New Roman" w:hAnsi="Times New Roman" w:cs="Times New Roman"/>
          <w:sz w:val="24"/>
        </w:rPr>
        <w:t>e added some new definitions to this part in order to support other revisions throughout the rule</w:t>
      </w:r>
      <w:r w:rsidR="005F3C0D" w:rsidRPr="005F3C0D">
        <w:rPr>
          <w:rFonts w:ascii="Times New Roman" w:hAnsi="Times New Roman" w:cs="Times New Roman"/>
          <w:sz w:val="24"/>
        </w:rPr>
        <w:t xml:space="preserve"> </w:t>
      </w:r>
      <w:r w:rsidR="005F3C0D">
        <w:rPr>
          <w:rFonts w:ascii="Times New Roman" w:hAnsi="Times New Roman" w:cs="Times New Roman"/>
          <w:sz w:val="24"/>
        </w:rPr>
        <w:t>or to provide technical clarity including their statutory basis in the Act</w:t>
      </w:r>
      <w:r w:rsidRPr="00C1694A">
        <w:rPr>
          <w:rFonts w:ascii="Times New Roman" w:hAnsi="Times New Roman" w:cs="Times New Roman"/>
          <w:sz w:val="24"/>
        </w:rPr>
        <w:t xml:space="preserve">, and reference the definitions in other relevant pieces of legislation where appropriate.  </w:t>
      </w:r>
      <w:r w:rsidR="005F3C0D">
        <w:rPr>
          <w:rFonts w:ascii="Times New Roman" w:hAnsi="Times New Roman" w:cs="Times New Roman"/>
          <w:sz w:val="24"/>
        </w:rPr>
        <w:t xml:space="preserve">Finally, we made a technical change to add a section on the purpose of this part, and renamed and redesignated the proposed section </w:t>
      </w:r>
      <w:r w:rsidR="005F3C0D" w:rsidRPr="008228B5">
        <w:rPr>
          <w:rFonts w:ascii="Times New Roman" w:hAnsi="Times New Roman" w:cs="Times New Roman"/>
          <w:iCs/>
          <w:sz w:val="24"/>
          <w:szCs w:val="24"/>
        </w:rPr>
        <w:t>§</w:t>
      </w:r>
      <w:r w:rsidR="005F3C0D">
        <w:rPr>
          <w:rFonts w:ascii="Times New Roman" w:hAnsi="Times New Roman" w:cs="Times New Roman"/>
          <w:sz w:val="24"/>
        </w:rPr>
        <w:t xml:space="preserve">1305.1 to </w:t>
      </w:r>
      <w:r w:rsidR="005F3C0D" w:rsidRPr="008228B5">
        <w:rPr>
          <w:rFonts w:ascii="Times New Roman" w:hAnsi="Times New Roman" w:cs="Times New Roman"/>
          <w:iCs/>
          <w:sz w:val="24"/>
          <w:szCs w:val="24"/>
        </w:rPr>
        <w:t>§</w:t>
      </w:r>
      <w:r w:rsidR="005F3C0D">
        <w:rPr>
          <w:rFonts w:ascii="Times New Roman" w:hAnsi="Times New Roman" w:cs="Times New Roman"/>
          <w:sz w:val="24"/>
        </w:rPr>
        <w:t>1305.2 in this final rule.</w:t>
      </w:r>
    </w:p>
    <w:p w:rsidR="0049394F" w:rsidRPr="00C1694A" w:rsidRDefault="0049394F"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rPr>
        <w:t>We received many comments on this part.  Many commenters requested that we add additional definitions.  Others asked that additional details be included in p</w:t>
      </w:r>
      <w:r w:rsidR="005F3C0D">
        <w:rPr>
          <w:rFonts w:ascii="Times New Roman" w:hAnsi="Times New Roman" w:cs="Times New Roman"/>
          <w:sz w:val="24"/>
        </w:rPr>
        <w:t>re</w:t>
      </w:r>
      <w:r w:rsidRPr="00C1694A">
        <w:rPr>
          <w:rFonts w:ascii="Times New Roman" w:hAnsi="Times New Roman" w:cs="Times New Roman"/>
          <w:sz w:val="24"/>
        </w:rPr>
        <w:t>vious or proposed definitions.  Others pointed out inconsistencies between definitions and asked for clarification.  Finally, commenters asked that definitions f</w:t>
      </w:r>
      <w:r w:rsidR="003765E4" w:rsidRPr="00C1694A">
        <w:rPr>
          <w:rFonts w:ascii="Times New Roman" w:hAnsi="Times New Roman" w:cs="Times New Roman"/>
          <w:sz w:val="24"/>
        </w:rPr>
        <w:t>ro</w:t>
      </w:r>
      <w:r w:rsidRPr="00C1694A">
        <w:rPr>
          <w:rFonts w:ascii="Times New Roman" w:hAnsi="Times New Roman" w:cs="Times New Roman"/>
          <w:sz w:val="24"/>
        </w:rPr>
        <w:t xml:space="preserve">m the Act and other statutes be spelled out in the rule.   We discuss and respond to each of these categories of comments below.  </w:t>
      </w:r>
    </w:p>
    <w:p w:rsidR="00ED74F5" w:rsidRPr="00C1694A" w:rsidRDefault="00ED74F5"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requested a definition for “planned operation.”</w:t>
      </w:r>
    </w:p>
    <w:p w:rsidR="00ED74F5" w:rsidRPr="00C1694A" w:rsidRDefault="00ED74F5"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In light of the changes to the service duration requirements for center-based programs in §1302.21(c) that remove the term “planned operation,” we have deleted the definitions for “hours of operation” because they are no longer necessary. We added a definition for “hours of planned class operations.”  </w:t>
      </w:r>
    </w:p>
    <w:p w:rsidR="0049394F" w:rsidRPr="00C1694A" w:rsidRDefault="0049394F"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Many commenters requested definitions that were not in the previous rule or the NPRM including: authorized caregiver, directory information, entry, </w:t>
      </w:r>
      <w:r w:rsidR="0098295A" w:rsidRPr="00C1694A">
        <w:rPr>
          <w:rFonts w:ascii="Times New Roman" w:hAnsi="Times New Roman" w:cs="Times New Roman"/>
          <w:sz w:val="24"/>
        </w:rPr>
        <w:t>high-quality pre-K, non</w:t>
      </w:r>
      <w:r w:rsidRPr="00C1694A">
        <w:rPr>
          <w:rFonts w:ascii="Times New Roman" w:hAnsi="Times New Roman" w:cs="Times New Roman"/>
          <w:sz w:val="24"/>
        </w:rPr>
        <w:t>compliance, inclusion, LEA, frequently absent, unexcused absence, material, standardized and structured assessments, seclusion/restraint</w:t>
      </w:r>
      <w:r w:rsidR="0098295A" w:rsidRPr="00C1694A">
        <w:rPr>
          <w:rFonts w:ascii="Times New Roman" w:hAnsi="Times New Roman" w:cs="Times New Roman"/>
          <w:sz w:val="24"/>
        </w:rPr>
        <w:t>,</w:t>
      </w:r>
      <w:r w:rsidRPr="00C1694A">
        <w:rPr>
          <w:rFonts w:ascii="Times New Roman" w:hAnsi="Times New Roman" w:cs="Times New Roman"/>
          <w:sz w:val="24"/>
        </w:rPr>
        <w:t xml:space="preserve"> and research-based.   </w:t>
      </w:r>
    </w:p>
    <w:p w:rsidR="00ED74F5" w:rsidRPr="00C1694A" w:rsidRDefault="0049394F"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We did not include definitions for directory information, entry and seclusion/restraint because they are not used in the performance standards and so need no definition.   We did not define frequ</w:t>
      </w:r>
      <w:r w:rsidR="00ED74F5" w:rsidRPr="00C1694A">
        <w:rPr>
          <w:rFonts w:ascii="Times New Roman" w:hAnsi="Times New Roman" w:cs="Times New Roman"/>
          <w:sz w:val="24"/>
        </w:rPr>
        <w:t>ently absent or unexcused absence</w:t>
      </w:r>
      <w:r w:rsidRPr="00C1694A">
        <w:rPr>
          <w:rFonts w:ascii="Times New Roman" w:hAnsi="Times New Roman" w:cs="Times New Roman"/>
          <w:sz w:val="24"/>
        </w:rPr>
        <w:t xml:space="preserve"> to allow programs </w:t>
      </w:r>
      <w:r w:rsidR="00ED74F5" w:rsidRPr="00C1694A">
        <w:rPr>
          <w:rFonts w:ascii="Times New Roman" w:hAnsi="Times New Roman" w:cs="Times New Roman"/>
          <w:sz w:val="24"/>
        </w:rPr>
        <w:t xml:space="preserve">reasonable </w:t>
      </w:r>
      <w:r w:rsidRPr="00C1694A">
        <w:rPr>
          <w:rFonts w:ascii="Times New Roman" w:hAnsi="Times New Roman" w:cs="Times New Roman"/>
          <w:sz w:val="24"/>
        </w:rPr>
        <w:t>flexibility to define those terms</w:t>
      </w:r>
      <w:r w:rsidR="00ED74F5" w:rsidRPr="00C1694A">
        <w:rPr>
          <w:rFonts w:ascii="Times New Roman" w:hAnsi="Times New Roman" w:cs="Times New Roman"/>
          <w:sz w:val="24"/>
        </w:rPr>
        <w:t xml:space="preserve"> to best meet the needs of the families they serve</w:t>
      </w:r>
      <w:r w:rsidRPr="00C1694A">
        <w:rPr>
          <w:rFonts w:ascii="Times New Roman" w:hAnsi="Times New Roman" w:cs="Times New Roman"/>
          <w:sz w:val="24"/>
        </w:rPr>
        <w:t>.  We did n</w:t>
      </w:r>
      <w:r w:rsidR="0098295A" w:rsidRPr="00C1694A">
        <w:rPr>
          <w:rFonts w:ascii="Times New Roman" w:hAnsi="Times New Roman" w:cs="Times New Roman"/>
          <w:sz w:val="24"/>
        </w:rPr>
        <w:t xml:space="preserve">ot define </w:t>
      </w:r>
      <w:r w:rsidR="00ED74F5" w:rsidRPr="00C1694A">
        <w:rPr>
          <w:rFonts w:ascii="Times New Roman" w:hAnsi="Times New Roman" w:cs="Times New Roman"/>
          <w:sz w:val="24"/>
        </w:rPr>
        <w:t xml:space="preserve">authorized caregiver, LEA, </w:t>
      </w:r>
      <w:r w:rsidR="0098295A" w:rsidRPr="00C1694A">
        <w:rPr>
          <w:rFonts w:ascii="Times New Roman" w:hAnsi="Times New Roman" w:cs="Times New Roman"/>
          <w:sz w:val="24"/>
        </w:rPr>
        <w:t>non</w:t>
      </w:r>
      <w:r w:rsidRPr="00C1694A">
        <w:rPr>
          <w:rFonts w:ascii="Times New Roman" w:hAnsi="Times New Roman" w:cs="Times New Roman"/>
          <w:sz w:val="24"/>
        </w:rPr>
        <w:t xml:space="preserve">compliance, material or inclusion because we are using their widely understood meaning. We did not define high-quality pre-K but changed the language in </w:t>
      </w:r>
      <w:r w:rsidR="00ED74F5" w:rsidRPr="00C1694A">
        <w:rPr>
          <w:rFonts w:ascii="Times New Roman" w:hAnsi="Times New Roman" w:cs="Times New Roman"/>
          <w:sz w:val="24"/>
          <w:szCs w:val="24"/>
        </w:rPr>
        <w:t>§</w:t>
      </w:r>
      <w:r w:rsidRPr="00C1694A">
        <w:rPr>
          <w:rFonts w:ascii="Times New Roman" w:hAnsi="Times New Roman" w:cs="Times New Roman"/>
          <w:sz w:val="24"/>
        </w:rPr>
        <w:t xml:space="preserve">1302.14(a)(3) to include that pre-kindergarten must be comprehensive and available for a full school day.  Similarly we did not define standardized and structured assessments but added in </w:t>
      </w:r>
      <w:r w:rsidR="00ED74F5" w:rsidRPr="00C1694A">
        <w:rPr>
          <w:rFonts w:ascii="Times New Roman" w:hAnsi="Times New Roman" w:cs="Times New Roman"/>
          <w:sz w:val="24"/>
          <w:szCs w:val="24"/>
        </w:rPr>
        <w:t>§</w:t>
      </w:r>
      <w:r w:rsidRPr="00C1694A">
        <w:rPr>
          <w:rFonts w:ascii="Times New Roman" w:hAnsi="Times New Roman" w:cs="Times New Roman"/>
          <w:sz w:val="24"/>
        </w:rPr>
        <w:t xml:space="preserve">1302.33(b)(1) that they may observation-based or direct.  We did not include a definition for deficiency because if it defined by the Act and we rely entirely on that statutory definition.  </w:t>
      </w:r>
    </w:p>
    <w:p w:rsidR="00ED74F5" w:rsidRPr="00C1694A" w:rsidRDefault="00ED74F5"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Many commenters asked that definitions from statutes, including the Head Start Act, IDEA, and McKinney-Vento, be restated as definitions in this rule.  </w:t>
      </w:r>
    </w:p>
    <w:p w:rsidR="0049394F" w:rsidRPr="00C1694A" w:rsidRDefault="00ED74F5"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w:t>
      </w:r>
      <w:r w:rsidR="0049394F" w:rsidRPr="00C1694A">
        <w:rPr>
          <w:rFonts w:ascii="Times New Roman" w:hAnsi="Times New Roman" w:cs="Times New Roman"/>
          <w:sz w:val="24"/>
        </w:rPr>
        <w:t>e did not define terms</w:t>
      </w:r>
      <w:r w:rsidRPr="00C1694A">
        <w:rPr>
          <w:rFonts w:ascii="Times New Roman" w:hAnsi="Times New Roman" w:cs="Times New Roman"/>
          <w:sz w:val="24"/>
        </w:rPr>
        <w:t xml:space="preserve"> </w:t>
      </w:r>
      <w:r w:rsidR="0049394F" w:rsidRPr="00C1694A">
        <w:rPr>
          <w:rFonts w:ascii="Times New Roman" w:hAnsi="Times New Roman" w:cs="Times New Roman"/>
          <w:sz w:val="24"/>
        </w:rPr>
        <w:t xml:space="preserve">when we are relying on the definition from other statues. </w:t>
      </w:r>
    </w:p>
    <w:p w:rsidR="0049394F" w:rsidRPr="00C1694A" w:rsidRDefault="0049394F"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Many comment</w:t>
      </w:r>
      <w:r w:rsidR="00ED74F5" w:rsidRPr="00C1694A">
        <w:rPr>
          <w:rFonts w:ascii="Times New Roman" w:hAnsi="Times New Roman" w:cs="Times New Roman"/>
          <w:sz w:val="24"/>
        </w:rPr>
        <w:t>er</w:t>
      </w:r>
      <w:r w:rsidRPr="00C1694A">
        <w:rPr>
          <w:rFonts w:ascii="Times New Roman" w:hAnsi="Times New Roman" w:cs="Times New Roman"/>
          <w:sz w:val="24"/>
        </w:rPr>
        <w:t xml:space="preserve">s requested </w:t>
      </w:r>
      <w:r w:rsidR="00ED74F5" w:rsidRPr="00C1694A">
        <w:rPr>
          <w:rFonts w:ascii="Times New Roman" w:hAnsi="Times New Roman" w:cs="Times New Roman"/>
          <w:sz w:val="24"/>
        </w:rPr>
        <w:t xml:space="preserve">clarification of </w:t>
      </w:r>
      <w:r w:rsidRPr="00C1694A">
        <w:rPr>
          <w:rFonts w:ascii="Times New Roman" w:hAnsi="Times New Roman" w:cs="Times New Roman"/>
          <w:sz w:val="24"/>
        </w:rPr>
        <w:t xml:space="preserve">definitions </w:t>
      </w:r>
      <w:r w:rsidR="00ED74F5" w:rsidRPr="00C1694A">
        <w:rPr>
          <w:rFonts w:ascii="Times New Roman" w:hAnsi="Times New Roman" w:cs="Times New Roman"/>
          <w:sz w:val="24"/>
        </w:rPr>
        <w:t>that were in</w:t>
      </w:r>
      <w:r w:rsidRPr="00C1694A">
        <w:rPr>
          <w:rFonts w:ascii="Times New Roman" w:hAnsi="Times New Roman" w:cs="Times New Roman"/>
          <w:sz w:val="24"/>
        </w:rPr>
        <w:t xml:space="preserve"> the previous rule or </w:t>
      </w:r>
      <w:r w:rsidR="00ED74F5" w:rsidRPr="00C1694A">
        <w:rPr>
          <w:rFonts w:ascii="Times New Roman" w:hAnsi="Times New Roman" w:cs="Times New Roman"/>
          <w:sz w:val="24"/>
        </w:rPr>
        <w:t xml:space="preserve">the NPRM, such as </w:t>
      </w:r>
      <w:r w:rsidR="004C1F46" w:rsidRPr="00C1694A">
        <w:rPr>
          <w:rFonts w:ascii="Times New Roman" w:hAnsi="Times New Roman" w:cs="Times New Roman"/>
          <w:sz w:val="24"/>
        </w:rPr>
        <w:t xml:space="preserve">enrolled, </w:t>
      </w:r>
      <w:r w:rsidRPr="00C1694A">
        <w:rPr>
          <w:rFonts w:ascii="Times New Roman" w:hAnsi="Times New Roman" w:cs="Times New Roman"/>
          <w:sz w:val="24"/>
        </w:rPr>
        <w:t>family</w:t>
      </w:r>
      <w:r w:rsidR="004C1F46" w:rsidRPr="00C1694A">
        <w:rPr>
          <w:rFonts w:ascii="Times New Roman" w:hAnsi="Times New Roman" w:cs="Times New Roman"/>
          <w:sz w:val="24"/>
        </w:rPr>
        <w:t>, and federal interest</w:t>
      </w:r>
      <w:r w:rsidRPr="00C1694A">
        <w:rPr>
          <w:rFonts w:ascii="Times New Roman" w:hAnsi="Times New Roman" w:cs="Times New Roman"/>
          <w:sz w:val="24"/>
        </w:rPr>
        <w:t xml:space="preserve">.   </w:t>
      </w:r>
    </w:p>
    <w:p w:rsidR="0049394F" w:rsidRPr="00C1694A" w:rsidRDefault="0049394F"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We have modified the definition of enrolled to clarify that a child is not considered enrolled until they attend the program for center-based and family child care or received a home visit for home-based. We do not believe the definition</w:t>
      </w:r>
      <w:r w:rsidR="004C1F46" w:rsidRPr="00C1694A">
        <w:rPr>
          <w:rFonts w:ascii="Times New Roman" w:hAnsi="Times New Roman" w:cs="Times New Roman"/>
          <w:sz w:val="24"/>
        </w:rPr>
        <w:t>s</w:t>
      </w:r>
      <w:r w:rsidRPr="00C1694A">
        <w:rPr>
          <w:rFonts w:ascii="Times New Roman" w:hAnsi="Times New Roman" w:cs="Times New Roman"/>
          <w:sz w:val="24"/>
        </w:rPr>
        <w:t xml:space="preserve"> of family </w:t>
      </w:r>
      <w:r w:rsidR="004C1F46" w:rsidRPr="00C1694A">
        <w:rPr>
          <w:rFonts w:ascii="Times New Roman" w:hAnsi="Times New Roman" w:cs="Times New Roman"/>
          <w:sz w:val="24"/>
        </w:rPr>
        <w:t xml:space="preserve">or federal interest </w:t>
      </w:r>
      <w:r w:rsidRPr="00C1694A">
        <w:rPr>
          <w:rFonts w:ascii="Times New Roman" w:hAnsi="Times New Roman" w:cs="Times New Roman"/>
          <w:sz w:val="24"/>
        </w:rPr>
        <w:t xml:space="preserve">needed changes.  </w:t>
      </w:r>
    </w:p>
    <w:p w:rsidR="0049394F" w:rsidRPr="00C1694A" w:rsidRDefault="0049394F"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Comment:</w:t>
      </w:r>
      <w:r w:rsidRPr="00C1694A">
        <w:rPr>
          <w:rFonts w:ascii="Times New Roman" w:hAnsi="Times New Roman" w:cs="Times New Roman"/>
          <w:sz w:val="24"/>
        </w:rPr>
        <w:t xml:space="preserve"> Commenters pointed out that the definition of Migrant or Seasonal Head Start</w:t>
      </w:r>
      <w:r w:rsidR="00ED74F5" w:rsidRPr="00C1694A">
        <w:rPr>
          <w:rFonts w:ascii="Times New Roman" w:hAnsi="Times New Roman" w:cs="Times New Roman"/>
          <w:sz w:val="24"/>
        </w:rPr>
        <w:t xml:space="preserve"> P</w:t>
      </w:r>
      <w:r w:rsidRPr="00C1694A">
        <w:rPr>
          <w:rFonts w:ascii="Times New Roman" w:hAnsi="Times New Roman" w:cs="Times New Roman"/>
          <w:sz w:val="24"/>
        </w:rPr>
        <w:t>rogram di</w:t>
      </w:r>
      <w:r w:rsidR="00A50F2C" w:rsidRPr="00C1694A">
        <w:rPr>
          <w:rFonts w:ascii="Times New Roman" w:hAnsi="Times New Roman" w:cs="Times New Roman"/>
          <w:sz w:val="24"/>
        </w:rPr>
        <w:t>d not limit agricultural work</w:t>
      </w:r>
      <w:r w:rsidRPr="00C1694A">
        <w:rPr>
          <w:rFonts w:ascii="Times New Roman" w:hAnsi="Times New Roman" w:cs="Times New Roman"/>
          <w:sz w:val="24"/>
        </w:rPr>
        <w:t xml:space="preserve"> </w:t>
      </w:r>
      <w:r w:rsidR="00A50F2C" w:rsidRPr="00C1694A">
        <w:rPr>
          <w:rFonts w:ascii="Times New Roman" w:hAnsi="Times New Roman" w:cs="Times New Roman"/>
          <w:sz w:val="24"/>
        </w:rPr>
        <w:t>to “</w:t>
      </w:r>
      <w:r w:rsidR="00A50F2C" w:rsidRPr="00C1694A">
        <w:rPr>
          <w:rFonts w:ascii="Times New Roman" w:hAnsi="Times New Roman" w:cs="Times New Roman"/>
          <w:sz w:val="24"/>
          <w:szCs w:val="24"/>
        </w:rPr>
        <w:t>the production and harvesting of tree and field crops</w:t>
      </w:r>
      <w:r w:rsidRPr="00C1694A">
        <w:rPr>
          <w:rFonts w:ascii="Times New Roman" w:hAnsi="Times New Roman" w:cs="Times New Roman"/>
          <w:sz w:val="24"/>
        </w:rPr>
        <w:t>,</w:t>
      </w:r>
      <w:r w:rsidR="00A50F2C" w:rsidRPr="00C1694A">
        <w:rPr>
          <w:rFonts w:ascii="Times New Roman" w:hAnsi="Times New Roman" w:cs="Times New Roman"/>
          <w:sz w:val="24"/>
        </w:rPr>
        <w:t>”</w:t>
      </w:r>
      <w:r w:rsidRPr="00C1694A">
        <w:rPr>
          <w:rFonts w:ascii="Times New Roman" w:hAnsi="Times New Roman" w:cs="Times New Roman"/>
          <w:sz w:val="24"/>
        </w:rPr>
        <w:t xml:space="preserve"> while the definition of migrant family did</w:t>
      </w:r>
      <w:r w:rsidR="00A50F2C" w:rsidRPr="00C1694A">
        <w:rPr>
          <w:rFonts w:ascii="Times New Roman" w:hAnsi="Times New Roman" w:cs="Times New Roman"/>
          <w:sz w:val="24"/>
        </w:rPr>
        <w:t xml:space="preserve"> limit it in this way</w:t>
      </w:r>
      <w:r w:rsidRPr="00C1694A">
        <w:rPr>
          <w:rFonts w:ascii="Times New Roman" w:hAnsi="Times New Roman" w:cs="Times New Roman"/>
          <w:sz w:val="24"/>
        </w:rPr>
        <w:t xml:space="preserve">.  </w:t>
      </w:r>
    </w:p>
    <w:p w:rsidR="0049394F" w:rsidRPr="00C1694A" w:rsidRDefault="0049394F" w:rsidP="009A526A">
      <w:pPr>
        <w:spacing w:after="0" w:line="480" w:lineRule="auto"/>
        <w:ind w:firstLine="720"/>
        <w:rPr>
          <w:rFonts w:ascii="Times New Roman" w:hAnsi="Times New Roman" w:cs="Times New Roman"/>
          <w:sz w:val="24"/>
        </w:rPr>
      </w:pPr>
      <w:r w:rsidRPr="00C1694A">
        <w:rPr>
          <w:rFonts w:ascii="Times New Roman" w:hAnsi="Times New Roman" w:cs="Times New Roman"/>
          <w:sz w:val="24"/>
          <w:u w:val="single"/>
        </w:rPr>
        <w:t>Response:</w:t>
      </w:r>
      <w:r w:rsidRPr="00C1694A">
        <w:rPr>
          <w:rFonts w:ascii="Times New Roman" w:hAnsi="Times New Roman" w:cs="Times New Roman"/>
          <w:sz w:val="24"/>
        </w:rPr>
        <w:t xml:space="preserve"> We removed this phrase </w:t>
      </w:r>
      <w:r w:rsidR="00A50F2C" w:rsidRPr="00C1694A">
        <w:rPr>
          <w:rFonts w:ascii="Times New Roman" w:hAnsi="Times New Roman" w:cs="Times New Roman"/>
          <w:sz w:val="24"/>
        </w:rPr>
        <w:t>to make the definitions consistent</w:t>
      </w:r>
      <w:r w:rsidRPr="00C1694A">
        <w:rPr>
          <w:rFonts w:ascii="Times New Roman" w:hAnsi="Times New Roman" w:cs="Times New Roman"/>
          <w:sz w:val="24"/>
        </w:rPr>
        <w:t xml:space="preserve">.  </w:t>
      </w:r>
    </w:p>
    <w:p w:rsidR="0098295A" w:rsidRPr="00C1694A" w:rsidRDefault="0098295A" w:rsidP="009A526A">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w:t>
      </w:r>
      <w:r w:rsidR="0026573A" w:rsidRPr="00C1694A">
        <w:rPr>
          <w:rFonts w:ascii="Times New Roman" w:hAnsi="Times New Roman" w:cs="Times New Roman"/>
          <w:sz w:val="24"/>
          <w:szCs w:val="24"/>
        </w:rPr>
        <w:t>Some</w:t>
      </w:r>
      <w:r w:rsidRPr="00C1694A">
        <w:rPr>
          <w:rFonts w:ascii="Times New Roman" w:hAnsi="Times New Roman" w:cs="Times New Roman"/>
          <w:sz w:val="24"/>
          <w:szCs w:val="24"/>
        </w:rPr>
        <w:t xml:space="preserve"> commenters suggested adding language to the regulation stating that DLLs should be defined and identified in a consistent manner. Some also suggested including a definition for DLLs in the regulation.</w:t>
      </w:r>
    </w:p>
    <w:p w:rsidR="007C64DA" w:rsidRPr="00C1694A" w:rsidRDefault="0098295A" w:rsidP="007C64DA">
      <w:pPr>
        <w:spacing w:after="0" w:line="480" w:lineRule="auto"/>
        <w:rPr>
          <w:rFonts w:ascii="Times New Roman" w:hAnsi="Times New Roman" w:cs="Times New Roman"/>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do not agree that we should require programs to identify DLLs in a consistent manner in regulation, as this would unnecessarily limit program flexibility to develop their own processes for identifying DLLs. However, we do agree that it is important to incorporate a definition for “dual language learner” into regulation. </w:t>
      </w:r>
      <w:r w:rsidR="007C64DA" w:rsidRPr="00C1694A">
        <w:rPr>
          <w:rFonts w:ascii="Times New Roman" w:hAnsi="Times New Roman" w:cs="Times New Roman"/>
          <w:sz w:val="24"/>
          <w:szCs w:val="24"/>
        </w:rPr>
        <w:t xml:space="preserve">We added a definition to part 1305 that is consistent with definitions used by experts in the field. This definition is inclusive of children who have a home language other than English, as well children who have home languages of both English and another non-English language.  </w:t>
      </w:r>
    </w:p>
    <w:p w:rsidR="0098295A" w:rsidRPr="00C1694A" w:rsidRDefault="0098295A" w:rsidP="009A526A">
      <w:pPr>
        <w:autoSpaceDE w:val="0"/>
        <w:autoSpaceDN w:val="0"/>
        <w:adjustRightInd w:val="0"/>
        <w:spacing w:after="0" w:line="480" w:lineRule="auto"/>
        <w:rPr>
          <w:rFonts w:ascii="Times New Roman" w:hAnsi="Times New Roman" w:cs="Times New Roman"/>
          <w:sz w:val="24"/>
          <w:szCs w:val="24"/>
        </w:rPr>
      </w:pPr>
    </w:p>
    <w:p w:rsidR="00016788" w:rsidRPr="00C1694A" w:rsidRDefault="00016788" w:rsidP="009A526A">
      <w:pPr>
        <w:autoSpaceDE w:val="0"/>
        <w:autoSpaceDN w:val="0"/>
        <w:adjustRightInd w:val="0"/>
        <w:spacing w:after="0" w:line="240" w:lineRule="auto"/>
        <w:rPr>
          <w:rFonts w:ascii="Times New Roman" w:hAnsi="Times New Roman" w:cs="Times New Roman"/>
          <w:b/>
          <w:sz w:val="24"/>
          <w:szCs w:val="24"/>
        </w:rPr>
      </w:pPr>
    </w:p>
    <w:p w:rsidR="00574213" w:rsidRPr="00C1694A" w:rsidRDefault="00574213" w:rsidP="009A526A">
      <w:pPr>
        <w:autoSpaceDE w:val="0"/>
        <w:autoSpaceDN w:val="0"/>
        <w:adjustRightInd w:val="0"/>
        <w:spacing w:after="0" w:line="240" w:lineRule="auto"/>
        <w:rPr>
          <w:rFonts w:ascii="Times New Roman" w:hAnsi="Times New Roman" w:cs="Times New Roman"/>
          <w:sz w:val="24"/>
          <w:szCs w:val="24"/>
        </w:rPr>
      </w:pPr>
    </w:p>
    <w:p w:rsidR="0069053E" w:rsidRPr="00C1694A" w:rsidRDefault="0069053E">
      <w:pPr>
        <w:rPr>
          <w:rFonts w:ascii="Times New Roman" w:hAnsi="Times New Roman" w:cs="Times New Roman"/>
          <w:b/>
          <w:sz w:val="24"/>
          <w:szCs w:val="24"/>
        </w:rPr>
      </w:pPr>
      <w:r w:rsidRPr="00C1694A">
        <w:rPr>
          <w:rFonts w:ascii="Times New Roman" w:hAnsi="Times New Roman" w:cs="Times New Roman"/>
          <w:b/>
          <w:sz w:val="24"/>
          <w:szCs w:val="24"/>
        </w:rPr>
        <w:br w:type="page"/>
      </w:r>
    </w:p>
    <w:p w:rsidR="006C2DBA" w:rsidRPr="00001E53" w:rsidRDefault="00001E53" w:rsidP="00001E53">
      <w:pPr>
        <w:autoSpaceDE w:val="0"/>
        <w:autoSpaceDN w:val="0"/>
        <w:adjustRightInd w:val="0"/>
        <w:spacing w:after="0" w:line="240" w:lineRule="auto"/>
        <w:ind w:left="540" w:hanging="540"/>
        <w:rPr>
          <w:rFonts w:ascii="Times New Roman" w:hAnsi="Times New Roman" w:cs="Times New Roman"/>
          <w:b/>
          <w:sz w:val="24"/>
          <w:szCs w:val="24"/>
        </w:rPr>
      </w:pPr>
      <w:r w:rsidRPr="00C1694A">
        <w:rPr>
          <w:rFonts w:ascii="Times New Roman" w:hAnsi="Times New Roman" w:cs="Times New Roman"/>
          <w:b/>
          <w:sz w:val="24"/>
          <w:szCs w:val="24"/>
        </w:rPr>
        <w:t>VI.</w:t>
      </w:r>
      <w:r w:rsidRPr="00C1694A">
        <w:rPr>
          <w:rFonts w:ascii="Times New Roman" w:hAnsi="Times New Roman" w:cs="Times New Roman"/>
          <w:b/>
          <w:sz w:val="24"/>
          <w:szCs w:val="24"/>
        </w:rPr>
        <w:tab/>
      </w:r>
      <w:r w:rsidR="006C2DBA" w:rsidRPr="00001E53">
        <w:rPr>
          <w:rFonts w:ascii="Times New Roman" w:hAnsi="Times New Roman" w:cs="Times New Roman"/>
          <w:b/>
          <w:sz w:val="24"/>
          <w:szCs w:val="24"/>
        </w:rPr>
        <w:t>Regulatory Process Matters</w:t>
      </w:r>
    </w:p>
    <w:p w:rsidR="006C2DBA" w:rsidRPr="00C1694A" w:rsidRDefault="006C2DBA" w:rsidP="00331A7B">
      <w:pPr>
        <w:pStyle w:val="ListParagraph"/>
        <w:autoSpaceDE w:val="0"/>
        <w:autoSpaceDN w:val="0"/>
        <w:adjustRightInd w:val="0"/>
        <w:spacing w:after="0" w:line="240" w:lineRule="auto"/>
        <w:ind w:left="1080"/>
        <w:rPr>
          <w:rFonts w:ascii="Times New Roman" w:hAnsi="Times New Roman" w:cs="Times New Roman"/>
          <w:b/>
          <w:sz w:val="24"/>
          <w:szCs w:val="24"/>
        </w:rPr>
      </w:pPr>
    </w:p>
    <w:p w:rsidR="006C2DBA" w:rsidRPr="00001E53" w:rsidRDefault="00001E53" w:rsidP="00001E53">
      <w:pPr>
        <w:spacing w:after="0" w:line="480" w:lineRule="auto"/>
        <w:ind w:left="1440" w:hanging="360"/>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a.</w:t>
      </w:r>
      <w:r w:rsidRPr="00C1694A">
        <w:rPr>
          <w:rFonts w:ascii="Times New Roman" w:eastAsia="Times New Roman" w:hAnsi="Times New Roman" w:cs="Times New Roman"/>
          <w:sz w:val="24"/>
          <w:szCs w:val="24"/>
        </w:rPr>
        <w:tab/>
      </w:r>
      <w:r w:rsidR="006C2DBA" w:rsidRPr="00001E53">
        <w:rPr>
          <w:rFonts w:ascii="Times New Roman" w:eastAsia="Times New Roman" w:hAnsi="Times New Roman" w:cs="Times New Roman"/>
          <w:sz w:val="24"/>
          <w:szCs w:val="24"/>
          <w:u w:val="single"/>
        </w:rPr>
        <w:t>Regulatory Flexibility Act</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The Regulatory Flexibility Act (RFA),</w:t>
      </w:r>
      <w:r w:rsidRPr="00C1694A">
        <w:rPr>
          <w:rStyle w:val="FootnoteReference"/>
          <w:rFonts w:ascii="Times New Roman" w:hAnsi="Times New Roman" w:cs="Times New Roman"/>
          <w:sz w:val="24"/>
          <w:szCs w:val="24"/>
        </w:rPr>
        <w:footnoteReference w:id="124"/>
      </w:r>
      <w:r w:rsidRPr="00C1694A">
        <w:rPr>
          <w:rFonts w:ascii="Times New Roman" w:hAnsi="Times New Roman" w:cs="Times New Roman"/>
          <w:sz w:val="24"/>
          <w:szCs w:val="24"/>
        </w:rPr>
        <w:t xml:space="preserve"> as amended by the Small Business Regulatory Enforcement Fairness Act, requires federal agencies to determine, to the extent feasible, a rule’s economic impact on small entities, explore regulatory options for reducing any significant economic impact on a substantial number of such entities, and explain their regulatory approach.</w:t>
      </w:r>
    </w:p>
    <w:p w:rsidR="006C2DBA" w:rsidRPr="00C1694A" w:rsidRDefault="006C2DBA" w:rsidP="00331A7B">
      <w:pPr>
        <w:spacing w:after="0" w:line="480" w:lineRule="auto"/>
        <w:rPr>
          <w:rFonts w:ascii="Times New Roman" w:hAnsi="Times New Roman" w:cs="Times New Roman"/>
          <w:i/>
          <w:sz w:val="24"/>
          <w:szCs w:val="24"/>
        </w:rPr>
      </w:pPr>
      <w:r w:rsidRPr="00C1694A">
        <w:rPr>
          <w:rFonts w:ascii="Times New Roman" w:hAnsi="Times New Roman" w:cs="Times New Roman"/>
          <w:sz w:val="24"/>
          <w:szCs w:val="24"/>
        </w:rPr>
        <w:t>This final rule will not result in a significant economic impact on a substantial number of small entities.  It is intended to ensure accountability for federal funds consistent with the purposes of the Improving Head Start for School Readiness Act of 2007</w:t>
      </w:r>
      <w:r w:rsidRPr="00C1694A">
        <w:rPr>
          <w:rStyle w:val="FootnoteReference"/>
          <w:rFonts w:ascii="Times New Roman" w:hAnsi="Times New Roman" w:cs="Times New Roman"/>
          <w:sz w:val="24"/>
          <w:szCs w:val="24"/>
        </w:rPr>
        <w:footnoteReference w:id="125"/>
      </w:r>
      <w:r w:rsidRPr="00C1694A">
        <w:rPr>
          <w:rFonts w:ascii="Times New Roman" w:hAnsi="Times New Roman" w:cs="Times New Roman"/>
          <w:sz w:val="24"/>
          <w:szCs w:val="24"/>
        </w:rPr>
        <w:t xml:space="preserve"> and is not duplicative of other requirements.</w:t>
      </w:r>
    </w:p>
    <w:p w:rsidR="006C2DBA" w:rsidRPr="00001E53" w:rsidRDefault="00001E53" w:rsidP="00001E53">
      <w:pPr>
        <w:spacing w:after="0" w:line="480" w:lineRule="auto"/>
        <w:ind w:left="1440" w:hanging="360"/>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b.</w:t>
      </w:r>
      <w:r w:rsidRPr="00C1694A">
        <w:rPr>
          <w:rFonts w:ascii="Times New Roman" w:eastAsia="Times New Roman" w:hAnsi="Times New Roman" w:cs="Times New Roman"/>
          <w:sz w:val="24"/>
          <w:szCs w:val="24"/>
        </w:rPr>
        <w:tab/>
      </w:r>
      <w:r w:rsidR="006C2DBA" w:rsidRPr="00001E53">
        <w:rPr>
          <w:rFonts w:ascii="Times New Roman" w:eastAsia="Times New Roman" w:hAnsi="Times New Roman" w:cs="Times New Roman"/>
          <w:sz w:val="24"/>
          <w:szCs w:val="24"/>
          <w:u w:val="single"/>
        </w:rPr>
        <w:t xml:space="preserve">Regulatory Planning and Review Executive Order </w:t>
      </w:r>
      <w:r w:rsidR="006C2DBA" w:rsidRPr="00001E53">
        <w:rPr>
          <w:rFonts w:ascii="Times New Roman" w:hAnsi="Times New Roman" w:cs="Times New Roman"/>
          <w:sz w:val="24"/>
          <w:szCs w:val="24"/>
          <w:u w:val="single"/>
        </w:rPr>
        <w:t>12866</w:t>
      </w:r>
    </w:p>
    <w:p w:rsidR="006C2DBA" w:rsidRPr="00C1694A" w:rsidRDefault="006C2DBA" w:rsidP="00331A7B">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Executive Order 12866 requires federal agencies to submit significant regulatory actions to the Office of Management and Budget (OMB) for review.  The Order defines “significant regulatory actions,” generally, as any regulatory action that is likely to result in a rule that may (1) have an annual effect on the economy of $100 million or more or adversely affect in a material way the economy, a sector of the economy, productivity, competition, jobs, the environment, public health or safety, or state, local, or tribal governments or communities; (2) create a serious inconsistency or otherwise interfere with an action taken or planned by another agency; (3) materially alter the budgetary impact of entitlements, grants, user fees, or loan programs or the rights and obligations of recipients thereof; or (4) raise novel legal or policy issues arising out of legal mandates, the President’s priorities, or the principles set forth in this Executive Order.</w:t>
      </w:r>
      <w:r w:rsidRPr="00C1694A">
        <w:rPr>
          <w:rStyle w:val="FootnoteReference"/>
          <w:rFonts w:ascii="Times New Roman" w:eastAsia="Times New Roman" w:hAnsi="Times New Roman" w:cs="Times New Roman"/>
          <w:sz w:val="24"/>
          <w:szCs w:val="24"/>
        </w:rPr>
        <w:footnoteReference w:id="126"/>
      </w:r>
      <w:r w:rsidRPr="00C1694A">
        <w:rPr>
          <w:rFonts w:ascii="Times New Roman" w:eastAsia="Times New Roman" w:hAnsi="Times New Roman" w:cs="Times New Roman"/>
          <w:sz w:val="24"/>
          <w:szCs w:val="24"/>
        </w:rPr>
        <w:t xml:space="preserve">   This final rule is different from many rules in the federal government in that it will not require Head Start programs to spend more or less money on Head Start services, rather it will require programs to spend the money they are awarded in different ways.  Nonetheless, given that the cost of the rule exceeds $100 million and that, if fully implemented, the costs will either be borne by the federal government in the form of additional appropriations for Head Start or by Head Start programs in the form of loss of slots for eligible children and teacher employment, we have determined this rule represents a significant regulatory action as defined by </w:t>
      </w:r>
      <w:r w:rsidRPr="00C1694A">
        <w:rPr>
          <w:rFonts w:ascii="Times New Roman" w:hAnsi="Times New Roman" w:cs="Times New Roman"/>
          <w:sz w:val="24"/>
        </w:rPr>
        <w:t xml:space="preserve">Executive Order 12866.  </w:t>
      </w:r>
      <w:r w:rsidRPr="00C1694A">
        <w:rPr>
          <w:rFonts w:ascii="Times New Roman" w:eastAsia="Times New Roman" w:hAnsi="Times New Roman" w:cs="Times New Roman"/>
          <w:sz w:val="24"/>
          <w:szCs w:val="24"/>
        </w:rPr>
        <w:t xml:space="preserve">Given both the directives of the Order and the importance of understanding the costs savings, and benefits associated with these requirements both with and without additional appropriations, we </w:t>
      </w:r>
      <w:r w:rsidRPr="00C1694A">
        <w:rPr>
          <w:rFonts w:ascii="Times New Roman" w:hAnsi="Times New Roman" w:cs="Times New Roman"/>
          <w:sz w:val="24"/>
        </w:rPr>
        <w:t xml:space="preserve">describe the costs, savings, and benefits associated with this final rule </w:t>
      </w:r>
      <w:r w:rsidRPr="00C1694A">
        <w:rPr>
          <w:rFonts w:ascii="Times New Roman" w:hAnsi="Times New Roman" w:cs="Times New Roman"/>
          <w:sz w:val="24"/>
          <w:szCs w:val="24"/>
        </w:rPr>
        <w:t xml:space="preserve">as well as </w:t>
      </w:r>
      <w:r w:rsidRPr="00C1694A">
        <w:rPr>
          <w:rFonts w:ascii="Times New Roman" w:hAnsi="Times New Roman" w:cs="Times New Roman"/>
          <w:sz w:val="24"/>
        </w:rPr>
        <w:t>available regulatory alternatives below.</w:t>
      </w:r>
      <w:r w:rsidRPr="00C1694A">
        <w:rPr>
          <w:rFonts w:ascii="Times New Roman" w:hAnsi="Times New Roman" w:cs="Times New Roman"/>
          <w:sz w:val="23"/>
        </w:rPr>
        <w:t xml:space="preserve"> </w:t>
      </w:r>
    </w:p>
    <w:p w:rsidR="006C2DBA" w:rsidRPr="00C1694A" w:rsidRDefault="006C2DBA" w:rsidP="00331A7B">
      <w:pPr>
        <w:spacing w:after="0" w:line="480" w:lineRule="auto"/>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u w:val="single"/>
        </w:rPr>
        <w:t>1. Need for Regulatory Action</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eastAsia="Times New Roman" w:hAnsi="Times New Roman" w:cs="Times New Roman"/>
          <w:sz w:val="24"/>
          <w:szCs w:val="24"/>
        </w:rPr>
        <w:tab/>
      </w:r>
      <w:r w:rsidRPr="00C1694A">
        <w:rPr>
          <w:rFonts w:ascii="Times New Roman" w:hAnsi="Times New Roman" w:cs="Times New Roman"/>
          <w:sz w:val="24"/>
          <w:szCs w:val="24"/>
        </w:rPr>
        <w:t xml:space="preserve">The purpose of Head Start, as prescribed by the Act, is to “promote </w:t>
      </w:r>
      <w:r w:rsidRPr="00C1694A">
        <w:rPr>
          <w:rFonts w:ascii="Times New Roman" w:eastAsiaTheme="minorHAnsi" w:hAnsi="Times New Roman" w:cs="Times New Roman"/>
          <w:sz w:val="24"/>
          <w:szCs w:val="24"/>
        </w:rPr>
        <w:t xml:space="preserve">the school readiness </w:t>
      </w:r>
      <w:r w:rsidRPr="00C1694A">
        <w:rPr>
          <w:rFonts w:ascii="Times New Roman" w:eastAsiaTheme="minorHAnsi" w:hAnsi="Times New Roman" w:cs="Times New Roman"/>
          <w:bCs/>
          <w:sz w:val="24"/>
          <w:szCs w:val="24"/>
        </w:rPr>
        <w:t>of low-income children by enhancing their cognitive, social, and emotional development.”</w:t>
      </w:r>
      <w:r w:rsidRPr="00C1694A">
        <w:rPr>
          <w:rStyle w:val="FootnoteReference"/>
          <w:rFonts w:ascii="Times New Roman" w:eastAsiaTheme="minorHAnsi" w:hAnsi="Times New Roman" w:cs="Times New Roman"/>
          <w:bCs/>
          <w:sz w:val="24"/>
          <w:szCs w:val="24"/>
        </w:rPr>
        <w:footnoteReference w:id="127"/>
      </w:r>
      <w:r w:rsidRPr="00C1694A">
        <w:rPr>
          <w:rFonts w:ascii="Times New Roman" w:hAnsi="Times New Roman" w:cs="Times New Roman"/>
          <w:sz w:val="24"/>
          <w:szCs w:val="24"/>
        </w:rPr>
        <w:t xml:space="preserve">  This mission is based upon decades of scientific research that documents the strong and lasting impact of children’s experiences in their first five years of life on brain development, learning, and health,</w:t>
      </w:r>
      <w:r w:rsidRPr="00C1694A">
        <w:rPr>
          <w:rStyle w:val="FootnoteReference"/>
          <w:rFonts w:ascii="Times New Roman" w:hAnsi="Times New Roman" w:cs="Times New Roman"/>
          <w:sz w:val="24"/>
          <w:szCs w:val="24"/>
        </w:rPr>
        <w:footnoteReference w:id="12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2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30"/>
      </w:r>
      <w:r w:rsidRPr="00C1694A">
        <w:rPr>
          <w:rFonts w:ascii="Times New Roman" w:hAnsi="Times New Roman" w:cs="Times New Roman"/>
          <w:sz w:val="24"/>
          <w:szCs w:val="24"/>
        </w:rPr>
        <w:t xml:space="preserve"> and the significant economic impact of such benefits on children individually and on society as a whole. A wealth of research suggests that participation in early learning programs can help support optimal child development during these crucial first five years, particularly for children from low-income families, with benefits for society lasting well into adulthood.</w:t>
      </w:r>
      <w:r w:rsidRPr="00C1694A">
        <w:rPr>
          <w:rStyle w:val="FootnoteReference"/>
          <w:rFonts w:ascii="Times New Roman" w:hAnsi="Times New Roman" w:cs="Times New Roman"/>
          <w:sz w:val="24"/>
          <w:szCs w:val="24"/>
        </w:rPr>
        <w:footnoteReference w:id="13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32"/>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3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34"/>
      </w:r>
      <w:r w:rsidRPr="00C1694A">
        <w:rPr>
          <w:rFonts w:ascii="Times New Roman" w:hAnsi="Times New Roman" w:cs="Times New Roman"/>
          <w:sz w:val="24"/>
          <w:szCs w:val="24"/>
        </w:rPr>
        <w:t xml:space="preserve">  However, provision of consistently high-quality early learning experiences is central to reaping these benefits from early learning programs, including Head Start programs.  The congressionally mandated, randomized control trial study of Head Start’s impact did not show lasting effects on the outcomes measured beyond the end of the Head Start program years for all children.  Specifically, while the Impact Study found effects at the end of participation in Head Start, by third grade the control and treatment groups showed no significant differences.</w:t>
      </w:r>
      <w:r w:rsidRPr="00C1694A">
        <w:rPr>
          <w:rStyle w:val="FootnoteReference"/>
          <w:rFonts w:ascii="Times New Roman" w:hAnsi="Times New Roman" w:cs="Times New Roman"/>
          <w:sz w:val="24"/>
          <w:szCs w:val="24"/>
        </w:rPr>
        <w:footnoteReference w:id="135"/>
      </w:r>
      <w:r w:rsidRPr="00C1694A">
        <w:rPr>
          <w:rFonts w:ascii="Times New Roman" w:hAnsi="Times New Roman" w:cs="Times New Roman"/>
          <w:sz w:val="24"/>
          <w:szCs w:val="24"/>
        </w:rPr>
        <w:t xml:space="preserve">  However, recent reanalysis of data from the Head Start Impact Study suggests that those programs that were full-day had a more positive impact on children’s cognitive outcomes.</w:t>
      </w:r>
      <w:r w:rsidRPr="00C1694A">
        <w:rPr>
          <w:rStyle w:val="FootnoteReference"/>
          <w:rFonts w:ascii="Times New Roman" w:hAnsi="Times New Roman" w:cs="Times New Roman"/>
          <w:sz w:val="24"/>
          <w:szCs w:val="24"/>
        </w:rPr>
        <w:footnoteReference w:id="136"/>
      </w:r>
      <w:r w:rsidRPr="00C1694A">
        <w:rPr>
          <w:rFonts w:ascii="Times New Roman" w:hAnsi="Times New Roman" w:cs="Times New Roman"/>
          <w:sz w:val="24"/>
          <w:szCs w:val="24"/>
        </w:rPr>
        <w:t xml:space="preserve">  In order for Head Start to achieve its mission to be an effective tool in supporting children’s success in kindergarten and beyond, all programs must be high quality.   Decades of best practices, the latest research in early education, expert advice, the Secretary’s Advisory Committee’s recommendations, and Congressional mandates from the Act, all demonstrate that more can be done to ensure all Head Start programs provide consistently high-quality early learning experiences that prepare children for kindergarten and have long-term effects on their academic success. These findings all culminate in the need for policy changes. Additionally, we streamlined requirements and minimized administrative burden on local programs anticipate these changes will help move Head Start away from a compliance-oriented culture to an outcomes-focused one.  Furthermore, we believe this approach will support better collaboration with other programs and funding streams.</w:t>
      </w:r>
      <w:r w:rsidRPr="00C1694A">
        <w:rPr>
          <w:rFonts w:ascii="Times New Roman" w:hAnsi="Times New Roman" w:cs="Times New Roman"/>
        </w:rPr>
        <w:t xml:space="preserve">  </w:t>
      </w:r>
      <w:r w:rsidRPr="00C1694A">
        <w:rPr>
          <w:rFonts w:ascii="Times New Roman" w:hAnsi="Times New Roman" w:cs="Times New Roman"/>
          <w:sz w:val="24"/>
          <w:szCs w:val="24"/>
        </w:rPr>
        <w:t xml:space="preserve">We believe the final rule, which incorporates these needed changes, will empower all programs to achieve this goal.  </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2. Cost and Savings Analysis</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this section, we first summarize and respond to comments we received on the Regulatory Impact Analysis in the NPRM.  Then, we describe the data sources and general methodology used to calculate costs and savings throughout this analysis.  We also summarize the total estimated costs and cost savings associated with this rule, split into four categories: costs and cost savings borne by Head Start, costs and cost savings borne by other parties, opportunity costs, and transfer costs.  Finally, we itemize the cost and cost savings estimates associated with individual provisions and describe the assumptions, methodology, and data used to calculate each estimate.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Comment and Response</w:t>
      </w:r>
      <w:r w:rsidRPr="00C1694A">
        <w:rPr>
          <w:rFonts w:ascii="Times New Roman" w:hAnsi="Times New Roman" w:cs="Times New Roman"/>
          <w:sz w:val="24"/>
          <w:szCs w:val="24"/>
        </w:rPr>
        <w:tab/>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Many commenters noted that new requirements would impose additional costs.  Some of the costs that commenters highlighted were already accounted for in the Regulatory Impact Analyses of the NPRM including costs associated with increased duration, background checks, curriculum requirements, mentor coaching, additional staff qualifications, the waiver application process, providing annual notice to parents of release of personally identifiable information, and costs to implement the changes to the Head Start Program Performance Standards (HSPPS).  Other commenters explicitly suggested that the Regulatory Impact Analysis underestimated the costs associated with the provisions it addressed, such as the cost of additional facilities or other start-up including cots for naptime, in the estimate for increasing Head Start center-based duration.  Some of these commenters did not provide evidence or a rationale to support these claims.  Other commenters suggested costs in their community would be higher for a variety of reasons.  </w:t>
      </w:r>
    </w:p>
    <w:p w:rsidR="006C2DBA" w:rsidRPr="00C1694A" w:rsidRDefault="006C2DBA" w:rsidP="002C7F87">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estimate the costs associated with increasing duration, additional background checks, new curriculum requirements, coaching, additional staff qualifications, the waiver application process, providing annual notice to parents of release of personally identifiable information, and many other new requirements in the HSPPS in this Regulatory Impact Analysis.  We acknowledge there are additional costs associated with facilities and other start-up activities for increasing duration Given the period of ramp-up that most programs will need to implement the duration requirements with additional funding, we anticipate that a portion of any first 12-month operational award will be available for the purchase or renovation of facilities and other start-up activities before programs begin serving children at the higher duration.  Nonetheless, we have included an estimate of start-up costs and assumed that these one-time costs will be borne the year prior to the effective dates for duration requirements to reflect the additional costs that would be incurred if these requirements were implemented without adequate funding. In addition, we have adjusted estimates throughout this analysis to reflect revisions to requirements in response to public comments, for example, the final rule requires 1,020 annual hours rather than prescribing 6 hours per day and 180 days per year for Head Start center-based programs, and the final rule reinstates the requirement for parent committees.  While we understand that costs of specific provisions will vary across communities, we use the best available data to estimate the cost for all Head Start programs, on average.  </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expressed concerns related to costs that the NPRM would have imposed or they perceived the NPRM to impose.  These costs include the cost of group socialization sites needing to be licensed, costs in rural areas if the home-based option for preschool was removed as a standard option, reduced benefits from the elimination of family partnership agreements, transportation for child health services, partnering with universities to adapt curricula, decreased in-kind matches in volunteer hours and engagement due to reduced enrollment, loss of transportation when partnering with an LEA because of full day requirements, and services to children with significant delays who do not yet have IEPs or IFSPs. </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Throughout the preamble of the final rule, we address comments suggesting concerns related to requirements that would have imposed unnecessary or unaccounted for costs.  We revised the final rule to provide greater flexibility or prevent unintended consequences that would have resulted in additional costs for many of the concerns commenters noted.  For example, the final rule requires 1,020 annual hours rather than prescribing 6 hours per day and 180 days per year for Head Start center-based programs.  The final rule also allows programs to align their schedules with their local education agency to maintain or facilitate partnerships.  These changes address concerns about costs that would arise from disrupted partnerships with local education agencies and costs associated with extending the year in cases where 1,020 annual hours are already being provided through a slightly shorter year.  </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Some commenters expressed concerns about costs that are implicitly required in current regulation but more explicitly required in the revision of the HSPPS including tracking and analyzing data for continuous quality improvement, providing mental health consultation services, and appropriate training for staff or volunteers involved in the transportation of children.</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Although we recognize there are costs associated with these services, the purpose of the Regulatory Impact Analysis is to estimate the costs associated with new requirements.  Tracking and analyzing data for continuous quality improvement, providing mental health consultation services, and appropriate training for staff or volunteers are requirements that existed in the previous performance standards so those costs have not been quantified here.  However, in the Benefits Analysis section, we have noted that the clarity the final rule provides should lead to improved compliance with these and other requirements which should be associated with improved child safety and stronger child and family outcomes.</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suggested that the Regulatory Impact Analysis should incorporate costs associated with prioritizing three year olds for enrollment in Head Start.  These commenters highlighted the lower group size and ratio requirements for three-year-olds as an indication of greater cost. </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We would consider prioritizing three-year olds and thereby serving fewer children in Head Start a conversion that would not change the grantee’s overall budget and would not be supported by additional funds.  Therefore we have not accounted for any monetary costs associated with this provision here.  While we recognize that this would lead to a reduction in slots, it would actually be an increase in the number of children served by early childhood programs overall, because the prioritization is only required if there are programs in the community serving four-year olds. Further, we lack data to support a reasonable assumption about how often and at what point in the future other programs in Head Start communities would be available to serve four-year-olds.  Therefore, we have not quantified these costs to programs or any transfer of benefits here.</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Many commenters suggested specific costs associated with new requirements in the NPRM that are being maintained in the final rule and that were not addressed in the original Regulatory Impact Analysis, including use of a parenting curriculum, attempting to contact parents if they have not notified the program that their children will be absent, participation in state Quality Improvement Rating Systems, and participation in state longitudinal data systems.</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We have estimated costs associated with these requirements in the Regulatory Impact Analysis below.</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Many commenters expressed the desire for the Head Start Performance Standards to require and account for increased teacher compensation.  </w:t>
      </w:r>
    </w:p>
    <w:p w:rsidR="006C2DBA" w:rsidRPr="00C1694A" w:rsidRDefault="006C2DBA" w:rsidP="002C7F87">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that teacher compensation is vitally important to attracting and retaining effective teachers.  However, addressing compensation is outside the scope of this regulation because teacher compensation is determined by congressional appropriations and local decisions.  Nonetheless, our cost estimates for increasing durati</w:t>
      </w:r>
      <w:r>
        <w:rPr>
          <w:rFonts w:ascii="Times New Roman" w:hAnsi="Times New Roman" w:cs="Times New Roman"/>
          <w:sz w:val="24"/>
          <w:szCs w:val="24"/>
        </w:rPr>
        <w:t xml:space="preserve">on assume costs will be driven </w:t>
      </w:r>
      <w:r w:rsidRPr="00C1694A">
        <w:rPr>
          <w:rFonts w:ascii="Times New Roman" w:hAnsi="Times New Roman" w:cs="Times New Roman"/>
          <w:sz w:val="24"/>
          <w:szCs w:val="24"/>
        </w:rPr>
        <w:t xml:space="preserve">in large part by additional pay for teacher’s time, such that programs that must increase their duration as a result of this rule could increase teacher pay in a commensurate fashion if sufficient funds are available. </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suggested the Regulatory Impact Analysis should include mention of the benefits associated with longer duration allowing parents to work. </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xml:space="preserve"> We agree and have revised the discussion of potential benefits to include the benefits associated with allowing more Head Start parents to work.  </w:t>
      </w:r>
    </w:p>
    <w:p w:rsidR="006C2DBA" w:rsidRPr="00C1694A" w:rsidRDefault="006C2DBA" w:rsidP="002C7F87">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Comment</w:t>
      </w:r>
      <w:r w:rsidRPr="00C1694A">
        <w:rPr>
          <w:rFonts w:ascii="Times New Roman" w:hAnsi="Times New Roman" w:cs="Times New Roman"/>
          <w:sz w:val="24"/>
          <w:szCs w:val="24"/>
        </w:rPr>
        <w:t xml:space="preserve">: Some commenters suggested revisions to our cost estimates for specific provisions.  Commenters suggested we revise the assumption that there would be no additional administrative costs associated with transforming double session programs into single session, full school day and full school year programs.  Commenters also suggested that the regulatory impact analysis should build in cost of living increases overtime to reflect the true cost of the rule.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u w:val="single"/>
        </w:rPr>
        <w:t>Response</w:t>
      </w:r>
      <w:r w:rsidRPr="00C1694A">
        <w:rPr>
          <w:rFonts w:ascii="Times New Roman" w:hAnsi="Times New Roman" w:cs="Times New Roman"/>
          <w:sz w:val="24"/>
          <w:szCs w:val="24"/>
        </w:rPr>
        <w:t>: We have revised our estimates in response to these comments.  With regard to administrative costs we no longer assume a reduction in the cost estimate for increasing duration based on lower administrative costs.  In addition, while the Regulatory Impact Analysis reports costs in real dollars, we have added a table in the section on the implications of Congressional and Secretarial action that reflects the costs of the rule, adjusted for cost of living increases over time, to ensure the full cost and the potential slot loss associated with those costs are clearly articulated.</w:t>
      </w:r>
    </w:p>
    <w:p w:rsidR="006C2DBA" w:rsidRPr="00C1694A" w:rsidRDefault="006C2DBA" w:rsidP="00331A7B">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Data Sources and Methodology</w:t>
      </w:r>
    </w:p>
    <w:p w:rsidR="006C2DBA" w:rsidRPr="00C1694A" w:rsidRDefault="006C2DBA" w:rsidP="00DC5146">
      <w:pPr>
        <w:pStyle w:val="BodyTextIndent"/>
        <w:spacing w:line="480" w:lineRule="auto"/>
        <w:ind w:left="0" w:firstLine="720"/>
      </w:pPr>
      <w:r w:rsidRPr="00C1694A">
        <w:t xml:space="preserve">The majority of the estimates in this regulatory impact analysis utilize two Office of Head Start internal datasets: the Grant Application and Budget Instrument (GABI) and the Program Information Report (PIR). Whenever possible, in this regulatory impact analysis, estimates are based upon these datasets.  When a data point is necessary to estimate the cost of any provision that cannot be drawn from the GABI or PIR, other data sources are utilized.  These data sources are described or cited in the narrative of the relevant cost estimates. </w:t>
      </w:r>
    </w:p>
    <w:p w:rsidR="006C2DBA" w:rsidRPr="00C1694A" w:rsidRDefault="006C2DBA" w:rsidP="00331A7B">
      <w:pPr>
        <w:pStyle w:val="BodyTextIndent"/>
        <w:spacing w:line="480" w:lineRule="auto"/>
        <w:ind w:left="0" w:firstLine="720"/>
      </w:pPr>
      <w:r w:rsidRPr="00C1694A">
        <w:t xml:space="preserve">The Head Start GABI is a uniform OMB approved application and budget instrument to standardize the format for the collection of program-specific data grantees provide with a continuation grant application. Head Start grantees provide a range of data on their proposed budgets including non-federal share, any other sources of funding, program options, and program schedules. </w:t>
      </w:r>
    </w:p>
    <w:p w:rsidR="006C2DBA" w:rsidRPr="00C1694A" w:rsidRDefault="006C2DBA" w:rsidP="00331A7B">
      <w:pPr>
        <w:pStyle w:val="BodyTextIndent"/>
        <w:spacing w:line="480" w:lineRule="auto"/>
        <w:ind w:left="0" w:firstLine="720"/>
      </w:pPr>
      <w:r w:rsidRPr="00C1694A">
        <w:t xml:space="preserve">The PIR is a survey of all grantees that provides comprehensive data on Head Start, Early Head Start and Migrant Head Start programs nationwide.  Data collection for the PIR is automated to improve efficiency in the collection and analysis of data. Head Start achieves a 100 percent response rate annually from approximately 2,600 respondents.  </w:t>
      </w:r>
    </w:p>
    <w:p w:rsidR="006C2DBA" w:rsidRPr="00C1694A" w:rsidRDefault="006C2DBA" w:rsidP="00331A7B">
      <w:pPr>
        <w:pStyle w:val="BodyTextIndent"/>
        <w:spacing w:line="480" w:lineRule="auto"/>
        <w:ind w:left="0" w:firstLine="720"/>
      </w:pPr>
      <w:r w:rsidRPr="00C1694A">
        <w:t xml:space="preserve">These datasets have some limitations. For example, depending on where programs are in the application process or if they are submitting competitive applications, rather than continuation applications, the GABI data can be incomplete. We addressed this limitation in two ways.  For grantees that had not submitted GABI data in FY 2015 due to DRS transitions or other factors, we used their FY 2014 GABI data.  In addition, to account for missing data, we determined which specific grantees did not have program schedules in the 2015 GABI data, and then determined the funded enrollment associated with those specific grantees using data from the Head Start Enterprise System. Through this analysis, we learned that 11 percent of Head Start funded enrollment slots and 13 percent of Early Head Start enrollment slots are missing from the 2015 GABI data.  Therefore, throughout this analysis, we increase estimates using GABI data by 11 percent for Head Start and 13 percent for Early Head Start.   Further, the PIR data is self-reported data that has not been independently verified. </w:t>
      </w:r>
    </w:p>
    <w:p w:rsidR="006C2DBA" w:rsidRPr="00C1694A" w:rsidRDefault="006C2DBA" w:rsidP="00331A7B">
      <w:pPr>
        <w:pStyle w:val="BodyTextIndent"/>
        <w:spacing w:line="480" w:lineRule="auto"/>
        <w:ind w:left="0" w:firstLine="720"/>
      </w:pPr>
      <w:r w:rsidRPr="00C1694A">
        <w:t xml:space="preserve">The methodology we use to estimate costs and cost savings associated with individual provisions varies throughout this analysis.  We have included a description of each methodology in the Itemized Costs and Cost Savings section of this analysis. As appropriate, estimates associated with new salaries have been doubled to account for fringe benefits and overhead.  Estimates associated with duration requirements that increase the hours and days staff must work and increases to salaries based on higher credentials are inflated by one-third to include costs associated with an increase in fringe benefits but exclude any additional overhead costs.  </w:t>
      </w:r>
    </w:p>
    <w:p w:rsidR="006C2DBA" w:rsidRPr="00C1694A" w:rsidRDefault="006C2DBA" w:rsidP="00AB2A92">
      <w:pPr>
        <w:pStyle w:val="BodyTextIndent"/>
        <w:spacing w:line="480" w:lineRule="auto"/>
        <w:ind w:left="0" w:firstLine="720"/>
      </w:pPr>
      <w:r w:rsidRPr="00C1694A">
        <w:t xml:space="preserve">Finally, in general, we have rounded total cost estimates but have not rounded itemized cost estimates for transparency of the estimation process.  These unrounded itemized cost estimates should not be interpreted as overly precise, but instead represent our best estimation given limitations. </w:t>
      </w:r>
    </w:p>
    <w:p w:rsidR="006C2DBA" w:rsidRPr="00C1694A" w:rsidRDefault="006C2DBA" w:rsidP="00331A7B">
      <w:pPr>
        <w:tabs>
          <w:tab w:val="center" w:pos="4680"/>
        </w:tabs>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Summary of Costs and Cost Savings</w:t>
      </w:r>
      <w:r w:rsidRPr="00C1694A">
        <w:rPr>
          <w:rFonts w:ascii="Times New Roman" w:hAnsi="Times New Roman" w:cs="Times New Roman"/>
          <w:b/>
          <w:sz w:val="24"/>
          <w:szCs w:val="24"/>
        </w:rPr>
        <w:tab/>
      </w:r>
    </w:p>
    <w:p w:rsidR="006C2DBA" w:rsidRPr="00C1694A" w:rsidRDefault="006C2DBA" w:rsidP="00DC5146">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Throughout this analysis, we identify and itemize the costs and cost savings to society associated with the changes from the previous regulation in three categories: costs borne by Head Start, costs borne by other parties, and opportunity costs.  We describe the calculation of each of these costs in the appropriate sections throughout this analysis.  The table below summarizes all of the itemized costs for every year over a ten year window.  The final year (year ten) represents our best estimation of costs in year ten and ongoing costs thereafter.  </w:t>
      </w:r>
      <w:r>
        <w:rPr>
          <w:rFonts w:ascii="Times New Roman" w:hAnsi="Times New Roman" w:cs="Times New Roman"/>
          <w:sz w:val="24"/>
          <w:szCs w:val="24"/>
        </w:rPr>
        <w:t>We analyze the costs of the regulation two ways in the table and throughout this analysis – we estimate the costs of the regulation without consideration of the substantial resources provided in FY 2016 to increase duration in Head Start and we estimate the costs net of these resources which have already been provided and are now part of the budget baseline for the Head Start program, assuming this funding increase is maintained across the ten year window.  In year 10, the total cost to Head Start after accounting for the funding Congress has already provided to expand duration total $1,003,152,645; without the $294 million in funding provided in FY 2016 and now part of the budget baseline, the total cost would be $1,297,152,645</w:t>
      </w:r>
      <w:r>
        <w:rPr>
          <w:rFonts w:ascii="Times New Roman" w:eastAsia="Times New Roman" w:hAnsi="Times New Roman" w:cs="Times New Roman"/>
          <w:sz w:val="24"/>
          <w:szCs w:val="24"/>
        </w:rPr>
        <w:t xml:space="preserve">.  In year ten and ongoing, </w:t>
      </w:r>
      <w:r w:rsidRPr="00C1694A">
        <w:rPr>
          <w:rFonts w:ascii="Times New Roman" w:hAnsi="Times New Roman" w:cs="Times New Roman"/>
          <w:sz w:val="24"/>
          <w:szCs w:val="24"/>
        </w:rPr>
        <w:t>costs borne by other parties total $</w:t>
      </w:r>
      <w:r>
        <w:rPr>
          <w:rFonts w:ascii="Times New Roman" w:eastAsia="Times New Roman" w:hAnsi="Times New Roman" w:cs="Times New Roman"/>
          <w:sz w:val="24"/>
          <w:szCs w:val="24"/>
        </w:rPr>
        <w:t>46,464,140</w:t>
      </w:r>
      <w:r w:rsidRPr="00C1694A">
        <w:rPr>
          <w:rFonts w:ascii="Times New Roman" w:hAnsi="Times New Roman" w:cs="Times New Roman"/>
          <w:sz w:val="24"/>
          <w:szCs w:val="24"/>
        </w:rPr>
        <w:t>, and opportunity costs total $</w:t>
      </w:r>
      <w:r>
        <w:rPr>
          <w:rFonts w:ascii="Times New Roman" w:eastAsia="Times New Roman" w:hAnsi="Times New Roman" w:cs="Times New Roman"/>
          <w:sz w:val="24"/>
          <w:szCs w:val="24"/>
        </w:rPr>
        <w:t>4,202,017</w:t>
      </w:r>
      <w:r w:rsidRPr="00C1694A">
        <w:rPr>
          <w:rFonts w:ascii="Times New Roman" w:hAnsi="Times New Roman" w:cs="Times New Roman"/>
          <w:sz w:val="24"/>
          <w:szCs w:val="24"/>
        </w:rPr>
        <w:t xml:space="preserve">.  </w:t>
      </w:r>
      <w:r>
        <w:rPr>
          <w:rFonts w:ascii="Times New Roman" w:hAnsi="Times New Roman" w:cs="Times New Roman"/>
          <w:sz w:val="24"/>
          <w:szCs w:val="24"/>
        </w:rPr>
        <w:t>Therefore, w</w:t>
      </w:r>
      <w:r w:rsidRPr="00C1694A">
        <w:rPr>
          <w:rFonts w:ascii="Times New Roman" w:hAnsi="Times New Roman" w:cs="Times New Roman"/>
          <w:sz w:val="24"/>
          <w:szCs w:val="24"/>
        </w:rPr>
        <w:t xml:space="preserve">e </w:t>
      </w:r>
      <w:r>
        <w:rPr>
          <w:rFonts w:ascii="Times New Roman" w:hAnsi="Times New Roman" w:cs="Times New Roman"/>
          <w:sz w:val="24"/>
          <w:szCs w:val="24"/>
        </w:rPr>
        <w:t>estimate</w:t>
      </w:r>
      <w:r w:rsidRPr="00C1694A">
        <w:rPr>
          <w:rFonts w:ascii="Times New Roman" w:hAnsi="Times New Roman" w:cs="Times New Roman"/>
          <w:sz w:val="24"/>
          <w:szCs w:val="24"/>
        </w:rPr>
        <w:t xml:space="preserve"> the net cost to society of the final rule, if fully implemented, to be </w:t>
      </w:r>
      <w:r w:rsidRPr="00C1694A">
        <w:rPr>
          <w:rFonts w:ascii="Times New Roman" w:eastAsia="Times New Roman" w:hAnsi="Times New Roman" w:cs="Times New Roman"/>
          <w:sz w:val="24"/>
          <w:szCs w:val="24"/>
        </w:rPr>
        <w:t>$</w:t>
      </w:r>
      <w:r>
        <w:rPr>
          <w:rFonts w:ascii="Times New Roman" w:eastAsia="Times New Roman" w:hAnsi="Times New Roman" w:cs="Times New Roman"/>
          <w:sz w:val="24"/>
          <w:szCs w:val="24"/>
        </w:rPr>
        <w:t>1,053,818,802</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in year ten and ongoing</w:t>
      </w:r>
      <w:r>
        <w:rPr>
          <w:rFonts w:ascii="Times New Roman" w:hAnsi="Times New Roman" w:cs="Times New Roman"/>
          <w:sz w:val="24"/>
          <w:szCs w:val="24"/>
        </w:rPr>
        <w:t>, when the funding Congress has already provided is taken into account</w:t>
      </w:r>
      <w:r w:rsidRPr="00C1694A">
        <w:rPr>
          <w:rFonts w:ascii="Times New Roman" w:hAnsi="Times New Roman" w:cs="Times New Roman"/>
          <w:sz w:val="24"/>
          <w:szCs w:val="24"/>
        </w:rPr>
        <w:t>.</w:t>
      </w:r>
    </w:p>
    <w:p w:rsidR="006C2DBA" w:rsidRPr="00C1694A" w:rsidRDefault="006C2DBA" w:rsidP="00DC51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Pr="00C1694A">
        <w:rPr>
          <w:rFonts w:ascii="Times New Roman" w:hAnsi="Times New Roman" w:cs="Times New Roman"/>
          <w:sz w:val="24"/>
          <w:szCs w:val="24"/>
        </w:rPr>
        <w:t>ithout additional appropriations in future years or action by the Secretary as described in §1302.21(c)(3) to lower the requirements described in paragraphs §1302.21(c)(2)(iii) and (iv) of the final rule, Head Start programs would need to absorb any additional costs within their current budgets.  We discuss the implications of Congressional and Secretarial actions, as well as potential slot and teacher job loss, in more detail in the Benefits Analysis section below.</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1530"/>
        <w:gridCol w:w="1525"/>
        <w:gridCol w:w="1264"/>
        <w:gridCol w:w="1353"/>
        <w:gridCol w:w="1250"/>
      </w:tblGrid>
      <w:tr w:rsidR="006C2DBA" w:rsidRPr="00C1694A" w:rsidTr="00D23898">
        <w:trPr>
          <w:trHeight w:val="215"/>
        </w:trPr>
        <w:tc>
          <w:tcPr>
            <w:tcW w:w="5000" w:type="pct"/>
            <w:gridSpan w:val="6"/>
            <w:shd w:val="clear" w:color="auto" w:fill="auto"/>
            <w:noWrap/>
            <w:vAlign w:val="bottom"/>
          </w:tcPr>
          <w:p w:rsidR="006C2DBA" w:rsidRPr="00C1694A" w:rsidRDefault="006C2DBA">
            <w:pPr>
              <w:spacing w:after="0" w:line="240" w:lineRule="auto"/>
              <w:ind w:right="115"/>
              <w:rPr>
                <w:rFonts w:ascii="Times New Roman" w:eastAsia="Times New Roman" w:hAnsi="Times New Roman" w:cs="Times New Roman"/>
                <w:b/>
                <w:bCs/>
                <w:sz w:val="16"/>
                <w:szCs w:val="16"/>
              </w:rPr>
            </w:pPr>
            <w:r w:rsidRPr="00C1694A">
              <w:rPr>
                <w:rFonts w:ascii="Times New Roman" w:hAnsi="Times New Roman" w:cs="Times New Roman"/>
                <w:sz w:val="24"/>
                <w:szCs w:val="24"/>
              </w:rPr>
              <w:br w:type="page"/>
            </w:r>
            <w:r w:rsidRPr="00C1694A">
              <w:rPr>
                <w:rFonts w:ascii="Times New Roman" w:eastAsia="Times New Roman" w:hAnsi="Times New Roman" w:cs="Times New Roman"/>
                <w:b/>
                <w:sz w:val="16"/>
                <w:szCs w:val="16"/>
              </w:rPr>
              <w:t>Summary Table of All Costs Borne by Head Start Years 1-5</w:t>
            </w:r>
          </w:p>
        </w:tc>
      </w:tr>
      <w:tr w:rsidR="006C2DBA" w:rsidRPr="00C1694A" w:rsidTr="007259C9">
        <w:trPr>
          <w:trHeight w:val="215"/>
        </w:trPr>
        <w:tc>
          <w:tcPr>
            <w:tcW w:w="1633" w:type="pct"/>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16"/>
                <w:szCs w:val="16"/>
              </w:rPr>
            </w:pPr>
          </w:p>
        </w:tc>
        <w:tc>
          <w:tcPr>
            <w:tcW w:w="744" w:type="pct"/>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1  </w:t>
            </w:r>
          </w:p>
          <w:p w:rsidR="006C2DBA" w:rsidRPr="00C1694A" w:rsidRDefault="006C2DBA" w:rsidP="00DC5146">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2016-2017</w:t>
            </w:r>
            <w:r>
              <w:rPr>
                <w:rFonts w:ascii="Times New Roman" w:eastAsia="Times New Roman" w:hAnsi="Times New Roman" w:cs="Times New Roman"/>
                <w:b/>
                <w:bCs/>
                <w:sz w:val="16"/>
                <w:szCs w:val="16"/>
              </w:rPr>
              <w:t>*</w:t>
            </w:r>
            <w:r w:rsidRPr="00C1694A">
              <w:rPr>
                <w:rFonts w:ascii="Times New Roman" w:eastAsia="Times New Roman" w:hAnsi="Times New Roman" w:cs="Times New Roman"/>
                <w:b/>
                <w:bCs/>
                <w:sz w:val="16"/>
                <w:szCs w:val="16"/>
              </w:rPr>
              <w:t xml:space="preserve">  </w:t>
            </w:r>
          </w:p>
        </w:tc>
        <w:tc>
          <w:tcPr>
            <w:tcW w:w="742" w:type="pct"/>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2 </w:t>
            </w:r>
          </w:p>
          <w:p w:rsidR="006C2DBA" w:rsidRPr="00C1694A" w:rsidRDefault="006C2DBA" w:rsidP="00DC5146">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2017-2018</w:t>
            </w:r>
            <w:r>
              <w:rPr>
                <w:rFonts w:ascii="Times New Roman" w:eastAsia="Times New Roman" w:hAnsi="Times New Roman" w:cs="Times New Roman"/>
                <w:b/>
                <w:bCs/>
                <w:sz w:val="16"/>
                <w:szCs w:val="16"/>
              </w:rPr>
              <w:t>*</w:t>
            </w:r>
          </w:p>
        </w:tc>
        <w:tc>
          <w:tcPr>
            <w:tcW w:w="615" w:type="pct"/>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3 </w:t>
            </w:r>
          </w:p>
          <w:p w:rsidR="006C2DBA" w:rsidRPr="00C1694A" w:rsidRDefault="006C2DBA" w:rsidP="00DC5146">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2018-2019</w:t>
            </w:r>
            <w:r>
              <w:rPr>
                <w:rFonts w:ascii="Times New Roman" w:eastAsia="Times New Roman" w:hAnsi="Times New Roman" w:cs="Times New Roman"/>
                <w:b/>
                <w:bCs/>
                <w:sz w:val="16"/>
                <w:szCs w:val="16"/>
              </w:rPr>
              <w:t>*</w:t>
            </w:r>
          </w:p>
        </w:tc>
        <w:tc>
          <w:tcPr>
            <w:tcW w:w="658" w:type="pct"/>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4 </w:t>
            </w:r>
          </w:p>
          <w:p w:rsidR="006C2DBA" w:rsidRPr="00C1694A" w:rsidRDefault="006C2DBA" w:rsidP="00DC5146">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2019-2020</w:t>
            </w:r>
            <w:r>
              <w:rPr>
                <w:rFonts w:ascii="Times New Roman" w:eastAsia="Times New Roman" w:hAnsi="Times New Roman" w:cs="Times New Roman"/>
                <w:b/>
                <w:bCs/>
                <w:sz w:val="16"/>
                <w:szCs w:val="16"/>
              </w:rPr>
              <w:t>*</w:t>
            </w:r>
          </w:p>
        </w:tc>
        <w:tc>
          <w:tcPr>
            <w:tcW w:w="609"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5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2020-2021</w:t>
            </w:r>
            <w:r>
              <w:rPr>
                <w:rFonts w:ascii="Times New Roman" w:eastAsia="Times New Roman" w:hAnsi="Times New Roman" w:cs="Times New Roman"/>
                <w:b/>
                <w:bCs/>
                <w:sz w:val="16"/>
                <w:szCs w:val="16"/>
              </w:rPr>
              <w:t>*</w:t>
            </w:r>
            <w:r w:rsidRPr="00C1694A">
              <w:rPr>
                <w:rFonts w:ascii="Times New Roman" w:eastAsia="Times New Roman" w:hAnsi="Times New Roman" w:cs="Times New Roman"/>
                <w:b/>
                <w:bCs/>
                <w:sz w:val="16"/>
                <w:szCs w:val="16"/>
              </w:rPr>
              <w:t xml:space="preserve">   </w:t>
            </w:r>
          </w:p>
        </w:tc>
      </w:tr>
      <w:tr w:rsidR="006C2DBA" w:rsidRPr="00C1694A" w:rsidTr="007259C9">
        <w:trPr>
          <w:trHeight w:val="240"/>
        </w:trPr>
        <w:tc>
          <w:tcPr>
            <w:tcW w:w="1633" w:type="pct"/>
            <w:shd w:val="clear" w:color="auto" w:fill="auto"/>
            <w:noWrap/>
            <w:vAlign w:val="bottom"/>
          </w:tcPr>
          <w:p w:rsidR="006C2DBA" w:rsidRPr="00584978" w:rsidRDefault="006C2DBA" w:rsidP="007259C9">
            <w:pPr>
              <w:spacing w:after="0" w:line="240" w:lineRule="auto"/>
              <w:rPr>
                <w:rFonts w:ascii="Times New Roman" w:eastAsia="Times New Roman" w:hAnsi="Times New Roman" w:cs="Times New Roman"/>
                <w:bCs/>
                <w:i/>
                <w:sz w:val="16"/>
                <w:szCs w:val="16"/>
              </w:rPr>
            </w:pPr>
            <w:r w:rsidRPr="00C1694A">
              <w:rPr>
                <w:rFonts w:ascii="Times New Roman" w:eastAsia="Times New Roman" w:hAnsi="Times New Roman" w:cs="Times New Roman"/>
                <w:bCs/>
                <w:sz w:val="16"/>
                <w:szCs w:val="16"/>
              </w:rPr>
              <w:t xml:space="preserve">Increased Head Start </w:t>
            </w:r>
            <w:r w:rsidR="005F3C0D">
              <w:rPr>
                <w:rFonts w:ascii="Times New Roman" w:eastAsia="Times New Roman" w:hAnsi="Times New Roman" w:cs="Times New Roman"/>
                <w:bCs/>
                <w:sz w:val="16"/>
                <w:szCs w:val="16"/>
              </w:rPr>
              <w:t>Center-Based (</w:t>
            </w:r>
            <w:r w:rsidRPr="00C1694A">
              <w:rPr>
                <w:rFonts w:ascii="Times New Roman" w:eastAsia="Times New Roman" w:hAnsi="Times New Roman" w:cs="Times New Roman"/>
                <w:bCs/>
                <w:sz w:val="16"/>
                <w:szCs w:val="16"/>
              </w:rPr>
              <w:t>CB</w:t>
            </w:r>
            <w:r w:rsidR="005F3C0D">
              <w:rPr>
                <w:rFonts w:ascii="Times New Roman" w:eastAsia="Times New Roman" w:hAnsi="Times New Roman" w:cs="Times New Roman"/>
                <w:bCs/>
                <w:sz w:val="16"/>
                <w:szCs w:val="16"/>
              </w:rPr>
              <w:t>)</w:t>
            </w:r>
            <w:r w:rsidRPr="00C1694A">
              <w:rPr>
                <w:rFonts w:ascii="Times New Roman" w:eastAsia="Times New Roman" w:hAnsi="Times New Roman" w:cs="Times New Roman"/>
                <w:bCs/>
                <w:sz w:val="16"/>
                <w:szCs w:val="16"/>
              </w:rPr>
              <w:t xml:space="preserve"> Program Duration</w:t>
            </w:r>
            <w:r>
              <w:rPr>
                <w:rFonts w:ascii="Times New Roman" w:eastAsia="Times New Roman" w:hAnsi="Times New Roman" w:cs="Times New Roman"/>
                <w:bCs/>
                <w:sz w:val="16"/>
                <w:szCs w:val="16"/>
              </w:rPr>
              <w:t>,</w:t>
            </w:r>
            <w:r w:rsidRPr="00C1694A">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E</w:t>
            </w:r>
            <w:r w:rsidRPr="00584978">
              <w:rPr>
                <w:rFonts w:ascii="Times New Roman" w:eastAsia="Times New Roman" w:hAnsi="Times New Roman" w:cs="Times New Roman"/>
                <w:bCs/>
                <w:sz w:val="16"/>
                <w:szCs w:val="16"/>
              </w:rPr>
              <w:t xml:space="preserve">xcluding </w:t>
            </w:r>
            <w:r>
              <w:rPr>
                <w:rFonts w:ascii="Times New Roman" w:eastAsia="Times New Roman" w:hAnsi="Times New Roman" w:cs="Times New Roman"/>
                <w:bCs/>
                <w:sz w:val="16"/>
                <w:szCs w:val="16"/>
              </w:rPr>
              <w:t>D</w:t>
            </w:r>
            <w:r w:rsidRPr="00584978">
              <w:rPr>
                <w:rFonts w:ascii="Times New Roman" w:eastAsia="Times New Roman" w:hAnsi="Times New Roman" w:cs="Times New Roman"/>
                <w:bCs/>
                <w:sz w:val="16"/>
                <w:szCs w:val="16"/>
              </w:rPr>
              <w:t xml:space="preserve">uration </w:t>
            </w:r>
            <w:r>
              <w:rPr>
                <w:rFonts w:ascii="Times New Roman" w:eastAsia="Times New Roman" w:hAnsi="Times New Roman" w:cs="Times New Roman"/>
                <w:bCs/>
                <w:sz w:val="16"/>
                <w:szCs w:val="16"/>
              </w:rPr>
              <w:t>F</w:t>
            </w:r>
            <w:r w:rsidRPr="00584978">
              <w:rPr>
                <w:rFonts w:ascii="Times New Roman" w:eastAsia="Times New Roman" w:hAnsi="Times New Roman" w:cs="Times New Roman"/>
                <w:bCs/>
                <w:sz w:val="16"/>
                <w:szCs w:val="16"/>
              </w:rPr>
              <w:t xml:space="preserve">unding </w:t>
            </w:r>
            <w:r>
              <w:rPr>
                <w:rFonts w:ascii="Times New Roman" w:eastAsia="Times New Roman" w:hAnsi="Times New Roman" w:cs="Times New Roman"/>
                <w:bCs/>
                <w:sz w:val="16"/>
                <w:szCs w:val="16"/>
              </w:rPr>
              <w:t>A</w:t>
            </w:r>
            <w:r w:rsidRPr="00584978">
              <w:rPr>
                <w:rFonts w:ascii="Times New Roman" w:eastAsia="Times New Roman" w:hAnsi="Times New Roman" w:cs="Times New Roman"/>
                <w:bCs/>
                <w:sz w:val="16"/>
                <w:szCs w:val="16"/>
              </w:rPr>
              <w:t>ppropriated</w:t>
            </w:r>
            <w:r>
              <w:rPr>
                <w:rFonts w:ascii="Times New Roman" w:eastAsia="Times New Roman" w:hAnsi="Times New Roman" w:cs="Times New Roman"/>
                <w:bCs/>
                <w:sz w:val="16"/>
                <w:szCs w:val="16"/>
              </w:rPr>
              <w:t xml:space="preserve"> </w:t>
            </w:r>
            <w:r w:rsidRPr="00584978">
              <w:rPr>
                <w:rFonts w:ascii="Times New Roman" w:eastAsia="Times New Roman" w:hAnsi="Times New Roman" w:cs="Times New Roman"/>
                <w:bCs/>
                <w:sz w:val="16"/>
                <w:szCs w:val="16"/>
              </w:rPr>
              <w:t>in FY 2016</w:t>
            </w:r>
          </w:p>
        </w:tc>
        <w:tc>
          <w:tcPr>
            <w:tcW w:w="744" w:type="pct"/>
            <w:shd w:val="clear" w:color="auto" w:fill="auto"/>
            <w:noWrap/>
            <w:vAlign w:val="bottom"/>
          </w:tcPr>
          <w:p w:rsidR="006C2DBA" w:rsidRPr="00C1694A" w:rsidRDefault="006C2DBA" w:rsidP="00D82E7F">
            <w:pPr>
              <w:tabs>
                <w:tab w:val="left" w:pos="0"/>
              </w:tabs>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5"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65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$508,440,805</w:t>
            </w:r>
          </w:p>
        </w:tc>
        <w:tc>
          <w:tcPr>
            <w:tcW w:w="609"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$508,440,805</w:t>
            </w:r>
          </w:p>
        </w:tc>
      </w:tr>
      <w:tr w:rsidR="006C2DBA" w:rsidRPr="00C1694A" w:rsidTr="007259C9">
        <w:trPr>
          <w:trHeight w:val="350"/>
        </w:trPr>
        <w:tc>
          <w:tcPr>
            <w:tcW w:w="16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584978">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FY 2016 Funding Appropriated to Expand Head Start CB Duration </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pPr>
              <w:tabs>
                <w:tab w:val="left" w:pos="0"/>
              </w:tabs>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($263,121,940)</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584978">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($263,121,940)</w:t>
            </w:r>
          </w:p>
        </w:tc>
      </w:tr>
      <w:tr w:rsidR="006C2DBA" w:rsidRPr="00DB0091" w:rsidTr="007259C9">
        <w:trPr>
          <w:trHeight w:val="240"/>
        </w:trPr>
        <w:tc>
          <w:tcPr>
            <w:tcW w:w="1633" w:type="pct"/>
            <w:shd w:val="clear" w:color="auto" w:fill="auto"/>
            <w:noWrap/>
            <w:vAlign w:val="bottom"/>
          </w:tcPr>
          <w:p w:rsidR="006C2DBA" w:rsidRPr="00DB0091" w:rsidRDefault="006C2DBA" w:rsidP="00F410F9">
            <w:pPr>
              <w:spacing w:after="0" w:line="240" w:lineRule="auto"/>
              <w:rPr>
                <w:rFonts w:ascii="Times New Roman" w:eastAsia="Times New Roman" w:hAnsi="Times New Roman" w:cs="Times New Roman"/>
                <w:b/>
                <w:bCs/>
                <w:sz w:val="16"/>
                <w:szCs w:val="16"/>
              </w:rPr>
            </w:pPr>
            <w:r w:rsidRPr="00DB0091">
              <w:rPr>
                <w:rFonts w:ascii="Times New Roman" w:eastAsia="Times New Roman" w:hAnsi="Times New Roman" w:cs="Times New Roman"/>
                <w:b/>
                <w:bCs/>
                <w:sz w:val="16"/>
                <w:szCs w:val="16"/>
              </w:rPr>
              <w:t>Net Cost of Head Start CB Duration Increase</w:t>
            </w:r>
          </w:p>
        </w:tc>
        <w:tc>
          <w:tcPr>
            <w:tcW w:w="744" w:type="pct"/>
            <w:shd w:val="clear" w:color="auto" w:fill="auto"/>
            <w:noWrap/>
            <w:vAlign w:val="bottom"/>
          </w:tcPr>
          <w:p w:rsidR="006C2DBA" w:rsidRPr="00DB0091" w:rsidRDefault="006C2DBA" w:rsidP="00F410F9">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 xml:space="preserve"> $                    -   </w:t>
            </w:r>
          </w:p>
        </w:tc>
        <w:tc>
          <w:tcPr>
            <w:tcW w:w="742" w:type="pct"/>
            <w:shd w:val="clear" w:color="auto" w:fill="auto"/>
            <w:noWrap/>
            <w:vAlign w:val="bottom"/>
          </w:tcPr>
          <w:p w:rsidR="006C2DBA" w:rsidRPr="00DB0091" w:rsidRDefault="006C2DBA" w:rsidP="00F410F9">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 xml:space="preserve"> $                     -   </w:t>
            </w:r>
          </w:p>
        </w:tc>
        <w:tc>
          <w:tcPr>
            <w:tcW w:w="615" w:type="pct"/>
            <w:shd w:val="clear" w:color="auto" w:fill="auto"/>
            <w:noWrap/>
            <w:vAlign w:val="bottom"/>
          </w:tcPr>
          <w:p w:rsidR="006C2DBA" w:rsidRPr="00DB0091" w:rsidRDefault="006C2DBA" w:rsidP="00F410F9">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 xml:space="preserve"> $                    -   </w:t>
            </w:r>
          </w:p>
        </w:tc>
        <w:tc>
          <w:tcPr>
            <w:tcW w:w="658" w:type="pct"/>
            <w:shd w:val="clear" w:color="auto" w:fill="auto"/>
            <w:noWrap/>
            <w:vAlign w:val="bottom"/>
          </w:tcPr>
          <w:p w:rsidR="006C2DBA" w:rsidRPr="00DB0091" w:rsidRDefault="006C2DBA" w:rsidP="007259C9">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$245,318,865</w:t>
            </w:r>
          </w:p>
        </w:tc>
        <w:tc>
          <w:tcPr>
            <w:tcW w:w="609" w:type="pct"/>
            <w:shd w:val="clear" w:color="auto" w:fill="auto"/>
            <w:noWrap/>
            <w:vAlign w:val="bottom"/>
          </w:tcPr>
          <w:p w:rsidR="006C2DBA" w:rsidRPr="00DB0091" w:rsidRDefault="006C2DBA" w:rsidP="00F410F9">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$245,318,865</w:t>
            </w:r>
          </w:p>
        </w:tc>
      </w:tr>
      <w:tr w:rsidR="006C2DBA" w:rsidRPr="00C1694A" w:rsidTr="007259C9">
        <w:trPr>
          <w:trHeight w:val="240"/>
        </w:trPr>
        <w:tc>
          <w:tcPr>
            <w:tcW w:w="1633" w:type="pct"/>
            <w:shd w:val="clear" w:color="auto" w:fill="auto"/>
            <w:noWrap/>
            <w:vAlign w:val="bottom"/>
          </w:tcPr>
          <w:p w:rsidR="006C2DBA" w:rsidRPr="00C1694A" w:rsidRDefault="006C2DBA" w:rsidP="007259C9">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Increased  EHS CB Duration</w:t>
            </w:r>
            <w:r>
              <w:rPr>
                <w:rFonts w:ascii="Times New Roman" w:eastAsia="Times New Roman" w:hAnsi="Times New Roman" w:cs="Times New Roman"/>
                <w:bCs/>
                <w:sz w:val="16"/>
                <w:szCs w:val="16"/>
              </w:rPr>
              <w:t xml:space="preserve">, </w:t>
            </w:r>
            <w:r w:rsidRPr="00B3516A">
              <w:rPr>
                <w:rFonts w:ascii="Times New Roman" w:eastAsia="Times New Roman" w:hAnsi="Times New Roman" w:cs="Times New Roman"/>
                <w:bCs/>
                <w:sz w:val="16"/>
                <w:szCs w:val="16"/>
              </w:rPr>
              <w:t>Excluding Duration Funding Appropriated in FY 2016</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$30,878,060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$30,878,060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$30,878,060     </w:t>
            </w:r>
          </w:p>
        </w:tc>
      </w:tr>
      <w:tr w:rsidR="006C2DBA" w:rsidRPr="00C1694A" w:rsidTr="007259C9">
        <w:trPr>
          <w:trHeight w:val="240"/>
        </w:trPr>
        <w:tc>
          <w:tcPr>
            <w:tcW w:w="1633" w:type="pct"/>
            <w:shd w:val="clear" w:color="auto" w:fill="auto"/>
            <w:noWrap/>
            <w:vAlign w:val="bottom"/>
          </w:tcPr>
          <w:p w:rsidR="006C2DBA" w:rsidRPr="00C1694A" w:rsidRDefault="006C2DBA" w:rsidP="006159AF">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FY 2016 Funding Appropriated to Expand EHS CB Duration</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($30,878,060)</w:t>
            </w:r>
            <w:r w:rsidRPr="00C1694A">
              <w:rPr>
                <w:rFonts w:ascii="Times New Roman" w:eastAsia="Times New Roman" w:hAnsi="Times New Roman" w:cs="Times New Roman"/>
                <w:sz w:val="16"/>
                <w:szCs w:val="16"/>
              </w:rPr>
              <w:t xml:space="preserve">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($30,878,060)</w:t>
            </w:r>
            <w:r w:rsidRPr="00C1694A">
              <w:rPr>
                <w:rFonts w:ascii="Times New Roman" w:eastAsia="Times New Roman" w:hAnsi="Times New Roman" w:cs="Times New Roman"/>
                <w:sz w:val="16"/>
                <w:szCs w:val="16"/>
              </w:rPr>
              <w:t xml:space="preserve">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($30,878,060)</w:t>
            </w:r>
            <w:r w:rsidRPr="00C1694A">
              <w:rPr>
                <w:rFonts w:ascii="Times New Roman" w:eastAsia="Times New Roman" w:hAnsi="Times New Roman" w:cs="Times New Roman"/>
                <w:sz w:val="16"/>
                <w:szCs w:val="16"/>
              </w:rPr>
              <w:t xml:space="preserve">   </w:t>
            </w:r>
          </w:p>
        </w:tc>
      </w:tr>
      <w:tr w:rsidR="006C2DBA" w:rsidRPr="00DB0091" w:rsidTr="007259C9">
        <w:trPr>
          <w:trHeight w:val="240"/>
        </w:trPr>
        <w:tc>
          <w:tcPr>
            <w:tcW w:w="1633" w:type="pct"/>
            <w:shd w:val="clear" w:color="auto" w:fill="auto"/>
            <w:noWrap/>
            <w:vAlign w:val="bottom"/>
          </w:tcPr>
          <w:p w:rsidR="006C2DBA" w:rsidRPr="00DB0091" w:rsidRDefault="006C2DBA" w:rsidP="00584978">
            <w:pPr>
              <w:tabs>
                <w:tab w:val="left" w:pos="335"/>
              </w:tabs>
              <w:spacing w:after="0" w:line="240" w:lineRule="auto"/>
              <w:rPr>
                <w:rFonts w:ascii="Times New Roman" w:eastAsia="Times New Roman" w:hAnsi="Times New Roman" w:cs="Times New Roman"/>
                <w:b/>
                <w:bCs/>
                <w:sz w:val="16"/>
                <w:szCs w:val="16"/>
              </w:rPr>
            </w:pPr>
            <w:r w:rsidRPr="00DB0091">
              <w:rPr>
                <w:rFonts w:ascii="Times New Roman" w:eastAsia="Times New Roman" w:hAnsi="Times New Roman" w:cs="Times New Roman"/>
                <w:b/>
                <w:bCs/>
                <w:sz w:val="16"/>
                <w:szCs w:val="16"/>
              </w:rPr>
              <w:t>Net Cost of EHS CB Duration Increase</w:t>
            </w:r>
          </w:p>
        </w:tc>
        <w:tc>
          <w:tcPr>
            <w:tcW w:w="744" w:type="pct"/>
            <w:shd w:val="clear" w:color="auto" w:fill="auto"/>
            <w:noWrap/>
            <w:vAlign w:val="bottom"/>
          </w:tcPr>
          <w:p w:rsidR="006C2DBA" w:rsidRPr="00DB0091" w:rsidRDefault="006C2DBA">
            <w:pPr>
              <w:spacing w:after="0" w:line="240" w:lineRule="auto"/>
              <w:jc w:val="right"/>
              <w:rPr>
                <w:rFonts w:ascii="Times New Roman" w:eastAsia="Times New Roman" w:hAnsi="Times New Roman" w:cs="Times New Roman"/>
                <w:b/>
                <w:sz w:val="16"/>
                <w:szCs w:val="16"/>
              </w:rPr>
            </w:pPr>
          </w:p>
        </w:tc>
        <w:tc>
          <w:tcPr>
            <w:tcW w:w="742" w:type="pct"/>
            <w:shd w:val="clear" w:color="auto" w:fill="auto"/>
            <w:noWrap/>
            <w:vAlign w:val="bottom"/>
          </w:tcPr>
          <w:p w:rsidR="006C2DBA" w:rsidRPr="00DB0091" w:rsidRDefault="006C2DBA">
            <w:pPr>
              <w:spacing w:after="0" w:line="240" w:lineRule="auto"/>
              <w:jc w:val="right"/>
              <w:rPr>
                <w:rFonts w:ascii="Times New Roman" w:eastAsia="Times New Roman" w:hAnsi="Times New Roman" w:cs="Times New Roman"/>
                <w:b/>
                <w:sz w:val="16"/>
                <w:szCs w:val="16"/>
              </w:rPr>
            </w:pPr>
          </w:p>
        </w:tc>
        <w:tc>
          <w:tcPr>
            <w:tcW w:w="615" w:type="pct"/>
            <w:shd w:val="clear" w:color="auto" w:fill="auto"/>
            <w:noWrap/>
            <w:vAlign w:val="bottom"/>
          </w:tcPr>
          <w:p w:rsidR="006C2DBA" w:rsidRPr="00DB0091" w:rsidRDefault="006C2DBA">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$0</w:t>
            </w:r>
          </w:p>
        </w:tc>
        <w:tc>
          <w:tcPr>
            <w:tcW w:w="658" w:type="pct"/>
            <w:shd w:val="clear" w:color="auto" w:fill="auto"/>
            <w:noWrap/>
            <w:vAlign w:val="bottom"/>
          </w:tcPr>
          <w:p w:rsidR="006C2DBA" w:rsidRPr="00DB0091" w:rsidRDefault="006C2DBA">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$0</w:t>
            </w:r>
          </w:p>
        </w:tc>
        <w:tc>
          <w:tcPr>
            <w:tcW w:w="609" w:type="pct"/>
            <w:shd w:val="clear" w:color="auto" w:fill="auto"/>
            <w:noWrap/>
            <w:vAlign w:val="bottom"/>
          </w:tcPr>
          <w:p w:rsidR="006C2DBA" w:rsidRPr="00DB0091" w:rsidRDefault="006C2DBA">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$0</w:t>
            </w:r>
          </w:p>
        </w:tc>
      </w:tr>
      <w:tr w:rsidR="006C2DBA" w:rsidRPr="00C1694A" w:rsidTr="007259C9">
        <w:trPr>
          <w:trHeight w:val="240"/>
        </w:trPr>
        <w:tc>
          <w:tcPr>
            <w:tcW w:w="1633" w:type="pct"/>
            <w:shd w:val="clear" w:color="auto" w:fill="auto"/>
            <w:noWrap/>
            <w:vAlign w:val="bottom"/>
          </w:tcPr>
          <w:p w:rsidR="006C2DBA" w:rsidRPr="00C1694A" w:rsidRDefault="006C2DBA" w:rsidP="00C34E7D">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Start-up Costs for </w:t>
            </w:r>
            <w:r>
              <w:rPr>
                <w:rFonts w:ascii="Times New Roman" w:eastAsia="Times New Roman" w:hAnsi="Times New Roman" w:cs="Times New Roman"/>
                <w:bCs/>
                <w:sz w:val="16"/>
                <w:szCs w:val="16"/>
              </w:rPr>
              <w:t>Duration Increase for</w:t>
            </w:r>
            <w:r w:rsidRPr="00C1694A">
              <w:rPr>
                <w:rFonts w:ascii="Times New Roman" w:eastAsia="Times New Roman" w:hAnsi="Times New Roman" w:cs="Times New Roman"/>
                <w:bCs/>
                <w:sz w:val="16"/>
                <w:szCs w:val="16"/>
              </w:rPr>
              <w:t xml:space="preserve"> CB Programs</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6,175,612</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$101,688,161</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$124,109,936</w:t>
            </w:r>
          </w:p>
        </w:tc>
      </w:tr>
      <w:tr w:rsidR="006C2DBA" w:rsidRPr="00C1694A" w:rsidTr="007259C9">
        <w:trPr>
          <w:trHeight w:val="240"/>
        </w:trPr>
        <w:tc>
          <w:tcPr>
            <w:tcW w:w="1633" w:type="pct"/>
            <w:shd w:val="clear" w:color="auto" w:fill="auto"/>
            <w:noWrap/>
            <w:vAlign w:val="bottom"/>
          </w:tcPr>
          <w:p w:rsidR="006C2DBA" w:rsidRPr="00C1694A" w:rsidRDefault="006C2DBA" w:rsidP="007E0248">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Increased EHS </w:t>
            </w:r>
            <w:r w:rsidR="005F3C0D">
              <w:rPr>
                <w:rFonts w:ascii="Times New Roman" w:eastAsia="Times New Roman" w:hAnsi="Times New Roman" w:cs="Times New Roman"/>
                <w:bCs/>
                <w:sz w:val="16"/>
                <w:szCs w:val="16"/>
              </w:rPr>
              <w:t>Home-Based (</w:t>
            </w:r>
            <w:r w:rsidRPr="00C1694A">
              <w:rPr>
                <w:rFonts w:ascii="Times New Roman" w:eastAsia="Times New Roman" w:hAnsi="Times New Roman" w:cs="Times New Roman"/>
                <w:bCs/>
                <w:sz w:val="16"/>
                <w:szCs w:val="16"/>
              </w:rPr>
              <w:t>HB</w:t>
            </w:r>
            <w:r w:rsidR="005F3C0D">
              <w:rPr>
                <w:rFonts w:ascii="Times New Roman" w:eastAsia="Times New Roman" w:hAnsi="Times New Roman" w:cs="Times New Roman"/>
                <w:bCs/>
                <w:sz w:val="16"/>
                <w:szCs w:val="16"/>
              </w:rPr>
              <w:t>)</w:t>
            </w:r>
            <w:r w:rsidRPr="00C1694A">
              <w:rPr>
                <w:rFonts w:ascii="Times New Roman" w:eastAsia="Times New Roman" w:hAnsi="Times New Roman" w:cs="Times New Roman"/>
                <w:bCs/>
                <w:sz w:val="16"/>
                <w:szCs w:val="16"/>
              </w:rPr>
              <w:t xml:space="preserve"> Duration</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$8,188,508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$8,188,508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$8,188,508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$8,188,508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Waiver for Two-Year-Old Ratios</w:t>
            </w:r>
          </w:p>
        </w:tc>
        <w:tc>
          <w:tcPr>
            <w:tcW w:w="74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(24,541,262)</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Waiver Applications </w:t>
            </w:r>
          </w:p>
        </w:tc>
        <w:tc>
          <w:tcPr>
            <w:tcW w:w="74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$ 42,751</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$54,137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$60,153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$ 80,899</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$ 80,899</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Home Visit for Frequently Absent Children</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927,603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834,842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742,082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649,322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556,562 </w:t>
            </w:r>
          </w:p>
        </w:tc>
      </w:tr>
      <w:tr w:rsidR="006C2DBA" w:rsidRPr="00C1694A" w:rsidTr="007259C9">
        <w:trPr>
          <w:trHeight w:val="240"/>
        </w:trPr>
        <w:tc>
          <w:tcPr>
            <w:tcW w:w="1633" w:type="pct"/>
            <w:shd w:val="clear" w:color="auto" w:fill="auto"/>
            <w:noWrap/>
            <w:vAlign w:val="bottom"/>
          </w:tcPr>
          <w:p w:rsidR="006C2DBA" w:rsidRPr="00C1694A" w:rsidRDefault="006C2DBA">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Parent Contact -Unexpectedly Absent Children</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Associate’s Degree for </w:t>
            </w:r>
            <w:r w:rsidR="005F3C0D">
              <w:rPr>
                <w:rFonts w:ascii="Times New Roman" w:eastAsia="Times New Roman" w:hAnsi="Times New Roman" w:cs="Times New Roman"/>
                <w:bCs/>
                <w:sz w:val="16"/>
                <w:szCs w:val="16"/>
              </w:rPr>
              <w:t>Head Start (</w:t>
            </w:r>
            <w:r w:rsidRPr="00C1694A">
              <w:rPr>
                <w:rFonts w:ascii="Times New Roman" w:eastAsia="Times New Roman" w:hAnsi="Times New Roman" w:cs="Times New Roman"/>
                <w:bCs/>
                <w:sz w:val="16"/>
                <w:szCs w:val="16"/>
              </w:rPr>
              <w:t>HS</w:t>
            </w:r>
            <w:r w:rsidR="005F3C0D">
              <w:rPr>
                <w:rFonts w:ascii="Times New Roman" w:eastAsia="Times New Roman" w:hAnsi="Times New Roman" w:cs="Times New Roman"/>
                <w:bCs/>
                <w:sz w:val="16"/>
                <w:szCs w:val="16"/>
              </w:rPr>
              <w:t>)</w:t>
            </w:r>
            <w:r w:rsidRPr="00C1694A">
              <w:rPr>
                <w:rFonts w:ascii="Times New Roman" w:eastAsia="Times New Roman" w:hAnsi="Times New Roman" w:cs="Times New Roman"/>
                <w:bCs/>
                <w:sz w:val="16"/>
                <w:szCs w:val="16"/>
              </w:rPr>
              <w:t xml:space="preserve"> Teachers</w:t>
            </w:r>
          </w:p>
        </w:tc>
        <w:tc>
          <w:tcPr>
            <w:tcW w:w="74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$ 10,472,585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Home-visiting CDA for Home Visitors</w:t>
            </w:r>
          </w:p>
        </w:tc>
        <w:tc>
          <w:tcPr>
            <w:tcW w:w="744"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$5,112,499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$5,112,499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$5,112,499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Credential for New Family Service Workers</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Bachelor's Degree for New Management Staff</w:t>
            </w:r>
          </w:p>
        </w:tc>
        <w:tc>
          <w:tcPr>
            <w:tcW w:w="74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$ 2,182,809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$ 3,977,108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$5,515,809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$6,798,912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$7,826,417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Mentor Coaching</w:t>
            </w:r>
          </w:p>
        </w:tc>
        <w:tc>
          <w:tcPr>
            <w:tcW w:w="744"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Improving Curriculum</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Monitoring Fidelity of Curriculum Implementation</w:t>
            </w:r>
          </w:p>
        </w:tc>
        <w:tc>
          <w:tcPr>
            <w:tcW w:w="744"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Assessments for Dual Language Learners</w:t>
            </w:r>
          </w:p>
        </w:tc>
        <w:tc>
          <w:tcPr>
            <w:tcW w:w="744"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$6,082,338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$6,082,338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$ 6,082,338        </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$6,082,338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Removal of Head Start-specific IEPs</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(41,180,576)</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Parenting Curriculum</w:t>
            </w:r>
          </w:p>
        </w:tc>
        <w:tc>
          <w:tcPr>
            <w:tcW w:w="74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Memorandum of Understanding (MOU)</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61,506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5"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Criminal Background Checks</w:t>
            </w:r>
          </w:p>
        </w:tc>
        <w:tc>
          <w:tcPr>
            <w:tcW w:w="744"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4,117,348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$4,117,348</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$4,117,348</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4,117,348</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Mediation and Arbitration</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Removal of Annual Audits</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(306,000)</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(306,000)</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(306,000)</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(306,000)</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(306,000)</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Delegate Appeals</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(833,638)</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(833,638)</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(833,638)</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(833,638)</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(833,638)</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Clarification of Facilities Application Process</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Community Assessment</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Managerial Planning</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(2,298,905)</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(2,298,905)</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(2,298,905)</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(2,298,905)</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(2,298,905)</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Data Management</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Participation in QRIS</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1,695,928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1,695,928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1,695,928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1,695,928 </w:t>
            </w:r>
          </w:p>
        </w:tc>
      </w:tr>
      <w:tr w:rsidR="006C2DBA" w:rsidRPr="00C1694A" w:rsidTr="007259C9">
        <w:trPr>
          <w:trHeight w:val="240"/>
        </w:trPr>
        <w:tc>
          <w:tcPr>
            <w:tcW w:w="16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Participation in State longitudinal data systems</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824,593</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824,593</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824,593</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824,593</w:t>
            </w:r>
          </w:p>
        </w:tc>
      </w:tr>
      <w:tr w:rsidR="006C2DBA" w:rsidRPr="00C1694A" w:rsidTr="007259C9">
        <w:trPr>
          <w:trHeight w:val="240"/>
        </w:trPr>
        <w:tc>
          <w:tcPr>
            <w:tcW w:w="1633"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Implementation Planning</w:t>
            </w:r>
          </w:p>
        </w:tc>
        <w:tc>
          <w:tcPr>
            <w:tcW w:w="74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3,474,474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3,474,474 </w:t>
            </w:r>
          </w:p>
        </w:tc>
        <w:tc>
          <w:tcPr>
            <w:tcW w:w="61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58"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0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r>
      <w:tr w:rsidR="006C2DBA" w:rsidRPr="00C1694A" w:rsidTr="007259C9">
        <w:trPr>
          <w:trHeight w:val="240"/>
        </w:trPr>
        <w:tc>
          <w:tcPr>
            <w:tcW w:w="1633" w:type="pct"/>
            <w:shd w:val="clear" w:color="auto" w:fill="auto"/>
            <w:noWrap/>
            <w:vAlign w:val="bottom"/>
          </w:tcPr>
          <w:p w:rsidR="006C2DBA" w:rsidRPr="00C1694A" w:rsidRDefault="006C2DBA" w:rsidP="007259C9">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TOTAL</w:t>
            </w:r>
            <w:r>
              <w:rPr>
                <w:rFonts w:ascii="Times New Roman" w:eastAsia="Times New Roman" w:hAnsi="Times New Roman" w:cs="Times New Roman"/>
                <w:b/>
                <w:bCs/>
                <w:sz w:val="16"/>
                <w:szCs w:val="16"/>
              </w:rPr>
              <w:t xml:space="preserve">, </w:t>
            </w:r>
            <w:r w:rsidRPr="00B3516A">
              <w:rPr>
                <w:rFonts w:ascii="Times New Roman" w:eastAsia="Times New Roman" w:hAnsi="Times New Roman" w:cs="Times New Roman"/>
                <w:b/>
                <w:bCs/>
                <w:i/>
                <w:sz w:val="16"/>
                <w:szCs w:val="16"/>
              </w:rPr>
              <w:t xml:space="preserve">Excluding </w:t>
            </w:r>
            <w:r w:rsidRPr="00DB0091">
              <w:rPr>
                <w:rFonts w:ascii="Times New Roman" w:eastAsia="Times New Roman" w:hAnsi="Times New Roman" w:cs="Times New Roman"/>
                <w:b/>
                <w:bCs/>
                <w:sz w:val="16"/>
                <w:szCs w:val="16"/>
              </w:rPr>
              <w:t>Duration Funding Appropriated in FY 2016</w:t>
            </w:r>
          </w:p>
        </w:tc>
        <w:tc>
          <w:tcPr>
            <w:tcW w:w="74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(46,320,371)</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$134,637,446  </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$264,118,036  </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$ 672,906,362</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$797,951,042  </w:t>
            </w:r>
          </w:p>
        </w:tc>
      </w:tr>
      <w:tr w:rsidR="006C2DBA" w:rsidRPr="00C1694A" w:rsidTr="00E454CD">
        <w:trPr>
          <w:trHeight w:val="240"/>
        </w:trPr>
        <w:tc>
          <w:tcPr>
            <w:tcW w:w="1633" w:type="pct"/>
            <w:shd w:val="clear" w:color="auto" w:fill="auto"/>
            <w:noWrap/>
            <w:vAlign w:val="bottom"/>
          </w:tcPr>
          <w:p w:rsidR="006C2DBA" w:rsidRPr="00C1694A" w:rsidRDefault="006C2DBA" w:rsidP="007259C9">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TOTAL, </w:t>
            </w:r>
            <w:r>
              <w:rPr>
                <w:rFonts w:ascii="Times New Roman" w:eastAsia="Times New Roman" w:hAnsi="Times New Roman" w:cs="Times New Roman"/>
                <w:b/>
                <w:bCs/>
                <w:i/>
                <w:sz w:val="16"/>
                <w:szCs w:val="16"/>
              </w:rPr>
              <w:t>I</w:t>
            </w:r>
            <w:r w:rsidRPr="00DB0091">
              <w:rPr>
                <w:rFonts w:ascii="Times New Roman" w:eastAsia="Times New Roman" w:hAnsi="Times New Roman" w:cs="Times New Roman"/>
                <w:b/>
                <w:bCs/>
                <w:i/>
                <w:sz w:val="16"/>
                <w:szCs w:val="16"/>
              </w:rPr>
              <w:t>ncluding</w:t>
            </w:r>
            <w:r>
              <w:rPr>
                <w:rFonts w:ascii="Times New Roman" w:eastAsia="Times New Roman" w:hAnsi="Times New Roman" w:cs="Times New Roman"/>
                <w:b/>
                <w:bCs/>
                <w:sz w:val="16"/>
                <w:szCs w:val="16"/>
              </w:rPr>
              <w:t xml:space="preserve"> </w:t>
            </w:r>
            <w:r w:rsidRPr="00B3516A">
              <w:rPr>
                <w:rFonts w:ascii="Times New Roman" w:eastAsia="Times New Roman" w:hAnsi="Times New Roman" w:cs="Times New Roman"/>
                <w:b/>
                <w:bCs/>
                <w:sz w:val="16"/>
                <w:szCs w:val="16"/>
              </w:rPr>
              <w:t>Duration Funding Appropriated  in FY 2016</w:t>
            </w:r>
          </w:p>
        </w:tc>
        <w:tc>
          <w:tcPr>
            <w:tcW w:w="74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n/a</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n/a</w:t>
            </w:r>
          </w:p>
        </w:tc>
        <w:tc>
          <w:tcPr>
            <w:tcW w:w="61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n/a</w:t>
            </w:r>
          </w:p>
        </w:tc>
        <w:tc>
          <w:tcPr>
            <w:tcW w:w="65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$378,906,362</w:t>
            </w:r>
          </w:p>
        </w:tc>
        <w:tc>
          <w:tcPr>
            <w:tcW w:w="60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$503,951,042</w:t>
            </w:r>
          </w:p>
        </w:tc>
      </w:tr>
    </w:tbl>
    <w:p w:rsidR="006C2DBA" w:rsidRPr="00DB0091" w:rsidRDefault="006C2DBA" w:rsidP="00331A7B">
      <w:pPr>
        <w:rPr>
          <w:rFonts w:ascii="Times New Roman" w:hAnsi="Times New Roman" w:cs="Times New Roman"/>
          <w:sz w:val="16"/>
          <w:szCs w:val="16"/>
        </w:rPr>
      </w:pPr>
      <w:r w:rsidRPr="00DB0091">
        <w:rPr>
          <w:rFonts w:ascii="Times New Roman" w:hAnsi="Times New Roman" w:cs="Times New Roman"/>
          <w:sz w:val="16"/>
          <w:szCs w:val="16"/>
        </w:rPr>
        <w:t xml:space="preserve">*Year ranges refer Head Start program years, which </w:t>
      </w:r>
      <w:r>
        <w:rPr>
          <w:rFonts w:ascii="Times New Roman" w:hAnsi="Times New Roman" w:cs="Times New Roman"/>
          <w:sz w:val="16"/>
          <w:szCs w:val="16"/>
        </w:rPr>
        <w:t>for</w:t>
      </w:r>
      <w:r w:rsidRPr="00DB0091">
        <w:rPr>
          <w:rFonts w:ascii="Times New Roman" w:hAnsi="Times New Roman" w:cs="Times New Roman"/>
          <w:sz w:val="16"/>
          <w:szCs w:val="16"/>
        </w:rPr>
        <w:t xml:space="preserve"> these estimates, begin on August 1</w:t>
      </w:r>
      <w:r w:rsidRPr="00DB0091">
        <w:rPr>
          <w:rFonts w:ascii="Times New Roman" w:hAnsi="Times New Roman" w:cs="Times New Roman"/>
          <w:sz w:val="16"/>
          <w:szCs w:val="16"/>
          <w:vertAlign w:val="superscript"/>
        </w:rPr>
        <w:t>st</w:t>
      </w:r>
      <w:r w:rsidRPr="00DB0091">
        <w:rPr>
          <w:rFonts w:ascii="Times New Roman" w:hAnsi="Times New Roman" w:cs="Times New Roman"/>
          <w:sz w:val="16"/>
          <w:szCs w:val="16"/>
        </w:rPr>
        <w:t xml:space="preserve"> of each year and end on or before July 31</w:t>
      </w:r>
      <w:r w:rsidRPr="00DB0091">
        <w:rPr>
          <w:rFonts w:ascii="Times New Roman" w:hAnsi="Times New Roman" w:cs="Times New Roman"/>
          <w:sz w:val="16"/>
          <w:szCs w:val="16"/>
          <w:vertAlign w:val="superscript"/>
        </w:rPr>
        <w:t>st</w:t>
      </w:r>
      <w:r w:rsidRPr="00DB0091">
        <w:rPr>
          <w:rFonts w:ascii="Times New Roman" w:hAnsi="Times New Roman" w:cs="Times New Roman"/>
          <w:sz w:val="16"/>
          <w:szCs w:val="16"/>
        </w:rPr>
        <w:t>.</w:t>
      </w:r>
    </w:p>
    <w:p w:rsidR="006C2DBA" w:rsidRPr="00C1694A" w:rsidRDefault="006C2DBA">
      <w:pPr>
        <w:rPr>
          <w:rFonts w:ascii="Times New Roman" w:hAnsi="Times New Roman" w:cs="Times New Roman"/>
        </w:rPr>
      </w:pPr>
      <w:r w:rsidRPr="00C1694A">
        <w:rPr>
          <w:rFonts w:ascii="Times New Roman" w:hAnsi="Times New Roman" w:cs="Times New Roman"/>
        </w:rPr>
        <w:br w:type="page"/>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456"/>
        <w:gridCol w:w="1525"/>
        <w:gridCol w:w="8"/>
        <w:gridCol w:w="1250"/>
        <w:gridCol w:w="12"/>
        <w:gridCol w:w="1347"/>
        <w:gridCol w:w="10"/>
        <w:gridCol w:w="1233"/>
      </w:tblGrid>
      <w:tr w:rsidR="006C2DBA" w:rsidRPr="00C1694A" w:rsidTr="00D722F2">
        <w:trPr>
          <w:trHeight w:val="215"/>
        </w:trPr>
        <w:tc>
          <w:tcPr>
            <w:tcW w:w="5000" w:type="pct"/>
            <w:gridSpan w:val="9"/>
            <w:shd w:val="clear" w:color="auto" w:fill="auto"/>
            <w:noWrap/>
            <w:vAlign w:val="bottom"/>
          </w:tcPr>
          <w:p w:rsidR="006C2DBA" w:rsidRPr="00C1694A" w:rsidRDefault="006C2DBA" w:rsidP="00D722F2">
            <w:pPr>
              <w:spacing w:after="0" w:line="240" w:lineRule="auto"/>
              <w:ind w:right="115"/>
              <w:rPr>
                <w:rFonts w:ascii="Times New Roman" w:eastAsia="Times New Roman" w:hAnsi="Times New Roman" w:cs="Times New Roman"/>
                <w:b/>
                <w:bCs/>
                <w:sz w:val="16"/>
                <w:szCs w:val="16"/>
              </w:rPr>
            </w:pPr>
            <w:r w:rsidRPr="00C1694A">
              <w:rPr>
                <w:rFonts w:ascii="Times New Roman" w:eastAsia="Times New Roman" w:hAnsi="Times New Roman" w:cs="Times New Roman"/>
                <w:b/>
                <w:sz w:val="16"/>
                <w:szCs w:val="16"/>
              </w:rPr>
              <w:t>Summary Table of All Costs Years 6-10</w:t>
            </w:r>
          </w:p>
        </w:tc>
      </w:tr>
      <w:tr w:rsidR="006C2DBA" w:rsidRPr="00C1694A" w:rsidTr="00AD4B17">
        <w:trPr>
          <w:trHeight w:val="215"/>
        </w:trPr>
        <w:tc>
          <w:tcPr>
            <w:tcW w:w="1672" w:type="pct"/>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6"/>
                <w:szCs w:val="16"/>
              </w:rPr>
            </w:pPr>
          </w:p>
        </w:tc>
        <w:tc>
          <w:tcPr>
            <w:tcW w:w="708"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6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2021-2022</w:t>
            </w:r>
            <w:r>
              <w:rPr>
                <w:rFonts w:ascii="Times New Roman" w:eastAsia="Times New Roman" w:hAnsi="Times New Roman" w:cs="Times New Roman"/>
                <w:b/>
                <w:bCs/>
                <w:sz w:val="16"/>
                <w:szCs w:val="16"/>
              </w:rPr>
              <w:t>*</w:t>
            </w:r>
          </w:p>
        </w:tc>
        <w:tc>
          <w:tcPr>
            <w:tcW w:w="746"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7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2022-2023</w:t>
            </w:r>
            <w:r>
              <w:rPr>
                <w:rFonts w:ascii="Times New Roman" w:eastAsia="Times New Roman" w:hAnsi="Times New Roman" w:cs="Times New Roman"/>
                <w:b/>
                <w:bCs/>
                <w:sz w:val="16"/>
                <w:szCs w:val="16"/>
              </w:rPr>
              <w:t>*</w:t>
            </w:r>
          </w:p>
        </w:tc>
        <w:tc>
          <w:tcPr>
            <w:tcW w:w="614"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8</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2023-2024</w:t>
            </w:r>
            <w:r>
              <w:rPr>
                <w:rFonts w:ascii="Times New Roman" w:eastAsia="Times New Roman" w:hAnsi="Times New Roman" w:cs="Times New Roman"/>
                <w:b/>
                <w:bCs/>
                <w:sz w:val="16"/>
                <w:szCs w:val="16"/>
              </w:rPr>
              <w:t>*</w:t>
            </w:r>
          </w:p>
        </w:tc>
        <w:tc>
          <w:tcPr>
            <w:tcW w:w="660"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9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2024-2025</w:t>
            </w:r>
            <w:r>
              <w:rPr>
                <w:rFonts w:ascii="Times New Roman" w:eastAsia="Times New Roman" w:hAnsi="Times New Roman" w:cs="Times New Roman"/>
                <w:b/>
                <w:bCs/>
                <w:sz w:val="16"/>
                <w:szCs w:val="16"/>
              </w:rPr>
              <w:t>*</w:t>
            </w:r>
          </w:p>
        </w:tc>
        <w:tc>
          <w:tcPr>
            <w:tcW w:w="600"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10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2025-2026</w:t>
            </w:r>
            <w:r>
              <w:rPr>
                <w:rFonts w:ascii="Times New Roman" w:eastAsia="Times New Roman" w:hAnsi="Times New Roman" w:cs="Times New Roman"/>
                <w:b/>
                <w:bCs/>
                <w:sz w:val="16"/>
                <w:szCs w:val="16"/>
              </w:rPr>
              <w:t>*</w:t>
            </w:r>
            <w:r w:rsidRPr="00C1694A">
              <w:rPr>
                <w:rFonts w:ascii="Times New Roman" w:eastAsia="Times New Roman" w:hAnsi="Times New Roman" w:cs="Times New Roman"/>
                <w:b/>
                <w:bCs/>
                <w:sz w:val="16"/>
                <w:szCs w:val="16"/>
              </w:rPr>
              <w:t xml:space="preserve"> </w:t>
            </w:r>
          </w:p>
        </w:tc>
      </w:tr>
      <w:tr w:rsidR="006C2DBA" w:rsidRPr="00C1694A" w:rsidTr="00AD4B17">
        <w:trPr>
          <w:trHeight w:val="240"/>
        </w:trPr>
        <w:tc>
          <w:tcPr>
            <w:tcW w:w="1672" w:type="pct"/>
            <w:shd w:val="clear" w:color="auto" w:fill="auto"/>
            <w:noWrap/>
            <w:vAlign w:val="bottom"/>
          </w:tcPr>
          <w:p w:rsidR="006C2DBA" w:rsidRPr="00C1694A" w:rsidRDefault="006C2DBA" w:rsidP="007259C9">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Increased</w:t>
            </w:r>
            <w:r w:rsidRPr="00C1694A">
              <w:rPr>
                <w:rFonts w:ascii="Times New Roman" w:eastAsia="Times New Roman" w:hAnsi="Times New Roman" w:cs="Times New Roman"/>
                <w:bCs/>
                <w:sz w:val="16"/>
                <w:szCs w:val="16"/>
              </w:rPr>
              <w:t xml:space="preserve"> Head Start CB Program Duration</w:t>
            </w:r>
            <w:r>
              <w:rPr>
                <w:rFonts w:ascii="Times New Roman" w:eastAsia="Times New Roman" w:hAnsi="Times New Roman" w:cs="Times New Roman"/>
                <w:bCs/>
                <w:sz w:val="16"/>
                <w:szCs w:val="16"/>
              </w:rPr>
              <w:t xml:space="preserve">, </w:t>
            </w:r>
            <w:r w:rsidRPr="00B3516A">
              <w:rPr>
                <w:rFonts w:ascii="Times New Roman" w:eastAsia="Times New Roman" w:hAnsi="Times New Roman" w:cs="Times New Roman"/>
                <w:bCs/>
                <w:sz w:val="16"/>
                <w:szCs w:val="16"/>
              </w:rPr>
              <w:t>Excluding Duration Funding Appropriated in FY 2016</w:t>
            </w:r>
          </w:p>
        </w:tc>
        <w:tc>
          <w:tcPr>
            <w:tcW w:w="708" w:type="pct"/>
            <w:shd w:val="clear" w:color="auto" w:fill="auto"/>
            <w:noWrap/>
            <w:vAlign w:val="bottom"/>
          </w:tcPr>
          <w:p w:rsidR="006C2DBA" w:rsidRPr="00C1694A" w:rsidRDefault="006C2DBA" w:rsidP="00D82E7F">
            <w:pPr>
              <w:tabs>
                <w:tab w:val="left" w:pos="0"/>
              </w:tabs>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$1,128,990,485</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$1,128,990,485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$1,128,990,485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$1,128,990,485</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$1,128,990,485 </w:t>
            </w:r>
          </w:p>
        </w:tc>
      </w:tr>
      <w:tr w:rsidR="006C2DBA" w:rsidRPr="00C1694A" w:rsidTr="00AD4B17">
        <w:trPr>
          <w:trHeight w:val="240"/>
        </w:trPr>
        <w:tc>
          <w:tcPr>
            <w:tcW w:w="16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E454CD">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FY 2016 Funding Appropriated to Expand Head Start CB Duration </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E454CD">
            <w:pPr>
              <w:tabs>
                <w:tab w:val="left" w:pos="0"/>
              </w:tabs>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w:t>
            </w:r>
            <w:r w:rsidRPr="00C1694A">
              <w:rPr>
                <w:rFonts w:ascii="Times New Roman" w:eastAsia="Times New Roman" w:hAnsi="Times New Roman" w:cs="Times New Roman"/>
                <w:sz w:val="16"/>
                <w:szCs w:val="16"/>
              </w:rPr>
              <w:t>$</w:t>
            </w:r>
            <w:r>
              <w:rPr>
                <w:rFonts w:ascii="Times New Roman" w:eastAsia="Times New Roman" w:hAnsi="Times New Roman" w:cs="Times New Roman"/>
                <w:sz w:val="16"/>
                <w:szCs w:val="16"/>
              </w:rPr>
              <w:t>263,121,940)</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C1694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263,121,940)</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C1694A">
              <w:rPr>
                <w:rFonts w:ascii="Times New Roman" w:eastAsia="Times New Roman" w:hAnsi="Times New Roman" w:cs="Times New Roman"/>
                <w:sz w:val="16"/>
                <w:szCs w:val="16"/>
              </w:rPr>
              <w:t>$</w:t>
            </w:r>
            <w:r>
              <w:rPr>
                <w:rFonts w:ascii="Times New Roman" w:eastAsia="Times New Roman" w:hAnsi="Times New Roman" w:cs="Times New Roman"/>
                <w:sz w:val="16"/>
                <w:szCs w:val="16"/>
              </w:rPr>
              <w:t>263,121,940)</w:t>
            </w:r>
          </w:p>
        </w:tc>
        <w:tc>
          <w:tcPr>
            <w:tcW w:w="6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($263,121,940)</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($263,121,940)</w:t>
            </w:r>
          </w:p>
        </w:tc>
      </w:tr>
      <w:tr w:rsidR="006C2DBA" w:rsidRPr="00DB0091" w:rsidTr="00AD4B17">
        <w:trPr>
          <w:trHeight w:val="240"/>
        </w:trPr>
        <w:tc>
          <w:tcPr>
            <w:tcW w:w="1672" w:type="pct"/>
            <w:shd w:val="clear" w:color="auto" w:fill="auto"/>
            <w:noWrap/>
            <w:vAlign w:val="bottom"/>
          </w:tcPr>
          <w:p w:rsidR="006C2DBA" w:rsidRPr="00DB0091" w:rsidRDefault="006C2DBA" w:rsidP="00E454CD">
            <w:pPr>
              <w:tabs>
                <w:tab w:val="left" w:pos="337"/>
              </w:tabs>
              <w:spacing w:after="0" w:line="240" w:lineRule="auto"/>
              <w:rPr>
                <w:rFonts w:ascii="Times New Roman" w:eastAsia="Times New Roman" w:hAnsi="Times New Roman" w:cs="Times New Roman"/>
                <w:b/>
                <w:bCs/>
                <w:sz w:val="16"/>
                <w:szCs w:val="16"/>
              </w:rPr>
            </w:pPr>
            <w:r w:rsidRPr="00DB0091">
              <w:rPr>
                <w:rFonts w:ascii="Times New Roman" w:eastAsia="Times New Roman" w:hAnsi="Times New Roman" w:cs="Times New Roman"/>
                <w:b/>
                <w:bCs/>
                <w:sz w:val="16"/>
                <w:szCs w:val="16"/>
              </w:rPr>
              <w:t>Net Cost of Head Start CB Duration Increase</w:t>
            </w:r>
          </w:p>
        </w:tc>
        <w:tc>
          <w:tcPr>
            <w:tcW w:w="708" w:type="pct"/>
            <w:shd w:val="clear" w:color="auto" w:fill="auto"/>
            <w:noWrap/>
            <w:vAlign w:val="bottom"/>
          </w:tcPr>
          <w:p w:rsidR="006C2DBA" w:rsidRPr="00DB0091" w:rsidRDefault="006C2DBA" w:rsidP="007259C9">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 xml:space="preserve"> $865,868,545</w:t>
            </w:r>
          </w:p>
        </w:tc>
        <w:tc>
          <w:tcPr>
            <w:tcW w:w="746" w:type="pct"/>
            <w:gridSpan w:val="2"/>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 xml:space="preserve"> $865,868,545  </w:t>
            </w:r>
          </w:p>
        </w:tc>
        <w:tc>
          <w:tcPr>
            <w:tcW w:w="614" w:type="pct"/>
            <w:gridSpan w:val="2"/>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 xml:space="preserve"> $865,868,545 </w:t>
            </w:r>
          </w:p>
        </w:tc>
        <w:tc>
          <w:tcPr>
            <w:tcW w:w="660" w:type="pct"/>
            <w:gridSpan w:val="2"/>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 xml:space="preserve"> $865,868,545</w:t>
            </w:r>
          </w:p>
        </w:tc>
        <w:tc>
          <w:tcPr>
            <w:tcW w:w="600" w:type="pct"/>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$865,868,545</w:t>
            </w:r>
          </w:p>
        </w:tc>
      </w:tr>
      <w:tr w:rsidR="006C2DBA" w:rsidRPr="00C1694A" w:rsidTr="00AD4B17">
        <w:trPr>
          <w:trHeight w:val="240"/>
        </w:trPr>
        <w:tc>
          <w:tcPr>
            <w:tcW w:w="1672" w:type="pct"/>
            <w:shd w:val="clear" w:color="auto" w:fill="auto"/>
            <w:noWrap/>
            <w:vAlign w:val="bottom"/>
          </w:tcPr>
          <w:p w:rsidR="006C2DBA" w:rsidRPr="00C1694A" w:rsidRDefault="006C2DBA" w:rsidP="007259C9">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Increased</w:t>
            </w:r>
            <w:r w:rsidRPr="00C1694A">
              <w:rPr>
                <w:rFonts w:ascii="Times New Roman" w:eastAsia="Times New Roman" w:hAnsi="Times New Roman" w:cs="Times New Roman"/>
                <w:bCs/>
                <w:sz w:val="16"/>
                <w:szCs w:val="16"/>
              </w:rPr>
              <w:t xml:space="preserve"> EHS CB Program Duration</w:t>
            </w:r>
            <w:r>
              <w:rPr>
                <w:rFonts w:ascii="Times New Roman" w:eastAsia="Times New Roman" w:hAnsi="Times New Roman" w:cs="Times New Roman"/>
                <w:bCs/>
                <w:sz w:val="16"/>
                <w:szCs w:val="16"/>
              </w:rPr>
              <w:t xml:space="preserve">, </w:t>
            </w:r>
            <w:r w:rsidRPr="00B3516A">
              <w:rPr>
                <w:rFonts w:ascii="Times New Roman" w:eastAsia="Times New Roman" w:hAnsi="Times New Roman" w:cs="Times New Roman"/>
                <w:bCs/>
                <w:sz w:val="16"/>
                <w:szCs w:val="16"/>
              </w:rPr>
              <w:t>Excluding Duration Funding Appropriated in FY 2016</w:t>
            </w:r>
          </w:p>
        </w:tc>
        <w:tc>
          <w:tcPr>
            <w:tcW w:w="708"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$30,878,060    </w:t>
            </w:r>
          </w:p>
        </w:tc>
        <w:tc>
          <w:tcPr>
            <w:tcW w:w="746" w:type="pct"/>
            <w:gridSpan w:val="2"/>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$ 30,878,060   </w:t>
            </w:r>
          </w:p>
        </w:tc>
        <w:tc>
          <w:tcPr>
            <w:tcW w:w="614" w:type="pct"/>
            <w:gridSpan w:val="2"/>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$ 30,878,060   </w:t>
            </w:r>
          </w:p>
        </w:tc>
        <w:tc>
          <w:tcPr>
            <w:tcW w:w="660" w:type="pct"/>
            <w:gridSpan w:val="2"/>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$30,878,060   </w:t>
            </w:r>
          </w:p>
        </w:tc>
        <w:tc>
          <w:tcPr>
            <w:tcW w:w="600"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$30,878,060     </w:t>
            </w:r>
          </w:p>
        </w:tc>
      </w:tr>
      <w:tr w:rsidR="006C2DBA" w:rsidRPr="00C1694A" w:rsidTr="00AD4B17">
        <w:trPr>
          <w:trHeight w:val="240"/>
        </w:trPr>
        <w:tc>
          <w:tcPr>
            <w:tcW w:w="1672" w:type="pct"/>
            <w:shd w:val="clear" w:color="auto" w:fill="auto"/>
            <w:noWrap/>
            <w:vAlign w:val="bottom"/>
          </w:tcPr>
          <w:p w:rsidR="006C2DBA" w:rsidRPr="00C1694A" w:rsidRDefault="006C2DBA" w:rsidP="007259C9">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FY 2016 Funding Appropriated to Expand EHS CB Duration</w:t>
            </w:r>
          </w:p>
        </w:tc>
        <w:tc>
          <w:tcPr>
            <w:tcW w:w="708" w:type="pct"/>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($30,878,060)</w:t>
            </w:r>
            <w:r w:rsidRPr="00C1694A">
              <w:rPr>
                <w:rFonts w:ascii="Times New Roman" w:eastAsia="Times New Roman" w:hAnsi="Times New Roman" w:cs="Times New Roman"/>
                <w:sz w:val="16"/>
                <w:szCs w:val="16"/>
              </w:rPr>
              <w:t xml:space="preserve">   </w:t>
            </w:r>
          </w:p>
        </w:tc>
        <w:tc>
          <w:tcPr>
            <w:tcW w:w="742" w:type="pct"/>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($30,878,060)</w:t>
            </w:r>
            <w:r w:rsidRPr="00C1694A">
              <w:rPr>
                <w:rFonts w:ascii="Times New Roman" w:eastAsia="Times New Roman" w:hAnsi="Times New Roman" w:cs="Times New Roman"/>
                <w:sz w:val="16"/>
                <w:szCs w:val="16"/>
              </w:rPr>
              <w:t xml:space="preserve">   </w:t>
            </w:r>
          </w:p>
        </w:tc>
        <w:tc>
          <w:tcPr>
            <w:tcW w:w="612" w:type="pct"/>
            <w:gridSpan w:val="2"/>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($30,878,060)</w:t>
            </w:r>
            <w:r w:rsidRPr="00C1694A">
              <w:rPr>
                <w:rFonts w:ascii="Times New Roman" w:eastAsia="Times New Roman" w:hAnsi="Times New Roman" w:cs="Times New Roman"/>
                <w:sz w:val="16"/>
                <w:szCs w:val="16"/>
              </w:rPr>
              <w:t xml:space="preserve">   </w:t>
            </w:r>
          </w:p>
        </w:tc>
        <w:tc>
          <w:tcPr>
            <w:tcW w:w="661" w:type="pct"/>
            <w:gridSpan w:val="2"/>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($30,878,060)</w:t>
            </w:r>
            <w:r w:rsidRPr="00C1694A">
              <w:rPr>
                <w:rFonts w:ascii="Times New Roman" w:eastAsia="Times New Roman" w:hAnsi="Times New Roman" w:cs="Times New Roman"/>
                <w:sz w:val="16"/>
                <w:szCs w:val="16"/>
              </w:rPr>
              <w:t xml:space="preserve">   </w:t>
            </w:r>
          </w:p>
        </w:tc>
        <w:tc>
          <w:tcPr>
            <w:tcW w:w="605" w:type="pct"/>
            <w:gridSpan w:val="2"/>
            <w:shd w:val="clear" w:color="auto" w:fill="auto"/>
            <w:noWrap/>
            <w:vAlign w:val="bottom"/>
          </w:tcPr>
          <w:p w:rsidR="006C2DBA" w:rsidRPr="00C1694A" w:rsidRDefault="006C2DBA" w:rsidP="00E454CD">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($30,878,060)</w:t>
            </w:r>
            <w:r w:rsidRPr="00C1694A">
              <w:rPr>
                <w:rFonts w:ascii="Times New Roman" w:eastAsia="Times New Roman" w:hAnsi="Times New Roman" w:cs="Times New Roman"/>
                <w:sz w:val="16"/>
                <w:szCs w:val="16"/>
              </w:rPr>
              <w:t xml:space="preserve">   </w:t>
            </w:r>
          </w:p>
        </w:tc>
      </w:tr>
      <w:tr w:rsidR="006C2DBA" w:rsidRPr="00DB0091" w:rsidTr="00AD4B17">
        <w:trPr>
          <w:trHeight w:val="240"/>
        </w:trPr>
        <w:tc>
          <w:tcPr>
            <w:tcW w:w="1672" w:type="pct"/>
            <w:shd w:val="clear" w:color="auto" w:fill="auto"/>
            <w:noWrap/>
            <w:vAlign w:val="bottom"/>
          </w:tcPr>
          <w:p w:rsidR="006C2DBA" w:rsidRPr="00DB0091" w:rsidDel="00D82E7F" w:rsidRDefault="006C2DBA" w:rsidP="007259C9">
            <w:pPr>
              <w:spacing w:after="0" w:line="240" w:lineRule="auto"/>
              <w:rPr>
                <w:rFonts w:ascii="Times New Roman" w:eastAsia="Times New Roman" w:hAnsi="Times New Roman" w:cs="Times New Roman"/>
                <w:b/>
                <w:bCs/>
                <w:sz w:val="16"/>
                <w:szCs w:val="16"/>
              </w:rPr>
            </w:pPr>
            <w:r w:rsidRPr="00DB0091">
              <w:rPr>
                <w:rFonts w:ascii="Times New Roman" w:eastAsia="Times New Roman" w:hAnsi="Times New Roman" w:cs="Times New Roman"/>
                <w:b/>
                <w:bCs/>
                <w:sz w:val="16"/>
                <w:szCs w:val="16"/>
              </w:rPr>
              <w:t>Net Cost of EHS CB Duration Increase</w:t>
            </w:r>
          </w:p>
        </w:tc>
        <w:tc>
          <w:tcPr>
            <w:tcW w:w="708" w:type="pct"/>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$0</w:t>
            </w:r>
          </w:p>
        </w:tc>
        <w:tc>
          <w:tcPr>
            <w:tcW w:w="742" w:type="pct"/>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$0</w:t>
            </w:r>
          </w:p>
        </w:tc>
        <w:tc>
          <w:tcPr>
            <w:tcW w:w="612" w:type="pct"/>
            <w:gridSpan w:val="2"/>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$0</w:t>
            </w:r>
          </w:p>
        </w:tc>
        <w:tc>
          <w:tcPr>
            <w:tcW w:w="661" w:type="pct"/>
            <w:gridSpan w:val="2"/>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$0</w:t>
            </w:r>
          </w:p>
        </w:tc>
        <w:tc>
          <w:tcPr>
            <w:tcW w:w="605" w:type="pct"/>
            <w:gridSpan w:val="2"/>
            <w:shd w:val="clear" w:color="auto" w:fill="auto"/>
            <w:noWrap/>
            <w:vAlign w:val="bottom"/>
          </w:tcPr>
          <w:p w:rsidR="006C2DBA" w:rsidRPr="00DB0091" w:rsidRDefault="006C2DBA" w:rsidP="00E454CD">
            <w:pPr>
              <w:spacing w:after="0" w:line="240" w:lineRule="auto"/>
              <w:jc w:val="right"/>
              <w:rPr>
                <w:rFonts w:ascii="Times New Roman" w:eastAsia="Times New Roman" w:hAnsi="Times New Roman" w:cs="Times New Roman"/>
                <w:b/>
                <w:sz w:val="16"/>
                <w:szCs w:val="16"/>
              </w:rPr>
            </w:pPr>
            <w:r w:rsidRPr="00DB0091">
              <w:rPr>
                <w:rFonts w:ascii="Times New Roman" w:eastAsia="Times New Roman" w:hAnsi="Times New Roman" w:cs="Times New Roman"/>
                <w:b/>
                <w:sz w:val="16"/>
                <w:szCs w:val="16"/>
              </w:rPr>
              <w:t>$0</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Increased </w:t>
            </w:r>
            <w:r w:rsidRPr="00C1694A">
              <w:rPr>
                <w:rFonts w:ascii="Times New Roman" w:eastAsia="Times New Roman" w:hAnsi="Times New Roman" w:cs="Times New Roman"/>
                <w:bCs/>
                <w:sz w:val="16"/>
                <w:szCs w:val="16"/>
              </w:rPr>
              <w:t xml:space="preserve"> EHS HB Duration</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$8,188,508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$8,188,508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$8,188,508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$ 8,188,508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$8,188,508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Waiver for Two-Year-Old Ratios </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$(24,541,262)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Waiver Applications </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$ 104,650</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$20,930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$20,930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$ 20,930</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$20,930  </w:t>
            </w:r>
          </w:p>
        </w:tc>
      </w:tr>
      <w:tr w:rsidR="006C2DBA" w:rsidRPr="00C1694A" w:rsidTr="00AD4B17">
        <w:trPr>
          <w:trHeight w:val="197"/>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Home Visit for Frequently Absent Children</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463,801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463,801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463,801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463,801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463,801 </w:t>
            </w:r>
          </w:p>
        </w:tc>
      </w:tr>
      <w:tr w:rsidR="006C2DBA" w:rsidRPr="00C1694A" w:rsidTr="00AD4B17">
        <w:trPr>
          <w:trHeight w:val="240"/>
        </w:trPr>
        <w:tc>
          <w:tcPr>
            <w:tcW w:w="16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Parent Contact -Unexpectedly Absent Children</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c>
          <w:tcPr>
            <w:tcW w:w="6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3,540,199</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Associate’s Degree for HS Teachers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$10,472,585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Home-visiting CDA for Home Visitors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$5,112,499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$5,112,499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$5,112,499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$5,112,499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$5,112,499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Credential for New Family Service Workers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549,046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Bachelor's Degree for New Management Staff</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$ 8,726,123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$9,370,230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$10,014,338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$10,525,534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$ 10,908,931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Mentor Coaching</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$141,978,651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Improving Curriculum</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4,390,220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Monitoring Fidelity of Curriculum Implementation</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33,983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Assessments for Dual Language Learners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$6,082,338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$6,082,338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$6,082,338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$6,082,338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$ 6,082,338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Removal of Head Start-specific IEPs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(41,180,576)</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$(41,180,576)</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r>
      <w:tr w:rsidR="006C2DBA" w:rsidRPr="00C1694A" w:rsidTr="00AD4B17">
        <w:trPr>
          <w:trHeight w:val="240"/>
        </w:trPr>
        <w:tc>
          <w:tcPr>
            <w:tcW w:w="16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Parenting Curriculum</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c>
          <w:tcPr>
            <w:tcW w:w="6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4,055,157</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Memorandum of Understanding (MOU)</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Criminal Background Checks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4,117,348</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$ 4,117,348</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$ 4,117,348</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$ 4,117,348</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$4,117,348</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Mediation and Arbitration</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333,000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Removal of Annual Audits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(306,000)</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(306,000)</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(306,000)</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(306,000)</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(306,000)</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Delegate Appeals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(833,638)</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(833,638)</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(833,638)</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(833,638)</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(833,638)</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Clarification of  Facilities Application Process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(4,350,000)</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(4,350,000)</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Community Assessment</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(1,152,558)</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Managerial Planning</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(2,298,905)</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(2,298,905)</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(2,298,905)</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(2,298,905)</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(2,298,905)</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Data Management</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6,643,811 </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Participation in QRIS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1,695,928</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2,024,583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2,024,583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2,024,583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2,352,595</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Participation in State longitudinal data systems</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824,593</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965,550</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965,550</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965,550</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$1,106,507</w:t>
            </w:r>
          </w:p>
        </w:tc>
      </w:tr>
      <w:tr w:rsidR="006C2DBA" w:rsidRPr="00C1694A" w:rsidTr="00AD4B17">
        <w:trPr>
          <w:trHeight w:val="240"/>
        </w:trPr>
        <w:tc>
          <w:tcPr>
            <w:tcW w:w="1672" w:type="pct"/>
            <w:shd w:val="clear" w:color="auto" w:fill="auto"/>
            <w:noWrap/>
            <w:vAlign w:val="bottom"/>
          </w:tcPr>
          <w:p w:rsidR="006C2DBA" w:rsidRPr="00C1694A" w:rsidRDefault="006C2DBA" w:rsidP="00D82E7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Implementation Planning</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r>
      <w:tr w:rsidR="006C2DBA" w:rsidRPr="00C1694A" w:rsidTr="00AD4B17">
        <w:trPr>
          <w:trHeight w:val="240"/>
        </w:trPr>
        <w:tc>
          <w:tcPr>
            <w:tcW w:w="1672" w:type="pct"/>
            <w:shd w:val="clear" w:color="auto" w:fill="auto"/>
            <w:noWrap/>
            <w:vAlign w:val="bottom"/>
          </w:tcPr>
          <w:p w:rsidR="006C2DBA" w:rsidRPr="00C1694A" w:rsidRDefault="006C2DBA" w:rsidP="007259C9">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TOTAL</w:t>
            </w:r>
            <w:r>
              <w:rPr>
                <w:rFonts w:ascii="Times New Roman" w:eastAsia="Times New Roman" w:hAnsi="Times New Roman" w:cs="Times New Roman"/>
                <w:b/>
                <w:bCs/>
                <w:sz w:val="16"/>
                <w:szCs w:val="16"/>
              </w:rPr>
              <w:t xml:space="preserve">, </w:t>
            </w:r>
            <w:r w:rsidRPr="00B3516A">
              <w:rPr>
                <w:rFonts w:ascii="Times New Roman" w:eastAsia="Times New Roman" w:hAnsi="Times New Roman" w:cs="Times New Roman"/>
                <w:b/>
                <w:bCs/>
                <w:i/>
                <w:sz w:val="16"/>
                <w:szCs w:val="16"/>
              </w:rPr>
              <w:t xml:space="preserve">Excluding </w:t>
            </w:r>
            <w:r w:rsidRPr="00DB0091">
              <w:rPr>
                <w:rFonts w:ascii="Times New Roman" w:eastAsia="Times New Roman" w:hAnsi="Times New Roman" w:cs="Times New Roman"/>
                <w:b/>
                <w:bCs/>
                <w:sz w:val="16"/>
                <w:szCs w:val="16"/>
              </w:rPr>
              <w:t>Duration Funding Appropriated in FY 2016</w:t>
            </w:r>
          </w:p>
        </w:tc>
        <w:tc>
          <w:tcPr>
            <w:tcW w:w="708"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$1,294,396,889  </w:t>
            </w:r>
          </w:p>
        </w:tc>
        <w:tc>
          <w:tcPr>
            <w:tcW w:w="746"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$ 1,295,285,932</w:t>
            </w:r>
          </w:p>
        </w:tc>
        <w:tc>
          <w:tcPr>
            <w:tcW w:w="614"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$1,296,895,589</w:t>
            </w:r>
          </w:p>
        </w:tc>
        <w:tc>
          <w:tcPr>
            <w:tcW w:w="660" w:type="pct"/>
            <w:gridSpan w:val="2"/>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$1,297,406,786  </w:t>
            </w:r>
          </w:p>
        </w:tc>
        <w:tc>
          <w:tcPr>
            <w:tcW w:w="600" w:type="pct"/>
            <w:shd w:val="clear" w:color="auto" w:fill="auto"/>
            <w:noWrap/>
            <w:vAlign w:val="bottom"/>
          </w:tcPr>
          <w:p w:rsidR="006C2DBA" w:rsidRPr="00C1694A" w:rsidRDefault="006C2DBA" w:rsidP="00D82E7F">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$1,297,152,645</w:t>
            </w:r>
          </w:p>
        </w:tc>
      </w:tr>
      <w:tr w:rsidR="006C2DBA" w:rsidRPr="00C1694A" w:rsidTr="00AD4B17">
        <w:trPr>
          <w:trHeight w:val="240"/>
        </w:trPr>
        <w:tc>
          <w:tcPr>
            <w:tcW w:w="16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7259C9">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TOTAL</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i/>
                <w:sz w:val="16"/>
                <w:szCs w:val="16"/>
              </w:rPr>
              <w:t>Including</w:t>
            </w:r>
            <w:r w:rsidRPr="00B3516A">
              <w:rPr>
                <w:rFonts w:ascii="Times New Roman" w:eastAsia="Times New Roman" w:hAnsi="Times New Roman" w:cs="Times New Roman"/>
                <w:b/>
                <w:bCs/>
                <w:i/>
                <w:sz w:val="16"/>
                <w:szCs w:val="16"/>
              </w:rPr>
              <w:t xml:space="preserve"> </w:t>
            </w:r>
            <w:r w:rsidRPr="00DB0091">
              <w:rPr>
                <w:rFonts w:ascii="Times New Roman" w:eastAsia="Times New Roman" w:hAnsi="Times New Roman" w:cs="Times New Roman"/>
                <w:b/>
                <w:bCs/>
                <w:sz w:val="16"/>
                <w:szCs w:val="16"/>
              </w:rPr>
              <w:t>Duration Funding Appropriated in FY 2016</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384C0E">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$1,000,396,889</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384C0E">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$1,001,285,932</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384C0E">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$1,002,895,589</w:t>
            </w:r>
          </w:p>
        </w:tc>
        <w:tc>
          <w:tcPr>
            <w:tcW w:w="6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384C0E">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$1,003,406,786</w:t>
            </w: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384C0E">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$1,003,152,645</w:t>
            </w:r>
          </w:p>
        </w:tc>
      </w:tr>
    </w:tbl>
    <w:p w:rsidR="006C2DBA" w:rsidRPr="00DB0091" w:rsidRDefault="006C2DBA">
      <w:pPr>
        <w:rPr>
          <w:rFonts w:ascii="Times New Roman" w:hAnsi="Times New Roman" w:cs="Times New Roman"/>
          <w:sz w:val="16"/>
          <w:szCs w:val="16"/>
        </w:rPr>
      </w:pPr>
      <w:r w:rsidRPr="001A5CB8">
        <w:rPr>
          <w:rFonts w:ascii="Times New Roman" w:hAnsi="Times New Roman" w:cs="Times New Roman"/>
          <w:sz w:val="16"/>
          <w:szCs w:val="16"/>
        </w:rPr>
        <w:t xml:space="preserve">*Year ranges refer Head Start program years, which </w:t>
      </w:r>
      <w:r>
        <w:rPr>
          <w:rFonts w:ascii="Times New Roman" w:hAnsi="Times New Roman" w:cs="Times New Roman"/>
          <w:sz w:val="16"/>
          <w:szCs w:val="16"/>
        </w:rPr>
        <w:t>for</w:t>
      </w:r>
      <w:r w:rsidRPr="001A5CB8">
        <w:rPr>
          <w:rFonts w:ascii="Times New Roman" w:hAnsi="Times New Roman" w:cs="Times New Roman"/>
          <w:sz w:val="16"/>
          <w:szCs w:val="16"/>
        </w:rPr>
        <w:t xml:space="preserve"> these estimates, begin on August 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 xml:space="preserve"> of each year and end on or before July 31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w:t>
      </w:r>
      <w:r w:rsidRPr="00C1694A">
        <w:rPr>
          <w:rFonts w:ascii="Times New Roman" w:hAnsi="Times New Roman" w:cs="Times New Roman"/>
        </w:rPr>
        <w:br w:type="page"/>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532"/>
        <w:gridCol w:w="1525"/>
        <w:gridCol w:w="1258"/>
        <w:gridCol w:w="1355"/>
        <w:gridCol w:w="1260"/>
      </w:tblGrid>
      <w:tr w:rsidR="006C2DBA" w:rsidRPr="00C1694A" w:rsidTr="00D23898">
        <w:trPr>
          <w:trHeight w:val="215"/>
        </w:trPr>
        <w:tc>
          <w:tcPr>
            <w:tcW w:w="5000" w:type="pct"/>
            <w:gridSpan w:val="6"/>
            <w:shd w:val="clear" w:color="auto" w:fill="auto"/>
            <w:noWrap/>
            <w:vAlign w:val="bottom"/>
          </w:tcPr>
          <w:p w:rsidR="006C2DBA" w:rsidRPr="00C1694A" w:rsidRDefault="006C2DBA">
            <w:pPr>
              <w:spacing w:after="0" w:line="240" w:lineRule="auto"/>
              <w:ind w:right="115"/>
              <w:rPr>
                <w:rFonts w:ascii="Times New Roman" w:eastAsia="Times New Roman" w:hAnsi="Times New Roman" w:cs="Times New Roman"/>
                <w:b/>
                <w:bCs/>
                <w:sz w:val="16"/>
                <w:szCs w:val="16"/>
              </w:rPr>
            </w:pPr>
            <w:r w:rsidRPr="00C1694A">
              <w:rPr>
                <w:rFonts w:ascii="Times New Roman" w:eastAsia="Times New Roman" w:hAnsi="Times New Roman" w:cs="Times New Roman"/>
                <w:b/>
                <w:sz w:val="16"/>
                <w:szCs w:val="16"/>
              </w:rPr>
              <w:t>Summary Table of All Costs Borne by Other Parties and Opportunity Costs Years 1-5</w:t>
            </w:r>
          </w:p>
        </w:tc>
      </w:tr>
      <w:tr w:rsidR="006C2DBA" w:rsidRPr="00C1694A" w:rsidTr="00D23898">
        <w:trPr>
          <w:trHeight w:val="215"/>
        </w:trPr>
        <w:tc>
          <w:tcPr>
            <w:tcW w:w="1629" w:type="pct"/>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6"/>
                <w:szCs w:val="16"/>
              </w:rPr>
            </w:pPr>
          </w:p>
        </w:tc>
        <w:tc>
          <w:tcPr>
            <w:tcW w:w="745"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1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2016-2017</w:t>
            </w:r>
            <w:r>
              <w:rPr>
                <w:rFonts w:ascii="Times New Roman" w:eastAsia="Times New Roman" w:hAnsi="Times New Roman" w:cs="Times New Roman"/>
                <w:b/>
                <w:bCs/>
                <w:sz w:val="16"/>
                <w:szCs w:val="16"/>
              </w:rPr>
              <w:t>*</w:t>
            </w:r>
          </w:p>
        </w:tc>
        <w:tc>
          <w:tcPr>
            <w:tcW w:w="742"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2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2017-2018</w:t>
            </w:r>
            <w:r>
              <w:rPr>
                <w:rFonts w:ascii="Times New Roman" w:eastAsia="Times New Roman" w:hAnsi="Times New Roman" w:cs="Times New Roman"/>
                <w:b/>
                <w:bCs/>
                <w:sz w:val="16"/>
                <w:szCs w:val="16"/>
              </w:rPr>
              <w:t>*</w:t>
            </w:r>
          </w:p>
        </w:tc>
        <w:tc>
          <w:tcPr>
            <w:tcW w:w="612"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3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2018-2019</w:t>
            </w:r>
            <w:r>
              <w:rPr>
                <w:rFonts w:ascii="Times New Roman" w:eastAsia="Times New Roman" w:hAnsi="Times New Roman" w:cs="Times New Roman"/>
                <w:b/>
                <w:bCs/>
                <w:sz w:val="16"/>
                <w:szCs w:val="16"/>
              </w:rPr>
              <w:t>*</w:t>
            </w:r>
          </w:p>
        </w:tc>
        <w:tc>
          <w:tcPr>
            <w:tcW w:w="659"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4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2019-2020</w:t>
            </w:r>
            <w:r>
              <w:rPr>
                <w:rFonts w:ascii="Times New Roman" w:eastAsia="Times New Roman" w:hAnsi="Times New Roman" w:cs="Times New Roman"/>
                <w:b/>
                <w:bCs/>
                <w:sz w:val="16"/>
                <w:szCs w:val="16"/>
              </w:rPr>
              <w:t>*</w:t>
            </w:r>
          </w:p>
        </w:tc>
        <w:tc>
          <w:tcPr>
            <w:tcW w:w="613"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5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2020-2021</w:t>
            </w:r>
            <w:r>
              <w:rPr>
                <w:rFonts w:ascii="Times New Roman" w:eastAsia="Times New Roman" w:hAnsi="Times New Roman" w:cs="Times New Roman"/>
                <w:b/>
                <w:bCs/>
                <w:sz w:val="16"/>
                <w:szCs w:val="16"/>
              </w:rPr>
              <w:t>*</w:t>
            </w:r>
            <w:r w:rsidRPr="00C1694A">
              <w:rPr>
                <w:rFonts w:ascii="Times New Roman" w:eastAsia="Times New Roman" w:hAnsi="Times New Roman" w:cs="Times New Roman"/>
                <w:b/>
                <w:bCs/>
                <w:sz w:val="16"/>
                <w:szCs w:val="16"/>
              </w:rPr>
              <w:t xml:space="preserve">  </w:t>
            </w:r>
          </w:p>
        </w:tc>
      </w:tr>
      <w:tr w:rsidR="006C2DBA" w:rsidRPr="00C1694A" w:rsidTr="00D23898">
        <w:trPr>
          <w:trHeight w:val="240"/>
        </w:trPr>
        <w:tc>
          <w:tcPr>
            <w:tcW w:w="1629"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bCs/>
                <w:i/>
                <w:sz w:val="16"/>
                <w:szCs w:val="16"/>
              </w:rPr>
            </w:pPr>
            <w:r w:rsidRPr="00C1694A">
              <w:rPr>
                <w:rFonts w:ascii="Times New Roman" w:eastAsia="Times New Roman" w:hAnsi="Times New Roman" w:cs="Times New Roman"/>
                <w:b/>
                <w:bCs/>
                <w:i/>
                <w:sz w:val="16"/>
                <w:szCs w:val="16"/>
              </w:rPr>
              <w:t>Costs Borne by Other Parties</w:t>
            </w:r>
          </w:p>
        </w:tc>
        <w:tc>
          <w:tcPr>
            <w:tcW w:w="3371" w:type="pct"/>
            <w:gridSpan w:val="5"/>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p>
        </w:tc>
      </w:tr>
      <w:tr w:rsidR="006C2DBA" w:rsidRPr="00C1694A" w:rsidTr="00D23898">
        <w:trPr>
          <w:trHeight w:val="152"/>
        </w:trPr>
        <w:tc>
          <w:tcPr>
            <w:tcW w:w="1629" w:type="pct"/>
            <w:shd w:val="clear" w:color="auto" w:fill="auto"/>
            <w:vAlign w:val="bottom"/>
            <w:hideMark/>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Managerial Planning</w:t>
            </w:r>
          </w:p>
        </w:tc>
        <w:tc>
          <w:tcPr>
            <w:tcW w:w="745"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$(1,043,016)</w:t>
            </w:r>
          </w:p>
        </w:tc>
        <w:tc>
          <w:tcPr>
            <w:tcW w:w="74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$(1,043,016)</w:t>
            </w:r>
          </w:p>
        </w:tc>
        <w:tc>
          <w:tcPr>
            <w:tcW w:w="61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$(1,043,016)</w:t>
            </w:r>
          </w:p>
        </w:tc>
        <w:tc>
          <w:tcPr>
            <w:tcW w:w="659"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$(1,043,016)</w:t>
            </w:r>
          </w:p>
        </w:tc>
        <w:tc>
          <w:tcPr>
            <w:tcW w:w="613"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$(1,043,016)</w:t>
            </w:r>
          </w:p>
        </w:tc>
      </w:tr>
      <w:tr w:rsidR="006C2DBA" w:rsidRPr="00C1694A" w:rsidTr="00D23898">
        <w:trPr>
          <w:trHeight w:val="224"/>
        </w:trPr>
        <w:tc>
          <w:tcPr>
            <w:tcW w:w="1629" w:type="pct"/>
            <w:shd w:val="clear" w:color="auto" w:fill="auto"/>
            <w:noWrap/>
            <w:vAlign w:val="bottom"/>
            <w:hideMark/>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Data Management</w:t>
            </w:r>
          </w:p>
        </w:tc>
        <w:tc>
          <w:tcPr>
            <w:tcW w:w="745"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741,978 </w:t>
            </w:r>
          </w:p>
        </w:tc>
        <w:tc>
          <w:tcPr>
            <w:tcW w:w="61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741,978 </w:t>
            </w:r>
          </w:p>
        </w:tc>
        <w:tc>
          <w:tcPr>
            <w:tcW w:w="659"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741,978 </w:t>
            </w:r>
          </w:p>
        </w:tc>
        <w:tc>
          <w:tcPr>
            <w:tcW w:w="613"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741,978 </w:t>
            </w:r>
          </w:p>
        </w:tc>
      </w:tr>
      <w:tr w:rsidR="006C2DBA" w:rsidRPr="00C1694A" w:rsidTr="00D23898">
        <w:trPr>
          <w:trHeight w:val="170"/>
        </w:trPr>
        <w:tc>
          <w:tcPr>
            <w:tcW w:w="1629" w:type="pct"/>
            <w:shd w:val="clear" w:color="auto" w:fill="auto"/>
            <w:noWrap/>
            <w:vAlign w:val="bottom"/>
            <w:hideMark/>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Memorandum of Understanding (MOU)</w:t>
            </w:r>
          </w:p>
        </w:tc>
        <w:tc>
          <w:tcPr>
            <w:tcW w:w="745"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28,679 </w:t>
            </w:r>
          </w:p>
        </w:tc>
        <w:tc>
          <w:tcPr>
            <w:tcW w:w="74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59"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3"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r>
      <w:tr w:rsidR="006C2DBA" w:rsidRPr="00C1694A" w:rsidTr="00D23898">
        <w:trPr>
          <w:trHeight w:val="152"/>
        </w:trPr>
        <w:tc>
          <w:tcPr>
            <w:tcW w:w="1629" w:type="pct"/>
            <w:shd w:val="clear" w:color="auto" w:fill="auto"/>
            <w:noWrap/>
            <w:vAlign w:val="bottom"/>
            <w:hideMark/>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Community Assessment </w:t>
            </w:r>
          </w:p>
        </w:tc>
        <w:tc>
          <w:tcPr>
            <w:tcW w:w="745"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(352,028)</w:t>
            </w:r>
          </w:p>
        </w:tc>
        <w:tc>
          <w:tcPr>
            <w:tcW w:w="74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(352,028)</w:t>
            </w:r>
          </w:p>
        </w:tc>
        <w:tc>
          <w:tcPr>
            <w:tcW w:w="61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(352,028)</w:t>
            </w:r>
          </w:p>
        </w:tc>
        <w:tc>
          <w:tcPr>
            <w:tcW w:w="659"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(352,028)</w:t>
            </w:r>
          </w:p>
        </w:tc>
        <w:tc>
          <w:tcPr>
            <w:tcW w:w="613"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(352,028)</w:t>
            </w:r>
          </w:p>
        </w:tc>
      </w:tr>
      <w:tr w:rsidR="006C2DBA" w:rsidRPr="00C1694A" w:rsidTr="00D23898">
        <w:trPr>
          <w:trHeight w:val="143"/>
        </w:trPr>
        <w:tc>
          <w:tcPr>
            <w:tcW w:w="1629" w:type="pct"/>
            <w:shd w:val="clear" w:color="auto" w:fill="auto"/>
            <w:noWrap/>
            <w:vAlign w:val="bottom"/>
            <w:hideMark/>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Improving Curriculum</w:t>
            </w:r>
          </w:p>
        </w:tc>
        <w:tc>
          <w:tcPr>
            <w:tcW w:w="745"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c>
          <w:tcPr>
            <w:tcW w:w="61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c>
          <w:tcPr>
            <w:tcW w:w="659"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c>
          <w:tcPr>
            <w:tcW w:w="613"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r>
      <w:tr w:rsidR="006C2DBA" w:rsidRPr="00C1694A" w:rsidTr="00D23898">
        <w:trPr>
          <w:trHeight w:val="125"/>
        </w:trPr>
        <w:tc>
          <w:tcPr>
            <w:tcW w:w="1629" w:type="pct"/>
            <w:shd w:val="clear" w:color="auto" w:fill="auto"/>
            <w:noWrap/>
            <w:vAlign w:val="bottom"/>
            <w:hideMark/>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Implementation Planning</w:t>
            </w:r>
          </w:p>
        </w:tc>
        <w:tc>
          <w:tcPr>
            <w:tcW w:w="745"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1,624,843 </w:t>
            </w:r>
          </w:p>
        </w:tc>
        <w:tc>
          <w:tcPr>
            <w:tcW w:w="742"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1,624,843 </w:t>
            </w:r>
          </w:p>
        </w:tc>
        <w:tc>
          <w:tcPr>
            <w:tcW w:w="612"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59"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613"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r>
      <w:tr w:rsidR="006C2DBA" w:rsidRPr="00C1694A" w:rsidTr="00D23898">
        <w:trPr>
          <w:trHeight w:val="197"/>
        </w:trPr>
        <w:tc>
          <w:tcPr>
            <w:tcW w:w="1629" w:type="pct"/>
            <w:shd w:val="clear" w:color="auto" w:fill="auto"/>
            <w:vAlign w:val="bottom"/>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Waiver Application </w:t>
            </w:r>
          </w:p>
        </w:tc>
        <w:tc>
          <w:tcPr>
            <w:tcW w:w="74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$14,023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$17,758 </w:t>
            </w:r>
          </w:p>
        </w:tc>
        <w:tc>
          <w:tcPr>
            <w:tcW w:w="61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$19,731 </w:t>
            </w:r>
          </w:p>
        </w:tc>
        <w:tc>
          <w:tcPr>
            <w:tcW w:w="65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$26,537 </w:t>
            </w:r>
          </w:p>
        </w:tc>
        <w:tc>
          <w:tcPr>
            <w:tcW w:w="613"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$26,537 </w:t>
            </w:r>
          </w:p>
        </w:tc>
      </w:tr>
      <w:tr w:rsidR="006C2DBA" w:rsidRPr="00C1694A" w:rsidTr="00D23898">
        <w:trPr>
          <w:trHeight w:val="170"/>
        </w:trPr>
        <w:tc>
          <w:tcPr>
            <w:tcW w:w="1629" w:type="pct"/>
            <w:shd w:val="clear" w:color="auto" w:fill="auto"/>
            <w:vAlign w:val="bottom"/>
            <w:hideMark/>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Bachelor's Degree for New Management Staff</w:t>
            </w:r>
          </w:p>
        </w:tc>
        <w:tc>
          <w:tcPr>
            <w:tcW w:w="745"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$ 1,036,673     </w:t>
            </w:r>
          </w:p>
        </w:tc>
        <w:tc>
          <w:tcPr>
            <w:tcW w:w="742"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$1,888,833     </w:t>
            </w:r>
          </w:p>
        </w:tc>
        <w:tc>
          <w:tcPr>
            <w:tcW w:w="612"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$2,619,603    </w:t>
            </w:r>
          </w:p>
        </w:tc>
        <w:tc>
          <w:tcPr>
            <w:tcW w:w="659"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$ 3,228,982   </w:t>
            </w:r>
          </w:p>
        </w:tc>
        <w:tc>
          <w:tcPr>
            <w:tcW w:w="613"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$3,716,971      </w:t>
            </w:r>
          </w:p>
        </w:tc>
      </w:tr>
      <w:tr w:rsidR="006C2DBA" w:rsidRPr="00C1694A" w:rsidTr="00D23898">
        <w:trPr>
          <w:trHeight w:val="161"/>
        </w:trPr>
        <w:tc>
          <w:tcPr>
            <w:tcW w:w="1629" w:type="pct"/>
            <w:shd w:val="clear" w:color="auto" w:fill="auto"/>
            <w:vAlign w:val="bottom"/>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Participation in QRIS</w:t>
            </w:r>
          </w:p>
        </w:tc>
        <w:tc>
          <w:tcPr>
            <w:tcW w:w="74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888,598 </w:t>
            </w:r>
          </w:p>
        </w:tc>
        <w:tc>
          <w:tcPr>
            <w:tcW w:w="61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888,598 </w:t>
            </w:r>
          </w:p>
        </w:tc>
        <w:tc>
          <w:tcPr>
            <w:tcW w:w="65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888,598 </w:t>
            </w:r>
          </w:p>
        </w:tc>
        <w:tc>
          <w:tcPr>
            <w:tcW w:w="613"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888,598 </w:t>
            </w:r>
          </w:p>
        </w:tc>
      </w:tr>
      <w:tr w:rsidR="006C2DBA" w:rsidRPr="00C1694A" w:rsidTr="00D23898">
        <w:trPr>
          <w:trHeight w:val="161"/>
        </w:trPr>
        <w:tc>
          <w:tcPr>
            <w:tcW w:w="1629" w:type="pct"/>
            <w:tcBorders>
              <w:top w:val="single" w:sz="4" w:space="0" w:color="auto"/>
              <w:left w:val="single" w:sz="4" w:space="0" w:color="auto"/>
              <w:bottom w:val="single" w:sz="4" w:space="0" w:color="auto"/>
              <w:right w:val="single" w:sz="4" w:space="0" w:color="auto"/>
            </w:tcBorders>
            <w:shd w:val="clear" w:color="auto" w:fill="auto"/>
            <w:vAlign w:val="bottom"/>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Participation in State longitudinal data systems</w:t>
            </w:r>
          </w:p>
        </w:tc>
        <w:tc>
          <w:tcPr>
            <w:tcW w:w="7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399,268     </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399,268     </w:t>
            </w:r>
          </w:p>
        </w:tc>
        <w:tc>
          <w:tcPr>
            <w:tcW w:w="659" w:type="pct"/>
            <w:tcBorders>
              <w:top w:val="single" w:sz="4" w:space="0" w:color="auto"/>
              <w:left w:val="single" w:sz="4" w:space="0" w:color="auto"/>
              <w:bottom w:val="single" w:sz="4" w:space="0" w:color="auto"/>
              <w:right w:val="single" w:sz="4" w:space="0" w:color="auto"/>
            </w:tcBorders>
            <w:shd w:val="clear" w:color="auto" w:fill="auto"/>
            <w:noWrap/>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399,268     </w:t>
            </w:r>
          </w:p>
        </w:tc>
        <w:tc>
          <w:tcPr>
            <w:tcW w:w="613" w:type="pct"/>
            <w:tcBorders>
              <w:top w:val="single" w:sz="4" w:space="0" w:color="auto"/>
              <w:left w:val="single" w:sz="4" w:space="0" w:color="auto"/>
              <w:bottom w:val="single" w:sz="4" w:space="0" w:color="auto"/>
              <w:right w:val="single" w:sz="4" w:space="0" w:color="auto"/>
            </w:tcBorders>
            <w:shd w:val="clear" w:color="auto" w:fill="auto"/>
            <w:noWrap/>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399,268     </w:t>
            </w:r>
          </w:p>
        </w:tc>
      </w:tr>
      <w:tr w:rsidR="006C2DBA" w:rsidRPr="00C1694A" w:rsidTr="00D23898">
        <w:trPr>
          <w:trHeight w:val="152"/>
        </w:trPr>
        <w:tc>
          <w:tcPr>
            <w:tcW w:w="1629" w:type="pct"/>
            <w:shd w:val="clear" w:color="auto" w:fill="auto"/>
            <w:vAlign w:val="bottom"/>
          </w:tcPr>
          <w:p w:rsidR="006C2DBA" w:rsidRPr="00C1694A" w:rsidRDefault="006C2DBA" w:rsidP="00D722F2">
            <w:pPr>
              <w:spacing w:after="0" w:line="240" w:lineRule="auto"/>
              <w:rPr>
                <w:rFonts w:ascii="Times New Roman" w:eastAsia="Times New Roman" w:hAnsi="Times New Roman" w:cs="Times New Roman"/>
                <w:b/>
                <w:bCs/>
                <w:sz w:val="16"/>
                <w:szCs w:val="16"/>
              </w:rPr>
            </w:pPr>
            <w:r w:rsidRPr="00C1694A">
              <w:rPr>
                <w:rFonts w:ascii="Times New Roman" w:eastAsia="Times New Roman" w:hAnsi="Times New Roman" w:cs="Times New Roman"/>
                <w:bCs/>
                <w:sz w:val="16"/>
                <w:szCs w:val="16"/>
              </w:rPr>
              <w:t>Removal of Head Start-specific IEPs</w:t>
            </w:r>
          </w:p>
        </w:tc>
        <w:tc>
          <w:tcPr>
            <w:tcW w:w="745"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$41,180,576</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$41,180,576</w:t>
            </w:r>
          </w:p>
        </w:tc>
        <w:tc>
          <w:tcPr>
            <w:tcW w:w="61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$41,180,576</w:t>
            </w:r>
          </w:p>
        </w:tc>
        <w:tc>
          <w:tcPr>
            <w:tcW w:w="65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c>
          <w:tcPr>
            <w:tcW w:w="613"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41,180,576</w:t>
            </w:r>
          </w:p>
        </w:tc>
      </w:tr>
      <w:tr w:rsidR="006C2DBA" w:rsidRPr="00C1694A" w:rsidTr="00D23898">
        <w:trPr>
          <w:trHeight w:val="152"/>
        </w:trPr>
        <w:tc>
          <w:tcPr>
            <w:tcW w:w="1629" w:type="pct"/>
            <w:shd w:val="clear" w:color="auto" w:fill="auto"/>
            <w:vAlign w:val="bottom"/>
          </w:tcPr>
          <w:p w:rsidR="006C2DBA" w:rsidRPr="00C1694A" w:rsidRDefault="006C2DBA" w:rsidP="00D722F2">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SUBTOTAL</w:t>
            </w:r>
          </w:p>
        </w:tc>
        <w:tc>
          <w:tcPr>
            <w:tcW w:w="74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$42,489,751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$44,745,228    </w:t>
            </w:r>
          </w:p>
        </w:tc>
        <w:tc>
          <w:tcPr>
            <w:tcW w:w="61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$43,853,127    </w:t>
            </w:r>
          </w:p>
        </w:tc>
        <w:tc>
          <w:tcPr>
            <w:tcW w:w="65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$44,469,312    </w:t>
            </w:r>
          </w:p>
        </w:tc>
        <w:tc>
          <w:tcPr>
            <w:tcW w:w="613"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$44,957,301      </w:t>
            </w:r>
          </w:p>
        </w:tc>
      </w:tr>
      <w:tr w:rsidR="006C2DBA" w:rsidRPr="00C1694A" w:rsidTr="00D23898">
        <w:trPr>
          <w:trHeight w:val="134"/>
        </w:trPr>
        <w:tc>
          <w:tcPr>
            <w:tcW w:w="1629"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bCs/>
                <w:i/>
                <w:sz w:val="16"/>
                <w:szCs w:val="16"/>
              </w:rPr>
            </w:pPr>
            <w:r w:rsidRPr="00C1694A">
              <w:rPr>
                <w:rFonts w:ascii="Times New Roman" w:eastAsia="Times New Roman" w:hAnsi="Times New Roman" w:cs="Times New Roman"/>
                <w:b/>
                <w:bCs/>
                <w:i/>
                <w:sz w:val="16"/>
                <w:szCs w:val="16"/>
              </w:rPr>
              <w:t>Opportunity Costs</w:t>
            </w:r>
          </w:p>
        </w:tc>
        <w:tc>
          <w:tcPr>
            <w:tcW w:w="3371" w:type="pct"/>
            <w:gridSpan w:val="5"/>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p>
        </w:tc>
      </w:tr>
      <w:tr w:rsidR="006C2DBA" w:rsidRPr="00C1694A" w:rsidTr="00D23898">
        <w:trPr>
          <w:trHeight w:val="215"/>
        </w:trPr>
        <w:tc>
          <w:tcPr>
            <w:tcW w:w="1629" w:type="pct"/>
            <w:shd w:val="clear" w:color="auto" w:fill="auto"/>
            <w:noWrap/>
            <w:vAlign w:val="bottom"/>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Home Visit for Frequently Absent Children</w:t>
            </w:r>
          </w:p>
        </w:tc>
        <w:tc>
          <w:tcPr>
            <w:tcW w:w="745"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455,721</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410,149 </w:t>
            </w:r>
          </w:p>
        </w:tc>
        <w:tc>
          <w:tcPr>
            <w:tcW w:w="61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364,577 </w:t>
            </w:r>
          </w:p>
        </w:tc>
        <w:tc>
          <w:tcPr>
            <w:tcW w:w="65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319,005 </w:t>
            </w:r>
          </w:p>
        </w:tc>
        <w:tc>
          <w:tcPr>
            <w:tcW w:w="613"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273,433 </w:t>
            </w:r>
          </w:p>
        </w:tc>
      </w:tr>
      <w:tr w:rsidR="006C2DBA" w:rsidRPr="00C1694A" w:rsidTr="00D23898">
        <w:trPr>
          <w:trHeight w:val="161"/>
        </w:trPr>
        <w:tc>
          <w:tcPr>
            <w:tcW w:w="1629" w:type="pct"/>
            <w:shd w:val="clear" w:color="auto" w:fill="auto"/>
            <w:noWrap/>
            <w:vAlign w:val="bottom"/>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Criminal Background Checks</w:t>
            </w:r>
          </w:p>
        </w:tc>
        <w:tc>
          <w:tcPr>
            <w:tcW w:w="745"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$ 838,985    </w:t>
            </w:r>
          </w:p>
        </w:tc>
        <w:tc>
          <w:tcPr>
            <w:tcW w:w="61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$838,985         </w:t>
            </w:r>
          </w:p>
        </w:tc>
        <w:tc>
          <w:tcPr>
            <w:tcW w:w="65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$838,985        </w:t>
            </w:r>
          </w:p>
        </w:tc>
        <w:tc>
          <w:tcPr>
            <w:tcW w:w="613"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$838,985          </w:t>
            </w:r>
          </w:p>
        </w:tc>
      </w:tr>
      <w:tr w:rsidR="006C2DBA" w:rsidRPr="00C1694A" w:rsidTr="00D23898">
        <w:trPr>
          <w:trHeight w:val="161"/>
        </w:trPr>
        <w:tc>
          <w:tcPr>
            <w:tcW w:w="1629" w:type="pct"/>
            <w:shd w:val="clear" w:color="auto" w:fill="auto"/>
            <w:noWrap/>
            <w:vAlign w:val="bottom"/>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Data Management</w:t>
            </w:r>
          </w:p>
        </w:tc>
        <w:tc>
          <w:tcPr>
            <w:tcW w:w="745"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74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2,393,194</w:t>
            </w:r>
          </w:p>
        </w:tc>
        <w:tc>
          <w:tcPr>
            <w:tcW w:w="612"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2,393,194</w:t>
            </w:r>
          </w:p>
        </w:tc>
        <w:tc>
          <w:tcPr>
            <w:tcW w:w="659"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2,393,194</w:t>
            </w:r>
          </w:p>
        </w:tc>
        <w:tc>
          <w:tcPr>
            <w:tcW w:w="613"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2,393,194</w:t>
            </w:r>
          </w:p>
        </w:tc>
      </w:tr>
      <w:tr w:rsidR="006C2DBA" w:rsidRPr="00C1694A" w:rsidTr="00D23898">
        <w:trPr>
          <w:trHeight w:val="134"/>
        </w:trPr>
        <w:tc>
          <w:tcPr>
            <w:tcW w:w="1629"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SUBTOTAL</w:t>
            </w:r>
          </w:p>
        </w:tc>
        <w:tc>
          <w:tcPr>
            <w:tcW w:w="74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$455,721 </w:t>
            </w:r>
          </w:p>
        </w:tc>
        <w:tc>
          <w:tcPr>
            <w:tcW w:w="74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$ 4,384,306</w:t>
            </w:r>
          </w:p>
        </w:tc>
        <w:tc>
          <w:tcPr>
            <w:tcW w:w="612"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$ 4,338,734</w:t>
            </w:r>
          </w:p>
        </w:tc>
        <w:tc>
          <w:tcPr>
            <w:tcW w:w="65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$4,293,161 </w:t>
            </w:r>
          </w:p>
        </w:tc>
        <w:tc>
          <w:tcPr>
            <w:tcW w:w="613"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$ 4,247,589</w:t>
            </w:r>
          </w:p>
        </w:tc>
      </w:tr>
    </w:tbl>
    <w:p w:rsidR="006C2DBA" w:rsidRPr="00AD4B17" w:rsidRDefault="006C2DBA" w:rsidP="00331A7B">
      <w:pPr>
        <w:rPr>
          <w:rFonts w:ascii="Times New Roman" w:hAnsi="Times New Roman" w:cs="Times New Roman"/>
          <w:sz w:val="16"/>
          <w:szCs w:val="16"/>
        </w:rPr>
      </w:pPr>
      <w:r w:rsidRPr="001A5CB8">
        <w:rPr>
          <w:rFonts w:ascii="Times New Roman" w:hAnsi="Times New Roman" w:cs="Times New Roman"/>
          <w:sz w:val="16"/>
          <w:szCs w:val="16"/>
        </w:rPr>
        <w:t xml:space="preserve">*Year ranges refer Head Start program years, which </w:t>
      </w:r>
      <w:r>
        <w:rPr>
          <w:rFonts w:ascii="Times New Roman" w:hAnsi="Times New Roman" w:cs="Times New Roman"/>
          <w:sz w:val="16"/>
          <w:szCs w:val="16"/>
        </w:rPr>
        <w:t>for</w:t>
      </w:r>
      <w:r w:rsidRPr="001A5CB8">
        <w:rPr>
          <w:rFonts w:ascii="Times New Roman" w:hAnsi="Times New Roman" w:cs="Times New Roman"/>
          <w:sz w:val="16"/>
          <w:szCs w:val="16"/>
        </w:rPr>
        <w:t xml:space="preserve"> these estimates, begin on August 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 xml:space="preserve"> of each year and end on or before July 31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2"/>
        <w:gridCol w:w="1536"/>
        <w:gridCol w:w="1534"/>
        <w:gridCol w:w="1262"/>
        <w:gridCol w:w="1357"/>
        <w:gridCol w:w="1248"/>
      </w:tblGrid>
      <w:tr w:rsidR="006C2DBA" w:rsidRPr="00C1694A" w:rsidTr="00D722F2">
        <w:trPr>
          <w:trHeight w:val="215"/>
        </w:trPr>
        <w:tc>
          <w:tcPr>
            <w:tcW w:w="5000" w:type="pct"/>
            <w:gridSpan w:val="6"/>
            <w:shd w:val="clear" w:color="auto" w:fill="auto"/>
            <w:noWrap/>
            <w:vAlign w:val="bottom"/>
          </w:tcPr>
          <w:p w:rsidR="006C2DBA" w:rsidRPr="00C1694A" w:rsidRDefault="006C2DBA">
            <w:pPr>
              <w:spacing w:after="0" w:line="240" w:lineRule="auto"/>
              <w:ind w:right="115"/>
              <w:rPr>
                <w:rFonts w:ascii="Times New Roman" w:eastAsia="Times New Roman" w:hAnsi="Times New Roman" w:cs="Times New Roman"/>
                <w:b/>
                <w:bCs/>
                <w:sz w:val="16"/>
                <w:szCs w:val="16"/>
              </w:rPr>
            </w:pPr>
            <w:r w:rsidRPr="00C1694A">
              <w:rPr>
                <w:rFonts w:ascii="Times New Roman" w:eastAsia="Times New Roman" w:hAnsi="Times New Roman" w:cs="Times New Roman"/>
                <w:b/>
                <w:sz w:val="16"/>
                <w:szCs w:val="16"/>
              </w:rPr>
              <w:t>Summary Table of All Costs Borne by Other Parties and Opportunity Costs Years 6-10</w:t>
            </w:r>
          </w:p>
        </w:tc>
      </w:tr>
      <w:tr w:rsidR="006C2DBA" w:rsidRPr="00C1694A" w:rsidTr="00202212">
        <w:trPr>
          <w:trHeight w:val="215"/>
        </w:trPr>
        <w:tc>
          <w:tcPr>
            <w:tcW w:w="1626" w:type="pct"/>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6"/>
                <w:szCs w:val="16"/>
              </w:rPr>
            </w:pPr>
          </w:p>
        </w:tc>
        <w:tc>
          <w:tcPr>
            <w:tcW w:w="747"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6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2021-2022</w:t>
            </w:r>
            <w:r>
              <w:rPr>
                <w:rFonts w:ascii="Times New Roman" w:eastAsia="Times New Roman" w:hAnsi="Times New Roman" w:cs="Times New Roman"/>
                <w:b/>
                <w:bCs/>
                <w:sz w:val="16"/>
                <w:szCs w:val="16"/>
              </w:rPr>
              <w:t>*</w:t>
            </w:r>
          </w:p>
        </w:tc>
        <w:tc>
          <w:tcPr>
            <w:tcW w:w="746"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7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2022-2023</w:t>
            </w:r>
            <w:r>
              <w:rPr>
                <w:rFonts w:ascii="Times New Roman" w:eastAsia="Times New Roman" w:hAnsi="Times New Roman" w:cs="Times New Roman"/>
                <w:b/>
                <w:bCs/>
                <w:sz w:val="16"/>
                <w:szCs w:val="16"/>
              </w:rPr>
              <w:t>*</w:t>
            </w:r>
          </w:p>
        </w:tc>
        <w:tc>
          <w:tcPr>
            <w:tcW w:w="614"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8</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2023-2024</w:t>
            </w:r>
            <w:r>
              <w:rPr>
                <w:rFonts w:ascii="Times New Roman" w:eastAsia="Times New Roman" w:hAnsi="Times New Roman" w:cs="Times New Roman"/>
                <w:b/>
                <w:bCs/>
                <w:sz w:val="16"/>
                <w:szCs w:val="16"/>
              </w:rPr>
              <w:t>*</w:t>
            </w:r>
            <w:r w:rsidRPr="00C1694A">
              <w:rPr>
                <w:rFonts w:ascii="Times New Roman" w:eastAsia="Times New Roman" w:hAnsi="Times New Roman" w:cs="Times New Roman"/>
                <w:b/>
                <w:bCs/>
                <w:sz w:val="16"/>
                <w:szCs w:val="16"/>
              </w:rPr>
              <w:t xml:space="preserve"> </w:t>
            </w:r>
          </w:p>
        </w:tc>
        <w:tc>
          <w:tcPr>
            <w:tcW w:w="660"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9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2024-2025</w:t>
            </w:r>
            <w:r>
              <w:rPr>
                <w:rFonts w:ascii="Times New Roman" w:eastAsia="Times New Roman" w:hAnsi="Times New Roman" w:cs="Times New Roman"/>
                <w:b/>
                <w:bCs/>
                <w:sz w:val="16"/>
                <w:szCs w:val="16"/>
              </w:rPr>
              <w:t>*</w:t>
            </w:r>
          </w:p>
        </w:tc>
        <w:tc>
          <w:tcPr>
            <w:tcW w:w="607"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10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2025-2026</w:t>
            </w:r>
            <w:r>
              <w:rPr>
                <w:rFonts w:ascii="Times New Roman" w:eastAsia="Times New Roman" w:hAnsi="Times New Roman" w:cs="Times New Roman"/>
                <w:b/>
                <w:bCs/>
                <w:sz w:val="16"/>
                <w:szCs w:val="16"/>
              </w:rPr>
              <w:t>*</w:t>
            </w:r>
          </w:p>
        </w:tc>
      </w:tr>
      <w:tr w:rsidR="006C2DBA" w:rsidRPr="00C1694A" w:rsidTr="00202212">
        <w:trPr>
          <w:trHeight w:val="240"/>
        </w:trPr>
        <w:tc>
          <w:tcPr>
            <w:tcW w:w="1626" w:type="pct"/>
            <w:shd w:val="clear" w:color="auto" w:fill="auto"/>
            <w:noWrap/>
            <w:vAlign w:val="bottom"/>
          </w:tcPr>
          <w:p w:rsidR="006C2DBA" w:rsidRPr="00C1694A" w:rsidRDefault="006C2DBA" w:rsidP="00DC5146">
            <w:pPr>
              <w:spacing w:after="0" w:line="240" w:lineRule="auto"/>
              <w:jc w:val="center"/>
              <w:rPr>
                <w:rFonts w:ascii="Times New Roman" w:eastAsia="Times New Roman" w:hAnsi="Times New Roman" w:cs="Times New Roman"/>
                <w:b/>
                <w:bCs/>
                <w:i/>
                <w:sz w:val="16"/>
                <w:szCs w:val="16"/>
              </w:rPr>
            </w:pPr>
            <w:r w:rsidRPr="00C1694A">
              <w:rPr>
                <w:rFonts w:ascii="Times New Roman" w:eastAsia="Times New Roman" w:hAnsi="Times New Roman" w:cs="Times New Roman"/>
                <w:b/>
                <w:bCs/>
                <w:i/>
                <w:sz w:val="16"/>
                <w:szCs w:val="16"/>
              </w:rPr>
              <w:t>Costs Borne by Other Parties</w:t>
            </w:r>
          </w:p>
        </w:tc>
        <w:tc>
          <w:tcPr>
            <w:tcW w:w="3374" w:type="pct"/>
            <w:gridSpan w:val="5"/>
            <w:shd w:val="clear" w:color="auto" w:fill="auto"/>
            <w:noWrap/>
            <w:vAlign w:val="bottom"/>
          </w:tcPr>
          <w:p w:rsidR="006C2DBA" w:rsidRPr="00C1694A" w:rsidRDefault="006C2DBA" w:rsidP="00DC5146">
            <w:pPr>
              <w:spacing w:after="0" w:line="240" w:lineRule="auto"/>
              <w:jc w:val="right"/>
              <w:rPr>
                <w:rFonts w:ascii="Times New Roman" w:eastAsia="Times New Roman" w:hAnsi="Times New Roman" w:cs="Times New Roman"/>
                <w:sz w:val="16"/>
                <w:szCs w:val="16"/>
              </w:rPr>
            </w:pPr>
          </w:p>
        </w:tc>
      </w:tr>
      <w:tr w:rsidR="006C2DBA" w:rsidRPr="00C1694A" w:rsidTr="00202212">
        <w:trPr>
          <w:trHeight w:val="152"/>
        </w:trPr>
        <w:tc>
          <w:tcPr>
            <w:tcW w:w="1626" w:type="pct"/>
            <w:shd w:val="clear" w:color="auto" w:fill="auto"/>
            <w:vAlign w:val="bottom"/>
            <w:hideMark/>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Managerial Planning</w:t>
            </w:r>
          </w:p>
        </w:tc>
        <w:tc>
          <w:tcPr>
            <w:tcW w:w="74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(1,043,016)</w:t>
            </w:r>
          </w:p>
        </w:tc>
        <w:tc>
          <w:tcPr>
            <w:tcW w:w="746"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(1,043,016)</w:t>
            </w:r>
          </w:p>
        </w:tc>
        <w:tc>
          <w:tcPr>
            <w:tcW w:w="614"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(1,043,016)</w:t>
            </w:r>
          </w:p>
        </w:tc>
        <w:tc>
          <w:tcPr>
            <w:tcW w:w="660"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(1,043,016)</w:t>
            </w:r>
          </w:p>
        </w:tc>
        <w:tc>
          <w:tcPr>
            <w:tcW w:w="60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(1,043,016)</w:t>
            </w:r>
          </w:p>
        </w:tc>
      </w:tr>
      <w:tr w:rsidR="006C2DBA" w:rsidRPr="00C1694A" w:rsidTr="00202212">
        <w:trPr>
          <w:trHeight w:val="224"/>
        </w:trPr>
        <w:tc>
          <w:tcPr>
            <w:tcW w:w="1626" w:type="pct"/>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Data Management</w:t>
            </w:r>
          </w:p>
        </w:tc>
        <w:tc>
          <w:tcPr>
            <w:tcW w:w="74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6"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741,978 </w:t>
            </w:r>
          </w:p>
        </w:tc>
        <w:tc>
          <w:tcPr>
            <w:tcW w:w="614"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741,978 </w:t>
            </w:r>
          </w:p>
        </w:tc>
        <w:tc>
          <w:tcPr>
            <w:tcW w:w="660"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741,978 </w:t>
            </w:r>
          </w:p>
        </w:tc>
        <w:tc>
          <w:tcPr>
            <w:tcW w:w="60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741,978 </w:t>
            </w:r>
          </w:p>
        </w:tc>
      </w:tr>
      <w:tr w:rsidR="006C2DBA" w:rsidRPr="00C1694A" w:rsidTr="00202212">
        <w:trPr>
          <w:trHeight w:val="170"/>
        </w:trPr>
        <w:tc>
          <w:tcPr>
            <w:tcW w:w="1626" w:type="pct"/>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Memorandum of Understanding (MOU)</w:t>
            </w:r>
          </w:p>
        </w:tc>
        <w:tc>
          <w:tcPr>
            <w:tcW w:w="74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6"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14"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60"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0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r>
      <w:tr w:rsidR="006C2DBA" w:rsidRPr="00C1694A" w:rsidTr="00202212">
        <w:trPr>
          <w:trHeight w:val="152"/>
        </w:trPr>
        <w:tc>
          <w:tcPr>
            <w:tcW w:w="1626" w:type="pct"/>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Community Assessment </w:t>
            </w:r>
          </w:p>
        </w:tc>
        <w:tc>
          <w:tcPr>
            <w:tcW w:w="74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(352,028)</w:t>
            </w:r>
          </w:p>
        </w:tc>
        <w:tc>
          <w:tcPr>
            <w:tcW w:w="746"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(352,028)</w:t>
            </w:r>
          </w:p>
        </w:tc>
        <w:tc>
          <w:tcPr>
            <w:tcW w:w="614"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(352,028)</w:t>
            </w:r>
          </w:p>
        </w:tc>
        <w:tc>
          <w:tcPr>
            <w:tcW w:w="660"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(352,028)</w:t>
            </w:r>
          </w:p>
        </w:tc>
        <w:tc>
          <w:tcPr>
            <w:tcW w:w="60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( 352,028)</w:t>
            </w:r>
          </w:p>
        </w:tc>
      </w:tr>
      <w:tr w:rsidR="006C2DBA" w:rsidRPr="00C1694A" w:rsidTr="00202212">
        <w:trPr>
          <w:trHeight w:val="143"/>
        </w:trPr>
        <w:tc>
          <w:tcPr>
            <w:tcW w:w="1626" w:type="pct"/>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Improving Curriculum</w:t>
            </w:r>
          </w:p>
        </w:tc>
        <w:tc>
          <w:tcPr>
            <w:tcW w:w="747"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c>
          <w:tcPr>
            <w:tcW w:w="746"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c>
          <w:tcPr>
            <w:tcW w:w="614"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c>
          <w:tcPr>
            <w:tcW w:w="660" w:type="pct"/>
            <w:shd w:val="clear" w:color="auto" w:fill="auto"/>
            <w:noWrap/>
            <w:vAlign w:val="bottom"/>
            <w:hideMark/>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c>
          <w:tcPr>
            <w:tcW w:w="607"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140,396 </w:t>
            </w:r>
          </w:p>
        </w:tc>
      </w:tr>
      <w:tr w:rsidR="006C2DBA" w:rsidRPr="00C1694A" w:rsidTr="00202212">
        <w:trPr>
          <w:trHeight w:val="125"/>
        </w:trPr>
        <w:tc>
          <w:tcPr>
            <w:tcW w:w="1626" w:type="pct"/>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Implementation Planning</w:t>
            </w:r>
          </w:p>
        </w:tc>
        <w:tc>
          <w:tcPr>
            <w:tcW w:w="747"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746"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614"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   </w:t>
            </w:r>
          </w:p>
        </w:tc>
        <w:tc>
          <w:tcPr>
            <w:tcW w:w="660"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c>
          <w:tcPr>
            <w:tcW w:w="607" w:type="pct"/>
            <w:shd w:val="clear" w:color="auto" w:fill="auto"/>
            <w:noWrap/>
            <w:vAlign w:val="bottom"/>
            <w:hideMark/>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w:t>
            </w:r>
          </w:p>
        </w:tc>
      </w:tr>
      <w:tr w:rsidR="006C2DBA" w:rsidRPr="00C1694A" w:rsidTr="00202212">
        <w:trPr>
          <w:trHeight w:val="197"/>
        </w:trPr>
        <w:tc>
          <w:tcPr>
            <w:tcW w:w="1626" w:type="pct"/>
            <w:shd w:val="clear" w:color="auto" w:fill="auto"/>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Waiver Application </w:t>
            </w:r>
          </w:p>
        </w:tc>
        <w:tc>
          <w:tcPr>
            <w:tcW w:w="747"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$34,327 </w:t>
            </w:r>
          </w:p>
        </w:tc>
        <w:tc>
          <w:tcPr>
            <w:tcW w:w="746"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$6,865 </w:t>
            </w:r>
          </w:p>
        </w:tc>
        <w:tc>
          <w:tcPr>
            <w:tcW w:w="614" w:type="pct"/>
            <w:shd w:val="clear" w:color="auto" w:fill="auto"/>
            <w:noWrap/>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$ 6,865  </w:t>
            </w:r>
          </w:p>
        </w:tc>
        <w:tc>
          <w:tcPr>
            <w:tcW w:w="660" w:type="pct"/>
            <w:shd w:val="clear" w:color="auto" w:fill="auto"/>
            <w:noWrap/>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$6,865  </w:t>
            </w:r>
          </w:p>
        </w:tc>
        <w:tc>
          <w:tcPr>
            <w:tcW w:w="607" w:type="pct"/>
            <w:shd w:val="clear" w:color="auto" w:fill="auto"/>
            <w:noWrap/>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$6,865  </w:t>
            </w:r>
          </w:p>
        </w:tc>
      </w:tr>
      <w:tr w:rsidR="006C2DBA" w:rsidRPr="00C1694A" w:rsidTr="00202212">
        <w:trPr>
          <w:trHeight w:val="170"/>
        </w:trPr>
        <w:tc>
          <w:tcPr>
            <w:tcW w:w="1626" w:type="pct"/>
            <w:shd w:val="clear" w:color="auto" w:fill="auto"/>
            <w:vAlign w:val="bottom"/>
            <w:hideMark/>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Bachelor's Degree for New Management Staff</w:t>
            </w:r>
          </w:p>
        </w:tc>
        <w:tc>
          <w:tcPr>
            <w:tcW w:w="747"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$ 4,144,265   </w:t>
            </w:r>
          </w:p>
        </w:tc>
        <w:tc>
          <w:tcPr>
            <w:tcW w:w="746"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$4,450,168     </w:t>
            </w:r>
          </w:p>
        </w:tc>
        <w:tc>
          <w:tcPr>
            <w:tcW w:w="614"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$4,756,072   </w:t>
            </w:r>
          </w:p>
        </w:tc>
        <w:tc>
          <w:tcPr>
            <w:tcW w:w="660"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$4,998,852    </w:t>
            </w:r>
          </w:p>
        </w:tc>
        <w:tc>
          <w:tcPr>
            <w:tcW w:w="607"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$5,180,938   </w:t>
            </w:r>
          </w:p>
        </w:tc>
      </w:tr>
      <w:tr w:rsidR="006C2DBA" w:rsidRPr="00C1694A" w:rsidTr="00202212">
        <w:trPr>
          <w:trHeight w:val="161"/>
        </w:trPr>
        <w:tc>
          <w:tcPr>
            <w:tcW w:w="1626" w:type="pct"/>
            <w:shd w:val="clear" w:color="auto" w:fill="auto"/>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Participation in QRIS</w:t>
            </w:r>
          </w:p>
        </w:tc>
        <w:tc>
          <w:tcPr>
            <w:tcW w:w="747"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888,598</w:t>
            </w:r>
          </w:p>
        </w:tc>
        <w:tc>
          <w:tcPr>
            <w:tcW w:w="746"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1,119,660 </w:t>
            </w:r>
          </w:p>
        </w:tc>
        <w:tc>
          <w:tcPr>
            <w:tcW w:w="61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1,119,660 </w:t>
            </w:r>
          </w:p>
        </w:tc>
        <w:tc>
          <w:tcPr>
            <w:tcW w:w="660" w:type="pct"/>
            <w:shd w:val="clear" w:color="auto" w:fill="auto"/>
            <w:noWrap/>
            <w:vAlign w:val="bottom"/>
          </w:tcPr>
          <w:p w:rsidR="006C2DBA" w:rsidRPr="00C1694A" w:rsidRDefault="006C2DBA" w:rsidP="00D23898">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1,119,660 </w:t>
            </w:r>
          </w:p>
        </w:tc>
        <w:tc>
          <w:tcPr>
            <w:tcW w:w="607"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1,350,409 </w:t>
            </w:r>
          </w:p>
        </w:tc>
      </w:tr>
      <w:tr w:rsidR="006C2DBA" w:rsidRPr="00C1694A" w:rsidTr="00D23898">
        <w:trPr>
          <w:trHeight w:val="161"/>
        </w:trPr>
        <w:tc>
          <w:tcPr>
            <w:tcW w:w="1626" w:type="pct"/>
            <w:tcBorders>
              <w:top w:val="single" w:sz="4" w:space="0" w:color="auto"/>
              <w:left w:val="single" w:sz="4" w:space="0" w:color="auto"/>
              <w:bottom w:val="single" w:sz="4" w:space="0" w:color="auto"/>
              <w:right w:val="single" w:sz="4" w:space="0" w:color="auto"/>
            </w:tcBorders>
            <w:shd w:val="clear" w:color="auto" w:fill="auto"/>
            <w:vAlign w:val="bottom"/>
          </w:tcPr>
          <w:p w:rsidR="006C2DBA" w:rsidRPr="00C1694A" w:rsidRDefault="006C2DBA" w:rsidP="00D722F2">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Participation in State longitudinal data systems</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399,268     </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469,767</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469,767</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469,767</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540,267</w:t>
            </w:r>
          </w:p>
        </w:tc>
      </w:tr>
      <w:tr w:rsidR="006C2DBA" w:rsidRPr="00C1694A" w:rsidTr="00202212">
        <w:trPr>
          <w:trHeight w:val="170"/>
        </w:trPr>
        <w:tc>
          <w:tcPr>
            <w:tcW w:w="1626" w:type="pct"/>
            <w:shd w:val="clear" w:color="auto" w:fill="auto"/>
            <w:noWrap/>
            <w:vAlign w:val="bottom"/>
          </w:tcPr>
          <w:p w:rsidR="006C2DBA" w:rsidRPr="00C1694A" w:rsidRDefault="006C2DBA" w:rsidP="00986B8F">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Removal of Head Start-specific IEPs</w:t>
            </w:r>
          </w:p>
        </w:tc>
        <w:tc>
          <w:tcPr>
            <w:tcW w:w="747"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sz w:val="16"/>
                <w:szCs w:val="16"/>
              </w:rPr>
              <w:t xml:space="preserve"> $  41,180,576</w:t>
            </w:r>
          </w:p>
        </w:tc>
        <w:tc>
          <w:tcPr>
            <w:tcW w:w="746"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sz w:val="16"/>
                <w:szCs w:val="16"/>
              </w:rPr>
              <w:t xml:space="preserve"> $  41,180,576</w:t>
            </w:r>
          </w:p>
        </w:tc>
        <w:tc>
          <w:tcPr>
            <w:tcW w:w="61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sz w:val="16"/>
                <w:szCs w:val="16"/>
              </w:rPr>
              <w:t xml:space="preserve"> $  41,180,576</w:t>
            </w:r>
          </w:p>
        </w:tc>
        <w:tc>
          <w:tcPr>
            <w:tcW w:w="660"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sz w:val="16"/>
                <w:szCs w:val="16"/>
              </w:rPr>
              <w:t xml:space="preserve"> $  41,180,576</w:t>
            </w:r>
          </w:p>
        </w:tc>
        <w:tc>
          <w:tcPr>
            <w:tcW w:w="607"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sz w:val="16"/>
                <w:szCs w:val="16"/>
              </w:rPr>
              <w:t xml:space="preserve"> $  41,180,576</w:t>
            </w:r>
          </w:p>
        </w:tc>
      </w:tr>
      <w:tr w:rsidR="006C2DBA" w:rsidRPr="00C1694A" w:rsidTr="00202212">
        <w:trPr>
          <w:trHeight w:val="152"/>
        </w:trPr>
        <w:tc>
          <w:tcPr>
            <w:tcW w:w="1626" w:type="pct"/>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SUBTOTAL</w:t>
            </w:r>
          </w:p>
        </w:tc>
        <w:tc>
          <w:tcPr>
            <w:tcW w:w="747"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$45,392,386    </w:t>
            </w:r>
          </w:p>
        </w:tc>
        <w:tc>
          <w:tcPr>
            <w:tcW w:w="746"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$45,972,388     </w:t>
            </w:r>
          </w:p>
        </w:tc>
        <w:tc>
          <w:tcPr>
            <w:tcW w:w="61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$46,278,292     </w:t>
            </w:r>
          </w:p>
        </w:tc>
        <w:tc>
          <w:tcPr>
            <w:tcW w:w="660"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$ 46,521,072   </w:t>
            </w:r>
          </w:p>
        </w:tc>
        <w:tc>
          <w:tcPr>
            <w:tcW w:w="607"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$46,464,140    </w:t>
            </w:r>
          </w:p>
        </w:tc>
      </w:tr>
      <w:tr w:rsidR="006C2DBA" w:rsidRPr="00C1694A" w:rsidTr="00202212">
        <w:trPr>
          <w:trHeight w:val="134"/>
        </w:trPr>
        <w:tc>
          <w:tcPr>
            <w:tcW w:w="1626" w:type="pct"/>
            <w:shd w:val="clear" w:color="auto" w:fill="auto"/>
            <w:noWrap/>
            <w:vAlign w:val="bottom"/>
          </w:tcPr>
          <w:p w:rsidR="006C2DBA" w:rsidRPr="00C1694A" w:rsidRDefault="006C2DBA" w:rsidP="00DC5146">
            <w:pPr>
              <w:spacing w:after="0" w:line="240" w:lineRule="auto"/>
              <w:jc w:val="center"/>
              <w:rPr>
                <w:rFonts w:ascii="Times New Roman" w:eastAsia="Times New Roman" w:hAnsi="Times New Roman" w:cs="Times New Roman"/>
                <w:b/>
                <w:bCs/>
                <w:i/>
                <w:sz w:val="16"/>
                <w:szCs w:val="16"/>
              </w:rPr>
            </w:pPr>
            <w:r w:rsidRPr="00C1694A">
              <w:rPr>
                <w:rFonts w:ascii="Times New Roman" w:eastAsia="Times New Roman" w:hAnsi="Times New Roman" w:cs="Times New Roman"/>
                <w:b/>
                <w:bCs/>
                <w:i/>
                <w:sz w:val="16"/>
                <w:szCs w:val="16"/>
              </w:rPr>
              <w:t>Opportunity Costs</w:t>
            </w:r>
          </w:p>
        </w:tc>
        <w:tc>
          <w:tcPr>
            <w:tcW w:w="3374" w:type="pct"/>
            <w:gridSpan w:val="5"/>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p>
        </w:tc>
      </w:tr>
      <w:tr w:rsidR="006C2DBA" w:rsidRPr="00C1694A" w:rsidTr="00202212">
        <w:trPr>
          <w:trHeight w:val="215"/>
        </w:trPr>
        <w:tc>
          <w:tcPr>
            <w:tcW w:w="1626"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Home Visit for Frequently Absent Children</w:t>
            </w:r>
          </w:p>
        </w:tc>
        <w:tc>
          <w:tcPr>
            <w:tcW w:w="747"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227,861</w:t>
            </w:r>
          </w:p>
        </w:tc>
        <w:tc>
          <w:tcPr>
            <w:tcW w:w="746"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227,861</w:t>
            </w:r>
          </w:p>
        </w:tc>
        <w:tc>
          <w:tcPr>
            <w:tcW w:w="61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227,861</w:t>
            </w:r>
          </w:p>
        </w:tc>
        <w:tc>
          <w:tcPr>
            <w:tcW w:w="660"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227,861</w:t>
            </w:r>
          </w:p>
        </w:tc>
        <w:tc>
          <w:tcPr>
            <w:tcW w:w="607"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227,861</w:t>
            </w:r>
          </w:p>
        </w:tc>
      </w:tr>
      <w:tr w:rsidR="006C2DBA" w:rsidRPr="00C1694A" w:rsidTr="00202212">
        <w:trPr>
          <w:trHeight w:val="161"/>
        </w:trPr>
        <w:tc>
          <w:tcPr>
            <w:tcW w:w="1626"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Criminal Background Checks</w:t>
            </w:r>
          </w:p>
        </w:tc>
        <w:tc>
          <w:tcPr>
            <w:tcW w:w="747"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$ 838,985       </w:t>
            </w:r>
          </w:p>
        </w:tc>
        <w:tc>
          <w:tcPr>
            <w:tcW w:w="746"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$838,985          </w:t>
            </w:r>
          </w:p>
        </w:tc>
        <w:tc>
          <w:tcPr>
            <w:tcW w:w="61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$838,985        </w:t>
            </w:r>
          </w:p>
        </w:tc>
        <w:tc>
          <w:tcPr>
            <w:tcW w:w="660"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$ 838,985     </w:t>
            </w:r>
          </w:p>
        </w:tc>
        <w:tc>
          <w:tcPr>
            <w:tcW w:w="607"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$838,985        </w:t>
            </w:r>
          </w:p>
        </w:tc>
      </w:tr>
      <w:tr w:rsidR="006C2DBA" w:rsidRPr="00C1694A" w:rsidTr="00202212">
        <w:trPr>
          <w:trHeight w:val="161"/>
        </w:trPr>
        <w:tc>
          <w:tcPr>
            <w:tcW w:w="1626" w:type="pct"/>
            <w:shd w:val="clear" w:color="auto" w:fill="auto"/>
            <w:noWrap/>
            <w:vAlign w:val="bottom"/>
          </w:tcPr>
          <w:p w:rsidR="006C2DBA" w:rsidRPr="00C1694A" w:rsidRDefault="006C2DBA" w:rsidP="00DC5146">
            <w:pPr>
              <w:spacing w:after="0" w:line="240" w:lineRule="auto"/>
              <w:rPr>
                <w:rFonts w:ascii="Times New Roman" w:eastAsia="Times New Roman" w:hAnsi="Times New Roman" w:cs="Times New Roman"/>
                <w:bCs/>
                <w:sz w:val="16"/>
                <w:szCs w:val="16"/>
              </w:rPr>
            </w:pPr>
            <w:r w:rsidRPr="00C1694A">
              <w:rPr>
                <w:rFonts w:ascii="Times New Roman" w:eastAsia="Times New Roman" w:hAnsi="Times New Roman" w:cs="Times New Roman"/>
                <w:bCs/>
                <w:sz w:val="16"/>
                <w:szCs w:val="16"/>
              </w:rPr>
              <w:t xml:space="preserve">Data Management </w:t>
            </w:r>
          </w:p>
        </w:tc>
        <w:tc>
          <w:tcPr>
            <w:tcW w:w="747"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2,393,194</w:t>
            </w:r>
          </w:p>
        </w:tc>
        <w:tc>
          <w:tcPr>
            <w:tcW w:w="746"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2,393,194</w:t>
            </w:r>
          </w:p>
        </w:tc>
        <w:tc>
          <w:tcPr>
            <w:tcW w:w="614"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2,393,194</w:t>
            </w:r>
          </w:p>
        </w:tc>
        <w:tc>
          <w:tcPr>
            <w:tcW w:w="660"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xml:space="preserve">  $  2,393,194</w:t>
            </w:r>
          </w:p>
        </w:tc>
        <w:tc>
          <w:tcPr>
            <w:tcW w:w="607" w:type="pct"/>
            <w:shd w:val="clear" w:color="auto" w:fill="auto"/>
            <w:noWrap/>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    2,393,194</w:t>
            </w:r>
          </w:p>
        </w:tc>
      </w:tr>
      <w:tr w:rsidR="006C2DBA" w:rsidRPr="00C1694A" w:rsidTr="00202212">
        <w:trPr>
          <w:trHeight w:val="134"/>
        </w:trPr>
        <w:tc>
          <w:tcPr>
            <w:tcW w:w="1626" w:type="pct"/>
            <w:shd w:val="clear" w:color="auto" w:fill="auto"/>
            <w:noWrap/>
            <w:vAlign w:val="bottom"/>
          </w:tcPr>
          <w:p w:rsidR="006C2DBA" w:rsidRPr="00C1694A" w:rsidRDefault="006C2DBA" w:rsidP="00DC5146">
            <w:pPr>
              <w:spacing w:after="0" w:line="240" w:lineRule="auto"/>
              <w:jc w:val="right"/>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SUBTOTAL</w:t>
            </w:r>
          </w:p>
        </w:tc>
        <w:tc>
          <w:tcPr>
            <w:tcW w:w="747"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$ 4,207,017</w:t>
            </w:r>
          </w:p>
        </w:tc>
        <w:tc>
          <w:tcPr>
            <w:tcW w:w="746"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$4,202,017 </w:t>
            </w:r>
          </w:p>
        </w:tc>
        <w:tc>
          <w:tcPr>
            <w:tcW w:w="614"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$ 4,202,017</w:t>
            </w:r>
          </w:p>
        </w:tc>
        <w:tc>
          <w:tcPr>
            <w:tcW w:w="660"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$4,202,017 </w:t>
            </w:r>
          </w:p>
        </w:tc>
        <w:tc>
          <w:tcPr>
            <w:tcW w:w="607"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$4,202,017 </w:t>
            </w:r>
          </w:p>
        </w:tc>
      </w:tr>
    </w:tbl>
    <w:p w:rsidR="006C2DBA" w:rsidRPr="00DB0091" w:rsidRDefault="006C2DBA" w:rsidP="00331A7B">
      <w:pPr>
        <w:rPr>
          <w:rFonts w:ascii="Times New Roman" w:hAnsi="Times New Roman" w:cs="Times New Roman"/>
          <w:sz w:val="16"/>
          <w:szCs w:val="16"/>
        </w:rPr>
      </w:pPr>
      <w:r w:rsidRPr="001A5CB8">
        <w:rPr>
          <w:rFonts w:ascii="Times New Roman" w:hAnsi="Times New Roman" w:cs="Times New Roman"/>
          <w:sz w:val="16"/>
          <w:szCs w:val="16"/>
        </w:rPr>
        <w:t xml:space="preserve">*Year ranges refer Head Start program years, which </w:t>
      </w:r>
      <w:r>
        <w:rPr>
          <w:rFonts w:ascii="Times New Roman" w:hAnsi="Times New Roman" w:cs="Times New Roman"/>
          <w:sz w:val="16"/>
          <w:szCs w:val="16"/>
        </w:rPr>
        <w:t>for</w:t>
      </w:r>
      <w:r w:rsidRPr="001A5CB8">
        <w:rPr>
          <w:rFonts w:ascii="Times New Roman" w:hAnsi="Times New Roman" w:cs="Times New Roman"/>
          <w:sz w:val="16"/>
          <w:szCs w:val="16"/>
        </w:rPr>
        <w:t xml:space="preserve"> these estimates, begin on August 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 xml:space="preserve"> of each year and end on or before July 31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w:t>
      </w: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1545"/>
        <w:gridCol w:w="1537"/>
        <w:gridCol w:w="1259"/>
        <w:gridCol w:w="6"/>
        <w:gridCol w:w="1344"/>
        <w:gridCol w:w="6"/>
        <w:gridCol w:w="1325"/>
      </w:tblGrid>
      <w:tr w:rsidR="006C2DBA" w:rsidRPr="00C1694A" w:rsidTr="00202212">
        <w:trPr>
          <w:trHeight w:val="215"/>
        </w:trPr>
        <w:tc>
          <w:tcPr>
            <w:tcW w:w="5000" w:type="pct"/>
            <w:gridSpan w:val="8"/>
            <w:shd w:val="clear" w:color="auto" w:fill="auto"/>
            <w:noWrap/>
            <w:vAlign w:val="bottom"/>
          </w:tcPr>
          <w:p w:rsidR="006C2DBA" w:rsidRPr="00C1694A" w:rsidRDefault="006C2DBA">
            <w:pPr>
              <w:spacing w:after="0" w:line="240" w:lineRule="auto"/>
              <w:ind w:right="115"/>
              <w:rPr>
                <w:rFonts w:ascii="Times New Roman" w:eastAsia="Times New Roman" w:hAnsi="Times New Roman" w:cs="Times New Roman"/>
                <w:b/>
                <w:bCs/>
                <w:sz w:val="16"/>
                <w:szCs w:val="16"/>
              </w:rPr>
            </w:pPr>
            <w:r w:rsidRPr="00C1694A">
              <w:rPr>
                <w:rFonts w:ascii="Times New Roman" w:eastAsia="Times New Roman" w:hAnsi="Times New Roman" w:cs="Times New Roman"/>
                <w:b/>
                <w:sz w:val="16"/>
                <w:szCs w:val="16"/>
              </w:rPr>
              <w:t>Summary Table of Net Cost to Society Years 1-10</w:t>
            </w:r>
          </w:p>
        </w:tc>
      </w:tr>
      <w:tr w:rsidR="006C2DBA" w:rsidRPr="00C1694A" w:rsidTr="007259C9">
        <w:trPr>
          <w:trHeight w:val="215"/>
        </w:trPr>
        <w:tc>
          <w:tcPr>
            <w:tcW w:w="1614" w:type="pct"/>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6"/>
                <w:szCs w:val="16"/>
              </w:rPr>
            </w:pPr>
          </w:p>
        </w:tc>
        <w:tc>
          <w:tcPr>
            <w:tcW w:w="745"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1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2016-2017</w:t>
            </w:r>
            <w:r>
              <w:rPr>
                <w:rFonts w:ascii="Times New Roman" w:eastAsia="Times New Roman" w:hAnsi="Times New Roman" w:cs="Times New Roman"/>
                <w:b/>
                <w:bCs/>
                <w:sz w:val="16"/>
                <w:szCs w:val="16"/>
              </w:rPr>
              <w:t>*</w:t>
            </w:r>
            <w:r w:rsidRPr="00C1694A">
              <w:rPr>
                <w:rFonts w:ascii="Times New Roman" w:eastAsia="Times New Roman" w:hAnsi="Times New Roman" w:cs="Times New Roman"/>
                <w:b/>
                <w:bCs/>
                <w:sz w:val="16"/>
                <w:szCs w:val="16"/>
              </w:rPr>
              <w:t xml:space="preserve">  </w:t>
            </w:r>
          </w:p>
        </w:tc>
        <w:tc>
          <w:tcPr>
            <w:tcW w:w="741"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2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2017-2018</w:t>
            </w:r>
            <w:r>
              <w:rPr>
                <w:rFonts w:ascii="Times New Roman" w:eastAsia="Times New Roman" w:hAnsi="Times New Roman" w:cs="Times New Roman"/>
                <w:b/>
                <w:bCs/>
                <w:sz w:val="16"/>
                <w:szCs w:val="16"/>
              </w:rPr>
              <w:t>*</w:t>
            </w:r>
          </w:p>
        </w:tc>
        <w:tc>
          <w:tcPr>
            <w:tcW w:w="607"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3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2018-2019</w:t>
            </w:r>
            <w:r>
              <w:rPr>
                <w:rFonts w:ascii="Times New Roman" w:eastAsia="Times New Roman" w:hAnsi="Times New Roman" w:cs="Times New Roman"/>
                <w:b/>
                <w:bCs/>
                <w:sz w:val="16"/>
                <w:szCs w:val="16"/>
              </w:rPr>
              <w:t>*</w:t>
            </w:r>
          </w:p>
        </w:tc>
        <w:tc>
          <w:tcPr>
            <w:tcW w:w="654" w:type="pct"/>
            <w:gridSpan w:val="3"/>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4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2019-2020</w:t>
            </w:r>
            <w:r>
              <w:rPr>
                <w:rFonts w:ascii="Times New Roman" w:eastAsia="Times New Roman" w:hAnsi="Times New Roman" w:cs="Times New Roman"/>
                <w:b/>
                <w:bCs/>
                <w:sz w:val="16"/>
                <w:szCs w:val="16"/>
              </w:rPr>
              <w:t>*</w:t>
            </w:r>
          </w:p>
        </w:tc>
        <w:tc>
          <w:tcPr>
            <w:tcW w:w="639"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5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2020-2021</w:t>
            </w:r>
            <w:r>
              <w:rPr>
                <w:rFonts w:ascii="Times New Roman" w:eastAsia="Times New Roman" w:hAnsi="Times New Roman" w:cs="Times New Roman"/>
                <w:b/>
                <w:bCs/>
                <w:sz w:val="16"/>
                <w:szCs w:val="16"/>
              </w:rPr>
              <w:t>*</w:t>
            </w:r>
            <w:r w:rsidRPr="00C1694A">
              <w:rPr>
                <w:rFonts w:ascii="Times New Roman" w:eastAsia="Times New Roman" w:hAnsi="Times New Roman" w:cs="Times New Roman"/>
                <w:b/>
                <w:bCs/>
                <w:sz w:val="16"/>
                <w:szCs w:val="16"/>
              </w:rPr>
              <w:t xml:space="preserve">  </w:t>
            </w:r>
          </w:p>
        </w:tc>
      </w:tr>
      <w:tr w:rsidR="006C2DBA" w:rsidRPr="00C1694A" w:rsidTr="007259C9">
        <w:trPr>
          <w:trHeight w:val="152"/>
        </w:trPr>
        <w:tc>
          <w:tcPr>
            <w:tcW w:w="1614" w:type="pct"/>
            <w:shd w:val="clear" w:color="auto" w:fill="auto"/>
            <w:noWrap/>
            <w:vAlign w:val="bottom"/>
            <w:hideMark/>
          </w:tcPr>
          <w:p w:rsidR="006C2DBA" w:rsidRPr="00C1694A" w:rsidRDefault="006C2DBA" w:rsidP="00B21202">
            <w:pPr>
              <w:spacing w:after="0" w:line="240" w:lineRule="auto"/>
              <w:jc w:val="right"/>
              <w:rPr>
                <w:rFonts w:ascii="Times New Roman" w:eastAsia="Times New Roman" w:hAnsi="Times New Roman" w:cs="Times New Roman"/>
                <w:b/>
                <w:bCs/>
                <w:i/>
                <w:sz w:val="16"/>
                <w:szCs w:val="16"/>
              </w:rPr>
            </w:pPr>
            <w:r w:rsidRPr="00C1694A">
              <w:rPr>
                <w:rFonts w:ascii="Times New Roman" w:eastAsia="Times New Roman" w:hAnsi="Times New Roman" w:cs="Times New Roman"/>
                <w:b/>
                <w:bCs/>
                <w:i/>
                <w:sz w:val="16"/>
                <w:szCs w:val="16"/>
              </w:rPr>
              <w:t>Net Cost to Society</w:t>
            </w:r>
            <w:r>
              <w:rPr>
                <w:rFonts w:ascii="Times New Roman" w:eastAsia="Times New Roman" w:hAnsi="Times New Roman" w:cs="Times New Roman"/>
                <w:b/>
                <w:bCs/>
                <w:i/>
                <w:sz w:val="16"/>
                <w:szCs w:val="16"/>
              </w:rPr>
              <w:t xml:space="preserve">, </w:t>
            </w:r>
            <w:r w:rsidRPr="00B3516A">
              <w:rPr>
                <w:rFonts w:ascii="Times New Roman" w:eastAsia="Times New Roman" w:hAnsi="Times New Roman" w:cs="Times New Roman"/>
                <w:b/>
                <w:bCs/>
                <w:i/>
                <w:sz w:val="16"/>
                <w:szCs w:val="16"/>
              </w:rPr>
              <w:t xml:space="preserve">Excluding </w:t>
            </w:r>
            <w:r w:rsidRPr="00DB0091">
              <w:rPr>
                <w:rFonts w:ascii="Times New Roman" w:eastAsia="Times New Roman" w:hAnsi="Times New Roman" w:cs="Times New Roman"/>
                <w:b/>
                <w:bCs/>
                <w:sz w:val="16"/>
                <w:szCs w:val="16"/>
              </w:rPr>
              <w:t>Duration Funding Appropriated Beginning in FY 2016</w:t>
            </w:r>
          </w:p>
        </w:tc>
        <w:tc>
          <w:tcPr>
            <w:tcW w:w="745"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(3,374,899)</w:t>
            </w:r>
          </w:p>
        </w:tc>
        <w:tc>
          <w:tcPr>
            <w:tcW w:w="741"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$ 183,367,712</w:t>
            </w:r>
          </w:p>
        </w:tc>
        <w:tc>
          <w:tcPr>
            <w:tcW w:w="607"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$311,910,629 </w:t>
            </w:r>
          </w:p>
        </w:tc>
        <w:tc>
          <w:tcPr>
            <w:tcW w:w="654" w:type="pct"/>
            <w:gridSpan w:val="3"/>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$ 721,269,567</w:t>
            </w:r>
          </w:p>
        </w:tc>
        <w:tc>
          <w:tcPr>
            <w:tcW w:w="639" w:type="pct"/>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$ 846,756,665</w:t>
            </w:r>
          </w:p>
        </w:tc>
      </w:tr>
      <w:tr w:rsidR="006C2DBA" w:rsidRPr="00C1694A" w:rsidTr="007259C9">
        <w:trPr>
          <w:trHeight w:val="152"/>
        </w:trPr>
        <w:tc>
          <w:tcPr>
            <w:tcW w:w="1614" w:type="pct"/>
            <w:shd w:val="clear" w:color="auto" w:fill="auto"/>
            <w:noWrap/>
            <w:vAlign w:val="bottom"/>
          </w:tcPr>
          <w:p w:rsidR="006C2DBA" w:rsidRPr="00C1694A" w:rsidRDefault="006C2DBA" w:rsidP="00B3516A">
            <w:pPr>
              <w:spacing w:after="0" w:line="240" w:lineRule="auto"/>
              <w:jc w:val="right"/>
              <w:rPr>
                <w:rFonts w:ascii="Times New Roman" w:eastAsia="Times New Roman" w:hAnsi="Times New Roman" w:cs="Times New Roman"/>
                <w:b/>
                <w:bCs/>
                <w:i/>
                <w:sz w:val="16"/>
                <w:szCs w:val="16"/>
              </w:rPr>
            </w:pPr>
            <w:r>
              <w:rPr>
                <w:rFonts w:ascii="Times New Roman" w:eastAsia="Times New Roman" w:hAnsi="Times New Roman" w:cs="Times New Roman"/>
                <w:b/>
                <w:bCs/>
                <w:i/>
                <w:sz w:val="16"/>
                <w:szCs w:val="16"/>
              </w:rPr>
              <w:t>Net Cost to Society, Including</w:t>
            </w:r>
            <w:r>
              <w:rPr>
                <w:rFonts w:ascii="Times New Roman" w:eastAsia="Times New Roman" w:hAnsi="Times New Roman" w:cs="Times New Roman"/>
                <w:b/>
                <w:bCs/>
                <w:sz w:val="16"/>
                <w:szCs w:val="16"/>
              </w:rPr>
              <w:t xml:space="preserve"> </w:t>
            </w:r>
            <w:r w:rsidRPr="00B3516A">
              <w:rPr>
                <w:rFonts w:ascii="Times New Roman" w:eastAsia="Times New Roman" w:hAnsi="Times New Roman" w:cs="Times New Roman"/>
                <w:b/>
                <w:bCs/>
                <w:sz w:val="16"/>
                <w:szCs w:val="16"/>
              </w:rPr>
              <w:t>Duration Funding Appropriated Beginning in FY 2016</w:t>
            </w:r>
          </w:p>
        </w:tc>
        <w:tc>
          <w:tcPr>
            <w:tcW w:w="745"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n/a</w:t>
            </w:r>
          </w:p>
        </w:tc>
        <w:tc>
          <w:tcPr>
            <w:tcW w:w="741"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n/a</w:t>
            </w:r>
          </w:p>
        </w:tc>
        <w:tc>
          <w:tcPr>
            <w:tcW w:w="607"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n/a</w:t>
            </w:r>
          </w:p>
        </w:tc>
        <w:tc>
          <w:tcPr>
            <w:tcW w:w="654" w:type="pct"/>
            <w:gridSpan w:val="3"/>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$427,269,567</w:t>
            </w:r>
          </w:p>
        </w:tc>
        <w:tc>
          <w:tcPr>
            <w:tcW w:w="639" w:type="pct"/>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$552,756,665</w:t>
            </w:r>
          </w:p>
        </w:tc>
      </w:tr>
      <w:tr w:rsidR="006C2DBA" w:rsidRPr="00C1694A" w:rsidTr="007259C9">
        <w:trPr>
          <w:trHeight w:val="215"/>
        </w:trPr>
        <w:tc>
          <w:tcPr>
            <w:tcW w:w="1614" w:type="pct"/>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6"/>
                <w:szCs w:val="16"/>
              </w:rPr>
            </w:pPr>
          </w:p>
        </w:tc>
        <w:tc>
          <w:tcPr>
            <w:tcW w:w="745"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6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2021-2022</w:t>
            </w:r>
            <w:r>
              <w:rPr>
                <w:rFonts w:ascii="Times New Roman" w:eastAsia="Times New Roman" w:hAnsi="Times New Roman" w:cs="Times New Roman"/>
                <w:b/>
                <w:bCs/>
                <w:sz w:val="16"/>
                <w:szCs w:val="16"/>
              </w:rPr>
              <w:t>*</w:t>
            </w:r>
          </w:p>
        </w:tc>
        <w:tc>
          <w:tcPr>
            <w:tcW w:w="741"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7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2022-2023</w:t>
            </w:r>
            <w:r>
              <w:rPr>
                <w:rFonts w:ascii="Times New Roman" w:eastAsia="Times New Roman" w:hAnsi="Times New Roman" w:cs="Times New Roman"/>
                <w:b/>
                <w:bCs/>
                <w:sz w:val="16"/>
                <w:szCs w:val="16"/>
              </w:rPr>
              <w:t>*</w:t>
            </w:r>
          </w:p>
        </w:tc>
        <w:tc>
          <w:tcPr>
            <w:tcW w:w="610"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8</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2023-2024</w:t>
            </w:r>
            <w:r>
              <w:rPr>
                <w:rFonts w:ascii="Times New Roman" w:eastAsia="Times New Roman" w:hAnsi="Times New Roman" w:cs="Times New Roman"/>
                <w:b/>
                <w:bCs/>
                <w:sz w:val="16"/>
                <w:szCs w:val="16"/>
              </w:rPr>
              <w:t>*</w:t>
            </w:r>
            <w:r w:rsidRPr="00C1694A">
              <w:rPr>
                <w:rFonts w:ascii="Times New Roman" w:eastAsia="Times New Roman" w:hAnsi="Times New Roman" w:cs="Times New Roman"/>
                <w:b/>
                <w:bCs/>
                <w:sz w:val="16"/>
                <w:szCs w:val="16"/>
              </w:rPr>
              <w:t xml:space="preserve"> </w:t>
            </w:r>
          </w:p>
        </w:tc>
        <w:tc>
          <w:tcPr>
            <w:tcW w:w="648" w:type="pct"/>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9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2024-2025</w:t>
            </w:r>
            <w:r>
              <w:rPr>
                <w:rFonts w:ascii="Times New Roman" w:eastAsia="Times New Roman" w:hAnsi="Times New Roman" w:cs="Times New Roman"/>
                <w:b/>
                <w:bCs/>
                <w:sz w:val="16"/>
                <w:szCs w:val="16"/>
              </w:rPr>
              <w:t>*</w:t>
            </w:r>
          </w:p>
        </w:tc>
        <w:tc>
          <w:tcPr>
            <w:tcW w:w="642"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 xml:space="preserve">Year 10  </w:t>
            </w:r>
          </w:p>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2025-2026</w:t>
            </w:r>
            <w:r>
              <w:rPr>
                <w:rFonts w:ascii="Times New Roman" w:eastAsia="Times New Roman" w:hAnsi="Times New Roman" w:cs="Times New Roman"/>
                <w:b/>
                <w:bCs/>
                <w:sz w:val="16"/>
                <w:szCs w:val="16"/>
              </w:rPr>
              <w:t>*</w:t>
            </w:r>
          </w:p>
        </w:tc>
      </w:tr>
      <w:tr w:rsidR="006C2DBA" w:rsidRPr="00C1694A" w:rsidTr="007259C9">
        <w:trPr>
          <w:trHeight w:val="152"/>
        </w:trPr>
        <w:tc>
          <w:tcPr>
            <w:tcW w:w="1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DBA" w:rsidRPr="00C1694A" w:rsidRDefault="006C2DBA" w:rsidP="00B3516A">
            <w:pPr>
              <w:spacing w:after="0" w:line="240" w:lineRule="auto"/>
              <w:jc w:val="right"/>
              <w:rPr>
                <w:rFonts w:ascii="Times New Roman" w:eastAsia="Times New Roman" w:hAnsi="Times New Roman" w:cs="Times New Roman"/>
                <w:b/>
                <w:bCs/>
                <w:i/>
                <w:sz w:val="16"/>
                <w:szCs w:val="16"/>
              </w:rPr>
            </w:pPr>
            <w:r w:rsidRPr="00C1694A">
              <w:rPr>
                <w:rFonts w:ascii="Times New Roman" w:eastAsia="Times New Roman" w:hAnsi="Times New Roman" w:cs="Times New Roman"/>
                <w:b/>
                <w:bCs/>
                <w:i/>
                <w:sz w:val="16"/>
                <w:szCs w:val="16"/>
              </w:rPr>
              <w:t>Net Cost to Society</w:t>
            </w:r>
            <w:r>
              <w:rPr>
                <w:rFonts w:ascii="Times New Roman" w:eastAsia="Times New Roman" w:hAnsi="Times New Roman" w:cs="Times New Roman"/>
                <w:b/>
                <w:bCs/>
                <w:i/>
                <w:sz w:val="16"/>
                <w:szCs w:val="16"/>
              </w:rPr>
              <w:t xml:space="preserve">, </w:t>
            </w:r>
            <w:r w:rsidRPr="00DB0091">
              <w:rPr>
                <w:rFonts w:ascii="Times New Roman" w:eastAsia="Times New Roman" w:hAnsi="Times New Roman" w:cs="Times New Roman"/>
                <w:b/>
                <w:bCs/>
                <w:i/>
                <w:sz w:val="16"/>
                <w:szCs w:val="16"/>
              </w:rPr>
              <w:t>Excluding</w:t>
            </w:r>
            <w:r w:rsidRPr="00B3516A">
              <w:rPr>
                <w:rFonts w:ascii="Times New Roman" w:eastAsia="Times New Roman" w:hAnsi="Times New Roman" w:cs="Times New Roman"/>
                <w:b/>
                <w:bCs/>
                <w:sz w:val="16"/>
                <w:szCs w:val="16"/>
              </w:rPr>
              <w:t xml:space="preserve"> Duration Funding Appropriated Beginning in FY 2016</w:t>
            </w:r>
          </w:p>
        </w:tc>
        <w:tc>
          <w:tcPr>
            <w:tcW w:w="7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$1,343,592,024 </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$1,344,990,571 </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$1,346,906,131 </w:t>
            </w:r>
          </w:p>
        </w:tc>
        <w:tc>
          <w:tcPr>
            <w:tcW w:w="6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$1,347,660,108 </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sidRPr="00C1694A">
              <w:rPr>
                <w:rFonts w:ascii="Times New Roman" w:eastAsia="Times New Roman" w:hAnsi="Times New Roman" w:cs="Times New Roman"/>
                <w:b/>
                <w:sz w:val="16"/>
                <w:szCs w:val="16"/>
              </w:rPr>
              <w:t xml:space="preserve"> $1,347,818,802 </w:t>
            </w:r>
          </w:p>
        </w:tc>
      </w:tr>
      <w:tr w:rsidR="006C2DBA" w:rsidRPr="00C1694A" w:rsidTr="007259C9">
        <w:trPr>
          <w:trHeight w:val="152"/>
        </w:trPr>
        <w:tc>
          <w:tcPr>
            <w:tcW w:w="1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DB0091" w:rsidRDefault="006C2DBA" w:rsidP="00B3516A">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i/>
                <w:sz w:val="16"/>
                <w:szCs w:val="16"/>
              </w:rPr>
              <w:t>Net Cost to Society, Including</w:t>
            </w:r>
            <w:r w:rsidRPr="00B3516A">
              <w:rPr>
                <w:rFonts w:ascii="Times New Roman" w:eastAsia="Times New Roman" w:hAnsi="Times New Roman" w:cs="Times New Roman"/>
                <w:b/>
                <w:bCs/>
                <w:i/>
                <w:sz w:val="16"/>
                <w:szCs w:val="16"/>
              </w:rPr>
              <w:t xml:space="preserve"> </w:t>
            </w:r>
            <w:r w:rsidRPr="00DB0091">
              <w:rPr>
                <w:rFonts w:ascii="Times New Roman" w:eastAsia="Times New Roman" w:hAnsi="Times New Roman" w:cs="Times New Roman"/>
                <w:b/>
                <w:bCs/>
                <w:sz w:val="16"/>
                <w:szCs w:val="16"/>
              </w:rPr>
              <w:t>Duration Funding Appropriated Beginning in FY 2016</w:t>
            </w:r>
          </w:p>
        </w:tc>
        <w:tc>
          <w:tcPr>
            <w:tcW w:w="7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$1,049,592,024</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$1,050,990,571</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$1,052,906,131</w:t>
            </w:r>
          </w:p>
        </w:tc>
        <w:tc>
          <w:tcPr>
            <w:tcW w:w="6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$1,053,660,108</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2DBA" w:rsidRPr="00C1694A" w:rsidRDefault="006C2DBA" w:rsidP="00202212">
            <w:pPr>
              <w:spacing w:after="0" w:line="24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$1,053,818,802</w:t>
            </w:r>
          </w:p>
        </w:tc>
      </w:tr>
    </w:tbl>
    <w:p w:rsidR="006C2DBA" w:rsidRPr="00DB0091" w:rsidRDefault="006C2DBA" w:rsidP="00331A7B">
      <w:pPr>
        <w:rPr>
          <w:rFonts w:ascii="Times New Roman" w:hAnsi="Times New Roman" w:cs="Times New Roman"/>
          <w:sz w:val="16"/>
          <w:szCs w:val="16"/>
        </w:rPr>
      </w:pPr>
      <w:r w:rsidRPr="001A5CB8">
        <w:rPr>
          <w:rFonts w:ascii="Times New Roman" w:hAnsi="Times New Roman" w:cs="Times New Roman"/>
          <w:sz w:val="16"/>
          <w:szCs w:val="16"/>
        </w:rPr>
        <w:t xml:space="preserve">*Year ranges refer Head Start program years, which </w:t>
      </w:r>
      <w:r>
        <w:rPr>
          <w:rFonts w:ascii="Times New Roman" w:hAnsi="Times New Roman" w:cs="Times New Roman"/>
          <w:sz w:val="16"/>
          <w:szCs w:val="16"/>
        </w:rPr>
        <w:t>for</w:t>
      </w:r>
      <w:r w:rsidRPr="001A5CB8">
        <w:rPr>
          <w:rFonts w:ascii="Times New Roman" w:hAnsi="Times New Roman" w:cs="Times New Roman"/>
          <w:sz w:val="16"/>
          <w:szCs w:val="16"/>
        </w:rPr>
        <w:t xml:space="preserve"> these estimates, begin on August 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 xml:space="preserve"> of each year and end on or before July 31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w:t>
      </w:r>
    </w:p>
    <w:p w:rsidR="006C2DBA" w:rsidRDefault="006C2DBA" w:rsidP="00331A7B">
      <w:pPr>
        <w:spacing w:after="0" w:line="480" w:lineRule="auto"/>
        <w:rPr>
          <w:rFonts w:ascii="Times New Roman" w:hAnsi="Times New Roman" w:cs="Times New Roman"/>
          <w:b/>
          <w:sz w:val="24"/>
          <w:szCs w:val="24"/>
        </w:rPr>
      </w:pPr>
    </w:p>
    <w:p w:rsidR="006C2DBA" w:rsidRPr="00C1694A" w:rsidRDefault="006C2DBA" w:rsidP="00331A7B">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Itemized Costs and Cost Savings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the following sections, we itemize each of the regulatory changes for which we expect there to be associated costs or cost savings in the areas of structural program option provisions, staff quality provisions, curriculum and assessment provisions, and administrative/managerial provisions.   </w:t>
      </w:r>
    </w:p>
    <w:p w:rsidR="006C2DBA" w:rsidRPr="00C1694A" w:rsidRDefault="006C2DBA" w:rsidP="00331A7B">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 xml:space="preserve">Structural Program Option Provisions </w:t>
      </w:r>
    </w:p>
    <w:p w:rsidR="006C2DBA" w:rsidRPr="00C1694A" w:rsidRDefault="006C2DBA" w:rsidP="00331A7B">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 xml:space="preserve">This final rule includes several provisions that increase the duration of the Head Start experience for children.  It also includes provisions intended to improve child attendance.  We analyzed costs associated with the following specific requirements: minimum of 1,020 hours of planned class operations for all Head Start center-based programs in §1302.21(c)(2)(iii)-(iv) minimum of 1,380 hours for all Early Head Start center-based programs in §1302.21(c)(1)(i)-(ii); minimum of 46 home visits and 22 group socializations for all Early Head Start home-based programs in §1302.22(c)(1)(i) and (ii); and additional home visits for chronically absent children, as appropriate, and contacting parents when children are unexpectedly absent  in §1302.16.  In all cases, costs are estimated based on data about whether programs are currently meeting these new minimum requirements.  </w:t>
      </w:r>
    </w:p>
    <w:p w:rsidR="006C2DBA" w:rsidRPr="00C1694A" w:rsidRDefault="006C2DBA" w:rsidP="00331A7B">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Increased</w:t>
      </w:r>
      <w:r w:rsidRPr="00C1694A">
        <w:rPr>
          <w:rFonts w:ascii="Times New Roman" w:hAnsi="Times New Roman" w:cs="Times New Roman"/>
          <w:sz w:val="24"/>
          <w:szCs w:val="24"/>
          <w:u w:val="single"/>
        </w:rPr>
        <w:t xml:space="preserve"> Head Start Center-Based Program Duration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final rule </w:t>
      </w:r>
      <w:r>
        <w:rPr>
          <w:rFonts w:ascii="Times New Roman" w:hAnsi="Times New Roman" w:cs="Times New Roman"/>
          <w:sz w:val="24"/>
          <w:szCs w:val="24"/>
        </w:rPr>
        <w:t>increases</w:t>
      </w:r>
      <w:r w:rsidRPr="00C1694A">
        <w:rPr>
          <w:rFonts w:ascii="Times New Roman" w:hAnsi="Times New Roman" w:cs="Times New Roman"/>
          <w:sz w:val="24"/>
          <w:szCs w:val="24"/>
        </w:rPr>
        <w:t xml:space="preserve"> the minimum annual hours that Head Start programs must provide to 1,020 annual hours.  The requirements in §1302.21(c)(2)(iii) and (iv) phase in the minimum annual hour requirement for Head Start such that each grantee must operate 50 percent of its Head Start center-based slots at the 1,020 annual hour minimum by August 1, 2019 and 100 percent of its Head Start center-based slots at this minimum by August 1, 2021.  Further, to minimize the potential for slot loss as described above the requirements in §1302.21(c)(3) give the Secretary the authority to reduce these percentages if adequate funding is not available to support the policy.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These changes will increase the amount of exposure to Head Start experiences, which research suggests will, in turn, result in larger impacts on school readiness and long-term outcomes.</w:t>
      </w:r>
      <w:r w:rsidRPr="00C1694A">
        <w:rPr>
          <w:rStyle w:val="FootnoteReference"/>
          <w:rFonts w:ascii="Times New Roman" w:hAnsi="Times New Roman" w:cs="Times New Roman"/>
          <w:sz w:val="24"/>
          <w:szCs w:val="24"/>
        </w:rPr>
        <w:footnoteReference w:id="137"/>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38"/>
      </w:r>
      <w:r w:rsidRPr="00C1694A">
        <w:rPr>
          <w:rFonts w:ascii="Times New Roman" w:hAnsi="Times New Roman" w:cs="Times New Roman"/>
          <w:sz w:val="24"/>
          <w:szCs w:val="24"/>
        </w:rPr>
        <w:t xml:space="preserve">  Research suggests that previous Head Start minimums are inadequate to achieve strong child outcomes and effectively promote school readiness.  Specifically, research on full school day programs, instructional time, summer learning loss and attendance demonstrates the importance of extending the minimum hours of early learning in Head Start.</w:t>
      </w:r>
      <w:r w:rsidRPr="00C1694A">
        <w:rPr>
          <w:rStyle w:val="FootnoteReference"/>
          <w:rFonts w:ascii="Times New Roman" w:hAnsi="Times New Roman" w:cs="Times New Roman"/>
          <w:sz w:val="24"/>
          <w:szCs w:val="24"/>
        </w:rPr>
        <w:footnoteReference w:id="13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2"/>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3"/>
      </w:r>
      <w:r w:rsidRPr="00C1694A">
        <w:rPr>
          <w:rFonts w:ascii="Times New Roman" w:hAnsi="Times New Roman" w:cs="Times New Roman"/>
          <w:sz w:val="24"/>
          <w:szCs w:val="24"/>
          <w:vertAlign w:val="superscript"/>
        </w:rPr>
        <w:t xml:space="preserve">, </w:t>
      </w:r>
      <w:r w:rsidRPr="00C1694A">
        <w:rPr>
          <w:rStyle w:val="FootnoteReference"/>
          <w:rFonts w:ascii="Times New Roman" w:hAnsi="Times New Roman" w:cs="Times New Roman"/>
          <w:sz w:val="24"/>
          <w:szCs w:val="24"/>
        </w:rPr>
        <w:footnoteReference w:id="144"/>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5"/>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6"/>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7"/>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4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5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5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52"/>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5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54"/>
      </w:r>
      <w:r w:rsidRPr="00C1694A">
        <w:rPr>
          <w:rFonts w:ascii="Times New Roman" w:hAnsi="Times New Roman" w:cs="Times New Roman"/>
          <w:szCs w:val="24"/>
        </w:rPr>
        <w:t xml:space="preserve">  </w:t>
      </w:r>
      <w:r w:rsidRPr="00C1694A">
        <w:rPr>
          <w:rFonts w:ascii="Times New Roman" w:hAnsi="Times New Roman" w:cs="Times New Roman"/>
          <w:sz w:val="24"/>
          <w:szCs w:val="24"/>
        </w:rPr>
        <w:t xml:space="preserve">Research finds that pre-kindergarten programs that focus on intentional teaching and both small group and one-to-one interactions have larger impacts on child outcomes.     </w:t>
      </w:r>
    </w:p>
    <w:p w:rsidR="006C2DBA" w:rsidRPr="00C1694A" w:rsidRDefault="006C2DBA" w:rsidP="00331A7B">
      <w:pPr>
        <w:spacing w:after="0" w:line="480" w:lineRule="auto"/>
        <w:rPr>
          <w:rFonts w:ascii="Times New Roman" w:hAnsi="Times New Roman" w:cs="Times New Roman"/>
          <w:b/>
          <w:i/>
          <w:sz w:val="24"/>
          <w:szCs w:val="24"/>
        </w:rPr>
      </w:pPr>
      <w:r w:rsidRPr="00C1694A">
        <w:rPr>
          <w:rFonts w:ascii="Times New Roman" w:hAnsi="Times New Roman" w:cs="Times New Roman"/>
          <w:b/>
          <w:i/>
          <w:sz w:val="24"/>
          <w:szCs w:val="24"/>
        </w:rPr>
        <w:t>50 Percent Estimate for the Extension of Head Start Center-Based Program Duration</w:t>
      </w:r>
    </w:p>
    <w:p w:rsidR="006C2DBA" w:rsidRPr="00C1694A" w:rsidRDefault="006C2DBA" w:rsidP="00D722F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Starting in year four following publication of this rule (program year 2019-2020), programs are required to serve 50 percent of their children in Head Start center-based classrooms for at least 1,020 hours per year.  In this section, we estimate costs associated with the additional service provided by these programs.  Note that Migrant and Seasonal Head Start programs are excluded from these requirements.  We first estimate the marginal cost per child for the Head Start services that exist today, updated to account for teacher salary increases associated with the final rule. These salary increases are discussed later in this analysis. To estimate this cost, we first calculate the Head Start cost per child under the final rule by adding total Head Start grant expenditures in FY 2015 ($6,354,595,188) to teacher salary increases associated with requirements in the final rule in §1302.91(e) ($7,874,124), and divide this sum by FY 2015 Head Start funded enrollment (791,886). This results in a cost per child of $8,035, which is an increase of ten dollars per child from the FY 2015 actual annual Head Start cost per child of $8,025. </w:t>
      </w:r>
    </w:p>
    <w:p w:rsidR="006C2DBA" w:rsidRPr="00C1694A" w:rsidRDefault="006C2DBA" w:rsidP="00D722F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estimate costs for Head Start center-based double session and non-double session programs separately.  We assume grantees will move double session and non-double sessions, and three-year-old and four- and five-year-old slots, to 1,020 annual hours proportionately. </w:t>
      </w:r>
    </w:p>
    <w:p w:rsidR="006C2DBA" w:rsidRPr="00C1694A" w:rsidRDefault="006C2DBA" w:rsidP="00D722F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Given that double session programs include a morning and afternoon session with the same teacher, we estimate that for every two children in these programs, the marginal cost of providing additional service in line with the rule’s requirements will be equivalent to providing Head Start services to an additional child, resulting in a cost of $8,035. Therefore, we estimate for Head Start double session center-based programs, 31,197 new slots would need to be created and we estimate the cost to move these slots to 1,020 hours to be $250,664,993.</w:t>
      </w:r>
      <w:r>
        <w:rPr>
          <w:rFonts w:ascii="Times New Roman" w:hAnsi="Times New Roman" w:cs="Times New Roman"/>
          <w:sz w:val="24"/>
          <w:szCs w:val="24"/>
        </w:rPr>
        <w:t xml:space="preserve">  However, this cost excludes the impact of the funding already provided by Congress in FY 2016 to expand duration.  As discussed below, some of these costs will be covered by that funding.</w:t>
      </w:r>
    </w:p>
    <w:p w:rsidR="006C2DBA" w:rsidRPr="00C1694A" w:rsidRDefault="006C2DBA" w:rsidP="00D722F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take a different approach to estimate costs for non-double session programs.  We calculate the number of Head Start center-based non-double session slots that operate for fewer than 1,020 annual hours and would need to be increased in order for each grantee to meet the 50 percent requirement (121,116, after inflating values for missing GABI data).  Based on GABI data, the average number of hours that a non-double session slot would need to add in order to reach the 1,020 hours annually is 290.354 hours.  We assume that programs would choose to increase their service duration to the 1,020 annual hour requirement in a variety of ways, some by adding hours to each day of service and some by adding additional service days.  Based on the service duration patterns of programs that currently provide 1,020 or more annual hours of service, we assume 30 percent of programs would decide to add only hours to each day of service already provided, and therefore their costs would be driven entirely by teaching salaries.  We assume 70 percent of programs would choose to increase the number of days they operate per year to meet the 1,020 annual hour requirement.  </w:t>
      </w:r>
    </w:p>
    <w:p w:rsidR="006C2DBA" w:rsidRPr="00C1694A" w:rsidRDefault="006C2DBA" w:rsidP="00D722F2">
      <w:pPr>
        <w:spacing w:after="0" w:line="480" w:lineRule="auto"/>
        <w:ind w:firstLine="720"/>
        <w:rPr>
          <w:rFonts w:ascii="Times New Roman" w:hAnsi="Times New Roman" w:cs="Times New Roman"/>
        </w:rPr>
      </w:pPr>
      <w:r w:rsidRPr="00C1694A">
        <w:rPr>
          <w:rFonts w:ascii="Times New Roman" w:hAnsi="Times New Roman" w:cs="Times New Roman"/>
          <w:sz w:val="24"/>
          <w:szCs w:val="24"/>
        </w:rPr>
        <w:t>We next estimate the marginal cost per hour per child for Head Start non-double session, center-based slots.  This is done using the sum of the average teacher ($18.70) and average assistant teacher ($11.99) hourly wages from the PIR to calculate the cost per classroom per hour for teaching staff on average ($30.69).  Then, we increased this cost per classroom per hour for teaching staff by 0.124 percent to account for the marginal increase in teacher salaries associated with all teaching staff meeting the minimum education requirements described later in this analysis ($7,874,124). This increase was calculated by finding the marginal increase in the cost per child after accounting for these salary increases ($8,035) from the FY 2015 actual cost per child for Head Start ($8,025).  The new cost per classroom per hour for teaching staff is $30.73, on average.  Then, we inflated this cost per classroom per hour by one-third to account for fringe benefits, which is $40.87 (we assumed no additional costs for overhead).   We then assume that children will be served in classroom settings with the maximum allowable group size.  To calculate the marginal cost per hour, we divide the hourly wage by the maximum group size for three-year olds (17) and four- and five-year-olds (20) to get an average marginal cost per hour per child for three-year olds ($2.40) and four- and five-year olds ($2.04).</w:t>
      </w:r>
      <w:r w:rsidRPr="00C1694A">
        <w:rPr>
          <w:rFonts w:ascii="Times New Roman" w:hAnsi="Times New Roman" w:cs="Times New Roman"/>
        </w:rPr>
        <w:t xml:space="preserve">  </w:t>
      </w:r>
    </w:p>
    <w:p w:rsidR="006C2DBA" w:rsidRPr="00C1694A" w:rsidRDefault="006C2DBA" w:rsidP="00D722F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We then use FY 2015 PIR data to calculate the percentage of three-year-olds (42 percent) and four- and five-year-olds (58 percent) served by Head Start center-based programs.  To calculate the cost of increasing the proportion of slots at 1,020 hours to 50 percent in each grantee by adding only hours to the day, we take 30 percent of the share of three-year-olds (42 percent) and four- and five-year-olds (58 percent) enrolled in these programs respectively to find the number of three-year-old slots (15,179) and four- and five-year-old slots (21,156) that would need additional hours to meet the requirement.  We then calculate the average number of annual hours that non-double session Head Start center-based slots not currently meeting 1,020 annual hours would need to add to reach 1,020 hours, which is 290.354 hours.  Finally, we multiply the estimated number of three-year-old slots (15,179) and four- and five-year-old slots (21,156) by their respective average marginal cost per hour per child ($2.40 and $2.04) and by the average number of hours these slots would need to increase to reach 1,020 annual hours (290.354) to get a total estimated cost for this 30 percent of non-double session slots of $23,108,599.</w:t>
      </w:r>
      <w:r>
        <w:rPr>
          <w:rFonts w:ascii="Times New Roman" w:hAnsi="Times New Roman" w:cs="Times New Roman"/>
          <w:sz w:val="24"/>
          <w:szCs w:val="24"/>
        </w:rPr>
        <w:t xml:space="preserve"> However, this cost excludes the impact of the funding already provided by Congress in FY 2016 to expand duration.  As discussed below, some of these costs will be covered by that funding.</w:t>
      </w:r>
    </w:p>
    <w:p w:rsidR="006C2DBA" w:rsidRPr="00C1694A" w:rsidRDefault="006C2DBA" w:rsidP="00D722F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As discussed above, we anticipate a different marginal cost per hour per child for the 70 percent of Head Start non-double session slots we assume will meet the 1,020 annual hours by adding days, because it would be necessary to extend all of the relevant child and family services for a longer program year in addition to the cost per classroom for teaching staff.  In order to estimate these costs, we divide the average annual Head Start cost per child inflated for teacher salary increases as called for in §1302.91(e) ($8,035) by the average number of hours per year provided across all Head Start center-based slots (956.49 hours) to get an average cost per hour of $8.40 to extend days.  Then, to account for fringe benefits, we inflated 80% of this cost per hour by one-third (we assume no additional costs for overhead) because most programs spend approximately 80% of their budget on personnel. This results in an average cost per hour of $10.62 to extend days. We then multiplied the average number of hours these slots would need to increase to reach 1,020 annual hours (290.354) by the marginal cost per hour per child ($10.62), and by the number of slots that we estimated would meet 1,020 annual hours by adding days (84,781) to get an estimated cost of $261,427,256.  Finally, we estimate the total cost for all Head Start non-double session center-based slots to meet the 50 percent requirement, using these two approaches, is $284,535,855.  </w:t>
      </w:r>
      <w:r>
        <w:rPr>
          <w:rFonts w:ascii="Times New Roman" w:hAnsi="Times New Roman" w:cs="Times New Roman"/>
          <w:sz w:val="24"/>
          <w:szCs w:val="24"/>
        </w:rPr>
        <w:t>However, this cost excludes the impact of the funding already provided by Congress in FY 2016 to expand duration.  As discussed below, some of these costs will be covered by that funding.</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sum, the total cost for Head Start double session and non-double session center-based slots to meet the 50 percent requirement is $535,200,848</w:t>
      </w:r>
      <w:r>
        <w:rPr>
          <w:rFonts w:ascii="Times New Roman" w:hAnsi="Times New Roman" w:cs="Times New Roman"/>
          <w:sz w:val="24"/>
          <w:szCs w:val="24"/>
        </w:rPr>
        <w:t xml:space="preserve"> before accounting for the $294 million in funding Congress has provided in FY 2016 to expand duration</w:t>
      </w:r>
      <w:r w:rsidRPr="00C1694A">
        <w:rPr>
          <w:rFonts w:ascii="Times New Roman" w:hAnsi="Times New Roman" w:cs="Times New Roman"/>
          <w:sz w:val="24"/>
          <w:szCs w:val="24"/>
        </w:rPr>
        <w:t>.  However, because we assume that 5 percent of all programs currently not meeting the 1,020 for 50 percent of their slots will receive a waiver to continue operating at their current level of annual hours, we reduce this estimate by 5 percent for a total cost borne by Head Start of $508,440,805</w:t>
      </w:r>
      <w:r>
        <w:rPr>
          <w:rFonts w:ascii="Times New Roman" w:hAnsi="Times New Roman" w:cs="Times New Roman"/>
          <w:sz w:val="24"/>
          <w:szCs w:val="24"/>
        </w:rPr>
        <w:t xml:space="preserve"> before accounting for the $294 million in funding Congress has provided in FY 2016 to expand duration</w:t>
      </w:r>
      <w:r w:rsidRPr="00C1694A">
        <w:rPr>
          <w:rFonts w:ascii="Times New Roman" w:hAnsi="Times New Roman" w:cs="Times New Roman"/>
          <w:sz w:val="24"/>
          <w:szCs w:val="24"/>
        </w:rPr>
        <w:t>.</w:t>
      </w:r>
      <w:r>
        <w:rPr>
          <w:rFonts w:ascii="Times New Roman" w:hAnsi="Times New Roman" w:cs="Times New Roman"/>
          <w:sz w:val="24"/>
          <w:szCs w:val="24"/>
        </w:rPr>
        <w:t xml:space="preserve"> </w:t>
      </w:r>
      <w:r w:rsidRPr="00C1694A">
        <w:rPr>
          <w:rFonts w:ascii="Times New Roman" w:hAnsi="Times New Roman" w:cs="Times New Roman"/>
          <w:sz w:val="24"/>
          <w:szCs w:val="24"/>
        </w:rPr>
        <w:t>These costs will be realized in years four and five, if the rule is fully implemented.</w:t>
      </w:r>
      <w:r>
        <w:rPr>
          <w:rFonts w:ascii="Times New Roman" w:hAnsi="Times New Roman" w:cs="Times New Roman"/>
          <w:sz w:val="24"/>
          <w:szCs w:val="24"/>
        </w:rPr>
        <w:t xml:space="preserve">  As noted, Congress appropriated $294 million in FY 2016 to increase the duration of Early Head Start and Head Start programs.  Thus, a substantial share of the $508 million in costs will be absorbed by this funding, </w:t>
      </w:r>
      <w:r w:rsidRPr="00CA5ED6">
        <w:rPr>
          <w:rFonts w:ascii="Times New Roman" w:hAnsi="Times New Roman" w:cs="Times New Roman"/>
          <w:sz w:val="24"/>
          <w:szCs w:val="24"/>
        </w:rPr>
        <w:t>assuming this funding increase is maintained across the ten year window</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98"/>
        <w:gridCol w:w="1170"/>
        <w:gridCol w:w="2340"/>
        <w:gridCol w:w="1851"/>
        <w:gridCol w:w="1479"/>
      </w:tblGrid>
      <w:tr w:rsidR="006C2DBA" w:rsidRPr="00C1694A" w:rsidTr="007259C9">
        <w:trPr>
          <w:trHeight w:val="161"/>
        </w:trPr>
        <w:tc>
          <w:tcPr>
            <w:tcW w:w="8838" w:type="dxa"/>
            <w:gridSpan w:val="5"/>
            <w:vAlign w:val="bottom"/>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50% Extension of Head Start Center-based Duration: Costs Borne by Head Start</w:t>
            </w:r>
          </w:p>
        </w:tc>
      </w:tr>
      <w:tr w:rsidR="006C2DBA" w:rsidRPr="00C1694A" w:rsidTr="00D722F2">
        <w:tc>
          <w:tcPr>
            <w:tcW w:w="1998" w:type="dxa"/>
            <w:vAlign w:val="bottom"/>
          </w:tcPr>
          <w:p w:rsidR="006C2DBA" w:rsidRPr="00C1694A" w:rsidRDefault="006C2DBA" w:rsidP="00DC5146">
            <w:pPr>
              <w:jc w:val="center"/>
              <w:rPr>
                <w:rFonts w:ascii="Times New Roman" w:hAnsi="Times New Roman" w:cs="Times New Roman"/>
                <w:b/>
                <w:sz w:val="20"/>
                <w:szCs w:val="20"/>
              </w:rPr>
            </w:pPr>
          </w:p>
        </w:tc>
        <w:tc>
          <w:tcPr>
            <w:tcW w:w="117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Total DS Slots</w:t>
            </w:r>
          </w:p>
        </w:tc>
        <w:tc>
          <w:tcPr>
            <w:tcW w:w="234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New Slots needed</w:t>
            </w:r>
          </w:p>
        </w:tc>
        <w:tc>
          <w:tcPr>
            <w:tcW w:w="1851"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 per child (less admin)</w:t>
            </w:r>
          </w:p>
        </w:tc>
        <w:tc>
          <w:tcPr>
            <w:tcW w:w="1479"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w:t>
            </w:r>
          </w:p>
        </w:tc>
      </w:tr>
      <w:tr w:rsidR="006C2DBA" w:rsidRPr="00C1694A" w:rsidTr="00D722F2">
        <w:tc>
          <w:tcPr>
            <w:tcW w:w="199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Double Session (DS)</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 xml:space="preserve"> 62,393</w:t>
            </w:r>
          </w:p>
        </w:tc>
        <w:tc>
          <w:tcPr>
            <w:tcW w:w="234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31,197</w:t>
            </w:r>
          </w:p>
        </w:tc>
        <w:tc>
          <w:tcPr>
            <w:tcW w:w="1851" w:type="dxa"/>
            <w:vAlign w:val="bottom"/>
          </w:tcPr>
          <w:p w:rsidR="006C2DBA" w:rsidRPr="00C1694A" w:rsidRDefault="006C2DBA" w:rsidP="00FD1436">
            <w:pPr>
              <w:jc w:val="right"/>
              <w:rPr>
                <w:rFonts w:ascii="Times New Roman" w:hAnsi="Times New Roman" w:cs="Times New Roman"/>
                <w:sz w:val="20"/>
                <w:szCs w:val="20"/>
              </w:rPr>
            </w:pPr>
            <w:r w:rsidRPr="00C1694A">
              <w:rPr>
                <w:rFonts w:ascii="Times New Roman" w:hAnsi="Times New Roman" w:cs="Times New Roman"/>
                <w:sz w:val="20"/>
                <w:szCs w:val="20"/>
              </w:rPr>
              <w:t>$8,035</w:t>
            </w:r>
          </w:p>
        </w:tc>
        <w:tc>
          <w:tcPr>
            <w:tcW w:w="1479" w:type="dxa"/>
            <w:vAlign w:val="bottom"/>
          </w:tcPr>
          <w:p w:rsidR="006C2DBA" w:rsidRPr="00C1694A" w:rsidRDefault="006C2DBA" w:rsidP="007B60D8">
            <w:pPr>
              <w:jc w:val="right"/>
              <w:rPr>
                <w:rFonts w:ascii="Times New Roman" w:hAnsi="Times New Roman" w:cs="Times New Roman"/>
                <w:sz w:val="20"/>
                <w:szCs w:val="20"/>
              </w:rPr>
            </w:pPr>
            <w:r w:rsidRPr="00C1694A">
              <w:rPr>
                <w:rFonts w:ascii="Times New Roman" w:hAnsi="Times New Roman" w:cs="Times New Roman"/>
                <w:sz w:val="20"/>
                <w:szCs w:val="20"/>
              </w:rPr>
              <w:t xml:space="preserve"> $</w:t>
            </w:r>
            <w:r w:rsidRPr="00C1694A">
              <w:rPr>
                <w:rFonts w:ascii="Times New Roman" w:hAnsi="Times New Roman" w:cs="Times New Roman"/>
                <w:b/>
                <w:sz w:val="20"/>
                <w:szCs w:val="20"/>
              </w:rPr>
              <w:t>250,664,993</w:t>
            </w:r>
          </w:p>
        </w:tc>
      </w:tr>
      <w:tr w:rsidR="006C2DBA" w:rsidRPr="00C1694A" w:rsidTr="00D722F2">
        <w:tc>
          <w:tcPr>
            <w:tcW w:w="8838" w:type="dxa"/>
            <w:gridSpan w:val="5"/>
            <w:vAlign w:val="bottom"/>
          </w:tcPr>
          <w:p w:rsidR="006C2DBA" w:rsidRPr="00C1694A" w:rsidRDefault="006C2DBA" w:rsidP="00DC5146">
            <w:pPr>
              <w:jc w:val="right"/>
              <w:rPr>
                <w:rFonts w:ascii="Times New Roman" w:hAnsi="Times New Roman" w:cs="Times New Roman"/>
                <w:b/>
                <w:sz w:val="20"/>
                <w:szCs w:val="20"/>
              </w:rPr>
            </w:pPr>
          </w:p>
        </w:tc>
      </w:tr>
      <w:tr w:rsidR="006C2DBA" w:rsidRPr="00C1694A" w:rsidTr="00D722F2">
        <w:tc>
          <w:tcPr>
            <w:tcW w:w="1998" w:type="dxa"/>
            <w:vAlign w:val="bottom"/>
          </w:tcPr>
          <w:p w:rsidR="006C2DBA" w:rsidRPr="00C1694A" w:rsidRDefault="006C2DBA" w:rsidP="00DC5146">
            <w:pPr>
              <w:jc w:val="center"/>
              <w:rPr>
                <w:rFonts w:ascii="Times New Roman" w:hAnsi="Times New Roman" w:cs="Times New Roman"/>
                <w:b/>
                <w:sz w:val="20"/>
                <w:szCs w:val="20"/>
              </w:rPr>
            </w:pPr>
          </w:p>
        </w:tc>
        <w:tc>
          <w:tcPr>
            <w:tcW w:w="117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Slots</w:t>
            </w:r>
          </w:p>
        </w:tc>
        <w:tc>
          <w:tcPr>
            <w:tcW w:w="2340" w:type="dxa"/>
            <w:vAlign w:val="bottom"/>
          </w:tcPr>
          <w:p w:rsidR="006C2DBA" w:rsidRPr="00C1694A" w:rsidRDefault="006C2DBA" w:rsidP="00FD1436">
            <w:pPr>
              <w:jc w:val="center"/>
              <w:rPr>
                <w:rFonts w:ascii="Times New Roman" w:hAnsi="Times New Roman" w:cs="Times New Roman"/>
                <w:b/>
                <w:sz w:val="20"/>
                <w:szCs w:val="20"/>
              </w:rPr>
            </w:pPr>
            <w:r w:rsidRPr="00C1694A">
              <w:rPr>
                <w:rFonts w:ascii="Times New Roman" w:hAnsi="Times New Roman" w:cs="Times New Roman"/>
                <w:b/>
                <w:sz w:val="20"/>
                <w:szCs w:val="20"/>
              </w:rPr>
              <w:t xml:space="preserve">Average cost per child per hour </w:t>
            </w:r>
          </w:p>
        </w:tc>
        <w:tc>
          <w:tcPr>
            <w:tcW w:w="1851"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Hours needed</w:t>
            </w:r>
          </w:p>
        </w:tc>
        <w:tc>
          <w:tcPr>
            <w:tcW w:w="1479"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w:t>
            </w:r>
          </w:p>
        </w:tc>
      </w:tr>
      <w:tr w:rsidR="006C2DBA" w:rsidRPr="00C1694A" w:rsidTr="00D722F2">
        <w:tc>
          <w:tcPr>
            <w:tcW w:w="199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Non-double session adding hours (30%) 3 year olds</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15,179</w:t>
            </w:r>
          </w:p>
        </w:tc>
        <w:tc>
          <w:tcPr>
            <w:tcW w:w="2340" w:type="dxa"/>
            <w:vAlign w:val="bottom"/>
          </w:tcPr>
          <w:p w:rsidR="006C2DBA" w:rsidRPr="00C1694A" w:rsidRDefault="006C2DBA" w:rsidP="007B60D8">
            <w:pPr>
              <w:jc w:val="right"/>
              <w:rPr>
                <w:rFonts w:ascii="Times New Roman" w:hAnsi="Times New Roman" w:cs="Times New Roman"/>
                <w:sz w:val="20"/>
                <w:szCs w:val="20"/>
              </w:rPr>
            </w:pPr>
            <w:r w:rsidRPr="00C1694A">
              <w:rPr>
                <w:rFonts w:ascii="Times New Roman" w:hAnsi="Times New Roman" w:cs="Times New Roman"/>
                <w:sz w:val="20"/>
                <w:szCs w:val="20"/>
              </w:rPr>
              <w:t>$2.40</w:t>
            </w:r>
          </w:p>
        </w:tc>
        <w:tc>
          <w:tcPr>
            <w:tcW w:w="1851"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290.354</w:t>
            </w:r>
          </w:p>
        </w:tc>
        <w:tc>
          <w:tcPr>
            <w:tcW w:w="1479" w:type="dxa"/>
            <w:vAlign w:val="bottom"/>
          </w:tcPr>
          <w:p w:rsidR="006C2DBA" w:rsidRPr="00C1694A" w:rsidRDefault="006C2DBA" w:rsidP="007B60D8">
            <w:pPr>
              <w:jc w:val="right"/>
              <w:rPr>
                <w:rFonts w:ascii="Times New Roman" w:hAnsi="Times New Roman" w:cs="Times New Roman"/>
                <w:sz w:val="20"/>
                <w:szCs w:val="20"/>
              </w:rPr>
            </w:pPr>
            <w:r w:rsidRPr="00C1694A">
              <w:rPr>
                <w:rFonts w:ascii="Times New Roman" w:hAnsi="Times New Roman" w:cs="Times New Roman"/>
                <w:sz w:val="20"/>
                <w:szCs w:val="20"/>
              </w:rPr>
              <w:t xml:space="preserve"> $10,577,515</w:t>
            </w:r>
          </w:p>
        </w:tc>
      </w:tr>
      <w:tr w:rsidR="006C2DBA" w:rsidRPr="00C1694A" w:rsidTr="00D722F2">
        <w:tc>
          <w:tcPr>
            <w:tcW w:w="199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Non-double session adding hours (30%) 4 year olds</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21,156</w:t>
            </w:r>
          </w:p>
        </w:tc>
        <w:tc>
          <w:tcPr>
            <w:tcW w:w="2340" w:type="dxa"/>
            <w:vAlign w:val="bottom"/>
          </w:tcPr>
          <w:p w:rsidR="006C2DBA" w:rsidRPr="00C1694A" w:rsidRDefault="006C2DBA" w:rsidP="007B60D8">
            <w:pPr>
              <w:jc w:val="right"/>
              <w:rPr>
                <w:rFonts w:ascii="Times New Roman" w:hAnsi="Times New Roman" w:cs="Times New Roman"/>
                <w:sz w:val="20"/>
                <w:szCs w:val="20"/>
              </w:rPr>
            </w:pPr>
            <w:r w:rsidRPr="00C1694A">
              <w:rPr>
                <w:rFonts w:ascii="Times New Roman" w:hAnsi="Times New Roman" w:cs="Times New Roman"/>
                <w:sz w:val="20"/>
                <w:szCs w:val="20"/>
              </w:rPr>
              <w:t>$2.04</w:t>
            </w:r>
          </w:p>
        </w:tc>
        <w:tc>
          <w:tcPr>
            <w:tcW w:w="1851"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290.354</w:t>
            </w:r>
          </w:p>
        </w:tc>
        <w:tc>
          <w:tcPr>
            <w:tcW w:w="1479" w:type="dxa"/>
            <w:vAlign w:val="bottom"/>
          </w:tcPr>
          <w:p w:rsidR="006C2DBA" w:rsidRPr="00C1694A" w:rsidRDefault="006C2DBA" w:rsidP="007B60D8">
            <w:pPr>
              <w:jc w:val="right"/>
              <w:rPr>
                <w:rFonts w:ascii="Times New Roman" w:hAnsi="Times New Roman" w:cs="Times New Roman"/>
                <w:sz w:val="20"/>
                <w:szCs w:val="20"/>
              </w:rPr>
            </w:pPr>
            <w:r w:rsidRPr="00C1694A">
              <w:rPr>
                <w:rFonts w:ascii="Times New Roman" w:hAnsi="Times New Roman" w:cs="Times New Roman"/>
                <w:sz w:val="20"/>
                <w:szCs w:val="20"/>
              </w:rPr>
              <w:t xml:space="preserve"> $12,531,084</w:t>
            </w:r>
          </w:p>
        </w:tc>
      </w:tr>
      <w:tr w:rsidR="006C2DBA" w:rsidRPr="00C1694A" w:rsidTr="00D722F2">
        <w:tc>
          <w:tcPr>
            <w:tcW w:w="7359" w:type="dxa"/>
            <w:gridSpan w:val="4"/>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Subtotal</w:t>
            </w:r>
          </w:p>
        </w:tc>
        <w:tc>
          <w:tcPr>
            <w:tcW w:w="1479" w:type="dxa"/>
            <w:vAlign w:val="bottom"/>
          </w:tcPr>
          <w:p w:rsidR="006C2DBA" w:rsidRPr="00C1694A" w:rsidRDefault="006C2DBA" w:rsidP="007B60D8">
            <w:pPr>
              <w:jc w:val="right"/>
              <w:rPr>
                <w:rFonts w:ascii="Times New Roman" w:hAnsi="Times New Roman" w:cs="Times New Roman"/>
                <w:b/>
                <w:sz w:val="20"/>
                <w:szCs w:val="20"/>
              </w:rPr>
            </w:pPr>
            <w:r w:rsidRPr="00C1694A">
              <w:rPr>
                <w:rFonts w:ascii="Times New Roman" w:hAnsi="Times New Roman" w:cs="Times New Roman"/>
                <w:b/>
                <w:sz w:val="20"/>
                <w:szCs w:val="20"/>
              </w:rPr>
              <w:t xml:space="preserve"> $23,108,599</w:t>
            </w:r>
          </w:p>
        </w:tc>
      </w:tr>
      <w:tr w:rsidR="006C2DBA" w:rsidRPr="00C1694A" w:rsidTr="00D722F2">
        <w:tc>
          <w:tcPr>
            <w:tcW w:w="199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Non-double session adding days (70%)</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84,781</w:t>
            </w:r>
          </w:p>
        </w:tc>
        <w:tc>
          <w:tcPr>
            <w:tcW w:w="2340" w:type="dxa"/>
            <w:vAlign w:val="bottom"/>
          </w:tcPr>
          <w:p w:rsidR="006C2DBA" w:rsidRPr="00C1694A" w:rsidRDefault="006C2DBA" w:rsidP="007B60D8">
            <w:pPr>
              <w:jc w:val="right"/>
              <w:rPr>
                <w:rFonts w:ascii="Times New Roman" w:hAnsi="Times New Roman" w:cs="Times New Roman"/>
                <w:sz w:val="20"/>
                <w:szCs w:val="20"/>
              </w:rPr>
            </w:pPr>
            <w:r w:rsidRPr="00C1694A">
              <w:rPr>
                <w:rFonts w:ascii="Times New Roman" w:hAnsi="Times New Roman" w:cs="Times New Roman"/>
                <w:sz w:val="20"/>
                <w:szCs w:val="20"/>
              </w:rPr>
              <w:t>$10.62</w:t>
            </w:r>
          </w:p>
        </w:tc>
        <w:tc>
          <w:tcPr>
            <w:tcW w:w="1851"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290.354</w:t>
            </w:r>
          </w:p>
        </w:tc>
        <w:tc>
          <w:tcPr>
            <w:tcW w:w="1479" w:type="dxa"/>
            <w:vAlign w:val="bottom"/>
          </w:tcPr>
          <w:p w:rsidR="006C2DBA" w:rsidRPr="00C1694A" w:rsidRDefault="006C2DBA" w:rsidP="007B60D8">
            <w:pPr>
              <w:jc w:val="right"/>
              <w:rPr>
                <w:rFonts w:ascii="Times New Roman" w:hAnsi="Times New Roman" w:cs="Times New Roman"/>
                <w:b/>
                <w:sz w:val="20"/>
                <w:szCs w:val="20"/>
              </w:rPr>
            </w:pPr>
            <w:r w:rsidRPr="00C1694A">
              <w:rPr>
                <w:rFonts w:ascii="Times New Roman" w:hAnsi="Times New Roman" w:cs="Times New Roman"/>
                <w:b/>
                <w:sz w:val="20"/>
                <w:szCs w:val="20"/>
              </w:rPr>
              <w:t>$261,427,256</w:t>
            </w:r>
          </w:p>
        </w:tc>
      </w:tr>
      <w:tr w:rsidR="006C2DBA" w:rsidRPr="00C1694A" w:rsidTr="00D722F2">
        <w:tc>
          <w:tcPr>
            <w:tcW w:w="7359" w:type="dxa"/>
            <w:gridSpan w:val="4"/>
            <w:vAlign w:val="bottom"/>
          </w:tcPr>
          <w:p w:rsidR="006C2DBA" w:rsidRPr="00DB0091" w:rsidRDefault="006C2DBA" w:rsidP="007259C9">
            <w:pPr>
              <w:jc w:val="right"/>
              <w:rPr>
                <w:rFonts w:ascii="Times New Roman" w:hAnsi="Times New Roman" w:cs="Times New Roman"/>
                <w:b/>
                <w:i/>
                <w:sz w:val="20"/>
                <w:szCs w:val="20"/>
              </w:rPr>
            </w:pPr>
            <w:r w:rsidRPr="00C1694A">
              <w:rPr>
                <w:rFonts w:ascii="Times New Roman" w:hAnsi="Times New Roman" w:cs="Times New Roman"/>
                <w:b/>
                <w:sz w:val="20"/>
                <w:szCs w:val="20"/>
              </w:rPr>
              <w:t>Total</w:t>
            </w:r>
            <w:r>
              <w:rPr>
                <w:rFonts w:ascii="Times New Roman" w:hAnsi="Times New Roman" w:cs="Times New Roman"/>
                <w:b/>
                <w:sz w:val="20"/>
                <w:szCs w:val="20"/>
              </w:rPr>
              <w:t xml:space="preserve">, </w:t>
            </w:r>
            <w:r>
              <w:rPr>
                <w:rFonts w:ascii="Times New Roman" w:hAnsi="Times New Roman" w:cs="Times New Roman"/>
                <w:b/>
                <w:i/>
                <w:sz w:val="20"/>
                <w:szCs w:val="20"/>
              </w:rPr>
              <w:t>Ex</w:t>
            </w:r>
            <w:r w:rsidRPr="00CA5ED6">
              <w:rPr>
                <w:rFonts w:ascii="Times New Roman" w:hAnsi="Times New Roman" w:cs="Times New Roman"/>
                <w:b/>
                <w:i/>
                <w:sz w:val="20"/>
                <w:szCs w:val="20"/>
              </w:rPr>
              <w:t xml:space="preserve">cluding </w:t>
            </w:r>
            <w:r w:rsidRPr="00DB0091">
              <w:rPr>
                <w:rFonts w:ascii="Times New Roman" w:hAnsi="Times New Roman" w:cs="Times New Roman"/>
                <w:b/>
                <w:sz w:val="20"/>
                <w:szCs w:val="20"/>
              </w:rPr>
              <w:t>Duration Funding Appropriated Beginning in FY 2016</w:t>
            </w:r>
          </w:p>
        </w:tc>
        <w:tc>
          <w:tcPr>
            <w:tcW w:w="1479" w:type="dxa"/>
            <w:vAlign w:val="bottom"/>
          </w:tcPr>
          <w:p w:rsidR="006C2DBA" w:rsidRPr="00C1694A" w:rsidRDefault="006C2DBA" w:rsidP="007B60D8">
            <w:pPr>
              <w:jc w:val="right"/>
              <w:rPr>
                <w:rFonts w:ascii="Times New Roman" w:hAnsi="Times New Roman" w:cs="Times New Roman"/>
                <w:b/>
                <w:sz w:val="20"/>
                <w:szCs w:val="20"/>
              </w:rPr>
            </w:pPr>
            <w:r w:rsidRPr="00C1694A">
              <w:rPr>
                <w:rFonts w:ascii="Times New Roman" w:hAnsi="Times New Roman" w:cs="Times New Roman"/>
                <w:b/>
                <w:sz w:val="20"/>
                <w:szCs w:val="20"/>
              </w:rPr>
              <w:t>$535,200,848</w:t>
            </w:r>
          </w:p>
        </w:tc>
      </w:tr>
      <w:tr w:rsidR="006C2DBA" w:rsidRPr="00C1694A" w:rsidTr="00D722F2">
        <w:tc>
          <w:tcPr>
            <w:tcW w:w="7359" w:type="dxa"/>
            <w:gridSpan w:val="4"/>
            <w:vAlign w:val="bottom"/>
          </w:tcPr>
          <w:p w:rsidR="006C2DBA" w:rsidRPr="00DB0091" w:rsidRDefault="006C2DBA" w:rsidP="007259C9">
            <w:pPr>
              <w:jc w:val="right"/>
              <w:rPr>
                <w:rFonts w:ascii="Times New Roman" w:hAnsi="Times New Roman" w:cs="Times New Roman"/>
                <w:b/>
                <w:i/>
                <w:sz w:val="20"/>
                <w:szCs w:val="20"/>
              </w:rPr>
            </w:pPr>
            <w:r w:rsidRPr="00C1694A">
              <w:rPr>
                <w:rFonts w:ascii="Times New Roman" w:hAnsi="Times New Roman" w:cs="Times New Roman"/>
                <w:b/>
                <w:sz w:val="20"/>
                <w:szCs w:val="20"/>
              </w:rPr>
              <w:t>Less 5% Waiver</w:t>
            </w:r>
            <w:r>
              <w:rPr>
                <w:rFonts w:ascii="Times New Roman" w:hAnsi="Times New Roman" w:cs="Times New Roman"/>
                <w:b/>
                <w:sz w:val="20"/>
                <w:szCs w:val="20"/>
              </w:rPr>
              <w:t xml:space="preserve">, </w:t>
            </w:r>
            <w:r>
              <w:rPr>
                <w:rFonts w:ascii="Times New Roman" w:hAnsi="Times New Roman" w:cs="Times New Roman"/>
                <w:b/>
                <w:i/>
                <w:sz w:val="20"/>
                <w:szCs w:val="20"/>
              </w:rPr>
              <w:t>Ex</w:t>
            </w:r>
            <w:r w:rsidRPr="00CA5ED6">
              <w:rPr>
                <w:rFonts w:ascii="Times New Roman" w:hAnsi="Times New Roman" w:cs="Times New Roman"/>
                <w:b/>
                <w:i/>
                <w:sz w:val="20"/>
                <w:szCs w:val="20"/>
              </w:rPr>
              <w:t xml:space="preserve">cluding </w:t>
            </w:r>
            <w:r w:rsidRPr="00DB0091">
              <w:rPr>
                <w:rFonts w:ascii="Times New Roman" w:hAnsi="Times New Roman" w:cs="Times New Roman"/>
                <w:b/>
                <w:sz w:val="20"/>
                <w:szCs w:val="20"/>
              </w:rPr>
              <w:t>Duration Funding Appropriated Beginning in FY 2016</w:t>
            </w:r>
          </w:p>
        </w:tc>
        <w:tc>
          <w:tcPr>
            <w:tcW w:w="1479" w:type="dxa"/>
            <w:vAlign w:val="bottom"/>
          </w:tcPr>
          <w:p w:rsidR="006C2DBA" w:rsidRPr="00C1694A" w:rsidRDefault="006C2DBA" w:rsidP="007B60D8">
            <w:pPr>
              <w:jc w:val="right"/>
              <w:rPr>
                <w:rFonts w:ascii="Times New Roman" w:hAnsi="Times New Roman" w:cs="Times New Roman"/>
                <w:b/>
                <w:sz w:val="20"/>
                <w:szCs w:val="20"/>
              </w:rPr>
            </w:pPr>
            <w:r w:rsidRPr="00C1694A">
              <w:rPr>
                <w:rFonts w:ascii="Times New Roman" w:hAnsi="Times New Roman" w:cs="Times New Roman"/>
                <w:b/>
                <w:sz w:val="20"/>
                <w:szCs w:val="20"/>
              </w:rPr>
              <w:t xml:space="preserve"> $508,440,805</w:t>
            </w:r>
          </w:p>
        </w:tc>
      </w:tr>
      <w:tr w:rsidR="006C2DBA" w:rsidRPr="00C1694A" w:rsidTr="00D722F2">
        <w:tc>
          <w:tcPr>
            <w:tcW w:w="7359" w:type="dxa"/>
            <w:gridSpan w:val="4"/>
            <w:vAlign w:val="bottom"/>
          </w:tcPr>
          <w:p w:rsidR="006C2DBA" w:rsidRPr="00DB0091" w:rsidRDefault="006C2DBA" w:rsidP="007259C9">
            <w:pPr>
              <w:jc w:val="right"/>
              <w:rPr>
                <w:rFonts w:ascii="Times New Roman" w:hAnsi="Times New Roman" w:cs="Times New Roman"/>
                <w:b/>
                <w:i/>
                <w:sz w:val="20"/>
                <w:szCs w:val="20"/>
              </w:rPr>
            </w:pPr>
            <w:r>
              <w:rPr>
                <w:rFonts w:ascii="Times New Roman" w:hAnsi="Times New Roman" w:cs="Times New Roman"/>
                <w:b/>
                <w:sz w:val="20"/>
                <w:szCs w:val="20"/>
              </w:rPr>
              <w:t xml:space="preserve">Total, </w:t>
            </w:r>
            <w:r w:rsidRPr="00CA5ED6">
              <w:rPr>
                <w:rFonts w:ascii="Times New Roman" w:hAnsi="Times New Roman" w:cs="Times New Roman"/>
                <w:b/>
                <w:i/>
                <w:sz w:val="20"/>
                <w:szCs w:val="20"/>
              </w:rPr>
              <w:t xml:space="preserve">Including Duration </w:t>
            </w:r>
            <w:r w:rsidRPr="00DB0091">
              <w:rPr>
                <w:rFonts w:ascii="Times New Roman" w:hAnsi="Times New Roman" w:cs="Times New Roman"/>
                <w:b/>
                <w:sz w:val="20"/>
                <w:szCs w:val="20"/>
              </w:rPr>
              <w:t>Funding Appropriated Beginning in FY 2016</w:t>
            </w:r>
          </w:p>
        </w:tc>
        <w:tc>
          <w:tcPr>
            <w:tcW w:w="1479" w:type="dxa"/>
            <w:vAlign w:val="bottom"/>
          </w:tcPr>
          <w:p w:rsidR="006C2DBA" w:rsidRPr="00C1694A" w:rsidRDefault="006C2DBA" w:rsidP="007B60D8">
            <w:pPr>
              <w:jc w:val="right"/>
              <w:rPr>
                <w:rFonts w:ascii="Times New Roman" w:hAnsi="Times New Roman" w:cs="Times New Roman"/>
                <w:b/>
                <w:sz w:val="20"/>
                <w:szCs w:val="20"/>
              </w:rPr>
            </w:pPr>
            <w:r>
              <w:rPr>
                <w:rFonts w:ascii="Times New Roman" w:hAnsi="Times New Roman" w:cs="Times New Roman"/>
                <w:b/>
                <w:sz w:val="20"/>
                <w:szCs w:val="20"/>
              </w:rPr>
              <w:t>$245,318,865</w:t>
            </w:r>
          </w:p>
        </w:tc>
      </w:tr>
    </w:tbl>
    <w:p w:rsidR="006C2DBA" w:rsidRPr="00C1694A" w:rsidRDefault="006C2DBA">
      <w:pPr>
        <w:rPr>
          <w:rFonts w:ascii="Times New Roman" w:hAnsi="Times New Roman" w:cs="Times New Roman"/>
        </w:rPr>
      </w:pPr>
    </w:p>
    <w:p w:rsidR="006C2DBA" w:rsidRPr="00C1694A" w:rsidRDefault="006C2DBA" w:rsidP="00331A7B">
      <w:pPr>
        <w:spacing w:after="0" w:line="480" w:lineRule="auto"/>
        <w:rPr>
          <w:rFonts w:ascii="Times New Roman" w:hAnsi="Times New Roman" w:cs="Times New Roman"/>
          <w:b/>
          <w:i/>
          <w:sz w:val="24"/>
          <w:szCs w:val="24"/>
        </w:rPr>
      </w:pPr>
      <w:r w:rsidRPr="00C1694A">
        <w:rPr>
          <w:rFonts w:ascii="Times New Roman" w:hAnsi="Times New Roman" w:cs="Times New Roman"/>
          <w:b/>
          <w:i/>
          <w:sz w:val="24"/>
          <w:szCs w:val="24"/>
        </w:rPr>
        <w:t>100 Percent Estimate for the Extension of Head Start Center-Based Program Duration</w:t>
      </w:r>
    </w:p>
    <w:p w:rsidR="006C2DBA" w:rsidRPr="00C1694A" w:rsidRDefault="006C2DBA" w:rsidP="00DC3E74">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Starting in year six following publication of the final rule (program year 2021-2022), most programs are required to serve children for at least 1,020 hours. In order to estimate the cost associated with this requirement for each grantee to operate all of their Head Start center-based slots for 1,020 annual hours, we used the same approach described above for the 50 percent requirement.  The only difference in the estimate is that we used GABI data to calculate the number of slots for which each grantee would need to increase duration in order to operate all of its center-based Head Start slots for 1,020 annual hours. As above, we estimate the cost of increasing double session and non-double session slots to 1,020 annual hours separately. Therefore, as described above, we estimate for Head Start double session center-based programs, 72,727 new slots would need to be created.  As a result, starting in year six following publication of the final rule, we estimate costs of $584,363,052 associated with providing additional service to these children in line with the requirements of the final rule.</w:t>
      </w:r>
      <w:r>
        <w:rPr>
          <w:rFonts w:ascii="Times New Roman" w:hAnsi="Times New Roman" w:cs="Times New Roman"/>
          <w:sz w:val="24"/>
          <w:szCs w:val="24"/>
        </w:rPr>
        <w:t xml:space="preserve"> However, this cost excludes the impact of the funding already provided by Congress in FY 2016 to expand duration.  As discussed below, some of these costs will be covered by that funding. </w:t>
      </w:r>
    </w:p>
    <w:p w:rsidR="006C2DBA" w:rsidRPr="00C1694A" w:rsidRDefault="006C2DBA" w:rsidP="009777E3">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For Head Start non-double session center-based programs, we estimate 36,355 slots would meet the 100 percent requirement by increasing only hours per day.  We estimate the share of three-year-old slots is 35,746, and the share of four- and five-year-old slots is 49,821.  Therefore, we estimate the cost of meeting the 100 percent requirement for these programs to be $54,419,668.  For Head Start non-double session center-based programs, we estimate 199,656 slots would meet the 100 percent requirement by adding days.  Therefore, we estimate the cost of meeting the 100 percent requirement for these programs to be $615,651,152.  Finally, we estimate the total cost for all Head Start non-double session center-based slots to meet the 100 percent requirement, using these two approaches, is $670,070,820.  </w:t>
      </w:r>
      <w:r>
        <w:rPr>
          <w:rFonts w:ascii="Times New Roman" w:hAnsi="Times New Roman" w:cs="Times New Roman"/>
          <w:sz w:val="24"/>
          <w:szCs w:val="24"/>
        </w:rPr>
        <w:t>However, this cost excludes the impact of the funding already provided by Congress in FY 2016 to expand duration.  As discussed below, some of these costs will be covered by that funding.</w:t>
      </w:r>
    </w:p>
    <w:p w:rsidR="006C2DBA" w:rsidRPr="00C1694A" w:rsidRDefault="006C2DBA" w:rsidP="005B3060">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sum, the estimated total cost for Head Start double session and non-double session center-based slots to meet the 1,020 requirement is $1,254,433,872</w:t>
      </w:r>
      <w:r>
        <w:rPr>
          <w:rFonts w:ascii="Times New Roman" w:hAnsi="Times New Roman" w:cs="Times New Roman"/>
          <w:sz w:val="24"/>
          <w:szCs w:val="24"/>
        </w:rPr>
        <w:t xml:space="preserve"> before accounting for the $294 million in funding Congress has provided in FY 2016 to expand duration</w:t>
      </w:r>
      <w:r w:rsidRPr="00C1694A">
        <w:rPr>
          <w:rFonts w:ascii="Times New Roman" w:hAnsi="Times New Roman" w:cs="Times New Roman"/>
          <w:sz w:val="24"/>
          <w:szCs w:val="24"/>
        </w:rPr>
        <w:t>.  This represents an additional $719,233,024 over the 50 percent requirement.  However, because we assume that 10 percent of all programs not currently meeting the 1,020 annual hours minimum will receive a waiver to continue operating at their current level of annual hours, we reduce this estimate by 10 percent for a total cost borne by Head Start of $1,128,990,485</w:t>
      </w:r>
      <w:r>
        <w:rPr>
          <w:rFonts w:ascii="Times New Roman" w:hAnsi="Times New Roman" w:cs="Times New Roman"/>
          <w:sz w:val="24"/>
          <w:szCs w:val="24"/>
        </w:rPr>
        <w:t xml:space="preserve"> before accounting for the $294 million in funding Congress has provided in FY 2016 to expand duration</w:t>
      </w:r>
      <w:r w:rsidRPr="00C1694A">
        <w:rPr>
          <w:rFonts w:ascii="Times New Roman" w:hAnsi="Times New Roman" w:cs="Times New Roman"/>
          <w:sz w:val="24"/>
          <w:szCs w:val="24"/>
        </w:rPr>
        <w:t>.</w:t>
      </w:r>
      <w:r>
        <w:rPr>
          <w:rFonts w:ascii="Times New Roman" w:hAnsi="Times New Roman" w:cs="Times New Roman"/>
          <w:sz w:val="24"/>
          <w:szCs w:val="24"/>
        </w:rPr>
        <w:t xml:space="preserve"> </w:t>
      </w:r>
      <w:r w:rsidRPr="00C1694A">
        <w:rPr>
          <w:rFonts w:ascii="Times New Roman" w:hAnsi="Times New Roman" w:cs="Times New Roman"/>
          <w:sz w:val="24"/>
          <w:szCs w:val="24"/>
        </w:rPr>
        <w:t>This represents an additional $620,549,679 over the 50 percent requirement.  These costs will be realized in year six and annually thereafter, if the rule is fully implemented.</w:t>
      </w:r>
      <w:r>
        <w:rPr>
          <w:rFonts w:ascii="Times New Roman" w:hAnsi="Times New Roman" w:cs="Times New Roman"/>
          <w:sz w:val="24"/>
          <w:szCs w:val="24"/>
        </w:rPr>
        <w:t xml:space="preserve"> As noted, Congress appropriated $294 million in FY 2016 to increase the duration of Early Head Start and Head Start programs.  Thus, a substantial share of the $1,128,990,485 in costs will be absorbed by this funding,</w:t>
      </w:r>
      <w:r w:rsidRPr="00CA5ED6">
        <w:t xml:space="preserve"> </w:t>
      </w:r>
      <w:r w:rsidRPr="00CA5ED6">
        <w:rPr>
          <w:rFonts w:ascii="Times New Roman" w:hAnsi="Times New Roman" w:cs="Times New Roman"/>
          <w:sz w:val="24"/>
          <w:szCs w:val="24"/>
        </w:rPr>
        <w:t>assuming this funding increase is maintained across the ten year window</w:t>
      </w:r>
      <w:r>
        <w:rPr>
          <w:rFonts w:ascii="Times New Roman" w:hAnsi="Times New Roman" w:cs="Times New Roman"/>
          <w:sz w:val="24"/>
          <w:szCs w:val="24"/>
        </w:rPr>
        <w:t>.</w:t>
      </w:r>
    </w:p>
    <w:p w:rsidR="006C2DBA" w:rsidRPr="00C1694A" w:rsidRDefault="006C2DBA" w:rsidP="00043D4E">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br w:type="page"/>
      </w:r>
    </w:p>
    <w:tbl>
      <w:tblPr>
        <w:tblStyle w:val="TableGrid"/>
        <w:tblW w:w="0" w:type="auto"/>
        <w:tblLayout w:type="fixed"/>
        <w:tblLook w:val="04A0" w:firstRow="1" w:lastRow="0" w:firstColumn="1" w:lastColumn="0" w:noHBand="0" w:noVBand="1"/>
      </w:tblPr>
      <w:tblGrid>
        <w:gridCol w:w="2178"/>
        <w:gridCol w:w="1620"/>
        <w:gridCol w:w="2160"/>
        <w:gridCol w:w="1620"/>
        <w:gridCol w:w="1998"/>
      </w:tblGrid>
      <w:tr w:rsidR="006C2DBA" w:rsidRPr="00C1694A" w:rsidTr="00593D2A">
        <w:tc>
          <w:tcPr>
            <w:tcW w:w="9576" w:type="dxa"/>
            <w:gridSpan w:val="5"/>
            <w:vAlign w:val="bottom"/>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100% Extension of Head Start Center-based Duration: Costs Borne by Head Start</w:t>
            </w:r>
          </w:p>
        </w:tc>
      </w:tr>
      <w:tr w:rsidR="006C2DBA" w:rsidRPr="00C1694A" w:rsidTr="00593D2A">
        <w:tc>
          <w:tcPr>
            <w:tcW w:w="2178" w:type="dxa"/>
            <w:vAlign w:val="bottom"/>
          </w:tcPr>
          <w:p w:rsidR="006C2DBA" w:rsidRPr="00C1694A" w:rsidRDefault="006C2DBA" w:rsidP="00DC5146">
            <w:pPr>
              <w:jc w:val="center"/>
              <w:rPr>
                <w:rFonts w:ascii="Times New Roman" w:hAnsi="Times New Roman" w:cs="Times New Roman"/>
                <w:b/>
                <w:sz w:val="20"/>
                <w:szCs w:val="20"/>
              </w:rPr>
            </w:pPr>
          </w:p>
        </w:tc>
        <w:tc>
          <w:tcPr>
            <w:tcW w:w="162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Total DS Slots</w:t>
            </w:r>
          </w:p>
        </w:tc>
        <w:tc>
          <w:tcPr>
            <w:tcW w:w="216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New Slots needed</w:t>
            </w:r>
          </w:p>
        </w:tc>
        <w:tc>
          <w:tcPr>
            <w:tcW w:w="1620" w:type="dxa"/>
            <w:vAlign w:val="bottom"/>
          </w:tcPr>
          <w:p w:rsidR="006C2DBA" w:rsidRPr="00C1694A" w:rsidRDefault="006C2DBA" w:rsidP="00593D2A">
            <w:pPr>
              <w:jc w:val="center"/>
              <w:rPr>
                <w:rFonts w:ascii="Times New Roman" w:hAnsi="Times New Roman" w:cs="Times New Roman"/>
                <w:b/>
                <w:sz w:val="20"/>
                <w:szCs w:val="20"/>
              </w:rPr>
            </w:pPr>
            <w:r w:rsidRPr="00C1694A">
              <w:rPr>
                <w:rFonts w:ascii="Times New Roman" w:hAnsi="Times New Roman" w:cs="Times New Roman"/>
                <w:b/>
                <w:sz w:val="20"/>
                <w:szCs w:val="20"/>
              </w:rPr>
              <w:t xml:space="preserve">Cost per child </w:t>
            </w:r>
          </w:p>
        </w:tc>
        <w:tc>
          <w:tcPr>
            <w:tcW w:w="1998"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w:t>
            </w:r>
          </w:p>
        </w:tc>
      </w:tr>
      <w:tr w:rsidR="006C2DBA" w:rsidRPr="00C1694A" w:rsidTr="00593D2A">
        <w:tc>
          <w:tcPr>
            <w:tcW w:w="217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Double Session (DS)</w:t>
            </w:r>
          </w:p>
        </w:tc>
        <w:tc>
          <w:tcPr>
            <w:tcW w:w="162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145,454</w:t>
            </w:r>
          </w:p>
        </w:tc>
        <w:tc>
          <w:tcPr>
            <w:tcW w:w="216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72,727</w:t>
            </w:r>
          </w:p>
        </w:tc>
        <w:tc>
          <w:tcPr>
            <w:tcW w:w="1620" w:type="dxa"/>
            <w:vAlign w:val="bottom"/>
          </w:tcPr>
          <w:p w:rsidR="006C2DBA" w:rsidRPr="00C1694A" w:rsidRDefault="006C2DBA" w:rsidP="00593D2A">
            <w:pPr>
              <w:jc w:val="right"/>
              <w:rPr>
                <w:rFonts w:ascii="Times New Roman" w:hAnsi="Times New Roman" w:cs="Times New Roman"/>
                <w:sz w:val="20"/>
                <w:szCs w:val="20"/>
              </w:rPr>
            </w:pPr>
            <w:r w:rsidRPr="00C1694A">
              <w:rPr>
                <w:rFonts w:ascii="Times New Roman" w:hAnsi="Times New Roman" w:cs="Times New Roman"/>
                <w:sz w:val="20"/>
                <w:szCs w:val="20"/>
              </w:rPr>
              <w:t>$8,035</w:t>
            </w:r>
          </w:p>
        </w:tc>
        <w:tc>
          <w:tcPr>
            <w:tcW w:w="1998" w:type="dxa"/>
            <w:vAlign w:val="bottom"/>
          </w:tcPr>
          <w:p w:rsidR="006C2DBA" w:rsidRPr="00C1694A" w:rsidRDefault="006C2DBA" w:rsidP="00DC5146">
            <w:pPr>
              <w:jc w:val="right"/>
              <w:rPr>
                <w:rFonts w:ascii="Times New Roman" w:hAnsi="Times New Roman" w:cs="Times New Roman"/>
                <w:sz w:val="20"/>
                <w:szCs w:val="20"/>
              </w:rPr>
            </w:pPr>
          </w:p>
          <w:p w:rsidR="006C2DBA" w:rsidRPr="00C1694A" w:rsidRDefault="006C2DBA" w:rsidP="00593D2A">
            <w:pPr>
              <w:jc w:val="right"/>
              <w:rPr>
                <w:rFonts w:ascii="Times New Roman" w:hAnsi="Times New Roman" w:cs="Times New Roman"/>
                <w:sz w:val="20"/>
                <w:szCs w:val="20"/>
              </w:rPr>
            </w:pPr>
            <w:r w:rsidRPr="00C1694A">
              <w:rPr>
                <w:rFonts w:ascii="Times New Roman" w:hAnsi="Times New Roman" w:cs="Times New Roman"/>
                <w:sz w:val="20"/>
                <w:szCs w:val="20"/>
              </w:rPr>
              <w:t>$</w:t>
            </w:r>
            <w:r w:rsidRPr="00C1694A">
              <w:rPr>
                <w:rFonts w:ascii="Times New Roman" w:hAnsi="Times New Roman" w:cs="Times New Roman"/>
                <w:b/>
                <w:sz w:val="20"/>
                <w:szCs w:val="20"/>
              </w:rPr>
              <w:t>584,363,052</w:t>
            </w:r>
          </w:p>
        </w:tc>
      </w:tr>
      <w:tr w:rsidR="006C2DBA" w:rsidRPr="00C1694A" w:rsidTr="00593D2A">
        <w:tc>
          <w:tcPr>
            <w:tcW w:w="9576" w:type="dxa"/>
            <w:gridSpan w:val="5"/>
            <w:vAlign w:val="bottom"/>
          </w:tcPr>
          <w:p w:rsidR="006C2DBA" w:rsidRPr="00C1694A" w:rsidRDefault="006C2DBA" w:rsidP="00DC5146">
            <w:pPr>
              <w:jc w:val="right"/>
              <w:rPr>
                <w:rFonts w:ascii="Times New Roman" w:hAnsi="Times New Roman" w:cs="Times New Roman"/>
                <w:b/>
                <w:sz w:val="20"/>
                <w:szCs w:val="20"/>
              </w:rPr>
            </w:pPr>
          </w:p>
        </w:tc>
      </w:tr>
      <w:tr w:rsidR="006C2DBA" w:rsidRPr="00C1694A" w:rsidTr="00593D2A">
        <w:tc>
          <w:tcPr>
            <w:tcW w:w="2178" w:type="dxa"/>
            <w:vAlign w:val="bottom"/>
          </w:tcPr>
          <w:p w:rsidR="006C2DBA" w:rsidRPr="00C1694A" w:rsidRDefault="006C2DBA" w:rsidP="00DC5146">
            <w:pPr>
              <w:jc w:val="center"/>
              <w:rPr>
                <w:rFonts w:ascii="Times New Roman" w:hAnsi="Times New Roman" w:cs="Times New Roman"/>
                <w:b/>
                <w:sz w:val="20"/>
                <w:szCs w:val="20"/>
              </w:rPr>
            </w:pPr>
          </w:p>
        </w:tc>
        <w:tc>
          <w:tcPr>
            <w:tcW w:w="162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Slots</w:t>
            </w:r>
          </w:p>
        </w:tc>
        <w:tc>
          <w:tcPr>
            <w:tcW w:w="216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Average cost per child per hour (less admin)</w:t>
            </w:r>
          </w:p>
        </w:tc>
        <w:tc>
          <w:tcPr>
            <w:tcW w:w="162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Hours needed</w:t>
            </w:r>
          </w:p>
        </w:tc>
        <w:tc>
          <w:tcPr>
            <w:tcW w:w="1998"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w:t>
            </w:r>
          </w:p>
        </w:tc>
      </w:tr>
      <w:tr w:rsidR="006C2DBA" w:rsidRPr="00C1694A" w:rsidTr="00593D2A">
        <w:tc>
          <w:tcPr>
            <w:tcW w:w="217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Non-double session adding hours (30%) 3 year olds</w:t>
            </w:r>
          </w:p>
        </w:tc>
        <w:tc>
          <w:tcPr>
            <w:tcW w:w="162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35,746</w:t>
            </w:r>
          </w:p>
        </w:tc>
        <w:tc>
          <w:tcPr>
            <w:tcW w:w="2160" w:type="dxa"/>
            <w:vAlign w:val="bottom"/>
          </w:tcPr>
          <w:p w:rsidR="006C2DBA" w:rsidRPr="00C1694A" w:rsidRDefault="006C2DBA" w:rsidP="00E22D67">
            <w:pPr>
              <w:jc w:val="right"/>
              <w:rPr>
                <w:rFonts w:ascii="Times New Roman" w:hAnsi="Times New Roman" w:cs="Times New Roman"/>
                <w:sz w:val="20"/>
                <w:szCs w:val="20"/>
              </w:rPr>
            </w:pPr>
            <w:r w:rsidRPr="00C1694A">
              <w:rPr>
                <w:rFonts w:ascii="Times New Roman" w:hAnsi="Times New Roman" w:cs="Times New Roman"/>
                <w:sz w:val="20"/>
                <w:szCs w:val="20"/>
              </w:rPr>
              <w:t>$2.40</w:t>
            </w:r>
          </w:p>
        </w:tc>
        <w:tc>
          <w:tcPr>
            <w:tcW w:w="162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290.354</w:t>
            </w:r>
          </w:p>
        </w:tc>
        <w:tc>
          <w:tcPr>
            <w:tcW w:w="1998" w:type="dxa"/>
            <w:vAlign w:val="bottom"/>
          </w:tcPr>
          <w:p w:rsidR="006C2DBA" w:rsidRPr="00C1694A" w:rsidRDefault="006C2DBA" w:rsidP="00DC5146">
            <w:pPr>
              <w:jc w:val="right"/>
              <w:rPr>
                <w:rFonts w:ascii="Times New Roman" w:hAnsi="Times New Roman" w:cs="Times New Roman"/>
                <w:sz w:val="20"/>
                <w:szCs w:val="20"/>
              </w:rPr>
            </w:pPr>
          </w:p>
          <w:p w:rsidR="006C2DBA" w:rsidRPr="00C1694A" w:rsidRDefault="006C2DBA" w:rsidP="00E22D67">
            <w:pPr>
              <w:jc w:val="right"/>
              <w:rPr>
                <w:rFonts w:ascii="Times New Roman" w:hAnsi="Times New Roman" w:cs="Times New Roman"/>
                <w:sz w:val="20"/>
                <w:szCs w:val="20"/>
              </w:rPr>
            </w:pPr>
            <w:r w:rsidRPr="00C1694A">
              <w:rPr>
                <w:rFonts w:ascii="Times New Roman" w:hAnsi="Times New Roman" w:cs="Times New Roman"/>
                <w:sz w:val="20"/>
                <w:szCs w:val="20"/>
              </w:rPr>
              <w:t>$24,909,586</w:t>
            </w:r>
          </w:p>
        </w:tc>
      </w:tr>
      <w:tr w:rsidR="006C2DBA" w:rsidRPr="00C1694A" w:rsidTr="00593D2A">
        <w:tc>
          <w:tcPr>
            <w:tcW w:w="217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Non-double session adding hours (30%) 4 year olds</w:t>
            </w:r>
          </w:p>
        </w:tc>
        <w:tc>
          <w:tcPr>
            <w:tcW w:w="162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49,821</w:t>
            </w:r>
          </w:p>
        </w:tc>
        <w:tc>
          <w:tcPr>
            <w:tcW w:w="2160" w:type="dxa"/>
            <w:vAlign w:val="bottom"/>
          </w:tcPr>
          <w:p w:rsidR="006C2DBA" w:rsidRPr="00C1694A" w:rsidRDefault="006C2DBA" w:rsidP="00E22D67">
            <w:pPr>
              <w:jc w:val="right"/>
              <w:rPr>
                <w:rFonts w:ascii="Times New Roman" w:hAnsi="Times New Roman" w:cs="Times New Roman"/>
                <w:sz w:val="20"/>
                <w:szCs w:val="20"/>
              </w:rPr>
            </w:pPr>
            <w:r w:rsidRPr="00C1694A">
              <w:rPr>
                <w:rFonts w:ascii="Times New Roman" w:hAnsi="Times New Roman" w:cs="Times New Roman"/>
                <w:sz w:val="20"/>
                <w:szCs w:val="20"/>
              </w:rPr>
              <w:t>$2.04</w:t>
            </w:r>
          </w:p>
        </w:tc>
        <w:tc>
          <w:tcPr>
            <w:tcW w:w="162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290.354</w:t>
            </w:r>
          </w:p>
        </w:tc>
        <w:tc>
          <w:tcPr>
            <w:tcW w:w="1998" w:type="dxa"/>
            <w:vAlign w:val="bottom"/>
          </w:tcPr>
          <w:p w:rsidR="006C2DBA" w:rsidRPr="00C1694A" w:rsidRDefault="006C2DBA" w:rsidP="00E22D67">
            <w:pPr>
              <w:jc w:val="right"/>
              <w:rPr>
                <w:rFonts w:ascii="Times New Roman" w:hAnsi="Times New Roman" w:cs="Times New Roman"/>
                <w:sz w:val="20"/>
                <w:szCs w:val="20"/>
              </w:rPr>
            </w:pPr>
            <w:r w:rsidRPr="00C1694A">
              <w:rPr>
                <w:rFonts w:ascii="Times New Roman" w:hAnsi="Times New Roman" w:cs="Times New Roman"/>
                <w:sz w:val="20"/>
                <w:szCs w:val="20"/>
              </w:rPr>
              <w:t xml:space="preserve"> $29,510,082</w:t>
            </w:r>
          </w:p>
        </w:tc>
      </w:tr>
      <w:tr w:rsidR="006C2DBA" w:rsidRPr="00C1694A" w:rsidTr="00593D2A">
        <w:tc>
          <w:tcPr>
            <w:tcW w:w="7578" w:type="dxa"/>
            <w:gridSpan w:val="4"/>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Subtotal</w:t>
            </w:r>
          </w:p>
        </w:tc>
        <w:tc>
          <w:tcPr>
            <w:tcW w:w="1998" w:type="dxa"/>
            <w:vAlign w:val="bottom"/>
          </w:tcPr>
          <w:p w:rsidR="006C2DBA" w:rsidRPr="00C1694A" w:rsidRDefault="006C2DBA" w:rsidP="00E22D67">
            <w:pPr>
              <w:jc w:val="right"/>
              <w:rPr>
                <w:rFonts w:ascii="Times New Roman" w:hAnsi="Times New Roman" w:cs="Times New Roman"/>
                <w:b/>
                <w:sz w:val="20"/>
                <w:szCs w:val="20"/>
              </w:rPr>
            </w:pPr>
            <w:r w:rsidRPr="00C1694A">
              <w:rPr>
                <w:rFonts w:ascii="Times New Roman" w:hAnsi="Times New Roman" w:cs="Times New Roman"/>
                <w:b/>
                <w:sz w:val="20"/>
                <w:szCs w:val="20"/>
              </w:rPr>
              <w:t xml:space="preserve"> $54,419,668</w:t>
            </w:r>
          </w:p>
        </w:tc>
      </w:tr>
      <w:tr w:rsidR="006C2DBA" w:rsidRPr="00C1694A" w:rsidTr="00593D2A">
        <w:tc>
          <w:tcPr>
            <w:tcW w:w="217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Non-double session adding days (70%)</w:t>
            </w:r>
          </w:p>
        </w:tc>
        <w:tc>
          <w:tcPr>
            <w:tcW w:w="162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199,656</w:t>
            </w:r>
          </w:p>
        </w:tc>
        <w:tc>
          <w:tcPr>
            <w:tcW w:w="2160" w:type="dxa"/>
            <w:vAlign w:val="bottom"/>
          </w:tcPr>
          <w:p w:rsidR="006C2DBA" w:rsidRPr="00C1694A" w:rsidRDefault="006C2DBA" w:rsidP="00E22D67">
            <w:pPr>
              <w:jc w:val="right"/>
              <w:rPr>
                <w:rFonts w:ascii="Times New Roman" w:hAnsi="Times New Roman" w:cs="Times New Roman"/>
                <w:sz w:val="20"/>
                <w:szCs w:val="20"/>
              </w:rPr>
            </w:pPr>
            <w:r w:rsidRPr="00C1694A">
              <w:rPr>
                <w:rFonts w:ascii="Times New Roman" w:hAnsi="Times New Roman" w:cs="Times New Roman"/>
                <w:sz w:val="20"/>
                <w:szCs w:val="20"/>
              </w:rPr>
              <w:t>$10.62</w:t>
            </w:r>
          </w:p>
        </w:tc>
        <w:tc>
          <w:tcPr>
            <w:tcW w:w="162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290.354</w:t>
            </w:r>
          </w:p>
        </w:tc>
        <w:tc>
          <w:tcPr>
            <w:tcW w:w="1998" w:type="dxa"/>
            <w:vAlign w:val="bottom"/>
          </w:tcPr>
          <w:p w:rsidR="006C2DBA" w:rsidRPr="00C1694A" w:rsidRDefault="006C2DBA" w:rsidP="00E22D67">
            <w:pPr>
              <w:jc w:val="right"/>
              <w:rPr>
                <w:rFonts w:ascii="Times New Roman" w:hAnsi="Times New Roman" w:cs="Times New Roman"/>
                <w:sz w:val="20"/>
                <w:szCs w:val="20"/>
              </w:rPr>
            </w:pPr>
            <w:r w:rsidRPr="00C1694A">
              <w:rPr>
                <w:rFonts w:ascii="Times New Roman" w:hAnsi="Times New Roman" w:cs="Times New Roman"/>
                <w:sz w:val="20"/>
                <w:szCs w:val="20"/>
              </w:rPr>
              <w:t>$</w:t>
            </w:r>
            <w:r w:rsidRPr="00C1694A">
              <w:rPr>
                <w:rFonts w:ascii="Times New Roman" w:hAnsi="Times New Roman" w:cs="Times New Roman"/>
                <w:b/>
                <w:sz w:val="20"/>
                <w:szCs w:val="20"/>
              </w:rPr>
              <w:t>615,651,152</w:t>
            </w:r>
          </w:p>
        </w:tc>
      </w:tr>
      <w:tr w:rsidR="006C2DBA" w:rsidRPr="00C1694A" w:rsidTr="00593D2A">
        <w:tc>
          <w:tcPr>
            <w:tcW w:w="7578" w:type="dxa"/>
            <w:gridSpan w:val="4"/>
            <w:vAlign w:val="bottom"/>
          </w:tcPr>
          <w:p w:rsidR="006C2DBA" w:rsidRPr="00C1694A" w:rsidRDefault="006C2DBA" w:rsidP="00106182">
            <w:pPr>
              <w:jc w:val="right"/>
              <w:rPr>
                <w:rFonts w:ascii="Times New Roman" w:hAnsi="Times New Roman" w:cs="Times New Roman"/>
                <w:b/>
                <w:sz w:val="20"/>
                <w:szCs w:val="20"/>
              </w:rPr>
            </w:pPr>
            <w:r w:rsidRPr="00C1694A">
              <w:rPr>
                <w:rFonts w:ascii="Times New Roman" w:hAnsi="Times New Roman" w:cs="Times New Roman"/>
                <w:b/>
                <w:sz w:val="20"/>
                <w:szCs w:val="20"/>
              </w:rPr>
              <w:t>Total</w:t>
            </w:r>
            <w:r>
              <w:rPr>
                <w:rFonts w:ascii="Times New Roman" w:hAnsi="Times New Roman" w:cs="Times New Roman"/>
                <w:b/>
                <w:sz w:val="20"/>
                <w:szCs w:val="20"/>
              </w:rPr>
              <w:t>,</w:t>
            </w:r>
            <w:r>
              <w:rPr>
                <w:rFonts w:ascii="Times New Roman" w:hAnsi="Times New Roman" w:cs="Times New Roman"/>
                <w:b/>
                <w:i/>
                <w:sz w:val="20"/>
                <w:szCs w:val="20"/>
              </w:rPr>
              <w:t xml:space="preserve"> Ex</w:t>
            </w:r>
            <w:r w:rsidRPr="00CA5ED6">
              <w:rPr>
                <w:rFonts w:ascii="Times New Roman" w:hAnsi="Times New Roman" w:cs="Times New Roman"/>
                <w:b/>
                <w:i/>
                <w:sz w:val="20"/>
                <w:szCs w:val="20"/>
              </w:rPr>
              <w:t xml:space="preserve">cluding </w:t>
            </w:r>
            <w:r w:rsidRPr="00DB0091">
              <w:rPr>
                <w:rFonts w:ascii="Times New Roman" w:hAnsi="Times New Roman" w:cs="Times New Roman"/>
                <w:b/>
                <w:sz w:val="20"/>
                <w:szCs w:val="20"/>
              </w:rPr>
              <w:t>Duration Funding Appropriated Beginning in FY 2016</w:t>
            </w:r>
          </w:p>
        </w:tc>
        <w:tc>
          <w:tcPr>
            <w:tcW w:w="1998" w:type="dxa"/>
            <w:vAlign w:val="bottom"/>
          </w:tcPr>
          <w:p w:rsidR="006C2DBA" w:rsidRPr="00C1694A" w:rsidRDefault="006C2DBA" w:rsidP="00E22D67">
            <w:pPr>
              <w:jc w:val="right"/>
              <w:rPr>
                <w:rFonts w:ascii="Times New Roman" w:hAnsi="Times New Roman" w:cs="Times New Roman"/>
                <w:b/>
                <w:sz w:val="20"/>
                <w:szCs w:val="20"/>
              </w:rPr>
            </w:pPr>
            <w:r w:rsidRPr="00C1694A">
              <w:rPr>
                <w:rFonts w:ascii="Times New Roman" w:hAnsi="Times New Roman" w:cs="Times New Roman"/>
                <w:b/>
                <w:sz w:val="20"/>
                <w:szCs w:val="20"/>
              </w:rPr>
              <w:t>$1,254,433,872</w:t>
            </w:r>
          </w:p>
        </w:tc>
      </w:tr>
      <w:tr w:rsidR="006C2DBA" w:rsidRPr="00C1694A" w:rsidTr="00593D2A">
        <w:tc>
          <w:tcPr>
            <w:tcW w:w="7578" w:type="dxa"/>
            <w:gridSpan w:val="4"/>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Less 10% Waiver</w:t>
            </w:r>
            <w:r>
              <w:rPr>
                <w:rFonts w:ascii="Times New Roman" w:hAnsi="Times New Roman" w:cs="Times New Roman"/>
                <w:b/>
                <w:sz w:val="20"/>
                <w:szCs w:val="20"/>
              </w:rPr>
              <w:t xml:space="preserve">, </w:t>
            </w:r>
            <w:r w:rsidRPr="00106182">
              <w:rPr>
                <w:rFonts w:ascii="Times New Roman" w:hAnsi="Times New Roman" w:cs="Times New Roman"/>
                <w:b/>
                <w:i/>
                <w:sz w:val="20"/>
                <w:szCs w:val="20"/>
              </w:rPr>
              <w:t xml:space="preserve">Excluding </w:t>
            </w:r>
            <w:r w:rsidRPr="00DB0091">
              <w:rPr>
                <w:rFonts w:ascii="Times New Roman" w:hAnsi="Times New Roman" w:cs="Times New Roman"/>
                <w:b/>
                <w:sz w:val="20"/>
                <w:szCs w:val="20"/>
              </w:rPr>
              <w:t>Duration Funding Appropriated Beginning in FY 2016</w:t>
            </w:r>
          </w:p>
        </w:tc>
        <w:tc>
          <w:tcPr>
            <w:tcW w:w="1998" w:type="dxa"/>
            <w:vAlign w:val="bottom"/>
          </w:tcPr>
          <w:p w:rsidR="006C2DBA" w:rsidRPr="00C1694A" w:rsidRDefault="006C2DBA" w:rsidP="00E22D67">
            <w:pPr>
              <w:jc w:val="right"/>
              <w:rPr>
                <w:rFonts w:ascii="Times New Roman" w:hAnsi="Times New Roman" w:cs="Times New Roman"/>
                <w:b/>
                <w:sz w:val="20"/>
                <w:szCs w:val="20"/>
              </w:rPr>
            </w:pPr>
            <w:r w:rsidRPr="00C1694A">
              <w:rPr>
                <w:rFonts w:ascii="Times New Roman" w:hAnsi="Times New Roman" w:cs="Times New Roman"/>
                <w:b/>
                <w:sz w:val="20"/>
                <w:szCs w:val="20"/>
              </w:rPr>
              <w:t>$1,128,990,485</w:t>
            </w:r>
          </w:p>
        </w:tc>
      </w:tr>
      <w:tr w:rsidR="006C2DBA" w:rsidRPr="00C1694A" w:rsidTr="00593D2A">
        <w:tc>
          <w:tcPr>
            <w:tcW w:w="7578" w:type="dxa"/>
            <w:gridSpan w:val="4"/>
            <w:vAlign w:val="bottom"/>
          </w:tcPr>
          <w:p w:rsidR="006C2DBA" w:rsidRPr="005B3060" w:rsidRDefault="006C2DBA" w:rsidP="00DC5146">
            <w:pPr>
              <w:jc w:val="right"/>
              <w:rPr>
                <w:rFonts w:ascii="Times New Roman" w:hAnsi="Times New Roman" w:cs="Times New Roman"/>
                <w:b/>
                <w:sz w:val="20"/>
                <w:szCs w:val="20"/>
              </w:rPr>
            </w:pPr>
            <w:r>
              <w:rPr>
                <w:rFonts w:ascii="Times New Roman" w:hAnsi="Times New Roman" w:cs="Times New Roman"/>
                <w:b/>
                <w:sz w:val="20"/>
                <w:szCs w:val="20"/>
              </w:rPr>
              <w:t xml:space="preserve">Total, </w:t>
            </w:r>
            <w:r>
              <w:rPr>
                <w:rFonts w:ascii="Times New Roman" w:hAnsi="Times New Roman" w:cs="Times New Roman"/>
                <w:b/>
                <w:i/>
                <w:sz w:val="20"/>
                <w:szCs w:val="20"/>
              </w:rPr>
              <w:t>In</w:t>
            </w:r>
            <w:r w:rsidRPr="00106182">
              <w:rPr>
                <w:rFonts w:ascii="Times New Roman" w:hAnsi="Times New Roman" w:cs="Times New Roman"/>
                <w:b/>
                <w:i/>
                <w:sz w:val="20"/>
                <w:szCs w:val="20"/>
              </w:rPr>
              <w:t xml:space="preserve">cluding </w:t>
            </w:r>
            <w:r w:rsidRPr="00DB0091">
              <w:rPr>
                <w:rFonts w:ascii="Times New Roman" w:hAnsi="Times New Roman" w:cs="Times New Roman"/>
                <w:b/>
                <w:sz w:val="20"/>
                <w:szCs w:val="20"/>
              </w:rPr>
              <w:t>Duration Funding Appropriated Beginning in FY 2016</w:t>
            </w:r>
          </w:p>
        </w:tc>
        <w:tc>
          <w:tcPr>
            <w:tcW w:w="1998" w:type="dxa"/>
            <w:vAlign w:val="bottom"/>
          </w:tcPr>
          <w:p w:rsidR="006C2DBA" w:rsidRPr="00C1694A" w:rsidRDefault="006C2DBA" w:rsidP="00E22D67">
            <w:pPr>
              <w:jc w:val="right"/>
              <w:rPr>
                <w:rFonts w:ascii="Times New Roman" w:hAnsi="Times New Roman" w:cs="Times New Roman"/>
                <w:b/>
                <w:sz w:val="20"/>
                <w:szCs w:val="20"/>
              </w:rPr>
            </w:pPr>
            <w:r>
              <w:rPr>
                <w:rFonts w:ascii="Times New Roman" w:hAnsi="Times New Roman" w:cs="Times New Roman"/>
                <w:b/>
                <w:sz w:val="20"/>
                <w:szCs w:val="20"/>
              </w:rPr>
              <w:t>$865,868,545</w:t>
            </w:r>
          </w:p>
        </w:tc>
      </w:tr>
    </w:tbl>
    <w:p w:rsidR="006C2DBA" w:rsidRPr="00C1694A" w:rsidRDefault="006C2DBA" w:rsidP="00331A7B">
      <w:pPr>
        <w:spacing w:after="0" w:line="480" w:lineRule="auto"/>
        <w:ind w:firstLine="720"/>
        <w:rPr>
          <w:rFonts w:ascii="Times New Roman" w:hAnsi="Times New Roman" w:cs="Times New Roman"/>
          <w:b/>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 xml:space="preserve">Extension of Early Head Start Center-Based Program Duration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Similar to the approach to estimating the cost of increasing duration for Head Start, to estimate the costs associated with the requirement that Early Head Start center-based programs provide a minimum of 1,380 annual hours for all slots, we used GABI and PIR data.  We excluded all programs not required to meet the 1,380 minimum.  Therefore, we calculated the cost using data from Early Head Start center-based programs including American Indian and Alaska Native programs but excluded all other program options and Migrant and Seasonal Head Start.   We calculated estimates for Early Head Start center-based double session and non-double session programs separately.  Double session programs include a morning and afternoon session with the same teacher, therefore, we used the entire FY 2015 Early Head Start cost per child for center-based services from the GABI ($13,041).  Next, we divided the current Early Head Start funded enrollment in double session programs (324, which is inflated for missing GABI data) by 2 to get a total estimated number of new Early Head Start slots that would need to be created to eliminate double sessions (162). We then multiplied the resulting number of slots by the average marginal cost per child.  From these calculations, we estimate the cost of extending duration for all Early Head Start center-based double session slots to be $2,112,642.  </w:t>
      </w:r>
      <w:r>
        <w:rPr>
          <w:rFonts w:ascii="Times New Roman" w:hAnsi="Times New Roman" w:cs="Times New Roman"/>
          <w:sz w:val="24"/>
          <w:szCs w:val="24"/>
        </w:rPr>
        <w:t>However, this cost excludes the impact of the funding already provided by Congress in FY 2016 to expand duration of Early Head Start programs.  As discussed below, all of these costs will be covered by that funding.</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For non-double session programs, we calculated the proportion of Early Head Start center-based non-double session slots that operate fewer than 1,380 annual hours (14,270, which is inflated for missing GABI data).  First, we divided the average annual Early Head Start cost per child by the average number of hours per year provided across all Early Head Start non-double session center-based slots (1,627.61 hours) to get an average cost per hour of $8.01.  Then, to account for fringe, we inflated 80% of this cost per hour by one-third (we assume no additional costs for overhead) because most programs spend approximately 80% of their budget on personnel. This results in an average cost per hour of $10.12.</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Further, we assumed all Early Head Start programs would choose to increase the number of days they operate per year to meet the 1,380 annual hour requirement because most Early Head Start programs already operate for a full day.  In order to estimate the costs associated with meeting the requirement for these programs, we assumed they would need the full average cost per child per hour, inflated for fringe.  Then we multiplied the adjusted cost per child per hour ($10.12) by the average number of hours programs not currently meeting the 1,380 minimum would need to add (210.443 hours) by the number of slots (14,270) that we estimated would need to move to meet 1,380 annual hours to get an estimated cost of $30,390,579.  </w:t>
      </w:r>
      <w:r>
        <w:rPr>
          <w:rFonts w:ascii="Times New Roman" w:hAnsi="Times New Roman" w:cs="Times New Roman"/>
          <w:sz w:val="24"/>
          <w:szCs w:val="24"/>
        </w:rPr>
        <w:t>However, this cost excludes the impact of the funding already provided by Congress in FY 2016 to expand duration.  As discussed below, all of these costs will be covered by that funding.</w:t>
      </w:r>
    </w:p>
    <w:p w:rsidR="006C2DBA" w:rsidRPr="00C1694A" w:rsidRDefault="006C2DBA" w:rsidP="00C90485">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sum, the total cost for Early Head Start double session and non-double session center-based slots to meet the 1,380 requirement is $32,503,221</w:t>
      </w:r>
      <w:r>
        <w:rPr>
          <w:rFonts w:ascii="Times New Roman" w:hAnsi="Times New Roman" w:cs="Times New Roman"/>
          <w:sz w:val="24"/>
          <w:szCs w:val="24"/>
        </w:rPr>
        <w:t xml:space="preserve"> before accounting for the $294 million in funding Congress has provided in FY 2016 to expand duration</w:t>
      </w:r>
      <w:r w:rsidRPr="00C1694A">
        <w:rPr>
          <w:rFonts w:ascii="Times New Roman" w:hAnsi="Times New Roman" w:cs="Times New Roman"/>
          <w:sz w:val="24"/>
          <w:szCs w:val="24"/>
        </w:rPr>
        <w:t>.  However, because we assume that 5 percent of all programs currently not meeting the 1,380 will receive a waiver to continue operating at their current level of annual hours, we reduce this estimate by 5 percent for a total cost borne by Head Start of $30,878,060</w:t>
      </w:r>
      <w:r w:rsidRPr="00C90485">
        <w:rPr>
          <w:rFonts w:ascii="Times New Roman" w:hAnsi="Times New Roman" w:cs="Times New Roman"/>
          <w:sz w:val="24"/>
          <w:szCs w:val="24"/>
        </w:rPr>
        <w:t xml:space="preserve"> </w:t>
      </w:r>
      <w:r>
        <w:rPr>
          <w:rFonts w:ascii="Times New Roman" w:hAnsi="Times New Roman" w:cs="Times New Roman"/>
          <w:sz w:val="24"/>
          <w:szCs w:val="24"/>
        </w:rPr>
        <w:t>before accounting for the $294 million in funding Congress has provided in FY 2016 to expand duration</w:t>
      </w:r>
      <w:r w:rsidRPr="00C1694A">
        <w:rPr>
          <w:rFonts w:ascii="Times New Roman" w:hAnsi="Times New Roman" w:cs="Times New Roman"/>
          <w:sz w:val="24"/>
          <w:szCs w:val="24"/>
        </w:rPr>
        <w:t>. These costs will be realized in year three and annually thereafter.</w:t>
      </w:r>
      <w:r>
        <w:rPr>
          <w:rFonts w:ascii="Times New Roman" w:hAnsi="Times New Roman" w:cs="Times New Roman"/>
          <w:sz w:val="24"/>
          <w:szCs w:val="24"/>
        </w:rPr>
        <w:t xml:space="preserve"> As noted, Congress appropriated $294 million in FY 2016 to increase the duration of Early Head Start and Head Start programs.  Thus, the entirety of the $30,878,060 costs will be absorbed by this funding.</w:t>
      </w:r>
    </w:p>
    <w:tbl>
      <w:tblPr>
        <w:tblStyle w:val="TableGrid"/>
        <w:tblW w:w="0" w:type="auto"/>
        <w:tblLook w:val="04A0" w:firstRow="1" w:lastRow="0" w:firstColumn="1" w:lastColumn="0" w:noHBand="0" w:noVBand="1"/>
      </w:tblPr>
      <w:tblGrid>
        <w:gridCol w:w="1998"/>
        <w:gridCol w:w="1170"/>
        <w:gridCol w:w="2340"/>
        <w:gridCol w:w="1851"/>
        <w:gridCol w:w="1592"/>
      </w:tblGrid>
      <w:tr w:rsidR="006C2DBA" w:rsidRPr="00C1694A" w:rsidTr="00D722F2">
        <w:tc>
          <w:tcPr>
            <w:tcW w:w="8951" w:type="dxa"/>
            <w:gridSpan w:val="5"/>
            <w:vAlign w:val="bottom"/>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Extension of Early Head Start Center-based Duration: Costs Borne by Head Start</w:t>
            </w:r>
          </w:p>
        </w:tc>
      </w:tr>
      <w:tr w:rsidR="006C2DBA" w:rsidRPr="00C1694A" w:rsidTr="00D722F2">
        <w:tc>
          <w:tcPr>
            <w:tcW w:w="1998" w:type="dxa"/>
            <w:vAlign w:val="bottom"/>
          </w:tcPr>
          <w:p w:rsidR="006C2DBA" w:rsidRPr="00C1694A" w:rsidRDefault="006C2DBA" w:rsidP="00DC5146">
            <w:pPr>
              <w:jc w:val="center"/>
              <w:rPr>
                <w:rFonts w:ascii="Times New Roman" w:hAnsi="Times New Roman" w:cs="Times New Roman"/>
                <w:b/>
                <w:sz w:val="20"/>
                <w:szCs w:val="20"/>
              </w:rPr>
            </w:pPr>
          </w:p>
        </w:tc>
        <w:tc>
          <w:tcPr>
            <w:tcW w:w="117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Total DS Slots</w:t>
            </w:r>
          </w:p>
        </w:tc>
        <w:tc>
          <w:tcPr>
            <w:tcW w:w="234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New Slots needed</w:t>
            </w:r>
          </w:p>
        </w:tc>
        <w:tc>
          <w:tcPr>
            <w:tcW w:w="1851"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 per child (less admin)</w:t>
            </w:r>
          </w:p>
        </w:tc>
        <w:tc>
          <w:tcPr>
            <w:tcW w:w="1592"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w:t>
            </w:r>
          </w:p>
        </w:tc>
      </w:tr>
      <w:tr w:rsidR="006C2DBA" w:rsidRPr="00C1694A" w:rsidTr="00D722F2">
        <w:tc>
          <w:tcPr>
            <w:tcW w:w="199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Double Session (DS)</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 xml:space="preserve"> 324</w:t>
            </w:r>
          </w:p>
        </w:tc>
        <w:tc>
          <w:tcPr>
            <w:tcW w:w="234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162</w:t>
            </w:r>
          </w:p>
        </w:tc>
        <w:tc>
          <w:tcPr>
            <w:tcW w:w="1851" w:type="dxa"/>
            <w:vAlign w:val="bottom"/>
          </w:tcPr>
          <w:p w:rsidR="006C2DBA" w:rsidRPr="00C1694A" w:rsidRDefault="006C2DBA" w:rsidP="0010550E">
            <w:pPr>
              <w:jc w:val="right"/>
              <w:rPr>
                <w:rFonts w:ascii="Times New Roman" w:hAnsi="Times New Roman" w:cs="Times New Roman"/>
                <w:sz w:val="20"/>
                <w:szCs w:val="20"/>
              </w:rPr>
            </w:pPr>
            <w:r w:rsidRPr="00C1694A">
              <w:rPr>
                <w:rFonts w:ascii="Times New Roman" w:hAnsi="Times New Roman" w:cs="Times New Roman"/>
                <w:sz w:val="20"/>
                <w:szCs w:val="20"/>
              </w:rPr>
              <w:t>$13,041</w:t>
            </w:r>
          </w:p>
        </w:tc>
        <w:tc>
          <w:tcPr>
            <w:tcW w:w="1592" w:type="dxa"/>
            <w:vAlign w:val="bottom"/>
          </w:tcPr>
          <w:p w:rsidR="006C2DBA" w:rsidRPr="00C1694A" w:rsidRDefault="006C2DBA" w:rsidP="00DC5146">
            <w:pPr>
              <w:jc w:val="right"/>
              <w:rPr>
                <w:rFonts w:ascii="Times New Roman" w:hAnsi="Times New Roman" w:cs="Times New Roman"/>
                <w:sz w:val="20"/>
                <w:szCs w:val="20"/>
              </w:rPr>
            </w:pPr>
          </w:p>
          <w:p w:rsidR="006C2DBA" w:rsidRPr="00C1694A" w:rsidRDefault="006C2DBA" w:rsidP="0010550E">
            <w:pPr>
              <w:jc w:val="right"/>
              <w:rPr>
                <w:rFonts w:ascii="Times New Roman" w:hAnsi="Times New Roman" w:cs="Times New Roman"/>
                <w:sz w:val="20"/>
                <w:szCs w:val="20"/>
              </w:rPr>
            </w:pPr>
            <w:r w:rsidRPr="00C1694A">
              <w:rPr>
                <w:rFonts w:ascii="Times New Roman" w:hAnsi="Times New Roman" w:cs="Times New Roman"/>
                <w:sz w:val="20"/>
                <w:szCs w:val="20"/>
              </w:rPr>
              <w:t>$2,112,642</w:t>
            </w:r>
          </w:p>
        </w:tc>
      </w:tr>
      <w:tr w:rsidR="006C2DBA" w:rsidRPr="00C1694A" w:rsidTr="00D722F2">
        <w:tc>
          <w:tcPr>
            <w:tcW w:w="8951" w:type="dxa"/>
            <w:gridSpan w:val="5"/>
            <w:vAlign w:val="bottom"/>
          </w:tcPr>
          <w:p w:rsidR="006C2DBA" w:rsidRPr="00C1694A" w:rsidRDefault="006C2DBA" w:rsidP="00DC5146">
            <w:pPr>
              <w:jc w:val="right"/>
              <w:rPr>
                <w:rFonts w:ascii="Times New Roman" w:hAnsi="Times New Roman" w:cs="Times New Roman"/>
                <w:b/>
                <w:sz w:val="20"/>
                <w:szCs w:val="20"/>
              </w:rPr>
            </w:pPr>
          </w:p>
        </w:tc>
      </w:tr>
      <w:tr w:rsidR="006C2DBA" w:rsidRPr="00C1694A" w:rsidTr="00D722F2">
        <w:tc>
          <w:tcPr>
            <w:tcW w:w="1998" w:type="dxa"/>
            <w:vAlign w:val="bottom"/>
          </w:tcPr>
          <w:p w:rsidR="006C2DBA" w:rsidRPr="00C1694A" w:rsidRDefault="006C2DBA" w:rsidP="00DC5146">
            <w:pPr>
              <w:jc w:val="center"/>
              <w:rPr>
                <w:rFonts w:ascii="Times New Roman" w:hAnsi="Times New Roman" w:cs="Times New Roman"/>
                <w:b/>
                <w:sz w:val="20"/>
                <w:szCs w:val="20"/>
              </w:rPr>
            </w:pPr>
          </w:p>
        </w:tc>
        <w:tc>
          <w:tcPr>
            <w:tcW w:w="117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Slots</w:t>
            </w:r>
          </w:p>
        </w:tc>
        <w:tc>
          <w:tcPr>
            <w:tcW w:w="234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Average cost per child per hour (less admin)</w:t>
            </w:r>
          </w:p>
        </w:tc>
        <w:tc>
          <w:tcPr>
            <w:tcW w:w="1851"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Hours needed</w:t>
            </w:r>
          </w:p>
        </w:tc>
        <w:tc>
          <w:tcPr>
            <w:tcW w:w="1592"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w:t>
            </w:r>
          </w:p>
        </w:tc>
      </w:tr>
      <w:tr w:rsidR="006C2DBA" w:rsidRPr="00C1694A" w:rsidTr="00D722F2">
        <w:tc>
          <w:tcPr>
            <w:tcW w:w="1998"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 xml:space="preserve">Non-double session </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14,270</w:t>
            </w:r>
          </w:p>
        </w:tc>
        <w:tc>
          <w:tcPr>
            <w:tcW w:w="2340" w:type="dxa"/>
            <w:vAlign w:val="bottom"/>
          </w:tcPr>
          <w:p w:rsidR="006C2DBA" w:rsidRPr="00C1694A" w:rsidRDefault="006C2DBA" w:rsidP="0010550E">
            <w:pPr>
              <w:jc w:val="right"/>
              <w:rPr>
                <w:rFonts w:ascii="Times New Roman" w:hAnsi="Times New Roman" w:cs="Times New Roman"/>
                <w:sz w:val="20"/>
                <w:szCs w:val="20"/>
              </w:rPr>
            </w:pPr>
            <w:r w:rsidRPr="00C1694A">
              <w:rPr>
                <w:rFonts w:ascii="Times New Roman" w:hAnsi="Times New Roman" w:cs="Times New Roman"/>
                <w:sz w:val="20"/>
                <w:szCs w:val="20"/>
              </w:rPr>
              <w:t>$10.12</w:t>
            </w:r>
          </w:p>
        </w:tc>
        <w:tc>
          <w:tcPr>
            <w:tcW w:w="1851"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210.443</w:t>
            </w:r>
          </w:p>
        </w:tc>
        <w:tc>
          <w:tcPr>
            <w:tcW w:w="1592" w:type="dxa"/>
            <w:vAlign w:val="bottom"/>
          </w:tcPr>
          <w:p w:rsidR="006C2DBA" w:rsidRPr="00C1694A" w:rsidRDefault="006C2DBA" w:rsidP="0010550E">
            <w:pPr>
              <w:jc w:val="right"/>
              <w:rPr>
                <w:rFonts w:ascii="Times New Roman" w:hAnsi="Times New Roman" w:cs="Times New Roman"/>
                <w:sz w:val="20"/>
                <w:szCs w:val="20"/>
              </w:rPr>
            </w:pPr>
            <w:r w:rsidRPr="00C1694A">
              <w:rPr>
                <w:rFonts w:ascii="Times New Roman" w:hAnsi="Times New Roman" w:cs="Times New Roman"/>
                <w:sz w:val="20"/>
                <w:szCs w:val="20"/>
              </w:rPr>
              <w:t xml:space="preserve"> $30,390,579</w:t>
            </w:r>
          </w:p>
        </w:tc>
      </w:tr>
      <w:tr w:rsidR="006C2DBA" w:rsidRPr="00C1694A" w:rsidTr="00D722F2">
        <w:tc>
          <w:tcPr>
            <w:tcW w:w="7359" w:type="dxa"/>
            <w:gridSpan w:val="4"/>
            <w:vAlign w:val="bottom"/>
          </w:tcPr>
          <w:p w:rsidR="006C2DBA" w:rsidRPr="00AD4B17" w:rsidRDefault="006C2DBA" w:rsidP="00DC5146">
            <w:pPr>
              <w:jc w:val="right"/>
              <w:rPr>
                <w:rFonts w:ascii="Times New Roman" w:hAnsi="Times New Roman" w:cs="Times New Roman"/>
                <w:b/>
                <w:i/>
                <w:sz w:val="20"/>
                <w:szCs w:val="20"/>
              </w:rPr>
            </w:pPr>
            <w:r w:rsidRPr="00C1694A">
              <w:rPr>
                <w:rFonts w:ascii="Times New Roman" w:hAnsi="Times New Roman" w:cs="Times New Roman"/>
                <w:b/>
                <w:sz w:val="20"/>
                <w:szCs w:val="20"/>
              </w:rPr>
              <w:t>Total</w:t>
            </w:r>
            <w:r>
              <w:rPr>
                <w:rFonts w:ascii="Times New Roman" w:hAnsi="Times New Roman" w:cs="Times New Roman"/>
                <w:b/>
                <w:sz w:val="20"/>
                <w:szCs w:val="20"/>
              </w:rPr>
              <w:t xml:space="preserve">, </w:t>
            </w:r>
            <w:r>
              <w:rPr>
                <w:rFonts w:ascii="Times New Roman" w:hAnsi="Times New Roman" w:cs="Times New Roman"/>
                <w:b/>
                <w:i/>
                <w:sz w:val="20"/>
                <w:szCs w:val="20"/>
              </w:rPr>
              <w:t>excluding FY 2016 duration funding</w:t>
            </w:r>
          </w:p>
        </w:tc>
        <w:tc>
          <w:tcPr>
            <w:tcW w:w="1592" w:type="dxa"/>
            <w:vAlign w:val="bottom"/>
          </w:tcPr>
          <w:p w:rsidR="006C2DBA" w:rsidRPr="00C1694A" w:rsidRDefault="006C2DBA" w:rsidP="0010550E">
            <w:pPr>
              <w:jc w:val="right"/>
              <w:rPr>
                <w:rFonts w:ascii="Times New Roman" w:hAnsi="Times New Roman" w:cs="Times New Roman"/>
                <w:b/>
                <w:sz w:val="20"/>
                <w:szCs w:val="20"/>
              </w:rPr>
            </w:pPr>
            <w:r w:rsidRPr="00C1694A">
              <w:rPr>
                <w:rFonts w:ascii="Times New Roman" w:hAnsi="Times New Roman" w:cs="Times New Roman"/>
                <w:b/>
                <w:sz w:val="20"/>
                <w:szCs w:val="20"/>
              </w:rPr>
              <w:t>$32,503,221</w:t>
            </w:r>
          </w:p>
        </w:tc>
      </w:tr>
      <w:tr w:rsidR="006C2DBA" w:rsidRPr="00C1694A" w:rsidTr="00D722F2">
        <w:tc>
          <w:tcPr>
            <w:tcW w:w="7359" w:type="dxa"/>
            <w:gridSpan w:val="4"/>
            <w:vAlign w:val="bottom"/>
          </w:tcPr>
          <w:p w:rsidR="006C2DBA" w:rsidRPr="00AD4B17" w:rsidRDefault="006C2DBA" w:rsidP="00DC5146">
            <w:pPr>
              <w:jc w:val="right"/>
              <w:rPr>
                <w:rFonts w:ascii="Times New Roman" w:hAnsi="Times New Roman" w:cs="Times New Roman"/>
                <w:b/>
                <w:i/>
                <w:sz w:val="20"/>
                <w:szCs w:val="20"/>
              </w:rPr>
            </w:pPr>
            <w:r w:rsidRPr="00C1694A">
              <w:rPr>
                <w:rFonts w:ascii="Times New Roman" w:hAnsi="Times New Roman" w:cs="Times New Roman"/>
                <w:b/>
                <w:sz w:val="20"/>
                <w:szCs w:val="20"/>
              </w:rPr>
              <w:t>Less 5 % Waiver</w:t>
            </w:r>
            <w:r>
              <w:rPr>
                <w:rFonts w:ascii="Times New Roman" w:hAnsi="Times New Roman" w:cs="Times New Roman"/>
                <w:b/>
                <w:sz w:val="20"/>
                <w:szCs w:val="20"/>
              </w:rPr>
              <w:t xml:space="preserve">, </w:t>
            </w:r>
            <w:r>
              <w:rPr>
                <w:rFonts w:ascii="Times New Roman" w:hAnsi="Times New Roman" w:cs="Times New Roman"/>
                <w:b/>
                <w:i/>
                <w:sz w:val="20"/>
                <w:szCs w:val="20"/>
              </w:rPr>
              <w:t>excluding FY 2016 duration funding</w:t>
            </w:r>
          </w:p>
        </w:tc>
        <w:tc>
          <w:tcPr>
            <w:tcW w:w="1592" w:type="dxa"/>
            <w:vAlign w:val="bottom"/>
          </w:tcPr>
          <w:p w:rsidR="006C2DBA" w:rsidRPr="00C1694A" w:rsidRDefault="006C2DBA" w:rsidP="0010550E">
            <w:pPr>
              <w:jc w:val="right"/>
              <w:rPr>
                <w:rFonts w:ascii="Times New Roman" w:hAnsi="Times New Roman" w:cs="Times New Roman"/>
                <w:b/>
                <w:sz w:val="20"/>
                <w:szCs w:val="20"/>
              </w:rPr>
            </w:pPr>
            <w:r w:rsidRPr="00C1694A">
              <w:rPr>
                <w:rFonts w:ascii="Times New Roman" w:hAnsi="Times New Roman" w:cs="Times New Roman"/>
                <w:b/>
                <w:sz w:val="20"/>
                <w:szCs w:val="20"/>
              </w:rPr>
              <w:t xml:space="preserve"> $30,878,060</w:t>
            </w:r>
          </w:p>
        </w:tc>
      </w:tr>
      <w:tr w:rsidR="006C2DBA" w:rsidRPr="00C1694A" w:rsidTr="00D722F2">
        <w:tc>
          <w:tcPr>
            <w:tcW w:w="7359" w:type="dxa"/>
            <w:gridSpan w:val="4"/>
            <w:vAlign w:val="bottom"/>
          </w:tcPr>
          <w:p w:rsidR="006C2DBA" w:rsidRPr="00C90485" w:rsidRDefault="006C2DBA" w:rsidP="00DC5146">
            <w:pPr>
              <w:jc w:val="right"/>
              <w:rPr>
                <w:rFonts w:ascii="Times New Roman" w:hAnsi="Times New Roman" w:cs="Times New Roman"/>
                <w:b/>
                <w:sz w:val="20"/>
                <w:szCs w:val="20"/>
              </w:rPr>
            </w:pPr>
            <w:r>
              <w:rPr>
                <w:rFonts w:ascii="Times New Roman" w:hAnsi="Times New Roman" w:cs="Times New Roman"/>
                <w:b/>
                <w:sz w:val="20"/>
                <w:szCs w:val="20"/>
              </w:rPr>
              <w:t xml:space="preserve">Total, </w:t>
            </w:r>
            <w:r>
              <w:rPr>
                <w:rFonts w:ascii="Times New Roman" w:hAnsi="Times New Roman" w:cs="Times New Roman"/>
                <w:b/>
                <w:i/>
                <w:sz w:val="20"/>
                <w:szCs w:val="20"/>
              </w:rPr>
              <w:t>including FY 2016 duration funding</w:t>
            </w:r>
          </w:p>
        </w:tc>
        <w:tc>
          <w:tcPr>
            <w:tcW w:w="1592" w:type="dxa"/>
            <w:vAlign w:val="bottom"/>
          </w:tcPr>
          <w:p w:rsidR="006C2DBA" w:rsidRPr="00C1694A" w:rsidRDefault="006C2DBA" w:rsidP="0010550E">
            <w:pPr>
              <w:jc w:val="right"/>
              <w:rPr>
                <w:rFonts w:ascii="Times New Roman" w:hAnsi="Times New Roman" w:cs="Times New Roman"/>
                <w:b/>
                <w:sz w:val="20"/>
                <w:szCs w:val="20"/>
              </w:rPr>
            </w:pPr>
            <w:r>
              <w:rPr>
                <w:rFonts w:ascii="Times New Roman" w:hAnsi="Times New Roman" w:cs="Times New Roman"/>
                <w:b/>
                <w:sz w:val="20"/>
                <w:szCs w:val="20"/>
              </w:rPr>
              <w:t>$0</w:t>
            </w:r>
          </w:p>
        </w:tc>
      </w:tr>
    </w:tbl>
    <w:p w:rsidR="006C2DBA" w:rsidRPr="00C1694A" w:rsidRDefault="006C2DBA" w:rsidP="00331A7B">
      <w:pPr>
        <w:rPr>
          <w:rFonts w:ascii="Times New Roman" w:hAnsi="Times New Roman" w:cs="Times New Roman"/>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Start-up Costs for Extension of Center-based Programs</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addition to the cost of extending center-based programs estimated for Head Start and Early Head Start above, there are additional costs associated with facilities and other start-up activities for increasing duration.  If there is adequate funding to support these requirements, there will be a period of ramp-up that most programs will need to implement the duration requirements, therefore we anticipate that a portion of any first 12-month operational award will be available for the purchase or renovation of facilities and other start-up activities before programs begin serving children at the higher duration.  These costs would be subsumed in the grant awards to cover the costs estimated above.  However, if the requirements are implemented in the absence of adequate additional funding, these start-up costs would represent additional costs that should be estimated here. </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rPr>
        <w:tab/>
        <w:t>In order to estimate the amount of start-up costs, we rely on historical information from prior expansions in which approximately one quarter to one third of the total operating budget is needed for start-up activities.  However, since non-double session slots will require significantly fewer start-up activities at a significantly lower cost, we assume that, on average, start-up activities will reflect twenty percent of the estimated cost to extend slots to meet the duration requirements.  Therefore, we estimate the cost of start-up activities for meeting the Early Head Start requirement to be $6,175,612, the cost of start-up activities for meeting the 50 percent requirement in Head Start to be $101,668,161, the additional cost of start-up activities for meeting the 100 percent requirement in Head Start to be $124,109,936.  Finally, we assume start-up costs will be incurred the year prior to the effective date for each duration requirement.  We estimate start-up costs for all requirements will total $231,973,709.</w:t>
      </w:r>
    </w:p>
    <w:tbl>
      <w:tblPr>
        <w:tblStyle w:val="TableGrid"/>
        <w:tblW w:w="0" w:type="auto"/>
        <w:tblLook w:val="04A0" w:firstRow="1" w:lastRow="0" w:firstColumn="1" w:lastColumn="0" w:noHBand="0" w:noVBand="1"/>
      </w:tblPr>
      <w:tblGrid>
        <w:gridCol w:w="2394"/>
        <w:gridCol w:w="2394"/>
        <w:gridCol w:w="2394"/>
        <w:gridCol w:w="2394"/>
      </w:tblGrid>
      <w:tr w:rsidR="006C2DBA" w:rsidRPr="00C1694A" w:rsidTr="00202212">
        <w:tc>
          <w:tcPr>
            <w:tcW w:w="2394" w:type="dxa"/>
            <w:vAlign w:val="center"/>
          </w:tcPr>
          <w:p w:rsidR="006C2DBA" w:rsidRPr="00C1694A" w:rsidRDefault="006C2DBA" w:rsidP="00202212">
            <w:pPr>
              <w:jc w:val="center"/>
              <w:rPr>
                <w:rFonts w:ascii="Times New Roman" w:hAnsi="Times New Roman" w:cs="Times New Roman"/>
                <w:b/>
                <w:sz w:val="20"/>
                <w:szCs w:val="20"/>
              </w:rPr>
            </w:pPr>
          </w:p>
        </w:tc>
        <w:tc>
          <w:tcPr>
            <w:tcW w:w="2394" w:type="dxa"/>
            <w:vAlign w:val="center"/>
          </w:tcPr>
          <w:p w:rsidR="006C2DBA" w:rsidRPr="00C1694A" w:rsidRDefault="006C2DBA" w:rsidP="00202212">
            <w:pPr>
              <w:jc w:val="center"/>
              <w:rPr>
                <w:rFonts w:ascii="Times New Roman" w:hAnsi="Times New Roman" w:cs="Times New Roman"/>
                <w:b/>
                <w:sz w:val="20"/>
                <w:szCs w:val="20"/>
              </w:rPr>
            </w:pPr>
            <w:r w:rsidRPr="00C1694A">
              <w:rPr>
                <w:rFonts w:ascii="Times New Roman" w:hAnsi="Times New Roman" w:cs="Times New Roman"/>
                <w:b/>
                <w:sz w:val="20"/>
                <w:szCs w:val="20"/>
              </w:rPr>
              <w:t>Cost of Requirement (Incremental)</w:t>
            </w:r>
          </w:p>
        </w:tc>
        <w:tc>
          <w:tcPr>
            <w:tcW w:w="2394" w:type="dxa"/>
            <w:vAlign w:val="center"/>
          </w:tcPr>
          <w:p w:rsidR="006C2DBA" w:rsidRPr="00C1694A" w:rsidRDefault="006C2DBA" w:rsidP="00202212">
            <w:pPr>
              <w:jc w:val="center"/>
              <w:rPr>
                <w:rFonts w:ascii="Times New Roman" w:hAnsi="Times New Roman" w:cs="Times New Roman"/>
                <w:b/>
                <w:sz w:val="20"/>
                <w:szCs w:val="20"/>
              </w:rPr>
            </w:pPr>
            <w:r w:rsidRPr="00C1694A">
              <w:rPr>
                <w:rFonts w:ascii="Times New Roman" w:hAnsi="Times New Roman" w:cs="Times New Roman"/>
                <w:b/>
                <w:sz w:val="20"/>
                <w:szCs w:val="20"/>
              </w:rPr>
              <w:t>Start-Up Costs</w:t>
            </w:r>
          </w:p>
          <w:p w:rsidR="006C2DBA" w:rsidRPr="00C1694A" w:rsidRDefault="006C2DBA" w:rsidP="00202212">
            <w:pPr>
              <w:jc w:val="center"/>
              <w:rPr>
                <w:rFonts w:ascii="Times New Roman" w:hAnsi="Times New Roman" w:cs="Times New Roman"/>
                <w:b/>
                <w:sz w:val="20"/>
                <w:szCs w:val="20"/>
              </w:rPr>
            </w:pPr>
            <w:r w:rsidRPr="00C1694A">
              <w:rPr>
                <w:rFonts w:ascii="Times New Roman" w:hAnsi="Times New Roman" w:cs="Times New Roman"/>
                <w:b/>
                <w:sz w:val="20"/>
                <w:szCs w:val="20"/>
              </w:rPr>
              <w:t>(20%)</w:t>
            </w:r>
          </w:p>
        </w:tc>
        <w:tc>
          <w:tcPr>
            <w:tcW w:w="2394" w:type="dxa"/>
            <w:vAlign w:val="center"/>
          </w:tcPr>
          <w:p w:rsidR="006C2DBA" w:rsidRPr="00C1694A" w:rsidRDefault="006C2DBA" w:rsidP="00202212">
            <w:pPr>
              <w:jc w:val="center"/>
              <w:rPr>
                <w:rFonts w:ascii="Times New Roman" w:hAnsi="Times New Roman" w:cs="Times New Roman"/>
                <w:b/>
                <w:sz w:val="20"/>
                <w:szCs w:val="20"/>
              </w:rPr>
            </w:pPr>
            <w:r w:rsidRPr="00C1694A">
              <w:rPr>
                <w:rFonts w:ascii="Times New Roman" w:hAnsi="Times New Roman" w:cs="Times New Roman"/>
                <w:b/>
                <w:sz w:val="20"/>
                <w:szCs w:val="20"/>
              </w:rPr>
              <w:t>Year</w:t>
            </w:r>
            <w:r>
              <w:rPr>
                <w:rFonts w:ascii="Times New Roman" w:hAnsi="Times New Roman" w:cs="Times New Roman"/>
                <w:b/>
                <w:sz w:val="20"/>
                <w:szCs w:val="20"/>
              </w:rPr>
              <w:t>*</w:t>
            </w:r>
          </w:p>
        </w:tc>
      </w:tr>
      <w:tr w:rsidR="006C2DBA" w:rsidRPr="00C1694A" w:rsidTr="00202212">
        <w:tc>
          <w:tcPr>
            <w:tcW w:w="2394" w:type="dxa"/>
          </w:tcPr>
          <w:p w:rsidR="006C2DBA" w:rsidRPr="00C1694A" w:rsidRDefault="006C2DBA" w:rsidP="00202212">
            <w:pPr>
              <w:jc w:val="right"/>
              <w:rPr>
                <w:rFonts w:ascii="Times New Roman" w:hAnsi="Times New Roman" w:cs="Times New Roman"/>
                <w:b/>
                <w:sz w:val="20"/>
                <w:szCs w:val="20"/>
              </w:rPr>
            </w:pPr>
            <w:r w:rsidRPr="00C1694A">
              <w:rPr>
                <w:rFonts w:ascii="Times New Roman" w:hAnsi="Times New Roman" w:cs="Times New Roman"/>
                <w:b/>
                <w:sz w:val="20"/>
                <w:szCs w:val="20"/>
              </w:rPr>
              <w:t>EHS Requirement</w:t>
            </w:r>
          </w:p>
        </w:tc>
        <w:tc>
          <w:tcPr>
            <w:tcW w:w="2394" w:type="dxa"/>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$30,878,060</w:t>
            </w:r>
          </w:p>
        </w:tc>
        <w:tc>
          <w:tcPr>
            <w:tcW w:w="2394" w:type="dxa"/>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$6,175,612</w:t>
            </w:r>
          </w:p>
        </w:tc>
        <w:tc>
          <w:tcPr>
            <w:tcW w:w="2394" w:type="dxa"/>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Year 2 (2017-2018)</w:t>
            </w:r>
          </w:p>
        </w:tc>
      </w:tr>
      <w:tr w:rsidR="006C2DBA" w:rsidRPr="00C1694A" w:rsidTr="00202212">
        <w:tc>
          <w:tcPr>
            <w:tcW w:w="2394" w:type="dxa"/>
            <w:vAlign w:val="bottom"/>
          </w:tcPr>
          <w:p w:rsidR="006C2DBA" w:rsidRPr="00C1694A" w:rsidRDefault="006C2DBA" w:rsidP="00202212">
            <w:pPr>
              <w:jc w:val="right"/>
              <w:rPr>
                <w:rFonts w:ascii="Times New Roman" w:hAnsi="Times New Roman" w:cs="Times New Roman"/>
                <w:b/>
                <w:sz w:val="20"/>
                <w:szCs w:val="20"/>
              </w:rPr>
            </w:pPr>
            <w:r w:rsidRPr="00C1694A">
              <w:rPr>
                <w:rFonts w:ascii="Times New Roman" w:hAnsi="Times New Roman" w:cs="Times New Roman"/>
                <w:b/>
                <w:sz w:val="20"/>
                <w:szCs w:val="20"/>
              </w:rPr>
              <w:t>50% HS Requirement</w:t>
            </w:r>
          </w:p>
        </w:tc>
        <w:tc>
          <w:tcPr>
            <w:tcW w:w="2394"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$508,440,805</w:t>
            </w:r>
          </w:p>
        </w:tc>
        <w:tc>
          <w:tcPr>
            <w:tcW w:w="2394"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$101,668,161</w:t>
            </w:r>
          </w:p>
        </w:tc>
        <w:tc>
          <w:tcPr>
            <w:tcW w:w="2394"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Year 3 (2018-2019)</w:t>
            </w:r>
          </w:p>
        </w:tc>
      </w:tr>
      <w:tr w:rsidR="006C2DBA" w:rsidRPr="00C1694A" w:rsidTr="00202212">
        <w:tc>
          <w:tcPr>
            <w:tcW w:w="2394" w:type="dxa"/>
            <w:vAlign w:val="bottom"/>
          </w:tcPr>
          <w:p w:rsidR="006C2DBA" w:rsidRPr="00C1694A" w:rsidRDefault="006C2DBA" w:rsidP="00202212">
            <w:pPr>
              <w:jc w:val="right"/>
              <w:rPr>
                <w:rFonts w:ascii="Times New Roman" w:hAnsi="Times New Roman" w:cs="Times New Roman"/>
                <w:b/>
                <w:sz w:val="20"/>
                <w:szCs w:val="20"/>
              </w:rPr>
            </w:pPr>
            <w:r w:rsidRPr="00C1694A">
              <w:rPr>
                <w:rFonts w:ascii="Times New Roman" w:hAnsi="Times New Roman" w:cs="Times New Roman"/>
                <w:b/>
                <w:sz w:val="20"/>
                <w:szCs w:val="20"/>
              </w:rPr>
              <w:t>100% HS Requirement</w:t>
            </w:r>
          </w:p>
        </w:tc>
        <w:tc>
          <w:tcPr>
            <w:tcW w:w="2394"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$620,549,679</w:t>
            </w:r>
          </w:p>
        </w:tc>
        <w:tc>
          <w:tcPr>
            <w:tcW w:w="2394"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$124,109,936</w:t>
            </w:r>
          </w:p>
        </w:tc>
        <w:tc>
          <w:tcPr>
            <w:tcW w:w="2394"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Year 5 (2020-2021)</w:t>
            </w:r>
          </w:p>
        </w:tc>
      </w:tr>
      <w:tr w:rsidR="006C2DBA" w:rsidRPr="00C1694A" w:rsidTr="00202212">
        <w:tc>
          <w:tcPr>
            <w:tcW w:w="4788" w:type="dxa"/>
            <w:gridSpan w:val="2"/>
            <w:vAlign w:val="bottom"/>
          </w:tcPr>
          <w:p w:rsidR="006C2DBA" w:rsidRPr="00C1694A" w:rsidRDefault="006C2DBA" w:rsidP="00202212">
            <w:pPr>
              <w:jc w:val="right"/>
              <w:rPr>
                <w:rFonts w:ascii="Times New Roman" w:hAnsi="Times New Roman" w:cs="Times New Roman"/>
                <w:b/>
                <w:sz w:val="20"/>
                <w:szCs w:val="20"/>
              </w:rPr>
            </w:pPr>
            <w:r w:rsidRPr="00C1694A">
              <w:rPr>
                <w:rFonts w:ascii="Times New Roman" w:hAnsi="Times New Roman" w:cs="Times New Roman"/>
                <w:b/>
                <w:sz w:val="20"/>
                <w:szCs w:val="20"/>
              </w:rPr>
              <w:t>Total</w:t>
            </w:r>
          </w:p>
        </w:tc>
        <w:tc>
          <w:tcPr>
            <w:tcW w:w="2394"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w:t>
            </w:r>
            <w:r w:rsidRPr="00C1694A">
              <w:rPr>
                <w:rFonts w:ascii="Times New Roman" w:hAnsi="Times New Roman" w:cs="Times New Roman"/>
                <w:b/>
                <w:sz w:val="20"/>
                <w:szCs w:val="20"/>
              </w:rPr>
              <w:t>231,973,709</w:t>
            </w:r>
          </w:p>
        </w:tc>
        <w:tc>
          <w:tcPr>
            <w:tcW w:w="2394" w:type="dxa"/>
            <w:vAlign w:val="bottom"/>
          </w:tcPr>
          <w:p w:rsidR="006C2DBA" w:rsidRPr="00C1694A" w:rsidRDefault="006C2DBA" w:rsidP="00202212">
            <w:pPr>
              <w:jc w:val="right"/>
              <w:rPr>
                <w:rFonts w:ascii="Times New Roman" w:hAnsi="Times New Roman" w:cs="Times New Roman"/>
                <w:sz w:val="20"/>
                <w:szCs w:val="20"/>
              </w:rPr>
            </w:pPr>
          </w:p>
        </w:tc>
      </w:tr>
    </w:tbl>
    <w:p w:rsidR="006C2DBA" w:rsidRPr="00DB0091" w:rsidRDefault="006C2DBA" w:rsidP="007259C9">
      <w:pPr>
        <w:rPr>
          <w:rFonts w:ascii="Times New Roman" w:hAnsi="Times New Roman" w:cs="Times New Roman"/>
          <w:sz w:val="16"/>
          <w:szCs w:val="16"/>
        </w:rPr>
      </w:pPr>
      <w:r w:rsidRPr="00403300">
        <w:rPr>
          <w:rFonts w:ascii="Times New Roman" w:hAnsi="Times New Roman" w:cs="Times New Roman"/>
          <w:sz w:val="16"/>
          <w:szCs w:val="16"/>
        </w:rPr>
        <w:t xml:space="preserve">* </w:t>
      </w:r>
      <w:r w:rsidRPr="001A5CB8">
        <w:rPr>
          <w:rFonts w:ascii="Times New Roman" w:hAnsi="Times New Roman" w:cs="Times New Roman"/>
          <w:sz w:val="16"/>
          <w:szCs w:val="16"/>
        </w:rPr>
        <w:t xml:space="preserve">Year ranges refer Head Start program years, which </w:t>
      </w:r>
      <w:r>
        <w:rPr>
          <w:rFonts w:ascii="Times New Roman" w:hAnsi="Times New Roman" w:cs="Times New Roman"/>
          <w:sz w:val="16"/>
          <w:szCs w:val="16"/>
        </w:rPr>
        <w:t>for</w:t>
      </w:r>
      <w:r w:rsidRPr="001A5CB8">
        <w:rPr>
          <w:rFonts w:ascii="Times New Roman" w:hAnsi="Times New Roman" w:cs="Times New Roman"/>
          <w:sz w:val="16"/>
          <w:szCs w:val="16"/>
        </w:rPr>
        <w:t xml:space="preserve"> these estimates, begin on August 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 xml:space="preserve"> of each year and end on or before July 31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w:t>
      </w:r>
    </w:p>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 xml:space="preserve">Extension of Early Head Start Home-Based Program Duration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The final rule requires that Early Head Start home-based programs operate for a minimum of 46 weeks per year in §1302.22(c)(1).  In order to estimate the cost of this provision, we assumed the entire FY 2015 Early Head Start cost per child for home-based services from the GABI ($9,782).  We then calculated the cost per week by dividing the cost per child by the average number of weeks all Early Head Start home-based programs operate (46.28), which we estimate is $211.37.  We then multiplied the cost per child per week by the number of weeks programs not providing 46 weeks would need to add to meet the requirement (2.78) to calculate the cost per slot to meet the requirement ($587.60).  Finally, we multiplied this cost by the funded enrollment of programs currently not meeting the requirement (15,484). We estimate the total cost of this provision to be $9,098,342.  However, we also assume that 10 percent of these programs will receive a waiver to continue providing their current level of service; therefore, we estimate the total cost borne by Head Start of this provision to be $8,188,508.  These costs will be realized in year two and annually thereafter.</w:t>
      </w:r>
    </w:p>
    <w:tbl>
      <w:tblPr>
        <w:tblStyle w:val="TableGrid"/>
        <w:tblW w:w="0" w:type="auto"/>
        <w:tblLook w:val="04A0" w:firstRow="1" w:lastRow="0" w:firstColumn="1" w:lastColumn="0" w:noHBand="0" w:noVBand="1"/>
      </w:tblPr>
      <w:tblGrid>
        <w:gridCol w:w="1886"/>
        <w:gridCol w:w="1890"/>
        <w:gridCol w:w="2019"/>
        <w:gridCol w:w="1775"/>
        <w:gridCol w:w="1896"/>
      </w:tblGrid>
      <w:tr w:rsidR="006C2DBA" w:rsidRPr="00C1694A" w:rsidTr="00D722F2">
        <w:tc>
          <w:tcPr>
            <w:tcW w:w="9466" w:type="dxa"/>
            <w:gridSpan w:val="5"/>
            <w:vAlign w:val="bottom"/>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Extension of Early Head Start Home-based Duration: Costs Borne by Head Start</w:t>
            </w:r>
          </w:p>
        </w:tc>
      </w:tr>
      <w:tr w:rsidR="006C2DBA" w:rsidRPr="00C1694A" w:rsidTr="00D722F2">
        <w:tc>
          <w:tcPr>
            <w:tcW w:w="1886" w:type="dxa"/>
            <w:vAlign w:val="bottom"/>
          </w:tcPr>
          <w:p w:rsidR="006C2DBA" w:rsidRPr="00C1694A" w:rsidRDefault="006C2DBA" w:rsidP="00DC5146">
            <w:pPr>
              <w:jc w:val="center"/>
              <w:rPr>
                <w:rFonts w:ascii="Times New Roman" w:hAnsi="Times New Roman" w:cs="Times New Roman"/>
                <w:b/>
                <w:sz w:val="20"/>
                <w:szCs w:val="20"/>
              </w:rPr>
            </w:pPr>
          </w:p>
        </w:tc>
        <w:tc>
          <w:tcPr>
            <w:tcW w:w="189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 of meeting 46 weeks per slot</w:t>
            </w:r>
          </w:p>
        </w:tc>
        <w:tc>
          <w:tcPr>
            <w:tcW w:w="2019"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Funded enrollment not meeting requirement</w:t>
            </w:r>
          </w:p>
        </w:tc>
        <w:tc>
          <w:tcPr>
            <w:tcW w:w="1775"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Total Cost</w:t>
            </w:r>
          </w:p>
        </w:tc>
        <w:tc>
          <w:tcPr>
            <w:tcW w:w="1896"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 reduced by 10% waiver</w:t>
            </w:r>
          </w:p>
        </w:tc>
      </w:tr>
      <w:tr w:rsidR="006C2DBA" w:rsidRPr="00C1694A" w:rsidTr="00D722F2">
        <w:trPr>
          <w:trHeight w:val="368"/>
        </w:trPr>
        <w:tc>
          <w:tcPr>
            <w:tcW w:w="1886" w:type="dxa"/>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46 weeks for EHS home-based</w:t>
            </w:r>
          </w:p>
        </w:tc>
        <w:tc>
          <w:tcPr>
            <w:tcW w:w="1890" w:type="dxa"/>
          </w:tcPr>
          <w:p w:rsidR="006C2DBA" w:rsidRPr="00C1694A" w:rsidRDefault="006C2DBA" w:rsidP="00DC5146">
            <w:pPr>
              <w:jc w:val="right"/>
              <w:rPr>
                <w:rFonts w:ascii="Times New Roman" w:hAnsi="Times New Roman" w:cs="Times New Roman"/>
                <w:sz w:val="20"/>
                <w:szCs w:val="20"/>
              </w:rPr>
            </w:pPr>
          </w:p>
          <w:p w:rsidR="006C2DBA" w:rsidRPr="00C1694A" w:rsidRDefault="006C2DBA" w:rsidP="0010550E">
            <w:pPr>
              <w:jc w:val="right"/>
              <w:rPr>
                <w:rFonts w:ascii="Times New Roman" w:hAnsi="Times New Roman" w:cs="Times New Roman"/>
                <w:sz w:val="20"/>
                <w:szCs w:val="20"/>
                <w:u w:val="single"/>
              </w:rPr>
            </w:pPr>
            <w:r w:rsidRPr="00C1694A">
              <w:rPr>
                <w:rFonts w:ascii="Times New Roman" w:hAnsi="Times New Roman" w:cs="Times New Roman"/>
                <w:sz w:val="20"/>
                <w:szCs w:val="20"/>
              </w:rPr>
              <w:t>$587.60</w:t>
            </w:r>
          </w:p>
        </w:tc>
        <w:tc>
          <w:tcPr>
            <w:tcW w:w="2019" w:type="dxa"/>
          </w:tcPr>
          <w:p w:rsidR="006C2DBA" w:rsidRPr="00C1694A" w:rsidRDefault="006C2DBA" w:rsidP="00DC5146">
            <w:pPr>
              <w:jc w:val="right"/>
              <w:rPr>
                <w:rFonts w:ascii="Times New Roman" w:hAnsi="Times New Roman" w:cs="Times New Roman"/>
                <w:sz w:val="20"/>
                <w:szCs w:val="20"/>
              </w:rPr>
            </w:pPr>
          </w:p>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15,484</w:t>
            </w:r>
          </w:p>
        </w:tc>
        <w:tc>
          <w:tcPr>
            <w:tcW w:w="1775" w:type="dxa"/>
          </w:tcPr>
          <w:p w:rsidR="006C2DBA" w:rsidRPr="00C1694A" w:rsidRDefault="006C2DBA" w:rsidP="00DC5146">
            <w:pPr>
              <w:jc w:val="right"/>
              <w:rPr>
                <w:rFonts w:ascii="Times New Roman" w:hAnsi="Times New Roman" w:cs="Times New Roman"/>
                <w:sz w:val="20"/>
                <w:szCs w:val="20"/>
              </w:rPr>
            </w:pPr>
          </w:p>
          <w:p w:rsidR="006C2DBA" w:rsidRPr="00C1694A" w:rsidRDefault="006C2DBA" w:rsidP="0010550E">
            <w:pPr>
              <w:jc w:val="right"/>
              <w:rPr>
                <w:rFonts w:ascii="Times New Roman" w:hAnsi="Times New Roman" w:cs="Times New Roman"/>
                <w:sz w:val="20"/>
                <w:szCs w:val="20"/>
              </w:rPr>
            </w:pPr>
            <w:r w:rsidRPr="00C1694A">
              <w:rPr>
                <w:rFonts w:ascii="Times New Roman" w:hAnsi="Times New Roman" w:cs="Times New Roman"/>
                <w:sz w:val="20"/>
                <w:szCs w:val="20"/>
              </w:rPr>
              <w:t>$9,098,342</w:t>
            </w:r>
          </w:p>
        </w:tc>
        <w:tc>
          <w:tcPr>
            <w:tcW w:w="1896" w:type="dxa"/>
          </w:tcPr>
          <w:p w:rsidR="006C2DBA" w:rsidRPr="00C1694A" w:rsidRDefault="006C2DBA" w:rsidP="00DC5146">
            <w:pPr>
              <w:jc w:val="right"/>
              <w:rPr>
                <w:rFonts w:ascii="Times New Roman" w:hAnsi="Times New Roman" w:cs="Times New Roman"/>
                <w:sz w:val="20"/>
                <w:szCs w:val="20"/>
              </w:rPr>
            </w:pPr>
          </w:p>
          <w:p w:rsidR="006C2DBA" w:rsidRPr="00C1694A" w:rsidRDefault="006C2DBA" w:rsidP="0010550E">
            <w:pPr>
              <w:jc w:val="right"/>
              <w:rPr>
                <w:rFonts w:ascii="Times New Roman" w:hAnsi="Times New Roman" w:cs="Times New Roman"/>
                <w:sz w:val="20"/>
                <w:szCs w:val="20"/>
              </w:rPr>
            </w:pPr>
            <w:r w:rsidRPr="00C1694A">
              <w:rPr>
                <w:rFonts w:ascii="Times New Roman" w:hAnsi="Times New Roman" w:cs="Times New Roman"/>
                <w:sz w:val="20"/>
                <w:szCs w:val="20"/>
              </w:rPr>
              <w:t>$8,188,508</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Head Start Home-Based Standard Option</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We received comments expressing concern about our proposal in the NPRM to remove home-based services as a standard program option for Head Start.  These comments are described in detail in the comment and response portion of this rule. In response to these comments, we have retained home-based services as a standard option for preschoolers in the final rule and no longer estimate costs associated with the removal of the home-based option for Head Start. </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Waiver Authority for Ratios in Early Head Start Two-year-old Groups</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rule allows, for the first time, programs to request a waiver of ratios for groups with two-year-old children. We believe that programs in states that allow higher ratios for two-year-olds groups or mixed age groups may request waivers to allow them to serve more children and support continuity as children approach pre-school.  We anticipate awarding waivers to programs who propose to serve two-year-old children at a ratio of 1:5 rather than 1:4, provided they have sufficient space to meet square footage requirements and can demonstrate it meets the needs of the community, the learning needs of children, and can ensure the change in ratio poses no health and safety risk. We estimate the savings associated with receipt of this waiver here.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First, we estimated the savings associated with all two-year old groups operating with a 1:5 ratio.  We used the total number of two-year-olds currently being served (61,752 from PIR data) to find the number of teachers that would no longer be needed by dividing the number of two-year-olds by the current ratio of 1:4 (which yields 15,438 teachers); and then by the 1:5 ratio that would now be allowed (which yields 12,350 teachers); and taking the difference (3,088).  We then multiply this number of teachers that would no longer be needed (3,088) by the average Early Head Start teacher salary of $26,491, doubled to account for fringe and overhead ($52,982) to get a total potential savings of $163,608,416.  However, while we assume that 20 percent of programs will apply to waive the ratio requirements for two-year olds given our experience with the Early Head Start- Child Care Partnership grantees, we assume that only approximately 15 percent of programs currently serving two-year-olds have adequate space to accommodate the larger group size associated with a 1:5 ratio.  As such, we estimate only 15 percent of programs will receive the waiver.  Therefore, we estimate that the actual total savings for this provision would be $24,541,262.  These costs will be realized in year one and annually thereafter.  While we recognize it is possible that programs will opt to purchase, lease, or renovate new space to become eligible for this waiver, we believe the costs of such purchase, lease, or renovation would offset the savings estimated here and we lack data to support a reasonable assumption about the proportion of programs who would do so, therefore we have not estimated these costs and cost savings here.</w:t>
      </w:r>
    </w:p>
    <w:tbl>
      <w:tblPr>
        <w:tblStyle w:val="TableGrid"/>
        <w:tblW w:w="5000" w:type="pct"/>
        <w:tblLayout w:type="fixed"/>
        <w:tblLook w:val="04A0" w:firstRow="1" w:lastRow="0" w:firstColumn="1" w:lastColumn="0" w:noHBand="0" w:noVBand="1"/>
      </w:tblPr>
      <w:tblGrid>
        <w:gridCol w:w="1278"/>
        <w:gridCol w:w="1260"/>
        <w:gridCol w:w="1350"/>
        <w:gridCol w:w="1440"/>
        <w:gridCol w:w="1080"/>
        <w:gridCol w:w="1442"/>
        <w:gridCol w:w="1726"/>
      </w:tblGrid>
      <w:tr w:rsidR="006C2DBA" w:rsidRPr="00C1694A" w:rsidTr="00043D4E">
        <w:tc>
          <w:tcPr>
            <w:tcW w:w="5000" w:type="pct"/>
            <w:gridSpan w:val="7"/>
          </w:tcPr>
          <w:p w:rsidR="006C2DBA" w:rsidRPr="00C1694A" w:rsidRDefault="006C2DBA" w:rsidP="00DC5146">
            <w:pPr>
              <w:rPr>
                <w:rFonts w:ascii="Times New Roman" w:hAnsi="Times New Roman" w:cs="Times New Roman"/>
                <w:b/>
              </w:rPr>
            </w:pPr>
            <w:r w:rsidRPr="00C1694A">
              <w:rPr>
                <w:rFonts w:ascii="Times New Roman" w:hAnsi="Times New Roman" w:cs="Times New Roman"/>
                <w:b/>
              </w:rPr>
              <w:t>Waiver for Two-Year-Old Ratio: Cost Savings Borne by Head Start</w:t>
            </w:r>
          </w:p>
        </w:tc>
      </w:tr>
      <w:tr w:rsidR="006C2DBA" w:rsidRPr="00C1694A" w:rsidTr="00043D4E">
        <w:tc>
          <w:tcPr>
            <w:tcW w:w="667" w:type="pct"/>
            <w:vAlign w:val="bottom"/>
          </w:tcPr>
          <w:p w:rsidR="006C2DBA" w:rsidRPr="00C1694A" w:rsidRDefault="006C2DBA" w:rsidP="00DC5146">
            <w:pPr>
              <w:jc w:val="center"/>
              <w:rPr>
                <w:rFonts w:ascii="Times New Roman" w:hAnsi="Times New Roman" w:cs="Times New Roman"/>
                <w:b/>
              </w:rPr>
            </w:pPr>
            <w:r w:rsidRPr="00C1694A">
              <w:rPr>
                <w:rFonts w:ascii="Times New Roman" w:hAnsi="Times New Roman" w:cs="Times New Roman"/>
                <w:b/>
              </w:rPr>
              <w:t>Total Number of 2 year olds</w:t>
            </w:r>
          </w:p>
        </w:tc>
        <w:tc>
          <w:tcPr>
            <w:tcW w:w="658" w:type="pct"/>
            <w:vAlign w:val="bottom"/>
          </w:tcPr>
          <w:p w:rsidR="006C2DBA" w:rsidRPr="00C1694A" w:rsidRDefault="006C2DBA" w:rsidP="00DC5146">
            <w:pPr>
              <w:jc w:val="center"/>
              <w:rPr>
                <w:rFonts w:ascii="Times New Roman" w:hAnsi="Times New Roman" w:cs="Times New Roman"/>
                <w:b/>
              </w:rPr>
            </w:pPr>
            <w:r w:rsidRPr="00C1694A">
              <w:rPr>
                <w:rFonts w:ascii="Times New Roman" w:hAnsi="Times New Roman" w:cs="Times New Roman"/>
                <w:b/>
              </w:rPr>
              <w:t>Current Number of Teachers (1:4)</w:t>
            </w:r>
          </w:p>
        </w:tc>
        <w:tc>
          <w:tcPr>
            <w:tcW w:w="705" w:type="pct"/>
            <w:vAlign w:val="bottom"/>
          </w:tcPr>
          <w:p w:rsidR="006C2DBA" w:rsidRPr="00C1694A" w:rsidRDefault="006C2DBA" w:rsidP="00DC5146">
            <w:pPr>
              <w:jc w:val="center"/>
              <w:rPr>
                <w:rFonts w:ascii="Times New Roman" w:hAnsi="Times New Roman" w:cs="Times New Roman"/>
                <w:b/>
              </w:rPr>
            </w:pPr>
            <w:r w:rsidRPr="00C1694A">
              <w:rPr>
                <w:rFonts w:ascii="Times New Roman" w:hAnsi="Times New Roman" w:cs="Times New Roman"/>
                <w:b/>
              </w:rPr>
              <w:t>New Number of Teachers (1:5)</w:t>
            </w:r>
          </w:p>
        </w:tc>
        <w:tc>
          <w:tcPr>
            <w:tcW w:w="752" w:type="pct"/>
            <w:vAlign w:val="bottom"/>
          </w:tcPr>
          <w:p w:rsidR="006C2DBA" w:rsidRPr="00C1694A" w:rsidRDefault="006C2DBA" w:rsidP="00DC5146">
            <w:pPr>
              <w:jc w:val="center"/>
              <w:rPr>
                <w:rFonts w:ascii="Times New Roman" w:hAnsi="Times New Roman" w:cs="Times New Roman"/>
                <w:b/>
              </w:rPr>
            </w:pPr>
            <w:r w:rsidRPr="00C1694A">
              <w:rPr>
                <w:rFonts w:ascii="Times New Roman" w:hAnsi="Times New Roman" w:cs="Times New Roman"/>
                <w:b/>
              </w:rPr>
              <w:t>Number of Teachers no longer needed</w:t>
            </w:r>
          </w:p>
        </w:tc>
        <w:tc>
          <w:tcPr>
            <w:tcW w:w="564" w:type="pct"/>
            <w:vAlign w:val="bottom"/>
          </w:tcPr>
          <w:p w:rsidR="006C2DBA" w:rsidRPr="00C1694A" w:rsidRDefault="006C2DBA" w:rsidP="00DC5146">
            <w:pPr>
              <w:jc w:val="center"/>
              <w:rPr>
                <w:rFonts w:ascii="Times New Roman" w:hAnsi="Times New Roman" w:cs="Times New Roman"/>
                <w:b/>
              </w:rPr>
            </w:pPr>
            <w:r w:rsidRPr="00C1694A">
              <w:rPr>
                <w:rFonts w:ascii="Times New Roman" w:hAnsi="Times New Roman" w:cs="Times New Roman"/>
                <w:b/>
              </w:rPr>
              <w:t>Average EHS Teacher Salary</w:t>
            </w:r>
          </w:p>
        </w:tc>
        <w:tc>
          <w:tcPr>
            <w:tcW w:w="753" w:type="pct"/>
          </w:tcPr>
          <w:p w:rsidR="006C2DBA" w:rsidRPr="00C1694A" w:rsidRDefault="006C2DBA" w:rsidP="008F175C">
            <w:pPr>
              <w:jc w:val="center"/>
              <w:rPr>
                <w:rFonts w:ascii="Times New Roman" w:hAnsi="Times New Roman" w:cs="Times New Roman"/>
                <w:b/>
              </w:rPr>
            </w:pPr>
            <w:r w:rsidRPr="00C1694A">
              <w:rPr>
                <w:rFonts w:ascii="Times New Roman" w:hAnsi="Times New Roman" w:cs="Times New Roman"/>
                <w:b/>
              </w:rPr>
              <w:t>Salary Inflated for Fringe and Overhead</w:t>
            </w:r>
          </w:p>
        </w:tc>
        <w:tc>
          <w:tcPr>
            <w:tcW w:w="901" w:type="pct"/>
            <w:vAlign w:val="bottom"/>
          </w:tcPr>
          <w:p w:rsidR="006C2DBA" w:rsidRPr="00C1694A" w:rsidRDefault="006C2DBA" w:rsidP="00DC5146">
            <w:pPr>
              <w:jc w:val="center"/>
              <w:rPr>
                <w:rFonts w:ascii="Times New Roman" w:hAnsi="Times New Roman" w:cs="Times New Roman"/>
                <w:b/>
              </w:rPr>
            </w:pPr>
            <w:r w:rsidRPr="00C1694A">
              <w:rPr>
                <w:rFonts w:ascii="Times New Roman" w:hAnsi="Times New Roman" w:cs="Times New Roman"/>
                <w:b/>
              </w:rPr>
              <w:t>Total Savings</w:t>
            </w:r>
          </w:p>
        </w:tc>
      </w:tr>
      <w:tr w:rsidR="006C2DBA" w:rsidRPr="00C1694A" w:rsidTr="00043D4E">
        <w:tc>
          <w:tcPr>
            <w:tcW w:w="667" w:type="pct"/>
          </w:tcPr>
          <w:p w:rsidR="006C2DBA" w:rsidRPr="00C1694A" w:rsidRDefault="006C2DBA" w:rsidP="00DC5146">
            <w:pPr>
              <w:jc w:val="right"/>
              <w:rPr>
                <w:rFonts w:ascii="Times New Roman" w:hAnsi="Times New Roman" w:cs="Times New Roman"/>
              </w:rPr>
            </w:pPr>
            <w:r w:rsidRPr="00C1694A">
              <w:rPr>
                <w:rFonts w:ascii="Times New Roman" w:hAnsi="Times New Roman" w:cs="Times New Roman"/>
              </w:rPr>
              <w:t>61,752</w:t>
            </w:r>
          </w:p>
        </w:tc>
        <w:tc>
          <w:tcPr>
            <w:tcW w:w="658" w:type="pct"/>
          </w:tcPr>
          <w:p w:rsidR="006C2DBA" w:rsidRPr="00C1694A" w:rsidRDefault="006C2DBA" w:rsidP="00DC5146">
            <w:pPr>
              <w:jc w:val="right"/>
              <w:rPr>
                <w:rFonts w:ascii="Times New Roman" w:hAnsi="Times New Roman" w:cs="Times New Roman"/>
              </w:rPr>
            </w:pPr>
            <w:r w:rsidRPr="00C1694A">
              <w:rPr>
                <w:rFonts w:ascii="Times New Roman" w:hAnsi="Times New Roman" w:cs="Times New Roman"/>
              </w:rPr>
              <w:t>15,438</w:t>
            </w:r>
          </w:p>
        </w:tc>
        <w:tc>
          <w:tcPr>
            <w:tcW w:w="705" w:type="pct"/>
          </w:tcPr>
          <w:p w:rsidR="006C2DBA" w:rsidRPr="00C1694A" w:rsidRDefault="006C2DBA" w:rsidP="00DC5146">
            <w:pPr>
              <w:jc w:val="right"/>
              <w:rPr>
                <w:rFonts w:ascii="Times New Roman" w:hAnsi="Times New Roman" w:cs="Times New Roman"/>
              </w:rPr>
            </w:pPr>
            <w:r w:rsidRPr="00C1694A">
              <w:rPr>
                <w:rFonts w:ascii="Times New Roman" w:hAnsi="Times New Roman" w:cs="Times New Roman"/>
              </w:rPr>
              <w:t>12,350</w:t>
            </w:r>
          </w:p>
        </w:tc>
        <w:tc>
          <w:tcPr>
            <w:tcW w:w="752" w:type="pct"/>
          </w:tcPr>
          <w:p w:rsidR="006C2DBA" w:rsidRPr="00C1694A" w:rsidRDefault="006C2DBA" w:rsidP="00DC5146">
            <w:pPr>
              <w:jc w:val="right"/>
              <w:rPr>
                <w:rFonts w:ascii="Times New Roman" w:hAnsi="Times New Roman" w:cs="Times New Roman"/>
              </w:rPr>
            </w:pPr>
            <w:r w:rsidRPr="00C1694A">
              <w:rPr>
                <w:rFonts w:ascii="Times New Roman" w:hAnsi="Times New Roman" w:cs="Times New Roman"/>
              </w:rPr>
              <w:t>3,088</w:t>
            </w:r>
          </w:p>
        </w:tc>
        <w:tc>
          <w:tcPr>
            <w:tcW w:w="564" w:type="pct"/>
          </w:tcPr>
          <w:p w:rsidR="006C2DBA" w:rsidRPr="00C1694A" w:rsidRDefault="006C2DBA" w:rsidP="00DC5146">
            <w:pPr>
              <w:jc w:val="right"/>
              <w:rPr>
                <w:rFonts w:ascii="Times New Roman" w:hAnsi="Times New Roman" w:cs="Times New Roman"/>
              </w:rPr>
            </w:pPr>
            <w:r w:rsidRPr="00C1694A">
              <w:rPr>
                <w:rFonts w:ascii="Times New Roman" w:hAnsi="Times New Roman" w:cs="Times New Roman"/>
              </w:rPr>
              <w:t>$26,491</w:t>
            </w:r>
          </w:p>
        </w:tc>
        <w:tc>
          <w:tcPr>
            <w:tcW w:w="753" w:type="pct"/>
          </w:tcPr>
          <w:p w:rsidR="006C2DBA" w:rsidRPr="00C1694A" w:rsidRDefault="006C2DBA" w:rsidP="00DC5146">
            <w:pPr>
              <w:jc w:val="right"/>
              <w:rPr>
                <w:rFonts w:ascii="Times New Roman" w:hAnsi="Times New Roman" w:cs="Times New Roman"/>
                <w:b/>
              </w:rPr>
            </w:pPr>
            <w:r w:rsidRPr="00C1694A">
              <w:rPr>
                <w:rFonts w:ascii="Times New Roman" w:hAnsi="Times New Roman" w:cs="Times New Roman"/>
                <w:b/>
              </w:rPr>
              <w:t>$52,982</w:t>
            </w:r>
          </w:p>
        </w:tc>
        <w:tc>
          <w:tcPr>
            <w:tcW w:w="901" w:type="pct"/>
          </w:tcPr>
          <w:p w:rsidR="006C2DBA" w:rsidRPr="00C1694A" w:rsidRDefault="006C2DBA" w:rsidP="008F175C">
            <w:pPr>
              <w:jc w:val="right"/>
              <w:rPr>
                <w:rFonts w:ascii="Times New Roman" w:hAnsi="Times New Roman" w:cs="Times New Roman"/>
                <w:b/>
              </w:rPr>
            </w:pPr>
            <w:r w:rsidRPr="00C1694A">
              <w:rPr>
                <w:rFonts w:ascii="Times New Roman" w:hAnsi="Times New Roman" w:cs="Times New Roman"/>
                <w:b/>
              </w:rPr>
              <w:t>$163,608,416</w:t>
            </w:r>
          </w:p>
        </w:tc>
      </w:tr>
      <w:tr w:rsidR="006C2DBA" w:rsidRPr="00C1694A" w:rsidTr="00043D4E">
        <w:tc>
          <w:tcPr>
            <w:tcW w:w="4099" w:type="pct"/>
            <w:gridSpan w:val="6"/>
          </w:tcPr>
          <w:p w:rsidR="006C2DBA" w:rsidRPr="00C1694A" w:rsidRDefault="006C2DBA" w:rsidP="00D722F2">
            <w:pPr>
              <w:jc w:val="right"/>
              <w:rPr>
                <w:rFonts w:ascii="Times New Roman" w:hAnsi="Times New Roman" w:cs="Times New Roman"/>
                <w:b/>
              </w:rPr>
            </w:pPr>
            <w:r w:rsidRPr="00C1694A">
              <w:rPr>
                <w:rFonts w:ascii="Times New Roman" w:hAnsi="Times New Roman" w:cs="Times New Roman"/>
                <w:b/>
              </w:rPr>
              <w:t xml:space="preserve">Total </w:t>
            </w:r>
            <w:r w:rsidRPr="00C1694A">
              <w:rPr>
                <w:rFonts w:ascii="Times New Roman" w:hAnsi="Times New Roman" w:cs="Times New Roman"/>
              </w:rPr>
              <w:t>(Reduced by 85% for programs without adequate space)</w:t>
            </w:r>
          </w:p>
        </w:tc>
        <w:tc>
          <w:tcPr>
            <w:tcW w:w="901" w:type="pct"/>
            <w:vAlign w:val="bottom"/>
          </w:tcPr>
          <w:p w:rsidR="006C2DBA" w:rsidRPr="00C1694A" w:rsidRDefault="006C2DBA" w:rsidP="008F175C">
            <w:pPr>
              <w:jc w:val="right"/>
              <w:rPr>
                <w:rFonts w:ascii="Times New Roman" w:hAnsi="Times New Roman" w:cs="Times New Roman"/>
                <w:b/>
              </w:rPr>
            </w:pPr>
            <w:r w:rsidRPr="00C1694A">
              <w:rPr>
                <w:rFonts w:ascii="Times New Roman" w:hAnsi="Times New Roman" w:cs="Times New Roman"/>
                <w:b/>
              </w:rPr>
              <w:t xml:space="preserve"> $24,541,262</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Waiver Application Process for Locally-Designed Program Options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As discussed above, this rule includes a provision in §1302.24 that would require any program wishing to operate a locally-designed program option to submit a waiver application explaining why the local design better meets community needs.  As discussed in further detail in the discussion of the rule for §1302.24, this waiver option will strengthen program accountability while maintaining local flexibility.  The rule also includes a provision, as described above, to allow programs to request a waiver of teacher to child ratios for groups serving two-year-old children.  The application process itself has a cost to grantees which is the focus of this cost estimate.</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order to estimate the cost associated with preparing and submitting waiver applications as allowed in other sections, we used GABI data to determine the total number of grantees that do not meet the new service duration minimums.  Among the 1,412 Head Start grantees (which is 1,271 inflated by 11% for missing GABI data), 966 (which is 870 inflated by 11 percent for missing GABI data) do not meet the requirement to provide 1,020 annual hours to 50 percent of slots and 1,036 (which is 933 inflated by 11 percent for missing GABI data) do not meet the requirement to provide 1,020 annual hours to 100 percent of slots.  Among all Early Head Start grantees, 822 programs provide center-based or family childcare services (which is 727 inflated by 13 percent for missing GABI data) and 739 programs provide home-based services (which is 656 inflated by 13 percent for missing GABI data), 275 (which is 243 inflated by 13 percent for missing GABI data) do not meet the 1,380 hours for center-based and family child care programs, and 263 (which is inflated by 13 percent for missing GABI data) do not meet the minimums for home-based programs.  Finally, PIR data indicates there are 995 all Early Head Start and Migrant or Seasonal Head Start programs that currently serve two-year-olds.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We anticipate more waiver requests will be submitted than will be granted and estimate that half of the waiver requests received will be approved, which is reflected in the above calculations on increasing program duration and group ratios.  Given the flexibility built into the duration requirements in the final rule, we assume that only 10 percent of Head Start grantees not meeting the 50 percent requirement will apply for a waiver (97), 20 percent of Head Start not meeting the 100 percent requirement will apply for a waiver (207), 10 percent of Early Head Start center-based grantees not meeting the new minimums will apply for a waiver (28), and 20 percent of Early Head Start home-based grantees not meeting the new minimums will apply for a waiver (53).  Finally, we assume that 20 percent of programs serving two-year-olds will apply for a waiver (199), even though only 15 percent of programs will receive it.  Based on these assumptions</w:t>
      </w:r>
      <w:r w:rsidRPr="00C1694A" w:rsidDel="002F2501">
        <w:rPr>
          <w:rFonts w:ascii="Times New Roman" w:hAnsi="Times New Roman" w:cs="Times New Roman"/>
          <w:sz w:val="24"/>
          <w:szCs w:val="24"/>
        </w:rPr>
        <w:t xml:space="preserve"> </w:t>
      </w:r>
      <w:r w:rsidRPr="00C1694A">
        <w:rPr>
          <w:rFonts w:ascii="Times New Roman" w:hAnsi="Times New Roman" w:cs="Times New Roman"/>
          <w:sz w:val="24"/>
          <w:szCs w:val="24"/>
        </w:rPr>
        <w:t xml:space="preserve">we expect a total of 199 waiver applications in year one, 252 waiver applications in year 2, 280 waiver applications in year three, 377 waiver applications in years four and five, and 487 waiver applications in year 6.  Finally, we assume upon full implementation of the rule, programs would choose to reapply once every five years, resulting in an estimated 97 waiver applications annually in year 7 and ongoing.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order to calculate the costs associated with these applications, we assume that each waiver application will require 8 hours of a program director’s time at $35.36 per hour.  Therefore, we calculate the cost associated with the applications by multiplying the number of applications by 8 hours of a center director’s hourly wage ($285.30).  Using this method, we calculate the total cost associated with these waiver provisions for each year in the table below. Then we applied the proportion of Head Start center director’s salary paid for with Head Start funds (75.3 percent) to the cost by year to find the costs borne by Head Start and the costs borne by other parties in the table below. </w:t>
      </w:r>
    </w:p>
    <w:p w:rsidR="006C2DBA" w:rsidRPr="00C1694A" w:rsidRDefault="006C2DB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58"/>
        <w:gridCol w:w="1710"/>
        <w:gridCol w:w="1710"/>
        <w:gridCol w:w="1710"/>
        <w:gridCol w:w="1800"/>
      </w:tblGrid>
      <w:tr w:rsidR="006C2DBA" w:rsidRPr="00C1694A" w:rsidTr="00D722F2">
        <w:tc>
          <w:tcPr>
            <w:tcW w:w="9288" w:type="dxa"/>
            <w:gridSpan w:val="5"/>
          </w:tcPr>
          <w:p w:rsidR="006C2DBA" w:rsidRPr="00C1694A" w:rsidRDefault="006C2DBA" w:rsidP="00DC5146">
            <w:pPr>
              <w:rPr>
                <w:rFonts w:ascii="Times New Roman" w:hAnsi="Times New Roman" w:cs="Times New Roman"/>
                <w:b/>
              </w:rPr>
            </w:pPr>
            <w:r w:rsidRPr="00C1694A">
              <w:rPr>
                <w:rFonts w:ascii="Times New Roman" w:hAnsi="Times New Roman" w:cs="Times New Roman"/>
                <w:b/>
              </w:rPr>
              <w:t>Waiver Applications: Total Cost to Society</w:t>
            </w:r>
          </w:p>
        </w:tc>
      </w:tr>
      <w:tr w:rsidR="006C2DBA" w:rsidRPr="00C1694A" w:rsidTr="00D722F2">
        <w:tc>
          <w:tcPr>
            <w:tcW w:w="2358" w:type="dxa"/>
          </w:tcPr>
          <w:p w:rsidR="006C2DBA" w:rsidRPr="00C1694A" w:rsidRDefault="006C2DBA" w:rsidP="00DC5146">
            <w:pPr>
              <w:rPr>
                <w:rFonts w:ascii="Times New Roman" w:hAnsi="Times New Roman" w:cs="Times New Roman"/>
                <w:b/>
              </w:rPr>
            </w:pPr>
          </w:p>
        </w:tc>
        <w:tc>
          <w:tcPr>
            <w:tcW w:w="1710"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Number of Programs</w:t>
            </w:r>
          </w:p>
        </w:tc>
        <w:tc>
          <w:tcPr>
            <w:tcW w:w="1710"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Hours</w:t>
            </w:r>
          </w:p>
        </w:tc>
        <w:tc>
          <w:tcPr>
            <w:tcW w:w="1710"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Cost per Hour</w:t>
            </w:r>
          </w:p>
        </w:tc>
        <w:tc>
          <w:tcPr>
            <w:tcW w:w="1800"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Cost</w:t>
            </w:r>
          </w:p>
        </w:tc>
      </w:tr>
      <w:tr w:rsidR="006C2DBA" w:rsidRPr="00C1694A" w:rsidTr="00D722F2">
        <w:tc>
          <w:tcPr>
            <w:tcW w:w="2358"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50% HS Center-based duration</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97</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8</w:t>
            </w:r>
          </w:p>
        </w:tc>
        <w:tc>
          <w:tcPr>
            <w:tcW w:w="1710" w:type="dxa"/>
          </w:tcPr>
          <w:p w:rsidR="006C2DBA" w:rsidRPr="00C1694A" w:rsidRDefault="006C2DBA" w:rsidP="00DC5146">
            <w:pPr>
              <w:rPr>
                <w:rFonts w:ascii="Times New Roman" w:hAnsi="Times New Roman" w:cs="Times New Roman"/>
                <w:sz w:val="20"/>
                <w:szCs w:val="20"/>
              </w:rPr>
            </w:pPr>
            <w:r w:rsidRPr="00C1694A">
              <w:rPr>
                <w:rFonts w:ascii="Times New Roman" w:hAnsi="Times New Roman" w:cs="Times New Roman"/>
                <w:sz w:val="20"/>
                <w:szCs w:val="20"/>
              </w:rPr>
              <w:t>$35.36</w:t>
            </w:r>
          </w:p>
        </w:tc>
        <w:tc>
          <w:tcPr>
            <w:tcW w:w="1800" w:type="dxa"/>
          </w:tcPr>
          <w:p w:rsidR="006C2DBA" w:rsidRPr="00C1694A" w:rsidRDefault="006C2DBA" w:rsidP="00202212">
            <w:pPr>
              <w:rPr>
                <w:rFonts w:ascii="Times New Roman" w:hAnsi="Times New Roman" w:cs="Times New Roman"/>
              </w:rPr>
            </w:pPr>
            <w:r w:rsidRPr="00C1694A">
              <w:rPr>
                <w:rFonts w:ascii="Times New Roman" w:hAnsi="Times New Roman" w:cs="Times New Roman"/>
              </w:rPr>
              <w:t>$27,551</w:t>
            </w:r>
          </w:p>
        </w:tc>
      </w:tr>
      <w:tr w:rsidR="006C2DBA" w:rsidRPr="00C1694A" w:rsidTr="00D722F2">
        <w:tc>
          <w:tcPr>
            <w:tcW w:w="2358"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100% HS Center-based duration</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207</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8</w:t>
            </w:r>
          </w:p>
        </w:tc>
        <w:tc>
          <w:tcPr>
            <w:tcW w:w="1710" w:type="dxa"/>
          </w:tcPr>
          <w:p w:rsidR="006C2DBA" w:rsidRPr="00C1694A" w:rsidRDefault="006C2DBA" w:rsidP="00DC5146">
            <w:pPr>
              <w:rPr>
                <w:rFonts w:ascii="Times New Roman" w:hAnsi="Times New Roman" w:cs="Times New Roman"/>
                <w:sz w:val="20"/>
                <w:szCs w:val="20"/>
              </w:rPr>
            </w:pPr>
            <w:r w:rsidRPr="00C1694A">
              <w:rPr>
                <w:rFonts w:ascii="Times New Roman" w:hAnsi="Times New Roman" w:cs="Times New Roman"/>
                <w:sz w:val="20"/>
                <w:szCs w:val="20"/>
              </w:rPr>
              <w:t>$35.36</w:t>
            </w:r>
          </w:p>
        </w:tc>
        <w:tc>
          <w:tcPr>
            <w:tcW w:w="1800" w:type="dxa"/>
          </w:tcPr>
          <w:p w:rsidR="006C2DBA" w:rsidRPr="00C1694A" w:rsidRDefault="006C2DBA" w:rsidP="00202212">
            <w:pPr>
              <w:rPr>
                <w:rFonts w:ascii="Times New Roman" w:hAnsi="Times New Roman" w:cs="Times New Roman"/>
              </w:rPr>
            </w:pPr>
            <w:r w:rsidRPr="00C1694A">
              <w:rPr>
                <w:rFonts w:ascii="Times New Roman" w:hAnsi="Times New Roman" w:cs="Times New Roman"/>
              </w:rPr>
              <w:t>$59,093</w:t>
            </w:r>
          </w:p>
        </w:tc>
      </w:tr>
      <w:tr w:rsidR="006C2DBA" w:rsidRPr="00C1694A" w:rsidTr="00D722F2">
        <w:tc>
          <w:tcPr>
            <w:tcW w:w="2358"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EHS Center-based duration</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28</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8</w:t>
            </w:r>
          </w:p>
        </w:tc>
        <w:tc>
          <w:tcPr>
            <w:tcW w:w="1710" w:type="dxa"/>
          </w:tcPr>
          <w:p w:rsidR="006C2DBA" w:rsidRPr="00C1694A" w:rsidRDefault="006C2DBA" w:rsidP="00DC5146">
            <w:pPr>
              <w:rPr>
                <w:rFonts w:ascii="Times New Roman" w:hAnsi="Times New Roman" w:cs="Times New Roman"/>
                <w:sz w:val="20"/>
                <w:szCs w:val="20"/>
              </w:rPr>
            </w:pPr>
            <w:r w:rsidRPr="00C1694A">
              <w:rPr>
                <w:rFonts w:ascii="Times New Roman" w:hAnsi="Times New Roman" w:cs="Times New Roman"/>
                <w:sz w:val="20"/>
                <w:szCs w:val="20"/>
              </w:rPr>
              <w:t>$35.36</w:t>
            </w:r>
          </w:p>
        </w:tc>
        <w:tc>
          <w:tcPr>
            <w:tcW w:w="1800" w:type="dxa"/>
          </w:tcPr>
          <w:p w:rsidR="006C2DBA" w:rsidRPr="00C1694A" w:rsidRDefault="006C2DBA" w:rsidP="00202212">
            <w:pPr>
              <w:rPr>
                <w:rFonts w:ascii="Times New Roman" w:hAnsi="Times New Roman" w:cs="Times New Roman"/>
              </w:rPr>
            </w:pPr>
            <w:r w:rsidRPr="00C1694A">
              <w:rPr>
                <w:rFonts w:ascii="Times New Roman" w:hAnsi="Times New Roman" w:cs="Times New Roman"/>
              </w:rPr>
              <w:t>$7,988</w:t>
            </w:r>
          </w:p>
        </w:tc>
      </w:tr>
      <w:tr w:rsidR="006C2DBA" w:rsidRPr="00C1694A" w:rsidTr="00D722F2">
        <w:tc>
          <w:tcPr>
            <w:tcW w:w="2358"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EHS Home-based duration</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53</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8</w:t>
            </w:r>
          </w:p>
        </w:tc>
        <w:tc>
          <w:tcPr>
            <w:tcW w:w="1710" w:type="dxa"/>
          </w:tcPr>
          <w:p w:rsidR="006C2DBA" w:rsidRPr="00C1694A" w:rsidRDefault="006C2DBA" w:rsidP="00DC5146">
            <w:pPr>
              <w:rPr>
                <w:rFonts w:ascii="Times New Roman" w:hAnsi="Times New Roman" w:cs="Times New Roman"/>
                <w:sz w:val="20"/>
                <w:szCs w:val="20"/>
              </w:rPr>
            </w:pPr>
            <w:r w:rsidRPr="00C1694A">
              <w:rPr>
                <w:rFonts w:ascii="Times New Roman" w:hAnsi="Times New Roman" w:cs="Times New Roman"/>
                <w:sz w:val="20"/>
                <w:szCs w:val="20"/>
              </w:rPr>
              <w:t>$35.36</w:t>
            </w:r>
          </w:p>
        </w:tc>
        <w:tc>
          <w:tcPr>
            <w:tcW w:w="1800" w:type="dxa"/>
          </w:tcPr>
          <w:p w:rsidR="006C2DBA" w:rsidRPr="00C1694A" w:rsidRDefault="006C2DBA" w:rsidP="00202212">
            <w:pPr>
              <w:rPr>
                <w:rFonts w:ascii="Times New Roman" w:hAnsi="Times New Roman" w:cs="Times New Roman"/>
              </w:rPr>
            </w:pPr>
            <w:r w:rsidRPr="00C1694A">
              <w:rPr>
                <w:rFonts w:ascii="Times New Roman" w:hAnsi="Times New Roman" w:cs="Times New Roman"/>
              </w:rPr>
              <w:t>$15,121</w:t>
            </w:r>
          </w:p>
        </w:tc>
      </w:tr>
      <w:tr w:rsidR="006C2DBA" w:rsidRPr="00C1694A" w:rsidTr="00D722F2">
        <w:tc>
          <w:tcPr>
            <w:tcW w:w="2358" w:type="dxa"/>
          </w:tcPr>
          <w:p w:rsidR="006C2DBA" w:rsidRPr="00C1694A" w:rsidRDefault="006C2DBA" w:rsidP="00DC5146">
            <w:pPr>
              <w:rPr>
                <w:rFonts w:ascii="Times New Roman" w:hAnsi="Times New Roman" w:cs="Times New Roman"/>
                <w:b/>
              </w:rPr>
            </w:pPr>
            <w:r w:rsidRPr="00C1694A">
              <w:rPr>
                <w:rFonts w:ascii="Times New Roman" w:hAnsi="Times New Roman" w:cs="Times New Roman"/>
                <w:b/>
              </w:rPr>
              <w:t>Two-year-old ratio</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199</w:t>
            </w:r>
          </w:p>
        </w:tc>
        <w:tc>
          <w:tcPr>
            <w:tcW w:w="1710" w:type="dxa"/>
          </w:tcPr>
          <w:p w:rsidR="006C2DBA" w:rsidRPr="00C1694A" w:rsidRDefault="006C2DBA" w:rsidP="00DC5146">
            <w:pPr>
              <w:rPr>
                <w:rFonts w:ascii="Times New Roman" w:hAnsi="Times New Roman" w:cs="Times New Roman"/>
              </w:rPr>
            </w:pPr>
            <w:r w:rsidRPr="00C1694A">
              <w:rPr>
                <w:rFonts w:ascii="Times New Roman" w:hAnsi="Times New Roman" w:cs="Times New Roman"/>
              </w:rPr>
              <w:t>8</w:t>
            </w:r>
          </w:p>
        </w:tc>
        <w:tc>
          <w:tcPr>
            <w:tcW w:w="1710" w:type="dxa"/>
          </w:tcPr>
          <w:p w:rsidR="006C2DBA" w:rsidRPr="00C1694A" w:rsidRDefault="006C2DBA" w:rsidP="00DC5146">
            <w:pPr>
              <w:rPr>
                <w:rFonts w:ascii="Times New Roman" w:hAnsi="Times New Roman" w:cs="Times New Roman"/>
                <w:sz w:val="20"/>
                <w:szCs w:val="20"/>
              </w:rPr>
            </w:pPr>
            <w:r w:rsidRPr="00C1694A">
              <w:rPr>
                <w:rFonts w:ascii="Times New Roman" w:hAnsi="Times New Roman" w:cs="Times New Roman"/>
                <w:sz w:val="20"/>
                <w:szCs w:val="20"/>
              </w:rPr>
              <w:t>$35.36</w:t>
            </w:r>
          </w:p>
        </w:tc>
        <w:tc>
          <w:tcPr>
            <w:tcW w:w="1800" w:type="dxa"/>
          </w:tcPr>
          <w:p w:rsidR="006C2DBA" w:rsidRPr="00C1694A" w:rsidRDefault="006C2DBA" w:rsidP="00202212">
            <w:pPr>
              <w:rPr>
                <w:rFonts w:ascii="Times New Roman" w:hAnsi="Times New Roman" w:cs="Times New Roman"/>
              </w:rPr>
            </w:pPr>
            <w:r w:rsidRPr="00C1694A">
              <w:rPr>
                <w:rFonts w:ascii="Times New Roman" w:hAnsi="Times New Roman" w:cs="Times New Roman"/>
              </w:rPr>
              <w:t>$56,775</w:t>
            </w:r>
          </w:p>
        </w:tc>
      </w:tr>
    </w:tbl>
    <w:p w:rsidR="006C2DBA" w:rsidRPr="00C1694A" w:rsidRDefault="006C2DBA" w:rsidP="00DC5146">
      <w:pPr>
        <w:spacing w:after="0" w:line="240" w:lineRule="auto"/>
        <w:rPr>
          <w:rFonts w:ascii="Times New Roman" w:hAnsi="Times New Roman" w:cs="Times New Roman"/>
          <w:sz w:val="24"/>
          <w:szCs w:val="24"/>
        </w:rPr>
      </w:pPr>
    </w:p>
    <w:p w:rsidR="006C2DBA" w:rsidRPr="00C1694A" w:rsidRDefault="006C2DBA" w:rsidP="00A97787">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The table below describes the cost to society disaggregated by costs borne by Head Start and costs borne by other parties for years three through ten.  We assumed that programs would only apply for waivers once the compliance date of the provision they are requesting a waiver for has passed.  Therefore, we assumed that the cost of applying for a waiver from the 50 percent Head Start center-based duration requirement would be borne in years three through five; the cost of applying for a waiver from the 100 percent Head Start center-based duration requirement would be borne in year 6; the cost of applying for a waiver from the Early Head Start center-based would be borne beginning in year 3; the cost of applying for a waiver from the Early Head Start home-based duration requirement would be borne beginning in year 2; and the cost of applying for a waiver from the Early Head Start ratio requirement would be borne beginning in year 1.  Finally, we assume upon full implementation of the rule, programs would choose to reapply once every five years, resulting in the costs for years seven through ten.</w:t>
      </w:r>
    </w:p>
    <w:tbl>
      <w:tblPr>
        <w:tblStyle w:val="TableGrid"/>
        <w:tblW w:w="0" w:type="auto"/>
        <w:tblLook w:val="04A0" w:firstRow="1" w:lastRow="0" w:firstColumn="1" w:lastColumn="0" w:noHBand="0" w:noVBand="1"/>
      </w:tblPr>
      <w:tblGrid>
        <w:gridCol w:w="1210"/>
        <w:gridCol w:w="1238"/>
        <w:gridCol w:w="1170"/>
        <w:gridCol w:w="1260"/>
        <w:gridCol w:w="1080"/>
        <w:gridCol w:w="1260"/>
        <w:gridCol w:w="1130"/>
        <w:gridCol w:w="1228"/>
      </w:tblGrid>
      <w:tr w:rsidR="006C2DBA" w:rsidRPr="00C1694A" w:rsidTr="00202212">
        <w:tc>
          <w:tcPr>
            <w:tcW w:w="9576" w:type="dxa"/>
            <w:gridSpan w:val="8"/>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Waiver Applications: Costs Borne by Head Start and by Other Parties</w:t>
            </w:r>
          </w:p>
        </w:tc>
      </w:tr>
      <w:tr w:rsidR="006C2DBA" w:rsidRPr="00C1694A" w:rsidTr="00202212">
        <w:tc>
          <w:tcPr>
            <w:tcW w:w="1210" w:type="dxa"/>
          </w:tcPr>
          <w:p w:rsidR="006C2DBA" w:rsidRPr="00C1694A" w:rsidRDefault="006C2DBA" w:rsidP="00DC5146">
            <w:pPr>
              <w:rPr>
                <w:rFonts w:ascii="Times New Roman" w:hAnsi="Times New Roman" w:cs="Times New Roman"/>
                <w:b/>
                <w:sz w:val="20"/>
                <w:szCs w:val="20"/>
              </w:rPr>
            </w:pPr>
          </w:p>
        </w:tc>
        <w:tc>
          <w:tcPr>
            <w:tcW w:w="1238"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Year 1</w:t>
            </w:r>
          </w:p>
        </w:tc>
        <w:tc>
          <w:tcPr>
            <w:tcW w:w="117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Year 2</w:t>
            </w:r>
          </w:p>
        </w:tc>
        <w:tc>
          <w:tcPr>
            <w:tcW w:w="126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Year 3</w:t>
            </w:r>
          </w:p>
        </w:tc>
        <w:tc>
          <w:tcPr>
            <w:tcW w:w="108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Year 4</w:t>
            </w:r>
          </w:p>
        </w:tc>
        <w:tc>
          <w:tcPr>
            <w:tcW w:w="126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Year 5</w:t>
            </w:r>
          </w:p>
        </w:tc>
        <w:tc>
          <w:tcPr>
            <w:tcW w:w="113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Year 6</w:t>
            </w:r>
          </w:p>
        </w:tc>
        <w:tc>
          <w:tcPr>
            <w:tcW w:w="1228"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Years 7 -10</w:t>
            </w:r>
          </w:p>
        </w:tc>
      </w:tr>
      <w:tr w:rsidR="006C2DBA" w:rsidRPr="00C1694A" w:rsidTr="00202212">
        <w:tc>
          <w:tcPr>
            <w:tcW w:w="121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b/>
                <w:sz w:val="20"/>
                <w:szCs w:val="20"/>
              </w:rPr>
              <w:t>Cost to Society</w:t>
            </w:r>
          </w:p>
        </w:tc>
        <w:tc>
          <w:tcPr>
            <w:tcW w:w="1238"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$56,775</w:t>
            </w:r>
          </w:p>
        </w:tc>
        <w:tc>
          <w:tcPr>
            <w:tcW w:w="117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$71,896</w:t>
            </w:r>
          </w:p>
        </w:tc>
        <w:tc>
          <w:tcPr>
            <w:tcW w:w="126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$79,884</w:t>
            </w:r>
          </w:p>
        </w:tc>
        <w:tc>
          <w:tcPr>
            <w:tcW w:w="108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$107,435</w:t>
            </w:r>
          </w:p>
        </w:tc>
        <w:tc>
          <w:tcPr>
            <w:tcW w:w="126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$107,435</w:t>
            </w:r>
          </w:p>
        </w:tc>
        <w:tc>
          <w:tcPr>
            <w:tcW w:w="113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$138,977</w:t>
            </w:r>
          </w:p>
        </w:tc>
        <w:tc>
          <w:tcPr>
            <w:tcW w:w="1228"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$27,795</w:t>
            </w:r>
          </w:p>
        </w:tc>
      </w:tr>
      <w:tr w:rsidR="006C2DBA" w:rsidRPr="00C1694A" w:rsidTr="00202212">
        <w:tc>
          <w:tcPr>
            <w:tcW w:w="121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b/>
                <w:sz w:val="20"/>
                <w:szCs w:val="20"/>
              </w:rPr>
              <w:t>Cost to Head Start (75.3%)</w:t>
            </w:r>
          </w:p>
        </w:tc>
        <w:tc>
          <w:tcPr>
            <w:tcW w:w="1238"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$42,751</w:t>
            </w:r>
          </w:p>
        </w:tc>
        <w:tc>
          <w:tcPr>
            <w:tcW w:w="117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$54,137</w:t>
            </w:r>
          </w:p>
        </w:tc>
        <w:tc>
          <w:tcPr>
            <w:tcW w:w="126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$60,153</w:t>
            </w:r>
          </w:p>
        </w:tc>
        <w:tc>
          <w:tcPr>
            <w:tcW w:w="108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$80,899</w:t>
            </w:r>
          </w:p>
        </w:tc>
        <w:tc>
          <w:tcPr>
            <w:tcW w:w="126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$80,899</w:t>
            </w:r>
          </w:p>
        </w:tc>
        <w:tc>
          <w:tcPr>
            <w:tcW w:w="113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$104,650</w:t>
            </w:r>
          </w:p>
        </w:tc>
        <w:tc>
          <w:tcPr>
            <w:tcW w:w="1228"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$20,930</w:t>
            </w:r>
          </w:p>
        </w:tc>
      </w:tr>
      <w:tr w:rsidR="006C2DBA" w:rsidRPr="00C1694A" w:rsidTr="00202212">
        <w:tc>
          <w:tcPr>
            <w:tcW w:w="121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b/>
                <w:sz w:val="20"/>
                <w:szCs w:val="20"/>
              </w:rPr>
              <w:t>Cost borne by other parties</w:t>
            </w:r>
          </w:p>
        </w:tc>
        <w:tc>
          <w:tcPr>
            <w:tcW w:w="1238"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$14,023</w:t>
            </w:r>
          </w:p>
        </w:tc>
        <w:tc>
          <w:tcPr>
            <w:tcW w:w="117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$17,758</w:t>
            </w:r>
          </w:p>
        </w:tc>
        <w:tc>
          <w:tcPr>
            <w:tcW w:w="126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$19,731</w:t>
            </w:r>
          </w:p>
        </w:tc>
        <w:tc>
          <w:tcPr>
            <w:tcW w:w="108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$26,537</w:t>
            </w:r>
          </w:p>
        </w:tc>
        <w:tc>
          <w:tcPr>
            <w:tcW w:w="126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$26,537</w:t>
            </w:r>
          </w:p>
        </w:tc>
        <w:tc>
          <w:tcPr>
            <w:tcW w:w="113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$34,327</w:t>
            </w:r>
          </w:p>
        </w:tc>
        <w:tc>
          <w:tcPr>
            <w:tcW w:w="1228"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$6,865</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Home Visits for Frequently Absent Children</w:t>
      </w:r>
    </w:p>
    <w:p w:rsidR="006C2DBA" w:rsidRPr="00C1694A" w:rsidRDefault="006C2DBA" w:rsidP="00D722F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The rule includes a new provision in §1302.16 that requires programs to provide additional services to families of children who are frequently absent (for non-illness or IFSP/IEP related reasons), which may include a home visit. This requirement will improve consistent attendance, which is important because research demonstrates that attendance is predictive of school success.  For example, one study conducted in the Chicago Public Schools shows that preschool attendance is important for several reasons: </w:t>
      </w:r>
      <w:r w:rsidR="000C4634">
        <w:rPr>
          <w:rFonts w:ascii="Times New Roman" w:hAnsi="Times New Roman" w:cs="Times New Roman"/>
          <w:sz w:val="24"/>
          <w:szCs w:val="24"/>
        </w:rPr>
        <w:t>(</w:t>
      </w:r>
      <w:r w:rsidRPr="00C1694A">
        <w:rPr>
          <w:rFonts w:ascii="Times New Roman" w:hAnsi="Times New Roman" w:cs="Times New Roman"/>
          <w:sz w:val="24"/>
          <w:szCs w:val="24"/>
        </w:rPr>
        <w:t xml:space="preserve">1) it sets up patterns for long-term school attendance; </w:t>
      </w:r>
      <w:r w:rsidR="000C4634">
        <w:rPr>
          <w:rFonts w:ascii="Times New Roman" w:hAnsi="Times New Roman" w:cs="Times New Roman"/>
          <w:sz w:val="24"/>
          <w:szCs w:val="24"/>
        </w:rPr>
        <w:t>(</w:t>
      </w:r>
      <w:r w:rsidRPr="00C1694A">
        <w:rPr>
          <w:rFonts w:ascii="Times New Roman" w:hAnsi="Times New Roman" w:cs="Times New Roman"/>
          <w:sz w:val="24"/>
          <w:szCs w:val="24"/>
        </w:rPr>
        <w:t>2) children who regularly attend preschool perform better on kindergarten entry assessments tests; and 3) regular attendance enhances social-emotional development.</w:t>
      </w:r>
      <w:r w:rsidRPr="00C1694A">
        <w:rPr>
          <w:rFonts w:ascii="Times New Roman" w:hAnsi="Times New Roman" w:cs="Times New Roman"/>
          <w:vertAlign w:val="superscript"/>
        </w:rPr>
        <w:footnoteReference w:id="155"/>
      </w:r>
      <w:r w:rsidRPr="00C1694A">
        <w:rPr>
          <w:rFonts w:ascii="Times New Roman" w:hAnsi="Times New Roman" w:cs="Times New Roman"/>
          <w:sz w:val="24"/>
          <w:szCs w:val="24"/>
        </w:rPr>
        <w:t xml:space="preserve">  Another study in Tulsa found that preschoolers who attended regularly showed more growth in literacy skills than their peers who were frequently absent.</w:t>
      </w:r>
      <w:r w:rsidRPr="00C1694A">
        <w:rPr>
          <w:rFonts w:ascii="Times New Roman" w:hAnsi="Times New Roman" w:cs="Times New Roman"/>
          <w:vertAlign w:val="superscript"/>
        </w:rPr>
        <w:footnoteReference w:id="156"/>
      </w:r>
      <w:r w:rsidRPr="00C1694A">
        <w:rPr>
          <w:rFonts w:ascii="Times New Roman" w:hAnsi="Times New Roman" w:cs="Times New Roman"/>
          <w:sz w:val="24"/>
          <w:szCs w:val="24"/>
        </w:rPr>
        <w:t xml:space="preserve">  In Baltimore, researchers found that 25 percent of children who were chronically absent in pre-kindergarten and kindergarten were retained in later grades, compared to nine percent of their peers who regularly attended in these early years.</w:t>
      </w:r>
      <w:r w:rsidRPr="00C1694A">
        <w:rPr>
          <w:rFonts w:ascii="Times New Roman" w:hAnsi="Times New Roman" w:cs="Times New Roman"/>
          <w:vertAlign w:val="superscript"/>
        </w:rPr>
        <w:footnoteReference w:id="157"/>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We considered both monetary costs as well as opportunity costs in estimating the total cost of this new provision in §1302.16.  In order to estimate the associated monetary costs, we used data from the Family and Child Experience Survey (FACES) and babyFACES, which are federally funded nationally representative surveys of Head Start and Early Head Start programs, respectively.  These studies provided estimates of the proportion of children in both Head Start and Early Head Start who are absent for more than 20 days in a given school year.  For Head Start, FACES data suggests 5.6 percent of children are absent for more than 20 days.  We used this proportion as a proxy for the proportion of children who are frequently absent, and would trigger the requirement in the rule for an additional home visit.  For Early Head Start, we assumed approximately half of this proportion would be children for whom absences were explained, given the frequency of illness among very young children and thus would not trigger this requirement.  Therefore, we used half (17 percent) of the proportion from babyFACES data (34 percent) as a proxy for children in Early Head Start who are chronically absent and would thus trigger additional services, which could include an extra home visit.  Then, we estimated the number of extra home visits this requirement will trigger by multiplying cumulative enrollment for center-based programs in Head Start and Early Head Start, respectively, by these proxy proportions.  We estimated the monetary cost of this provision by multiplying the number of extra home visits by the average wage of a teacher and an assistant teacher for two hours, because we expect some home visits will be conducted by teachers or home visitors and others may be conducted by the family service worker (usually paid on par with assistant teachers). Finally, we assumed that only half of families would receive an additional home visit rather than other direct contact as allowed under the requirement.  Using this method, we estimate the total monetary cost of this requirement to be $927,603 starting in year one.  However, we also expect the activities that programs engage in to address frequent and chronic absenteeism, including home visits, will reduce the number of children who are frequently and chronically absent over time.  Therefore, we have estimated a 10% reduction in the number of frequently and chronically absent children every year for the first five years this policy is in place.  This results in a cost of $834,842 in year two, $742,082 in year three $649,322 in year four, $556,562 in year five and $463,801 in year six and on an ongoing basis thereafter.</w:t>
      </w:r>
    </w:p>
    <w:p w:rsidR="006C2DBA" w:rsidRPr="00C1694A" w:rsidRDefault="006C2DBA" w:rsidP="0020221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To calculate the opportunity cost, we use foregone wages as an estimate for the value of parents’ time spent meeting this requirement of one additional home visit.  This represents the value of their time when they participate in an additional home visit rather than working. However, we acknowledge this is likely an overestimate of opportunity cost, given the potential for opportunity cost savings associated with parents’ time if their children resume regular program attendance. We used the number from our estimate of children experiencing chronic absenteeism (62,858) and assumed one parent per child.  Because Head Start families are primarily families from low-income backgrounds, we used the federal minimum wage and assumed two hours of time for each parent to meet this additional requirement for half of parents of chronically absent children (because parents of the other half of these children would receive other direct contact), which would result in a monetized opportunity cost of $455,721.  These opportunity costs will be realized in year one.  However, as discussed above, we expect these activities will reduce the number of parents of frequently and chronically absent children over time.  Therefore, we estimate an opportunity cost of $410,149 in year two, $364,577 in year three $319,005 in year four, $273,433 in year five and $227,861 in year six and on an ongoing basis thereafter.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276"/>
        <w:gridCol w:w="1065"/>
        <w:gridCol w:w="210"/>
        <w:gridCol w:w="690"/>
        <w:gridCol w:w="585"/>
        <w:gridCol w:w="1035"/>
        <w:gridCol w:w="240"/>
        <w:gridCol w:w="1020"/>
        <w:gridCol w:w="360"/>
        <w:gridCol w:w="1440"/>
        <w:gridCol w:w="1548"/>
      </w:tblGrid>
      <w:tr w:rsidR="006C2DBA" w:rsidRPr="00C1694A" w:rsidTr="00D722F2">
        <w:tc>
          <w:tcPr>
            <w:tcW w:w="9468" w:type="dxa"/>
            <w:gridSpan w:val="12"/>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Home Visits for Frequently Absent Children: Costs Borne by Head Start</w:t>
            </w:r>
          </w:p>
        </w:tc>
      </w:tr>
      <w:tr w:rsidR="006C2DBA" w:rsidRPr="00C1694A" w:rsidTr="00D722F2">
        <w:tc>
          <w:tcPr>
            <w:tcW w:w="999"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Program Type</w:t>
            </w:r>
          </w:p>
        </w:tc>
        <w:tc>
          <w:tcPr>
            <w:tcW w:w="1341"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National Survey Proxy %</w:t>
            </w:r>
          </w:p>
        </w:tc>
        <w:tc>
          <w:tcPr>
            <w:tcW w:w="900"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FE</w:t>
            </w:r>
          </w:p>
        </w:tc>
        <w:tc>
          <w:tcPr>
            <w:tcW w:w="1620"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Number of Additional HVs</w:t>
            </w:r>
          </w:p>
        </w:tc>
        <w:tc>
          <w:tcPr>
            <w:tcW w:w="1260"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Wage/ 2 Hours</w:t>
            </w:r>
          </w:p>
        </w:tc>
        <w:tc>
          <w:tcPr>
            <w:tcW w:w="1800"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 xml:space="preserve">Estimated Cost of all potential additional HVs </w:t>
            </w:r>
          </w:p>
        </w:tc>
        <w:tc>
          <w:tcPr>
            <w:tcW w:w="1548" w:type="dxa"/>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 xml:space="preserve">Estimated cost of additional HVs provided </w:t>
            </w:r>
          </w:p>
        </w:tc>
      </w:tr>
      <w:tr w:rsidR="006C2DBA" w:rsidRPr="00C1694A" w:rsidTr="00D722F2">
        <w:tc>
          <w:tcPr>
            <w:tcW w:w="999"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HS</w:t>
            </w:r>
          </w:p>
        </w:tc>
        <w:tc>
          <w:tcPr>
            <w:tcW w:w="1341"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5.6</w:t>
            </w:r>
          </w:p>
        </w:tc>
        <w:tc>
          <w:tcPr>
            <w:tcW w:w="900"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874,604</w:t>
            </w:r>
          </w:p>
        </w:tc>
        <w:tc>
          <w:tcPr>
            <w:tcW w:w="1620" w:type="dxa"/>
            <w:gridSpan w:val="2"/>
          </w:tcPr>
          <w:p w:rsidR="006C2DBA" w:rsidRPr="00C1694A" w:rsidRDefault="006C2DBA" w:rsidP="00DC5146">
            <w:pPr>
              <w:tabs>
                <w:tab w:val="center" w:pos="702"/>
                <w:tab w:val="right" w:pos="1404"/>
              </w:tabs>
              <w:spacing w:after="0" w:line="240" w:lineRule="auto"/>
              <w:rPr>
                <w:rFonts w:ascii="Times New Roman" w:hAnsi="Times New Roman" w:cs="Times New Roman"/>
                <w:sz w:val="20"/>
                <w:szCs w:val="20"/>
              </w:rPr>
            </w:pPr>
            <w:r w:rsidRPr="00C1694A">
              <w:rPr>
                <w:rFonts w:ascii="Times New Roman" w:hAnsi="Times New Roman" w:cs="Times New Roman"/>
                <w:sz w:val="20"/>
                <w:szCs w:val="20"/>
              </w:rPr>
              <w:tab/>
            </w:r>
            <w:r w:rsidRPr="00C1694A">
              <w:rPr>
                <w:rFonts w:ascii="Times New Roman" w:hAnsi="Times New Roman" w:cs="Times New Roman"/>
                <w:sz w:val="20"/>
                <w:szCs w:val="20"/>
              </w:rPr>
              <w:tab/>
              <w:t>48,978</w:t>
            </w:r>
          </w:p>
        </w:tc>
        <w:tc>
          <w:tcPr>
            <w:tcW w:w="1260"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$30.70</w:t>
            </w:r>
          </w:p>
        </w:tc>
        <w:tc>
          <w:tcPr>
            <w:tcW w:w="1800"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$1,503,625</w:t>
            </w:r>
          </w:p>
        </w:tc>
        <w:tc>
          <w:tcPr>
            <w:tcW w:w="1548" w:type="dxa"/>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$751,812</w:t>
            </w:r>
          </w:p>
        </w:tc>
      </w:tr>
      <w:tr w:rsidR="006C2DBA" w:rsidRPr="00C1694A" w:rsidTr="00D722F2">
        <w:tc>
          <w:tcPr>
            <w:tcW w:w="999"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EHS</w:t>
            </w:r>
          </w:p>
        </w:tc>
        <w:tc>
          <w:tcPr>
            <w:tcW w:w="1341"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17</w:t>
            </w:r>
          </w:p>
        </w:tc>
        <w:tc>
          <w:tcPr>
            <w:tcW w:w="900"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81,649</w:t>
            </w:r>
          </w:p>
        </w:tc>
        <w:tc>
          <w:tcPr>
            <w:tcW w:w="1620"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13,880</w:t>
            </w:r>
          </w:p>
        </w:tc>
        <w:tc>
          <w:tcPr>
            <w:tcW w:w="1260"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$25.33</w:t>
            </w:r>
          </w:p>
        </w:tc>
        <w:tc>
          <w:tcPr>
            <w:tcW w:w="1800"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$351,580</w:t>
            </w:r>
          </w:p>
        </w:tc>
        <w:tc>
          <w:tcPr>
            <w:tcW w:w="1548" w:type="dxa"/>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$175,790</w:t>
            </w:r>
          </w:p>
        </w:tc>
      </w:tr>
      <w:tr w:rsidR="006C2DBA" w:rsidRPr="00C1694A" w:rsidTr="00D722F2">
        <w:tc>
          <w:tcPr>
            <w:tcW w:w="7920" w:type="dxa"/>
            <w:gridSpan w:val="11"/>
          </w:tcPr>
          <w:p w:rsidR="006C2DBA" w:rsidRPr="00C1694A" w:rsidRDefault="006C2DBA" w:rsidP="00D722F2">
            <w:pPr>
              <w:spacing w:after="0" w:line="240" w:lineRule="auto"/>
              <w:jc w:val="right"/>
              <w:rPr>
                <w:rFonts w:ascii="Times New Roman" w:hAnsi="Times New Roman" w:cs="Times New Roman"/>
                <w:b/>
                <w:sz w:val="20"/>
              </w:rPr>
            </w:pPr>
            <w:r w:rsidRPr="00C1694A">
              <w:rPr>
                <w:rFonts w:ascii="Times New Roman" w:hAnsi="Times New Roman" w:cs="Times New Roman"/>
                <w:b/>
                <w:sz w:val="20"/>
              </w:rPr>
              <w:t xml:space="preserve">Total </w:t>
            </w:r>
          </w:p>
        </w:tc>
        <w:tc>
          <w:tcPr>
            <w:tcW w:w="1548" w:type="dxa"/>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$927,603</w:t>
            </w:r>
          </w:p>
        </w:tc>
      </w:tr>
      <w:tr w:rsidR="006C2DBA" w:rsidRPr="00C1694A" w:rsidTr="00D722F2">
        <w:tc>
          <w:tcPr>
            <w:tcW w:w="1275" w:type="dxa"/>
            <w:gridSpan w:val="2"/>
          </w:tcPr>
          <w:p w:rsidR="006C2DBA" w:rsidRPr="00C1694A" w:rsidRDefault="006C2DBA" w:rsidP="00D722F2">
            <w:pPr>
              <w:spacing w:after="0" w:line="240" w:lineRule="auto"/>
              <w:jc w:val="center"/>
              <w:rPr>
                <w:rFonts w:ascii="Times New Roman" w:hAnsi="Times New Roman" w:cs="Times New Roman"/>
                <w:b/>
                <w:sz w:val="20"/>
              </w:rPr>
            </w:pPr>
          </w:p>
        </w:tc>
        <w:tc>
          <w:tcPr>
            <w:tcW w:w="1275" w:type="dxa"/>
            <w:gridSpan w:val="2"/>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1</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2016/2017</w:t>
            </w:r>
          </w:p>
        </w:tc>
        <w:tc>
          <w:tcPr>
            <w:tcW w:w="1275" w:type="dxa"/>
            <w:gridSpan w:val="2"/>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2</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2017/2018</w:t>
            </w:r>
          </w:p>
        </w:tc>
        <w:tc>
          <w:tcPr>
            <w:tcW w:w="1275" w:type="dxa"/>
            <w:gridSpan w:val="2"/>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3</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2018/2019</w:t>
            </w:r>
          </w:p>
        </w:tc>
        <w:tc>
          <w:tcPr>
            <w:tcW w:w="1380" w:type="dxa"/>
            <w:gridSpan w:val="2"/>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4</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2019/2020</w:t>
            </w:r>
          </w:p>
        </w:tc>
        <w:tc>
          <w:tcPr>
            <w:tcW w:w="1440" w:type="dxa"/>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5</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2020/2021</w:t>
            </w:r>
          </w:p>
        </w:tc>
        <w:tc>
          <w:tcPr>
            <w:tcW w:w="1548" w:type="dxa"/>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6</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2021/2022</w:t>
            </w:r>
          </w:p>
        </w:tc>
      </w:tr>
      <w:tr w:rsidR="006C2DBA" w:rsidRPr="00C1694A" w:rsidTr="00D722F2">
        <w:tc>
          <w:tcPr>
            <w:tcW w:w="1275" w:type="dxa"/>
            <w:gridSpan w:val="2"/>
          </w:tcPr>
          <w:p w:rsidR="006C2DBA" w:rsidRPr="00C1694A" w:rsidRDefault="006C2DBA" w:rsidP="00D722F2">
            <w:pPr>
              <w:spacing w:after="0" w:line="240" w:lineRule="auto"/>
              <w:jc w:val="right"/>
              <w:rPr>
                <w:rFonts w:ascii="Times New Roman" w:hAnsi="Times New Roman" w:cs="Times New Roman"/>
                <w:b/>
                <w:sz w:val="20"/>
              </w:rPr>
            </w:pPr>
            <w:r w:rsidRPr="00C1694A">
              <w:rPr>
                <w:rFonts w:ascii="Times New Roman" w:hAnsi="Times New Roman" w:cs="Times New Roman"/>
                <w:b/>
                <w:sz w:val="20"/>
              </w:rPr>
              <w:t>Reduction Over Time</w:t>
            </w:r>
          </w:p>
        </w:tc>
        <w:tc>
          <w:tcPr>
            <w:tcW w:w="1275" w:type="dxa"/>
            <w:gridSpan w:val="2"/>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$927,603</w:t>
            </w:r>
          </w:p>
        </w:tc>
        <w:tc>
          <w:tcPr>
            <w:tcW w:w="1275" w:type="dxa"/>
            <w:gridSpan w:val="2"/>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$934,842</w:t>
            </w:r>
          </w:p>
        </w:tc>
        <w:tc>
          <w:tcPr>
            <w:tcW w:w="1275" w:type="dxa"/>
            <w:gridSpan w:val="2"/>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$742,082</w:t>
            </w:r>
          </w:p>
        </w:tc>
        <w:tc>
          <w:tcPr>
            <w:tcW w:w="1380" w:type="dxa"/>
            <w:gridSpan w:val="2"/>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$649,322</w:t>
            </w:r>
          </w:p>
        </w:tc>
        <w:tc>
          <w:tcPr>
            <w:tcW w:w="1440" w:type="dxa"/>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$556,562</w:t>
            </w:r>
          </w:p>
        </w:tc>
        <w:tc>
          <w:tcPr>
            <w:tcW w:w="1548" w:type="dxa"/>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$463,801</w:t>
            </w:r>
          </w:p>
        </w:tc>
      </w:tr>
    </w:tbl>
    <w:p w:rsidR="006C2DBA" w:rsidRPr="00C1694A" w:rsidRDefault="006C2DBA" w:rsidP="00331A7B">
      <w:pPr>
        <w:spacing w:after="0" w:line="240" w:lineRule="auto"/>
        <w:rPr>
          <w:rFonts w:ascii="Times New Roman" w:hAnsi="Times New Roman" w:cs="Times New Roman"/>
          <w:i/>
          <w:sz w:val="24"/>
          <w:szCs w:val="24"/>
        </w:rPr>
      </w:pPr>
    </w:p>
    <w:p w:rsidR="006C2DBA" w:rsidRPr="00C1694A" w:rsidRDefault="006C2DBA">
      <w:pPr>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31"/>
        <w:gridCol w:w="844"/>
        <w:gridCol w:w="1050"/>
        <w:gridCol w:w="225"/>
        <w:gridCol w:w="1275"/>
        <w:gridCol w:w="300"/>
        <w:gridCol w:w="1080"/>
        <w:gridCol w:w="720"/>
        <w:gridCol w:w="720"/>
        <w:gridCol w:w="1548"/>
      </w:tblGrid>
      <w:tr w:rsidR="006C2DBA" w:rsidRPr="00C1694A" w:rsidTr="00D722F2">
        <w:tc>
          <w:tcPr>
            <w:tcW w:w="9468" w:type="dxa"/>
            <w:gridSpan w:val="11"/>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Home Visits for Frequently Absent Children: Opportunity Costs</w:t>
            </w:r>
          </w:p>
        </w:tc>
      </w:tr>
      <w:tr w:rsidR="006C2DBA" w:rsidRPr="00C1694A" w:rsidTr="00D722F2">
        <w:tc>
          <w:tcPr>
            <w:tcW w:w="1706"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Total Number of Parents</w:t>
            </w:r>
          </w:p>
        </w:tc>
        <w:tc>
          <w:tcPr>
            <w:tcW w:w="1894"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Hourly Wage Forgone</w:t>
            </w:r>
          </w:p>
        </w:tc>
        <w:tc>
          <w:tcPr>
            <w:tcW w:w="1800" w:type="dxa"/>
            <w:gridSpan w:val="3"/>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Hours</w:t>
            </w:r>
          </w:p>
        </w:tc>
        <w:tc>
          <w:tcPr>
            <w:tcW w:w="1800"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 for all parents</w:t>
            </w:r>
          </w:p>
        </w:tc>
        <w:tc>
          <w:tcPr>
            <w:tcW w:w="2268" w:type="dxa"/>
            <w:gridSpan w:val="2"/>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 for parents receiving HV</w:t>
            </w:r>
          </w:p>
        </w:tc>
      </w:tr>
      <w:tr w:rsidR="006C2DBA" w:rsidRPr="00C1694A" w:rsidTr="00D722F2">
        <w:tc>
          <w:tcPr>
            <w:tcW w:w="1706"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62,858</w:t>
            </w:r>
          </w:p>
        </w:tc>
        <w:tc>
          <w:tcPr>
            <w:tcW w:w="1894" w:type="dxa"/>
            <w:gridSpan w:val="2"/>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$7.25</w:t>
            </w:r>
          </w:p>
        </w:tc>
        <w:tc>
          <w:tcPr>
            <w:tcW w:w="1800" w:type="dxa"/>
            <w:gridSpan w:val="3"/>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w:t>
            </w:r>
          </w:p>
        </w:tc>
        <w:tc>
          <w:tcPr>
            <w:tcW w:w="1800" w:type="dxa"/>
            <w:gridSpan w:val="2"/>
          </w:tcPr>
          <w:p w:rsidR="006C2DBA" w:rsidRPr="00C1694A" w:rsidRDefault="006C2DBA" w:rsidP="000C0029">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 xml:space="preserve"> $911,441</w:t>
            </w:r>
          </w:p>
        </w:tc>
        <w:tc>
          <w:tcPr>
            <w:tcW w:w="2268" w:type="dxa"/>
            <w:gridSpan w:val="2"/>
          </w:tcPr>
          <w:p w:rsidR="006C2DBA" w:rsidRPr="00C1694A" w:rsidRDefault="006C2DBA" w:rsidP="000C0029">
            <w:pPr>
              <w:spacing w:after="0" w:line="240" w:lineRule="auto"/>
              <w:jc w:val="right"/>
              <w:rPr>
                <w:rFonts w:ascii="Times New Roman" w:hAnsi="Times New Roman" w:cs="Times New Roman"/>
                <w:sz w:val="20"/>
              </w:rPr>
            </w:pPr>
            <w:r w:rsidRPr="00C1694A">
              <w:rPr>
                <w:rFonts w:ascii="Times New Roman" w:hAnsi="Times New Roman" w:cs="Times New Roman"/>
                <w:sz w:val="20"/>
              </w:rPr>
              <w:t>$455,721</w:t>
            </w:r>
          </w:p>
        </w:tc>
      </w:tr>
      <w:tr w:rsidR="006C2DBA" w:rsidRPr="00C1694A" w:rsidTr="00D722F2">
        <w:tc>
          <w:tcPr>
            <w:tcW w:w="7200" w:type="dxa"/>
            <w:gridSpan w:val="9"/>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Total</w:t>
            </w:r>
          </w:p>
        </w:tc>
        <w:tc>
          <w:tcPr>
            <w:tcW w:w="2268" w:type="dxa"/>
            <w:gridSpan w:val="2"/>
          </w:tcPr>
          <w:p w:rsidR="006C2DBA" w:rsidRPr="00C1694A" w:rsidRDefault="006C2DBA" w:rsidP="000C0029">
            <w:pPr>
              <w:spacing w:after="0" w:line="240" w:lineRule="auto"/>
              <w:jc w:val="right"/>
              <w:rPr>
                <w:rFonts w:ascii="Times New Roman" w:hAnsi="Times New Roman" w:cs="Times New Roman"/>
                <w:b/>
                <w:sz w:val="20"/>
              </w:rPr>
            </w:pPr>
            <w:r w:rsidRPr="00C1694A">
              <w:rPr>
                <w:rFonts w:ascii="Times New Roman" w:hAnsi="Times New Roman" w:cs="Times New Roman"/>
                <w:b/>
                <w:sz w:val="20"/>
              </w:rPr>
              <w:t>$455,721</w:t>
            </w:r>
          </w:p>
        </w:tc>
      </w:tr>
      <w:tr w:rsidR="006C2DBA" w:rsidRPr="00C1694A" w:rsidTr="00D722F2">
        <w:tc>
          <w:tcPr>
            <w:tcW w:w="1275" w:type="dxa"/>
          </w:tcPr>
          <w:p w:rsidR="006C2DBA" w:rsidRPr="00C1694A" w:rsidRDefault="006C2DBA" w:rsidP="00D722F2">
            <w:pPr>
              <w:spacing w:after="0" w:line="240" w:lineRule="auto"/>
              <w:jc w:val="center"/>
              <w:rPr>
                <w:rFonts w:ascii="Times New Roman" w:hAnsi="Times New Roman" w:cs="Times New Roman"/>
                <w:b/>
                <w:sz w:val="20"/>
              </w:rPr>
            </w:pPr>
          </w:p>
        </w:tc>
        <w:tc>
          <w:tcPr>
            <w:tcW w:w="1275" w:type="dxa"/>
            <w:gridSpan w:val="2"/>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1</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2016/2017</w:t>
            </w:r>
          </w:p>
        </w:tc>
        <w:tc>
          <w:tcPr>
            <w:tcW w:w="1275" w:type="dxa"/>
            <w:gridSpan w:val="2"/>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2</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2017/2018</w:t>
            </w:r>
          </w:p>
        </w:tc>
        <w:tc>
          <w:tcPr>
            <w:tcW w:w="1275" w:type="dxa"/>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3</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2018/2019</w:t>
            </w:r>
          </w:p>
        </w:tc>
        <w:tc>
          <w:tcPr>
            <w:tcW w:w="1380" w:type="dxa"/>
            <w:gridSpan w:val="2"/>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4</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2019/2020</w:t>
            </w:r>
          </w:p>
        </w:tc>
        <w:tc>
          <w:tcPr>
            <w:tcW w:w="1440" w:type="dxa"/>
            <w:gridSpan w:val="2"/>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5</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2020/2021</w:t>
            </w:r>
          </w:p>
        </w:tc>
        <w:tc>
          <w:tcPr>
            <w:tcW w:w="1548" w:type="dxa"/>
          </w:tcPr>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Year 6</w:t>
            </w:r>
          </w:p>
          <w:p w:rsidR="006C2DBA" w:rsidRPr="00C1694A" w:rsidRDefault="006C2DBA" w:rsidP="00D722F2">
            <w:pPr>
              <w:spacing w:after="0" w:line="240" w:lineRule="auto"/>
              <w:jc w:val="center"/>
              <w:rPr>
                <w:rFonts w:ascii="Times New Roman" w:hAnsi="Times New Roman" w:cs="Times New Roman"/>
                <w:b/>
                <w:sz w:val="20"/>
              </w:rPr>
            </w:pPr>
            <w:r w:rsidRPr="00C1694A">
              <w:rPr>
                <w:rFonts w:ascii="Times New Roman" w:hAnsi="Times New Roman" w:cs="Times New Roman"/>
                <w:b/>
                <w:sz w:val="20"/>
              </w:rPr>
              <w:t>2021/2022</w:t>
            </w:r>
          </w:p>
        </w:tc>
      </w:tr>
      <w:tr w:rsidR="006C2DBA" w:rsidRPr="00C1694A" w:rsidTr="00D722F2">
        <w:tc>
          <w:tcPr>
            <w:tcW w:w="1275" w:type="dxa"/>
          </w:tcPr>
          <w:p w:rsidR="006C2DBA" w:rsidRPr="00C1694A" w:rsidRDefault="006C2DBA" w:rsidP="00D722F2">
            <w:pPr>
              <w:spacing w:after="0" w:line="240" w:lineRule="auto"/>
              <w:jc w:val="right"/>
              <w:rPr>
                <w:rFonts w:ascii="Times New Roman" w:hAnsi="Times New Roman" w:cs="Times New Roman"/>
                <w:b/>
                <w:sz w:val="20"/>
              </w:rPr>
            </w:pPr>
            <w:r w:rsidRPr="00C1694A">
              <w:rPr>
                <w:rFonts w:ascii="Times New Roman" w:hAnsi="Times New Roman" w:cs="Times New Roman"/>
                <w:b/>
                <w:sz w:val="20"/>
              </w:rPr>
              <w:t>Reduction Over Time</w:t>
            </w:r>
          </w:p>
        </w:tc>
        <w:tc>
          <w:tcPr>
            <w:tcW w:w="1275" w:type="dxa"/>
            <w:gridSpan w:val="2"/>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$455,721</w:t>
            </w:r>
          </w:p>
        </w:tc>
        <w:tc>
          <w:tcPr>
            <w:tcW w:w="1275" w:type="dxa"/>
            <w:gridSpan w:val="2"/>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$410,149</w:t>
            </w:r>
          </w:p>
        </w:tc>
        <w:tc>
          <w:tcPr>
            <w:tcW w:w="1275" w:type="dxa"/>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$364,577</w:t>
            </w:r>
          </w:p>
        </w:tc>
        <w:tc>
          <w:tcPr>
            <w:tcW w:w="1380" w:type="dxa"/>
            <w:gridSpan w:val="2"/>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$319,005</w:t>
            </w:r>
          </w:p>
        </w:tc>
        <w:tc>
          <w:tcPr>
            <w:tcW w:w="1440" w:type="dxa"/>
            <w:gridSpan w:val="2"/>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$273,433</w:t>
            </w:r>
          </w:p>
        </w:tc>
        <w:tc>
          <w:tcPr>
            <w:tcW w:w="1548" w:type="dxa"/>
            <w:vAlign w:val="bottom"/>
          </w:tcPr>
          <w:p w:rsidR="006C2DBA" w:rsidRPr="00C1694A" w:rsidRDefault="006C2DBA" w:rsidP="00D722F2">
            <w:pPr>
              <w:spacing w:after="0" w:line="240" w:lineRule="auto"/>
              <w:jc w:val="center"/>
              <w:rPr>
                <w:rFonts w:ascii="Times New Roman" w:hAnsi="Times New Roman" w:cs="Times New Roman"/>
                <w:sz w:val="20"/>
              </w:rPr>
            </w:pPr>
            <w:r w:rsidRPr="00C1694A">
              <w:rPr>
                <w:rFonts w:ascii="Times New Roman" w:hAnsi="Times New Roman" w:cs="Times New Roman"/>
                <w:sz w:val="20"/>
              </w:rPr>
              <w:t>$227,861</w:t>
            </w:r>
          </w:p>
        </w:tc>
      </w:tr>
    </w:tbl>
    <w:p w:rsidR="006C2DBA" w:rsidRPr="00C1694A" w:rsidRDefault="006C2DBA" w:rsidP="00331A7B">
      <w:pPr>
        <w:spacing w:after="0" w:line="240" w:lineRule="auto"/>
        <w:rPr>
          <w:rFonts w:ascii="Times New Roman" w:hAnsi="Times New Roman" w:cs="Times New Roman"/>
          <w:i/>
          <w:sz w:val="24"/>
          <w:szCs w:val="24"/>
        </w:rPr>
      </w:pPr>
    </w:p>
    <w:p w:rsidR="006C2DBA" w:rsidRPr="00C1694A" w:rsidRDefault="006C2DBA" w:rsidP="00D722F2">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Parent Contact for Unexpectedly Absent Children</w:t>
      </w:r>
    </w:p>
    <w:p w:rsidR="006C2DBA" w:rsidRPr="00C1694A" w:rsidRDefault="006C2DBA" w:rsidP="00D722F2">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The rule includes a new provision in §1302.16 that requires programs to attempt to contact parents if they have not notified the program that their children will be absent. This requirement will ensure child safety and facilitate more consistent attendance for all children.  The NPRM included a similar requirement, though the requirement in the final rule has been revised in response to comments.  However, the Regulatory Impact Analysis in the NPRM did not account for costs associated with this requirement.  In response to comments, we estimated the costs associated with contacting parents when they have not notified the program that their children will be absent in this section. In order to estimate the cost of this requirement, we assumed that 10 percent of children would be absent on any given day, which is 91,216 children when applied to the funded enrollment number for Head Start and Early Head Start programs.  Then we found the proportion of Head Start children who would be absent each day (83.8% or 76,439), and the proportion of Early Head Start children who would be absent each day (16.2% or 14,777). We further assumed one-quarter of these children, 19,110 in Head Start and 3,694 in Early Head Start, would be unexpectedly absent or that their parent would not contact the program within an hour to report the absence that day.  To estimate the cost of making phone calls, we assume 5 minutes of administrative staff or family service worker time per phone call resulting in 1,592 hours of staff time per day across all Head Start programs and 308 hours of staff time per day across all Early Head Start programs.  As a proxy for the hourly wage of this staff person, we averaged the hourly wage of Head Start and Early Head Start assistant teachers ($11.72).  Then we estimate the cost associated with this provision per day to be this hourly wage multiplied by the number of hours of staff time, which is $18,650 for Head Start programs and $3,608 for Early Head Start programs.  Finally, in order to estimate the cost of this provision annually, we multiplied the cost per day by the average number of days currently provided by Head Start (146.8) for a cost of $2,737,861 per year in Head Start, and by the average number of days currently provided by Early Head Start (222.364) for a cost of $802,338 per year in Early Head Start.    Finally, we summed these costs for a total cost per year across all programs of $3,540,199.</w:t>
      </w:r>
    </w:p>
    <w:tbl>
      <w:tblPr>
        <w:tblStyle w:val="TableGrid"/>
        <w:tblW w:w="0" w:type="auto"/>
        <w:tblLook w:val="04A0" w:firstRow="1" w:lastRow="0" w:firstColumn="1" w:lastColumn="0" w:noHBand="0" w:noVBand="1"/>
      </w:tblPr>
      <w:tblGrid>
        <w:gridCol w:w="1818"/>
        <w:gridCol w:w="1620"/>
        <w:gridCol w:w="2160"/>
        <w:gridCol w:w="1800"/>
        <w:gridCol w:w="1062"/>
        <w:gridCol w:w="1116"/>
      </w:tblGrid>
      <w:tr w:rsidR="006C2DBA" w:rsidRPr="00C1694A" w:rsidTr="00D722F2">
        <w:tc>
          <w:tcPr>
            <w:tcW w:w="9576" w:type="dxa"/>
            <w:gridSpan w:val="6"/>
            <w:vAlign w:val="bottom"/>
          </w:tcPr>
          <w:p w:rsidR="006C2DBA" w:rsidRPr="00C1694A" w:rsidRDefault="006C2DBA" w:rsidP="00D722F2">
            <w:pPr>
              <w:rPr>
                <w:rFonts w:ascii="Times New Roman" w:hAnsi="Times New Roman" w:cs="Times New Roman"/>
                <w:b/>
                <w:sz w:val="20"/>
                <w:szCs w:val="20"/>
              </w:rPr>
            </w:pPr>
            <w:r w:rsidRPr="00C1694A">
              <w:rPr>
                <w:rFonts w:ascii="Times New Roman" w:hAnsi="Times New Roman" w:cs="Times New Roman"/>
                <w:b/>
                <w:sz w:val="20"/>
                <w:szCs w:val="20"/>
              </w:rPr>
              <w:t>Parent Contact for Unexpectedly Absent Children</w:t>
            </w:r>
          </w:p>
        </w:tc>
      </w:tr>
      <w:tr w:rsidR="006C2DBA" w:rsidRPr="00C1694A" w:rsidTr="00D722F2">
        <w:tc>
          <w:tcPr>
            <w:tcW w:w="1818" w:type="dxa"/>
            <w:vAlign w:val="bottom"/>
          </w:tcPr>
          <w:p w:rsidR="006C2DBA" w:rsidRPr="00C1694A" w:rsidRDefault="006C2DBA" w:rsidP="00D722F2">
            <w:pPr>
              <w:jc w:val="center"/>
              <w:rPr>
                <w:rFonts w:ascii="Times New Roman" w:hAnsi="Times New Roman" w:cs="Times New Roman"/>
                <w:b/>
                <w:sz w:val="20"/>
                <w:szCs w:val="20"/>
              </w:rPr>
            </w:pPr>
          </w:p>
        </w:tc>
        <w:tc>
          <w:tcPr>
            <w:tcW w:w="1620"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Number of Absent Children</w:t>
            </w:r>
          </w:p>
        </w:tc>
        <w:tc>
          <w:tcPr>
            <w:tcW w:w="2160"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Number of Unexpectedly Absent Children</w:t>
            </w:r>
          </w:p>
        </w:tc>
        <w:tc>
          <w:tcPr>
            <w:tcW w:w="1800"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Hours of Staff Time (5 mins per call)</w:t>
            </w:r>
          </w:p>
        </w:tc>
        <w:tc>
          <w:tcPr>
            <w:tcW w:w="1062"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Cost Per Day</w:t>
            </w:r>
          </w:p>
        </w:tc>
        <w:tc>
          <w:tcPr>
            <w:tcW w:w="1116"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Cost Per Year</w:t>
            </w:r>
          </w:p>
        </w:tc>
      </w:tr>
      <w:tr w:rsidR="006C2DBA" w:rsidRPr="00C1694A" w:rsidTr="00D722F2">
        <w:tc>
          <w:tcPr>
            <w:tcW w:w="1818" w:type="dxa"/>
          </w:tcPr>
          <w:p w:rsidR="006C2DBA" w:rsidRPr="00C1694A" w:rsidRDefault="006C2DBA" w:rsidP="00D722F2">
            <w:pPr>
              <w:rPr>
                <w:rFonts w:ascii="Times New Roman" w:hAnsi="Times New Roman" w:cs="Times New Roman"/>
                <w:b/>
                <w:sz w:val="20"/>
                <w:szCs w:val="20"/>
              </w:rPr>
            </w:pPr>
            <w:r w:rsidRPr="00C1694A">
              <w:rPr>
                <w:rFonts w:ascii="Times New Roman" w:hAnsi="Times New Roman" w:cs="Times New Roman"/>
                <w:b/>
                <w:sz w:val="20"/>
                <w:szCs w:val="20"/>
              </w:rPr>
              <w:t>Head Start</w:t>
            </w:r>
          </w:p>
        </w:tc>
        <w:tc>
          <w:tcPr>
            <w:tcW w:w="162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76,439</w:t>
            </w:r>
          </w:p>
        </w:tc>
        <w:tc>
          <w:tcPr>
            <w:tcW w:w="216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19,110</w:t>
            </w:r>
          </w:p>
        </w:tc>
        <w:tc>
          <w:tcPr>
            <w:tcW w:w="180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1,592</w:t>
            </w:r>
          </w:p>
        </w:tc>
        <w:tc>
          <w:tcPr>
            <w:tcW w:w="1062"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$18,650</w:t>
            </w:r>
          </w:p>
        </w:tc>
        <w:tc>
          <w:tcPr>
            <w:tcW w:w="1116"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$2,737,861</w:t>
            </w:r>
          </w:p>
        </w:tc>
      </w:tr>
      <w:tr w:rsidR="006C2DBA" w:rsidRPr="00C1694A" w:rsidTr="00D722F2">
        <w:tc>
          <w:tcPr>
            <w:tcW w:w="1818" w:type="dxa"/>
          </w:tcPr>
          <w:p w:rsidR="006C2DBA" w:rsidRPr="00C1694A" w:rsidRDefault="006C2DBA" w:rsidP="00D722F2">
            <w:pPr>
              <w:rPr>
                <w:rFonts w:ascii="Times New Roman" w:hAnsi="Times New Roman" w:cs="Times New Roman"/>
                <w:b/>
                <w:sz w:val="20"/>
                <w:szCs w:val="20"/>
              </w:rPr>
            </w:pPr>
            <w:r w:rsidRPr="00C1694A">
              <w:rPr>
                <w:rFonts w:ascii="Times New Roman" w:hAnsi="Times New Roman" w:cs="Times New Roman"/>
                <w:b/>
                <w:sz w:val="20"/>
                <w:szCs w:val="20"/>
              </w:rPr>
              <w:t>Early Head Start</w:t>
            </w:r>
          </w:p>
        </w:tc>
        <w:tc>
          <w:tcPr>
            <w:tcW w:w="162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14,777</w:t>
            </w:r>
          </w:p>
        </w:tc>
        <w:tc>
          <w:tcPr>
            <w:tcW w:w="216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3,694</w:t>
            </w:r>
          </w:p>
        </w:tc>
        <w:tc>
          <w:tcPr>
            <w:tcW w:w="1800"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308</w:t>
            </w:r>
          </w:p>
        </w:tc>
        <w:tc>
          <w:tcPr>
            <w:tcW w:w="1062"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$3,608</w:t>
            </w:r>
          </w:p>
        </w:tc>
        <w:tc>
          <w:tcPr>
            <w:tcW w:w="1116"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$802,338</w:t>
            </w:r>
          </w:p>
        </w:tc>
      </w:tr>
      <w:tr w:rsidR="006C2DBA" w:rsidRPr="00C1694A" w:rsidTr="00D722F2">
        <w:tc>
          <w:tcPr>
            <w:tcW w:w="8460" w:type="dxa"/>
            <w:gridSpan w:val="5"/>
            <w:vAlign w:val="bottom"/>
          </w:tcPr>
          <w:p w:rsidR="006C2DBA" w:rsidRPr="00C1694A" w:rsidRDefault="006C2DBA" w:rsidP="00D722F2">
            <w:pPr>
              <w:jc w:val="right"/>
              <w:rPr>
                <w:rFonts w:ascii="Times New Roman" w:hAnsi="Times New Roman" w:cs="Times New Roman"/>
                <w:b/>
                <w:sz w:val="20"/>
                <w:szCs w:val="20"/>
              </w:rPr>
            </w:pPr>
            <w:r w:rsidRPr="00C1694A">
              <w:rPr>
                <w:rFonts w:ascii="Times New Roman" w:hAnsi="Times New Roman" w:cs="Times New Roman"/>
                <w:b/>
                <w:sz w:val="20"/>
                <w:szCs w:val="20"/>
              </w:rPr>
              <w:t>Total</w:t>
            </w:r>
          </w:p>
        </w:tc>
        <w:tc>
          <w:tcPr>
            <w:tcW w:w="1116" w:type="dxa"/>
            <w:vAlign w:val="bottom"/>
          </w:tcPr>
          <w:p w:rsidR="006C2DBA" w:rsidRPr="00C1694A" w:rsidRDefault="006C2DBA" w:rsidP="00D722F2">
            <w:pPr>
              <w:jc w:val="right"/>
              <w:rPr>
                <w:rFonts w:ascii="Times New Roman" w:hAnsi="Times New Roman" w:cs="Times New Roman"/>
                <w:b/>
                <w:sz w:val="20"/>
                <w:szCs w:val="20"/>
              </w:rPr>
            </w:pPr>
            <w:r w:rsidRPr="00C1694A">
              <w:rPr>
                <w:rFonts w:ascii="Times New Roman" w:hAnsi="Times New Roman" w:cs="Times New Roman"/>
                <w:b/>
                <w:sz w:val="20"/>
                <w:szCs w:val="20"/>
              </w:rPr>
              <w:t>$3,540,199</w:t>
            </w:r>
          </w:p>
        </w:tc>
      </w:tr>
    </w:tbl>
    <w:p w:rsidR="006C2DBA" w:rsidRPr="00C1694A" w:rsidRDefault="006C2DBA" w:rsidP="00331A7B">
      <w:pPr>
        <w:spacing w:after="0" w:line="480" w:lineRule="auto"/>
        <w:rPr>
          <w:rFonts w:ascii="Times New Roman" w:hAnsi="Times New Roman" w:cs="Times New Roman"/>
          <w:b/>
          <w:sz w:val="24"/>
          <w:szCs w:val="24"/>
          <w:u w:val="single"/>
        </w:rPr>
      </w:pPr>
    </w:p>
    <w:p w:rsidR="006C2DBA" w:rsidRDefault="006C2DBA" w:rsidP="00331A7B">
      <w:pPr>
        <w:spacing w:after="0" w:line="480" w:lineRule="auto"/>
        <w:rPr>
          <w:rFonts w:ascii="Times New Roman" w:hAnsi="Times New Roman" w:cs="Times New Roman"/>
          <w:b/>
          <w:sz w:val="24"/>
          <w:szCs w:val="24"/>
          <w:u w:val="single"/>
        </w:rPr>
      </w:pPr>
    </w:p>
    <w:p w:rsidR="006C2DBA" w:rsidRPr="00C1694A" w:rsidRDefault="006C2DBA" w:rsidP="00331A7B">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Staff Quality Provisions</w:t>
      </w:r>
    </w:p>
    <w:p w:rsidR="006C2DBA" w:rsidRPr="00C1694A" w:rsidRDefault="006C2DBA" w:rsidP="00331A7B">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 xml:space="preserve">This rule also includes several provisions to improve the quality of staff in Head Start and Early Head Start programs.  Specifically, we analyzed costs associated with the following requirements: minimum of associate’s degree for all Head Start teachers in §1302.91(e)(2)(ii); minimum of CDA or equivalent credential for all home visitors in §1302.91(e)(6)(i); credentials for newly hired family services workers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1302.91(e)(7); credentials for newly hired management staff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1302.91(d)(1)(i); and mentor coaching in §1302.92(d).   </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Associate’s Degree (AA) for Head Start Teachers</w:t>
      </w:r>
    </w:p>
    <w:p w:rsidR="006C2DB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The Act detailed new degree requirements for all Head Start teachers.  Specifically, 648A(a)(3)(B) of the Act  codified a minimum requirement that all Head Start teachers have at least an associate’s degree.  While progress towards meeting this requirement has been substantial, according to PIR data, a small percentage of Head Start teachers in 2015 (4.2%) did not have such a degree.  In this rule, we added this requirement into the staff qualifications section of the performance standards in §1302.91(e)(2)(ii).  Given that some teachers do not have the minimum degree, we estimated the cost associated with this requirement by finding the respective differences in average salaries for teachers with no credential and teachers with a Child Development Associate (CDA), compared to teachers with associate’s degrees.  We then multiplied the number of teachers who currently have no credential or the number of teachers who currently have only a CDA by the additional salary for each group.  Finally, we increased the estimated salary for these teachers by one-third to account for fringe benefits (we assumed no additional overhead costs). Using this method, we estimate the total cost for Head Start programs to meet this requirement to be $10,472,585. These costs will be realized in year one and annually thereafter.</w:t>
      </w:r>
    </w:p>
    <w:p w:rsidR="006C2DBA" w:rsidRDefault="006C2DBA" w:rsidP="00331A7B">
      <w:pPr>
        <w:spacing w:after="0" w:line="48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215"/>
        <w:gridCol w:w="1616"/>
        <w:gridCol w:w="1832"/>
        <w:gridCol w:w="2517"/>
      </w:tblGrid>
      <w:tr w:rsidR="006C2DBA" w:rsidRPr="00C1694A" w:rsidTr="0010550E">
        <w:tc>
          <w:tcPr>
            <w:tcW w:w="9468" w:type="dxa"/>
            <w:gridSpan w:val="5"/>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Associate’s Degree for Head Start Teachers: Costs Borne by Head Start</w:t>
            </w:r>
          </w:p>
        </w:tc>
      </w:tr>
      <w:tr w:rsidR="006C2DBA" w:rsidRPr="00C1694A" w:rsidTr="00202212">
        <w:tc>
          <w:tcPr>
            <w:tcW w:w="1288"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Current Credential</w:t>
            </w:r>
          </w:p>
        </w:tc>
        <w:tc>
          <w:tcPr>
            <w:tcW w:w="2215"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 xml:space="preserve">Salary Differential </w:t>
            </w:r>
          </w:p>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(between current and AA)</w:t>
            </w:r>
          </w:p>
        </w:tc>
        <w:tc>
          <w:tcPr>
            <w:tcW w:w="1616" w:type="dxa"/>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Inflated for Fringe</w:t>
            </w:r>
          </w:p>
        </w:tc>
        <w:tc>
          <w:tcPr>
            <w:tcW w:w="1832"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Teachers</w:t>
            </w:r>
          </w:p>
        </w:tc>
        <w:tc>
          <w:tcPr>
            <w:tcW w:w="2517"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of Additional Salary After Obtaining AA</w:t>
            </w:r>
          </w:p>
        </w:tc>
      </w:tr>
      <w:tr w:rsidR="006C2DBA" w:rsidRPr="00C1694A" w:rsidTr="00202212">
        <w:tc>
          <w:tcPr>
            <w:tcW w:w="1288"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CDA</w:t>
            </w:r>
          </w:p>
        </w:tc>
        <w:tc>
          <w:tcPr>
            <w:tcW w:w="2215"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$4,535</w:t>
            </w:r>
          </w:p>
        </w:tc>
        <w:tc>
          <w:tcPr>
            <w:tcW w:w="1616"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$6,032</w:t>
            </w:r>
          </w:p>
        </w:tc>
        <w:tc>
          <w:tcPr>
            <w:tcW w:w="1832"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1,314</w:t>
            </w:r>
          </w:p>
        </w:tc>
        <w:tc>
          <w:tcPr>
            <w:tcW w:w="2517" w:type="dxa"/>
          </w:tcPr>
          <w:p w:rsidR="006C2DBA" w:rsidRPr="00C1694A" w:rsidRDefault="006C2DBA" w:rsidP="004E25F1">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$7,925,457</w:t>
            </w:r>
          </w:p>
        </w:tc>
      </w:tr>
      <w:tr w:rsidR="006C2DBA" w:rsidRPr="00C1694A" w:rsidTr="00202212">
        <w:trPr>
          <w:trHeight w:val="215"/>
        </w:trPr>
        <w:tc>
          <w:tcPr>
            <w:tcW w:w="1288"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None</w:t>
            </w:r>
          </w:p>
        </w:tc>
        <w:tc>
          <w:tcPr>
            <w:tcW w:w="2215"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$3,426</w:t>
            </w:r>
          </w:p>
        </w:tc>
        <w:tc>
          <w:tcPr>
            <w:tcW w:w="1616"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$4,557</w:t>
            </w:r>
          </w:p>
        </w:tc>
        <w:tc>
          <w:tcPr>
            <w:tcW w:w="1832"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559</w:t>
            </w:r>
          </w:p>
        </w:tc>
        <w:tc>
          <w:tcPr>
            <w:tcW w:w="2517" w:type="dxa"/>
          </w:tcPr>
          <w:p w:rsidR="006C2DBA" w:rsidRPr="00C1694A" w:rsidRDefault="006C2DBA" w:rsidP="004E25F1">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$2,547,128</w:t>
            </w:r>
          </w:p>
        </w:tc>
      </w:tr>
      <w:tr w:rsidR="006C2DBA" w:rsidRPr="00C1694A" w:rsidTr="0010550E">
        <w:tc>
          <w:tcPr>
            <w:tcW w:w="6951" w:type="dxa"/>
            <w:gridSpan w:val="4"/>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Total</w:t>
            </w:r>
          </w:p>
        </w:tc>
        <w:tc>
          <w:tcPr>
            <w:tcW w:w="2517" w:type="dxa"/>
          </w:tcPr>
          <w:p w:rsidR="006C2DBA" w:rsidRPr="00C1694A" w:rsidRDefault="006C2DBA" w:rsidP="004E25F1">
            <w:pPr>
              <w:spacing w:after="0" w:line="240" w:lineRule="auto"/>
              <w:jc w:val="right"/>
              <w:rPr>
                <w:rFonts w:ascii="Times New Roman" w:hAnsi="Times New Roman" w:cs="Times New Roman"/>
                <w:sz w:val="20"/>
                <w:szCs w:val="20"/>
              </w:rPr>
            </w:pPr>
            <w:r w:rsidRPr="00C1694A">
              <w:rPr>
                <w:rFonts w:ascii="Times New Roman" w:hAnsi="Times New Roman" w:cs="Times New Roman"/>
                <w:b/>
                <w:sz w:val="20"/>
              </w:rPr>
              <w:t>$10,472,585</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Home-Visiting Child Development Associate for Home Visitors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rule, </w:t>
      </w:r>
      <w:r w:rsidRPr="00C1694A">
        <w:rPr>
          <w:rFonts w:ascii="Times New Roman" w:hAnsi="Times New Roman" w:cs="Times New Roman"/>
          <w:sz w:val="24"/>
        </w:rPr>
        <w:t xml:space="preserve">we also propose to require that all home visitors have, at a minimum, a home-based CDA credential or equivalent </w:t>
      </w:r>
      <w:r w:rsidRPr="00C1694A">
        <w:rPr>
          <w:rFonts w:ascii="Times New Roman" w:hAnsi="Times New Roman" w:cs="Times New Roman"/>
          <w:sz w:val="24"/>
          <w:szCs w:val="24"/>
        </w:rPr>
        <w:t>in §1302.91(e)(6)(i).  This change will ensure that all home visitors are equipped with the critical content knowledge offered through a home-based CDA that will support their competency to implement a research-based curriculum and ensure children served in this model receive high-quality learning experiences</w:t>
      </w:r>
      <w:r w:rsidRPr="00C1694A">
        <w:rPr>
          <w:rFonts w:ascii="Times New Roman" w:eastAsia="Times New Roman" w:hAnsi="Times New Roman" w:cs="Times New Roman"/>
          <w:sz w:val="24"/>
          <w:szCs w:val="24"/>
        </w:rPr>
        <w:t>.</w:t>
      </w:r>
      <w:r w:rsidRPr="00C1694A">
        <w:rPr>
          <w:rFonts w:ascii="Times New Roman" w:hAnsi="Times New Roman" w:cs="Times New Roman"/>
          <w:sz w:val="24"/>
        </w:rPr>
        <w:t xml:space="preserve">  </w:t>
      </w:r>
      <w:r w:rsidRPr="00C1694A">
        <w:rPr>
          <w:rFonts w:ascii="Times New Roman" w:hAnsi="Times New Roman" w:cs="Times New Roman"/>
          <w:sz w:val="24"/>
          <w:szCs w:val="24"/>
        </w:rPr>
        <w:t xml:space="preserve">Because our current PIR data does not differentiate between credential types for home visitor salaries, we used a proxy of the differential percentage of salary for teachers with associate’s degrees compared to teachers with CDAs. We then applied this differential percentage to the average home visitor’s salary to estimate the increase in salary for home visitors who would obtain a CDA which is $6,029 when inflated by one-third to account for fringe benefits (we assumed no additional overhead costs).  Finally, we multiplied this additional salary by the number of home visitors who currently have no credential.  This approach gives us an estimate of the total cost of requiring higher credentials for home visitors. </w:t>
      </w:r>
      <w:r w:rsidRPr="00C1694A">
        <w:rPr>
          <w:rFonts w:ascii="Times New Roman" w:hAnsi="Times New Roman" w:cs="Times New Roman"/>
          <w:sz w:val="24"/>
        </w:rPr>
        <w:t xml:space="preserve">  </w:t>
      </w:r>
      <w:r w:rsidRPr="00C1694A">
        <w:rPr>
          <w:rFonts w:ascii="Times New Roman" w:hAnsi="Times New Roman" w:cs="Times New Roman"/>
          <w:sz w:val="24"/>
          <w:szCs w:val="24"/>
        </w:rPr>
        <w:t xml:space="preserve">Using this method, we estimate the total cost of meeting this new requirement to be $5,112,499.  </w:t>
      </w:r>
      <w:r w:rsidRPr="00C1694A">
        <w:rPr>
          <w:rFonts w:ascii="Times New Roman" w:eastAsia="Times New Roman" w:hAnsi="Times New Roman" w:cs="Times New Roman"/>
          <w:sz w:val="24"/>
          <w:szCs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883"/>
        <w:gridCol w:w="943"/>
        <w:gridCol w:w="1154"/>
        <w:gridCol w:w="1205"/>
        <w:gridCol w:w="1546"/>
        <w:gridCol w:w="1790"/>
      </w:tblGrid>
      <w:tr w:rsidR="006C2DBA" w:rsidRPr="00C1694A" w:rsidTr="0010550E">
        <w:tc>
          <w:tcPr>
            <w:tcW w:w="9648" w:type="dxa"/>
            <w:gridSpan w:val="7"/>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Home-visiting CDA: Costs Borne by Head Start</w:t>
            </w:r>
          </w:p>
        </w:tc>
      </w:tr>
      <w:tr w:rsidR="006C2DBA" w:rsidRPr="00C1694A" w:rsidTr="00202212">
        <w:tc>
          <w:tcPr>
            <w:tcW w:w="1127"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Current Credential</w:t>
            </w:r>
          </w:p>
        </w:tc>
        <w:tc>
          <w:tcPr>
            <w:tcW w:w="1883"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Proportion of Salary Differential</w:t>
            </w:r>
          </w:p>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(Teachers: CDA to AA)</w:t>
            </w:r>
          </w:p>
        </w:tc>
        <w:tc>
          <w:tcPr>
            <w:tcW w:w="943"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HV Salary</w:t>
            </w:r>
          </w:p>
        </w:tc>
        <w:tc>
          <w:tcPr>
            <w:tcW w:w="1154"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Additional Salary</w:t>
            </w:r>
          </w:p>
        </w:tc>
        <w:tc>
          <w:tcPr>
            <w:tcW w:w="1205" w:type="dxa"/>
            <w:vAlign w:val="bottom"/>
          </w:tcPr>
          <w:p w:rsidR="006C2DBA" w:rsidRPr="00C1694A" w:rsidRDefault="006C2DBA" w:rsidP="00460B6E">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Salary Inflated for Fringe</w:t>
            </w:r>
          </w:p>
        </w:tc>
        <w:tc>
          <w:tcPr>
            <w:tcW w:w="1546"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HVs w/o Any Credential</w:t>
            </w:r>
          </w:p>
        </w:tc>
        <w:tc>
          <w:tcPr>
            <w:tcW w:w="179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of Additional Salary for Credentialed HVs</w:t>
            </w:r>
          </w:p>
        </w:tc>
      </w:tr>
      <w:tr w:rsidR="006C2DBA" w:rsidRPr="00C1694A" w:rsidTr="00202212">
        <w:tc>
          <w:tcPr>
            <w:tcW w:w="1127"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None</w:t>
            </w:r>
          </w:p>
        </w:tc>
        <w:tc>
          <w:tcPr>
            <w:tcW w:w="1883"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14.91%</w:t>
            </w:r>
          </w:p>
        </w:tc>
        <w:tc>
          <w:tcPr>
            <w:tcW w:w="943"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$30,397</w:t>
            </w:r>
          </w:p>
        </w:tc>
        <w:tc>
          <w:tcPr>
            <w:tcW w:w="1154"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$4,533</w:t>
            </w:r>
          </w:p>
        </w:tc>
        <w:tc>
          <w:tcPr>
            <w:tcW w:w="1205" w:type="dxa"/>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$6,029</w:t>
            </w:r>
          </w:p>
        </w:tc>
        <w:tc>
          <w:tcPr>
            <w:tcW w:w="1546" w:type="dxa"/>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848</w:t>
            </w:r>
          </w:p>
        </w:tc>
        <w:tc>
          <w:tcPr>
            <w:tcW w:w="1790" w:type="dxa"/>
          </w:tcPr>
          <w:p w:rsidR="006C2DBA" w:rsidRPr="00C1694A" w:rsidRDefault="006C2DBA" w:rsidP="004E25F1">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 xml:space="preserve">$5,112,499 </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Credential for New Family Service Workers</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The final rule includes a requirement in §1302.91(e)(7) for new family services staff who work directly with families on the family partnership process to earn a credential in family services within 18 months of hire.  In order to calculate the cost associated with this requirement, we found the number of family services staff who currently do not have a credential or higher qualification (6,196) and assumed that approximately half of all family service workers work directly with families on the family partnership process for an estimate of 3,098 staff members whose replacement would need to earn a credential if the current worker left their job.  We then calculated an estimate of new staff who would need to earn a credential by applying the average turnover rate of 17 percent for teachers and home visitors as a proxy (because we do not have data on turnover of family services staff) for an annual estimate of 542 staff turning over.  Then we assumed the average cost for each staff person to get the necessary credential within 18 months would be $1,013, based on an average of costs for common family development credentials.  Therefore, we estimate the cost of this provision at $549,046 annually.  Given the difficulty, programs may face in the future finding staff that already have this credential, we have assumed this cost will be an ongoing annual cost. Therefore, these costs will be realized in year one and annually thereafter.</w:t>
      </w:r>
    </w:p>
    <w:tbl>
      <w:tblPr>
        <w:tblStyle w:val="TableGrid"/>
        <w:tblW w:w="9468" w:type="dxa"/>
        <w:tblLayout w:type="fixed"/>
        <w:tblLook w:val="04A0" w:firstRow="1" w:lastRow="0" w:firstColumn="1" w:lastColumn="0" w:noHBand="0" w:noVBand="1"/>
      </w:tblPr>
      <w:tblGrid>
        <w:gridCol w:w="2178"/>
        <w:gridCol w:w="2250"/>
        <w:gridCol w:w="1170"/>
        <w:gridCol w:w="1260"/>
        <w:gridCol w:w="1260"/>
        <w:gridCol w:w="1350"/>
      </w:tblGrid>
      <w:tr w:rsidR="006C2DBA" w:rsidRPr="00C1694A" w:rsidTr="00D722F2">
        <w:tc>
          <w:tcPr>
            <w:tcW w:w="9468" w:type="dxa"/>
            <w:gridSpan w:val="6"/>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Credential for New Family Service Workers: Costs Borne by Head Start</w:t>
            </w:r>
          </w:p>
        </w:tc>
      </w:tr>
      <w:tr w:rsidR="006C2DBA" w:rsidRPr="00C1694A" w:rsidTr="00D722F2">
        <w:tc>
          <w:tcPr>
            <w:tcW w:w="2178"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Number of Family Service Workers w/o Credential</w:t>
            </w:r>
          </w:p>
        </w:tc>
        <w:tc>
          <w:tcPr>
            <w:tcW w:w="225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Proportion of Staff working directly on Family Partnerships</w:t>
            </w:r>
          </w:p>
        </w:tc>
        <w:tc>
          <w:tcPr>
            <w:tcW w:w="117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Estimated Turnover rate</w:t>
            </w:r>
          </w:p>
        </w:tc>
        <w:tc>
          <w:tcPr>
            <w:tcW w:w="126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Total Staff Affected Annually</w:t>
            </w:r>
          </w:p>
        </w:tc>
        <w:tc>
          <w:tcPr>
            <w:tcW w:w="126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Cost of Credential</w:t>
            </w:r>
          </w:p>
        </w:tc>
        <w:tc>
          <w:tcPr>
            <w:tcW w:w="135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Total Estimated Cost</w:t>
            </w:r>
          </w:p>
        </w:tc>
      </w:tr>
      <w:tr w:rsidR="006C2DBA" w:rsidRPr="00C1694A" w:rsidTr="00D722F2">
        <w:tc>
          <w:tcPr>
            <w:tcW w:w="2178"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6,196</w:t>
            </w:r>
          </w:p>
        </w:tc>
        <w:tc>
          <w:tcPr>
            <w:tcW w:w="2250"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3,098</w:t>
            </w:r>
          </w:p>
        </w:tc>
        <w:tc>
          <w:tcPr>
            <w:tcW w:w="1170"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17%</w:t>
            </w:r>
          </w:p>
        </w:tc>
        <w:tc>
          <w:tcPr>
            <w:tcW w:w="1260"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542</w:t>
            </w:r>
          </w:p>
        </w:tc>
        <w:tc>
          <w:tcPr>
            <w:tcW w:w="1260"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$1,013</w:t>
            </w:r>
          </w:p>
        </w:tc>
        <w:tc>
          <w:tcPr>
            <w:tcW w:w="1350"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$549,046</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Bachelor’s Degree for New Management Staff</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response to comments described in the preamble of this rule, the final rule includes a requirement in §1302.91(d)(1) that newly hired staff who oversee health, disabilities, and family support services must have a bachelor’s degree (BA).  If a grantee assigns a separate area manager for each of these three service areas, it would result in three additional managers being required to hold a BA or higher.  However, it is currently common practice for programs to assign the duties associated with the oversight of two service areas to a single manager.  We assume that half of programs assign oversight of disabilities services to their Education Coordinator (who is already required to have a BA), which would lead to two managers (one for health and one for family support services) needing to possess BAs, and that half of programs would assign oversight of disabilities and family services or health to a single manager.  Therefore, we estimate that two managers at each program will need to possess BAs to meet this requirement.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then estimated the number of supervisors or management staff affected by the requirement who do not currently have a BA.  We used data from the PIR on the education level of family services supervisors because we do not collect data on the educational attainment of other service area managers.  Data indicate that 1,255 family services supervisors do not have a B.A. or higher. This estimate was then doubled based on the calculations and assumptions above for an estimate of 2,510 supervisory staff who do not currently have a B.A. or higher.  Because we do not have turnover information on management staff, we then applied the average turnover rate for teachers and home visitors (17 percent) as a proxy, to the number of service managers without a B.A., in order to estimate the total number of managers without a BA that would turn-over each year (accounting for those who acquired a BA in prior years, through year ten).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Then, in order to determine the anticipated salary increase for managers with a B.A,, we averaged the current salaries for family services, health, and disabilities managers from the PIR ($44,583) and found the difference between this salary and the average salary of education coordinators ($50,252) who are currently required to have a B.A. to estimate the average increase in salary for new managers with a B.A. ($5,669)</w:t>
      </w:r>
      <w:r>
        <w:rPr>
          <w:rFonts w:ascii="Times New Roman" w:hAnsi="Times New Roman" w:cs="Times New Roman"/>
          <w:sz w:val="24"/>
          <w:szCs w:val="24"/>
        </w:rPr>
        <w:t>.</w:t>
      </w:r>
      <w:r w:rsidRPr="00C1694A">
        <w:rPr>
          <w:rFonts w:ascii="Times New Roman" w:hAnsi="Times New Roman" w:cs="Times New Roman"/>
          <w:sz w:val="24"/>
          <w:szCs w:val="24"/>
        </w:rPr>
        <w:t xml:space="preserve">  We then inflated this additional salary by one-third to account for fringe benefits (we assumed no additional overhead) which is $7,540.  We then applied this difference to the number of staff affected annually.  Further, we applied the average proportion of management staff salaries’ borne by Head Start (67.8%) to find the cost borne by Head Start and the cost borne by other parties in years one through ten.</w:t>
      </w:r>
    </w:p>
    <w:p w:rsidR="006C2DBA" w:rsidRPr="00C1694A" w:rsidRDefault="006C2DBA">
      <w:pPr>
        <w:rPr>
          <w:rFonts w:ascii="Times New Roman" w:hAnsi="Times New Roman" w:cs="Times New Roman"/>
          <w:sz w:val="24"/>
          <w:szCs w:val="24"/>
        </w:rPr>
      </w:pPr>
    </w:p>
    <w:tbl>
      <w:tblPr>
        <w:tblW w:w="8658" w:type="dxa"/>
        <w:tblLayout w:type="fixed"/>
        <w:tblCellMar>
          <w:left w:w="0" w:type="dxa"/>
          <w:right w:w="0" w:type="dxa"/>
        </w:tblCellMar>
        <w:tblLook w:val="04A0" w:firstRow="1" w:lastRow="0" w:firstColumn="1" w:lastColumn="0" w:noHBand="0" w:noVBand="1"/>
      </w:tblPr>
      <w:tblGrid>
        <w:gridCol w:w="1998"/>
        <w:gridCol w:w="2070"/>
        <w:gridCol w:w="2070"/>
        <w:gridCol w:w="2520"/>
      </w:tblGrid>
      <w:tr w:rsidR="006C2DBA" w:rsidRPr="00C1694A" w:rsidTr="00D722F2">
        <w:trPr>
          <w:trHeight w:val="288"/>
        </w:trPr>
        <w:tc>
          <w:tcPr>
            <w:tcW w:w="8658"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Bachelor’s Degree for New Management Staff: Costs Borne by Head Start and by Other Parties</w:t>
            </w:r>
          </w:p>
        </w:tc>
      </w:tr>
      <w:tr w:rsidR="006C2DBA" w:rsidRPr="00C1694A" w:rsidTr="00D722F2">
        <w:trPr>
          <w:trHeight w:val="288"/>
        </w:trPr>
        <w:tc>
          <w:tcPr>
            <w:tcW w:w="19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C2DBA" w:rsidRPr="00C1694A" w:rsidRDefault="006C2DBA" w:rsidP="00DC5146">
            <w:pPr>
              <w:spacing w:after="0" w:line="240" w:lineRule="auto"/>
              <w:jc w:val="center"/>
              <w:rPr>
                <w:rFonts w:ascii="Times New Roman" w:eastAsiaTheme="minorHAnsi" w:hAnsi="Times New Roman" w:cs="Times New Roman"/>
                <w:b/>
                <w:sz w:val="20"/>
                <w:szCs w:val="20"/>
              </w:rPr>
            </w:pPr>
            <w:r w:rsidRPr="00C1694A">
              <w:rPr>
                <w:rFonts w:ascii="Times New Roman" w:hAnsi="Times New Roman" w:cs="Times New Roman"/>
                <w:b/>
                <w:sz w:val="20"/>
                <w:szCs w:val="20"/>
              </w:rPr>
              <w:t>Family Service Supervisors without BA or higher</w:t>
            </w: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C2DBA" w:rsidRPr="00C1694A" w:rsidRDefault="006C2DBA" w:rsidP="00DC5146">
            <w:pPr>
              <w:spacing w:after="0" w:line="240" w:lineRule="auto"/>
              <w:jc w:val="center"/>
              <w:rPr>
                <w:rFonts w:ascii="Times New Roman" w:eastAsiaTheme="minorHAnsi" w:hAnsi="Times New Roman" w:cs="Times New Roman"/>
                <w:b/>
                <w:sz w:val="20"/>
                <w:szCs w:val="20"/>
              </w:rPr>
            </w:pPr>
            <w:r w:rsidRPr="00C1694A">
              <w:rPr>
                <w:rFonts w:ascii="Times New Roman" w:hAnsi="Times New Roman" w:cs="Times New Roman"/>
                <w:b/>
                <w:sz w:val="20"/>
                <w:szCs w:val="20"/>
              </w:rPr>
              <w:t>Inflated for other service areas (2)</w:t>
            </w: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C2DBA" w:rsidRPr="00C1694A" w:rsidRDefault="006C2DBA" w:rsidP="00DC5146">
            <w:pPr>
              <w:spacing w:after="0" w:line="240" w:lineRule="auto"/>
              <w:jc w:val="center"/>
              <w:rPr>
                <w:rFonts w:ascii="Times New Roman" w:eastAsiaTheme="minorHAnsi" w:hAnsi="Times New Roman" w:cs="Times New Roman"/>
                <w:b/>
                <w:sz w:val="20"/>
                <w:szCs w:val="20"/>
              </w:rPr>
            </w:pPr>
            <w:r w:rsidRPr="00C1694A">
              <w:rPr>
                <w:rFonts w:ascii="Times New Roman" w:hAnsi="Times New Roman" w:cs="Times New Roman"/>
                <w:b/>
                <w:sz w:val="20"/>
                <w:szCs w:val="20"/>
              </w:rPr>
              <w:t>Estimated Annual Turnover Rate</w:t>
            </w:r>
          </w:p>
        </w:tc>
        <w:tc>
          <w:tcPr>
            <w:tcW w:w="2520" w:type="dxa"/>
            <w:tcBorders>
              <w:top w:val="single" w:sz="8" w:space="0" w:color="auto"/>
              <w:left w:val="single" w:sz="8" w:space="0" w:color="auto"/>
              <w:bottom w:val="single" w:sz="8" w:space="0" w:color="auto"/>
              <w:right w:val="single" w:sz="8" w:space="0" w:color="auto"/>
            </w:tcBorders>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increase in salary</w:t>
            </w:r>
          </w:p>
        </w:tc>
      </w:tr>
      <w:tr w:rsidR="006C2DBA" w:rsidRPr="00C1694A" w:rsidTr="00D722F2">
        <w:trPr>
          <w:trHeight w:val="288"/>
        </w:trPr>
        <w:tc>
          <w:tcPr>
            <w:tcW w:w="19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1,255</w:t>
            </w: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2,510</w:t>
            </w: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17%</w:t>
            </w:r>
          </w:p>
        </w:tc>
        <w:tc>
          <w:tcPr>
            <w:tcW w:w="2520" w:type="dxa"/>
            <w:tcBorders>
              <w:top w:val="single" w:sz="8" w:space="0" w:color="auto"/>
              <w:left w:val="single" w:sz="8" w:space="0" w:color="auto"/>
              <w:bottom w:val="single" w:sz="8" w:space="0" w:color="auto"/>
              <w:right w:val="single" w:sz="8" w:space="0" w:color="auto"/>
            </w:tcBorders>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$7,540</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8"/>
        </w:trPr>
        <w:tc>
          <w:tcPr>
            <w:tcW w:w="1998" w:type="dxa"/>
            <w:noWrap/>
            <w:tcMar>
              <w:top w:w="0" w:type="dxa"/>
              <w:left w:w="108" w:type="dxa"/>
              <w:bottom w:w="0" w:type="dxa"/>
              <w:right w:w="108" w:type="dxa"/>
            </w:tcMar>
            <w:vAlign w:val="bottom"/>
            <w:hideMark/>
          </w:tcPr>
          <w:p w:rsidR="006C2DBA" w:rsidRPr="00C1694A" w:rsidRDefault="006C2DBA" w:rsidP="00DC5146">
            <w:pPr>
              <w:spacing w:after="0" w:line="240" w:lineRule="auto"/>
              <w:rPr>
                <w:rFonts w:ascii="Times New Roman" w:hAnsi="Times New Roman" w:cs="Times New Roman"/>
                <w:b/>
                <w:sz w:val="20"/>
                <w:szCs w:val="20"/>
              </w:rPr>
            </w:pPr>
          </w:p>
        </w:tc>
        <w:tc>
          <w:tcPr>
            <w:tcW w:w="2070" w:type="dxa"/>
            <w:noWrap/>
            <w:tcMar>
              <w:top w:w="0" w:type="dxa"/>
              <w:left w:w="108" w:type="dxa"/>
              <w:bottom w:w="0" w:type="dxa"/>
              <w:right w:w="108" w:type="dxa"/>
            </w:tcMar>
            <w:vAlign w:val="bottom"/>
            <w:hideMark/>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to Society</w:t>
            </w:r>
          </w:p>
        </w:tc>
        <w:tc>
          <w:tcPr>
            <w:tcW w:w="207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Costs Borne by HS</w:t>
            </w:r>
          </w:p>
        </w:tc>
        <w:tc>
          <w:tcPr>
            <w:tcW w:w="252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Costs Borne by Other Parties</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8"/>
        </w:trPr>
        <w:tc>
          <w:tcPr>
            <w:tcW w:w="1998" w:type="dxa"/>
            <w:noWrap/>
            <w:tcMar>
              <w:top w:w="0" w:type="dxa"/>
              <w:left w:w="108" w:type="dxa"/>
              <w:bottom w:w="0" w:type="dxa"/>
              <w:right w:w="108" w:type="dxa"/>
            </w:tcMar>
            <w:vAlign w:val="bottom"/>
            <w:hideMark/>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1</w:t>
            </w:r>
          </w:p>
        </w:tc>
        <w:tc>
          <w:tcPr>
            <w:tcW w:w="2070" w:type="dxa"/>
            <w:noWrap/>
            <w:tcMar>
              <w:top w:w="0" w:type="dxa"/>
              <w:left w:w="108" w:type="dxa"/>
              <w:bottom w:w="0" w:type="dxa"/>
              <w:right w:w="108" w:type="dxa"/>
            </w:tcMar>
            <w:vAlign w:val="bottom"/>
            <w:hideMark/>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3,219,482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2,182,809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1,036,673 </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8"/>
        </w:trPr>
        <w:tc>
          <w:tcPr>
            <w:tcW w:w="1998" w:type="dxa"/>
            <w:noWrap/>
            <w:tcMar>
              <w:top w:w="0" w:type="dxa"/>
              <w:left w:w="108" w:type="dxa"/>
              <w:bottom w:w="0" w:type="dxa"/>
              <w:right w:w="108" w:type="dxa"/>
            </w:tcMar>
            <w:vAlign w:val="bottom"/>
            <w:hideMark/>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2</w:t>
            </w:r>
          </w:p>
        </w:tc>
        <w:tc>
          <w:tcPr>
            <w:tcW w:w="2070" w:type="dxa"/>
            <w:noWrap/>
            <w:tcMar>
              <w:top w:w="0" w:type="dxa"/>
              <w:left w:w="108" w:type="dxa"/>
              <w:bottom w:w="0" w:type="dxa"/>
              <w:right w:w="108" w:type="dxa"/>
            </w:tcMar>
            <w:vAlign w:val="bottom"/>
            <w:hideMark/>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5,865,941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3,977,108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1,888,833 </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8"/>
        </w:trPr>
        <w:tc>
          <w:tcPr>
            <w:tcW w:w="1998" w:type="dxa"/>
            <w:noWrap/>
            <w:tcMar>
              <w:top w:w="0" w:type="dxa"/>
              <w:left w:w="108" w:type="dxa"/>
              <w:bottom w:w="0" w:type="dxa"/>
              <w:right w:w="108" w:type="dxa"/>
            </w:tcMar>
            <w:vAlign w:val="bottom"/>
            <w:hideMark/>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3</w:t>
            </w:r>
          </w:p>
        </w:tc>
        <w:tc>
          <w:tcPr>
            <w:tcW w:w="2070" w:type="dxa"/>
            <w:noWrap/>
            <w:tcMar>
              <w:top w:w="0" w:type="dxa"/>
              <w:left w:w="108" w:type="dxa"/>
              <w:bottom w:w="0" w:type="dxa"/>
              <w:right w:w="108" w:type="dxa"/>
            </w:tcMar>
            <w:vAlign w:val="bottom"/>
            <w:hideMark/>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8,135,412</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5,515,809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2,619,603 </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8"/>
        </w:trPr>
        <w:tc>
          <w:tcPr>
            <w:tcW w:w="1998" w:type="dxa"/>
            <w:noWrap/>
            <w:tcMar>
              <w:top w:w="0" w:type="dxa"/>
              <w:left w:w="108" w:type="dxa"/>
              <w:bottom w:w="0" w:type="dxa"/>
              <w:right w:w="108" w:type="dxa"/>
            </w:tcMar>
            <w:vAlign w:val="bottom"/>
            <w:hideMark/>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4</w:t>
            </w:r>
          </w:p>
        </w:tc>
        <w:tc>
          <w:tcPr>
            <w:tcW w:w="2070" w:type="dxa"/>
            <w:noWrap/>
            <w:tcMar>
              <w:top w:w="0" w:type="dxa"/>
              <w:left w:w="108" w:type="dxa"/>
              <w:bottom w:w="0" w:type="dxa"/>
              <w:right w:w="108" w:type="dxa"/>
            </w:tcMar>
            <w:vAlign w:val="bottom"/>
            <w:hideMark/>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10,027,894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6,798,912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3,228,982 </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68"/>
        </w:trPr>
        <w:tc>
          <w:tcPr>
            <w:tcW w:w="1998" w:type="dxa"/>
            <w:noWrap/>
            <w:tcMar>
              <w:top w:w="0" w:type="dxa"/>
              <w:left w:w="108" w:type="dxa"/>
              <w:bottom w:w="0" w:type="dxa"/>
              <w:right w:w="108" w:type="dxa"/>
            </w:tcMar>
            <w:vAlign w:val="bottom"/>
            <w:hideMark/>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5</w:t>
            </w:r>
          </w:p>
        </w:tc>
        <w:tc>
          <w:tcPr>
            <w:tcW w:w="2070" w:type="dxa"/>
            <w:noWrap/>
            <w:tcMar>
              <w:top w:w="0" w:type="dxa"/>
              <w:left w:w="108" w:type="dxa"/>
              <w:bottom w:w="0" w:type="dxa"/>
              <w:right w:w="108" w:type="dxa"/>
            </w:tcMar>
            <w:vAlign w:val="bottom"/>
            <w:hideMark/>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11,543,388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7,826,417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3,716,971 </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0"/>
        </w:trPr>
        <w:tc>
          <w:tcPr>
            <w:tcW w:w="1998" w:type="dxa"/>
            <w:tcMar>
              <w:top w:w="0" w:type="dxa"/>
              <w:left w:w="108" w:type="dxa"/>
              <w:bottom w:w="0" w:type="dxa"/>
              <w:right w:w="108" w:type="dxa"/>
            </w:tcMar>
            <w:vAlign w:val="bottom"/>
            <w:hideMark/>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 xml:space="preserve">Year 6 </w:t>
            </w:r>
          </w:p>
        </w:tc>
        <w:tc>
          <w:tcPr>
            <w:tcW w:w="2070" w:type="dxa"/>
            <w:shd w:val="clear" w:color="auto" w:fill="auto"/>
            <w:noWrap/>
            <w:tcMar>
              <w:top w:w="0" w:type="dxa"/>
              <w:left w:w="108" w:type="dxa"/>
              <w:bottom w:w="0" w:type="dxa"/>
              <w:right w:w="108" w:type="dxa"/>
            </w:tcMar>
            <w:vAlign w:val="bottom"/>
            <w:hideMark/>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12,870,387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8,726,123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4,144,265</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0"/>
        </w:trPr>
        <w:tc>
          <w:tcPr>
            <w:tcW w:w="1998" w:type="dxa"/>
            <w:tcMar>
              <w:top w:w="0" w:type="dxa"/>
              <w:left w:w="108" w:type="dxa"/>
              <w:bottom w:w="0" w:type="dxa"/>
              <w:right w:w="108" w:type="dxa"/>
            </w:tcMar>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7</w:t>
            </w:r>
          </w:p>
        </w:tc>
        <w:tc>
          <w:tcPr>
            <w:tcW w:w="2070" w:type="dxa"/>
            <w:shd w:val="clear" w:color="auto" w:fill="auto"/>
            <w:noWrap/>
            <w:tcMar>
              <w:top w:w="0" w:type="dxa"/>
              <w:left w:w="108" w:type="dxa"/>
              <w:bottom w:w="0" w:type="dxa"/>
              <w:right w:w="108" w:type="dxa"/>
            </w:tcMar>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13,820,398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9,370,230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4,450,168 </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0"/>
        </w:trPr>
        <w:tc>
          <w:tcPr>
            <w:tcW w:w="1998" w:type="dxa"/>
            <w:tcMar>
              <w:top w:w="0" w:type="dxa"/>
              <w:left w:w="108" w:type="dxa"/>
              <w:bottom w:w="0" w:type="dxa"/>
              <w:right w:w="108" w:type="dxa"/>
            </w:tcMar>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8</w:t>
            </w:r>
          </w:p>
        </w:tc>
        <w:tc>
          <w:tcPr>
            <w:tcW w:w="2070" w:type="dxa"/>
            <w:shd w:val="clear" w:color="auto" w:fill="auto"/>
            <w:noWrap/>
            <w:tcMar>
              <w:top w:w="0" w:type="dxa"/>
              <w:left w:w="108" w:type="dxa"/>
              <w:bottom w:w="0" w:type="dxa"/>
              <w:right w:w="108" w:type="dxa"/>
            </w:tcMar>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14,770,409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10,014,338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4,756,072 </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0"/>
        </w:trPr>
        <w:tc>
          <w:tcPr>
            <w:tcW w:w="1998" w:type="dxa"/>
            <w:tcMar>
              <w:top w:w="0" w:type="dxa"/>
              <w:left w:w="108" w:type="dxa"/>
              <w:bottom w:w="0" w:type="dxa"/>
              <w:right w:w="108" w:type="dxa"/>
            </w:tcMar>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9</w:t>
            </w:r>
          </w:p>
        </w:tc>
        <w:tc>
          <w:tcPr>
            <w:tcW w:w="2070" w:type="dxa"/>
            <w:shd w:val="clear" w:color="auto" w:fill="auto"/>
            <w:noWrap/>
            <w:tcMar>
              <w:top w:w="0" w:type="dxa"/>
              <w:left w:w="108" w:type="dxa"/>
              <w:bottom w:w="0" w:type="dxa"/>
              <w:right w:w="108" w:type="dxa"/>
            </w:tcMar>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15,524,386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10,525,534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4,998,852 </w:t>
            </w:r>
          </w:p>
        </w:tc>
      </w:tr>
      <w:tr w:rsidR="006C2DBA" w:rsidRPr="00C1694A" w:rsidTr="00D722F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50"/>
        </w:trPr>
        <w:tc>
          <w:tcPr>
            <w:tcW w:w="1998" w:type="dxa"/>
            <w:tcMar>
              <w:top w:w="0" w:type="dxa"/>
              <w:left w:w="108" w:type="dxa"/>
              <w:bottom w:w="0" w:type="dxa"/>
              <w:right w:w="108" w:type="dxa"/>
            </w:tcMar>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Year 10</w:t>
            </w:r>
          </w:p>
        </w:tc>
        <w:tc>
          <w:tcPr>
            <w:tcW w:w="2070" w:type="dxa"/>
            <w:shd w:val="clear" w:color="auto" w:fill="auto"/>
            <w:noWrap/>
            <w:tcMar>
              <w:top w:w="0" w:type="dxa"/>
              <w:left w:w="108" w:type="dxa"/>
              <w:bottom w:w="0" w:type="dxa"/>
              <w:right w:w="108" w:type="dxa"/>
            </w:tcMar>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16,089,869 </w:t>
            </w:r>
          </w:p>
        </w:tc>
        <w:tc>
          <w:tcPr>
            <w:tcW w:w="207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10,908,931 </w:t>
            </w:r>
          </w:p>
        </w:tc>
        <w:tc>
          <w:tcPr>
            <w:tcW w:w="2520" w:type="dxa"/>
            <w:vAlign w:val="bottom"/>
          </w:tcPr>
          <w:p w:rsidR="006C2DBA" w:rsidRPr="00C1694A" w:rsidRDefault="006C2DBA" w:rsidP="00B046C9">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 xml:space="preserve"> $  5,180,938 </w:t>
            </w:r>
          </w:p>
        </w:tc>
      </w:tr>
    </w:tbl>
    <w:p w:rsidR="006C2DBA" w:rsidRPr="00C1694A" w:rsidRDefault="006C2DBA" w:rsidP="00331A7B">
      <w:pPr>
        <w:rPr>
          <w:rFonts w:ascii="Times New Roman" w:hAnsi="Times New Roman" w:cs="Times New Roman"/>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Mentor Coaching</w:t>
      </w:r>
    </w:p>
    <w:p w:rsidR="006C2DBA" w:rsidRPr="00C1694A" w:rsidRDefault="006C2DBA" w:rsidP="00331A7B">
      <w:pPr>
        <w:spacing w:after="0" w:line="480" w:lineRule="auto"/>
        <w:ind w:firstLine="720"/>
        <w:rPr>
          <w:rFonts w:ascii="Times New Roman" w:hAnsi="Times New Roman" w:cs="Times New Roman"/>
          <w:sz w:val="24"/>
        </w:rPr>
      </w:pPr>
      <w:r w:rsidRPr="00C1694A">
        <w:rPr>
          <w:rFonts w:ascii="Times New Roman" w:hAnsi="Times New Roman" w:cs="Times New Roman"/>
          <w:sz w:val="24"/>
          <w:szCs w:val="24"/>
        </w:rPr>
        <w:t xml:space="preserve">In this rule, </w:t>
      </w:r>
      <w:r w:rsidRPr="00C1694A">
        <w:rPr>
          <w:rFonts w:ascii="Times New Roman" w:hAnsi="Times New Roman" w:cs="Times New Roman"/>
          <w:sz w:val="24"/>
        </w:rPr>
        <w:t xml:space="preserve">we require programs to have a system of professional development in place that includes an intensive coaching strategy for teachers.  </w:t>
      </w:r>
      <w:r w:rsidRPr="00C1694A">
        <w:rPr>
          <w:rFonts w:ascii="Times New Roman" w:hAnsi="Times New Roman" w:cs="Times New Roman"/>
          <w:sz w:val="24"/>
          <w:szCs w:val="24"/>
        </w:rPr>
        <w:t xml:space="preserve">As described in further detail in the discussion of the rule for §1302.92(d), this change will ensure teaching staff receive effective professional development, based on a growing body of research demonstrating the effectiveness of intensive professional development for improving teacher practices in early care and education settings </w:t>
      </w:r>
      <w:r w:rsidRPr="00C1694A">
        <w:rPr>
          <w:rStyle w:val="FootnoteReference"/>
          <w:rFonts w:ascii="Times New Roman" w:hAnsi="Times New Roman" w:cs="Times New Roman"/>
          <w:sz w:val="24"/>
          <w:szCs w:val="24"/>
        </w:rPr>
        <w:footnoteReference w:id="15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5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60"/>
      </w:r>
      <w:r w:rsidRPr="00C1694A">
        <w:rPr>
          <w:rFonts w:ascii="Times New Roman" w:hAnsi="Times New Roman" w:cs="Times New Roman"/>
          <w:sz w:val="24"/>
          <w:szCs w:val="24"/>
        </w:rPr>
        <w:t xml:space="preserve"> and research demonstrating that such strategies support improved teacher practice in the classroom and an increase in classroom quality.</w:t>
      </w:r>
      <w:r w:rsidRPr="00C1694A">
        <w:rPr>
          <w:rStyle w:val="FootnoteReference"/>
          <w:rFonts w:ascii="Times New Roman" w:hAnsi="Times New Roman" w:cs="Times New Roman"/>
          <w:sz w:val="24"/>
          <w:szCs w:val="24"/>
        </w:rPr>
        <w:footnoteReference w:id="16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62"/>
      </w:r>
      <w:r w:rsidRPr="00C1694A">
        <w:rPr>
          <w:rFonts w:ascii="Times New Roman" w:hAnsi="Times New Roman" w:cs="Times New Roman"/>
          <w:sz w:val="24"/>
          <w:szCs w:val="24"/>
        </w:rPr>
        <w:t xml:space="preserve"> </w:t>
      </w:r>
      <w:r w:rsidRPr="00C1694A">
        <w:rPr>
          <w:rFonts w:ascii="Times New Roman" w:hAnsi="Times New Roman" w:cs="Times New Roman"/>
          <w:sz w:val="24"/>
        </w:rPr>
        <w:t xml:space="preserve">This provision also gives programs some flexibility to identify the education staff that would benefit most from this form of intensive professional development and direct their efforts accordingly.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rPr>
        <w:tab/>
        <w:t xml:space="preserve">There are various ways that programs can secure the services of mentor coaches in order to meet this requirement. </w:t>
      </w:r>
      <w:r w:rsidRPr="00C1694A">
        <w:rPr>
          <w:rFonts w:ascii="Times New Roman" w:hAnsi="Times New Roman" w:cs="Times New Roman"/>
          <w:sz w:val="24"/>
          <w:szCs w:val="24"/>
        </w:rPr>
        <w:t>For example, grantees could hire a full-time mentor coach(es), mentor coaches could work part time in multiple programs, or geographically defined consortiums could be created to enable grantees to access the services of mentor coaches.</w:t>
      </w:r>
      <w:r w:rsidRPr="00C1694A">
        <w:rPr>
          <w:rFonts w:ascii="Times New Roman" w:hAnsi="Times New Roman" w:cs="Times New Roman"/>
        </w:rPr>
        <w:t xml:space="preserve"> </w:t>
      </w:r>
      <w:r w:rsidRPr="00C1694A">
        <w:rPr>
          <w:rFonts w:ascii="Times New Roman" w:hAnsi="Times New Roman" w:cs="Times New Roman"/>
          <w:sz w:val="24"/>
        </w:rPr>
        <w:t xml:space="preserve"> However, for the purposes of this estimate, we use a caseload of one coach per 15 teachers or teaching teams, and an overall salary comparable to that of an education manager ($50,252 from PIR), doubled for fringe benefits and overhead, which is estimated at $100,504 for each mentor coach.  We assumed a caseload of 15 teachers based on a review of the literature that suggests caseloads vary across coaching models but that full-time coaches, on average, usually reported caseloads ranging from 13 to 22, though some coaches had much higher or much lower caseloads.</w:t>
      </w:r>
      <w:r w:rsidRPr="00C1694A">
        <w:rPr>
          <w:rStyle w:val="FootnoteReference"/>
          <w:rFonts w:ascii="Times New Roman" w:hAnsi="Times New Roman" w:cs="Times New Roman"/>
          <w:sz w:val="24"/>
        </w:rPr>
        <w:footnoteReference w:id="163"/>
      </w:r>
      <w:r w:rsidRPr="00C1694A">
        <w:rPr>
          <w:rFonts w:ascii="Times New Roman" w:hAnsi="Times New Roman" w:cs="Times New Roman"/>
          <w:sz w:val="24"/>
          <w:vertAlign w:val="superscript"/>
        </w:rPr>
        <w:t>,</w:t>
      </w:r>
      <w:r w:rsidRPr="00C1694A">
        <w:rPr>
          <w:rStyle w:val="FootnoteReference"/>
          <w:rFonts w:ascii="Times New Roman" w:hAnsi="Times New Roman" w:cs="Times New Roman"/>
          <w:sz w:val="24"/>
        </w:rPr>
        <w:footnoteReference w:id="164"/>
      </w:r>
      <w:r w:rsidRPr="00C1694A">
        <w:rPr>
          <w:rFonts w:ascii="Times New Roman" w:hAnsi="Times New Roman" w:cs="Times New Roman"/>
          <w:sz w:val="24"/>
          <w:vertAlign w:val="superscript"/>
        </w:rPr>
        <w:t>,</w:t>
      </w:r>
      <w:r w:rsidRPr="00C1694A">
        <w:rPr>
          <w:rStyle w:val="FootnoteReference"/>
          <w:rFonts w:ascii="Times New Roman" w:hAnsi="Times New Roman" w:cs="Times New Roman"/>
          <w:sz w:val="24"/>
        </w:rPr>
        <w:footnoteReference w:id="165"/>
      </w:r>
      <w:r w:rsidRPr="00C1694A">
        <w:rPr>
          <w:rFonts w:ascii="Times New Roman" w:hAnsi="Times New Roman" w:cs="Times New Roman"/>
          <w:sz w:val="24"/>
        </w:rPr>
        <w:t xml:space="preserve">  We then calculated the total number of mentor coaches needed to support all education staff by using 62,495 teachers (the number of lead Head Start and Early Head Start teachers) as a proxy for the total number of teachers and teaching teams that would receive mentor coaching.  We estimated</w:t>
      </w:r>
      <w:r w:rsidRPr="00C1694A">
        <w:rPr>
          <w:rFonts w:ascii="Times New Roman" w:hAnsi="Times New Roman" w:cs="Times New Roman"/>
          <w:sz w:val="24"/>
          <w:szCs w:val="24"/>
        </w:rPr>
        <w:t xml:space="preserve"> </w:t>
      </w:r>
      <w:r w:rsidRPr="00C1694A">
        <w:rPr>
          <w:rFonts w:ascii="Times New Roman" w:hAnsi="Times New Roman" w:cs="Times New Roman"/>
          <w:sz w:val="24"/>
        </w:rPr>
        <w:t xml:space="preserve">the cost of providing 4,238 coaches for 63,566 teachers or teaching teams at </w:t>
      </w:r>
      <w:r w:rsidRPr="00C1694A">
        <w:rPr>
          <w:rFonts w:ascii="Times New Roman" w:hAnsi="Times New Roman" w:cs="Times New Roman"/>
          <w:sz w:val="24"/>
          <w:szCs w:val="24"/>
        </w:rPr>
        <w:t xml:space="preserve">$425,935,952.  We then assume that programs will utilize their flexibility to identify education staff or teaching teams who would most benefit from this type of professional development.  We believe that while the proportion of teachers and teaching teams receiving coaching will vary by program, overall this will result in approximately one-third of teaching staff receiving intensive coaching on average.  Therefore, our final estimate for the cost of the requirement is $141,978,651.  </w:t>
      </w:r>
    </w:p>
    <w:p w:rsidR="006C2DBA" w:rsidRPr="00C1694A" w:rsidRDefault="006C2DBA" w:rsidP="00DC5146">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Given the lack of data regarding the quality and scope of coaching strategies programs may currently be using, we do not give any credit for programs that may already utilize mentor coaches in this estimate.  Further, we acknowledge that this estimate may be an underestimate if Congress appropriates the necessary additional funds to support increased duration of Head Start and Early Head Start programs because additional teaching staff will need to be hired to support the transition of double session slots to full school day and full school year slots.  We estimate that an additional 3,906 teachers would need to be hired to transition all programs from double sessions, which would be associated with an additional cost of $8,723,452 and a new total cost of $150,702,102.  However, this estimate may be an overestimate if the rule is fully implemented without additional funding and the Secretary does not exercise the discretion to reduce the duration requirements because the number of teachers would not increase.  Therefore, a reasonable assumption for calculating this estimate is to use the status quo as the basis of the total number of education staff who may receive mentor coaching.  </w:t>
      </w:r>
    </w:p>
    <w:p w:rsidR="006C2DBA" w:rsidRPr="00C1694A" w:rsidRDefault="006C2DBA" w:rsidP="00DC5146">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These costs will be realized in year two and annually thereafter.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800"/>
        <w:gridCol w:w="1530"/>
        <w:gridCol w:w="1710"/>
        <w:gridCol w:w="2160"/>
      </w:tblGrid>
      <w:tr w:rsidR="006C2DBA" w:rsidRPr="00C1694A" w:rsidTr="00D23898">
        <w:tc>
          <w:tcPr>
            <w:tcW w:w="9360" w:type="dxa"/>
            <w:gridSpan w:val="5"/>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Mentor Coaching: Costs Borne by Head Start</w:t>
            </w:r>
          </w:p>
        </w:tc>
      </w:tr>
      <w:tr w:rsidR="006C2DBA" w:rsidRPr="00C1694A" w:rsidTr="00D23898">
        <w:tc>
          <w:tcPr>
            <w:tcW w:w="2160" w:type="dxa"/>
            <w:vAlign w:val="bottom"/>
          </w:tcPr>
          <w:p w:rsidR="006C2DBA" w:rsidRPr="00C1694A" w:rsidRDefault="006C2DBA" w:rsidP="008F175C">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Mentor Coach Salary, Fringe and Overhead</w:t>
            </w:r>
          </w:p>
        </w:tc>
        <w:tc>
          <w:tcPr>
            <w:tcW w:w="180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Teachers and FCC providers</w:t>
            </w:r>
          </w:p>
        </w:tc>
        <w:tc>
          <w:tcPr>
            <w:tcW w:w="1530" w:type="dxa"/>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Coaches</w:t>
            </w:r>
          </w:p>
        </w:tc>
        <w:tc>
          <w:tcPr>
            <w:tcW w:w="171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 for all Teachers</w:t>
            </w:r>
          </w:p>
        </w:tc>
        <w:tc>
          <w:tcPr>
            <w:tcW w:w="216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 for 1/3 of Teachers</w:t>
            </w:r>
          </w:p>
        </w:tc>
      </w:tr>
      <w:tr w:rsidR="006C2DBA" w:rsidRPr="00C1694A" w:rsidTr="00D23898">
        <w:trPr>
          <w:trHeight w:val="179"/>
        </w:trPr>
        <w:tc>
          <w:tcPr>
            <w:tcW w:w="2160" w:type="dxa"/>
          </w:tcPr>
          <w:p w:rsidR="006C2DBA" w:rsidRPr="00C1694A" w:rsidRDefault="006C2DBA" w:rsidP="006A209D">
            <w:pPr>
              <w:spacing w:after="0" w:line="240" w:lineRule="auto"/>
              <w:jc w:val="right"/>
              <w:rPr>
                <w:rFonts w:ascii="Times New Roman" w:hAnsi="Times New Roman" w:cs="Times New Roman"/>
                <w:b/>
                <w:bCs/>
                <w:sz w:val="20"/>
                <w:szCs w:val="20"/>
              </w:rPr>
            </w:pPr>
            <w:r w:rsidRPr="00C1694A">
              <w:rPr>
                <w:rFonts w:ascii="Times New Roman" w:hAnsi="Times New Roman" w:cs="Times New Roman"/>
                <w:sz w:val="20"/>
                <w:szCs w:val="20"/>
              </w:rPr>
              <w:t xml:space="preserve">         $100,504</w:t>
            </w:r>
          </w:p>
        </w:tc>
        <w:tc>
          <w:tcPr>
            <w:tcW w:w="1800" w:type="dxa"/>
          </w:tcPr>
          <w:p w:rsidR="006C2DBA" w:rsidRPr="00C1694A" w:rsidRDefault="006C2DBA" w:rsidP="00DC5146">
            <w:pPr>
              <w:spacing w:after="0" w:line="240" w:lineRule="auto"/>
              <w:jc w:val="right"/>
              <w:rPr>
                <w:rFonts w:ascii="Times New Roman" w:hAnsi="Times New Roman" w:cs="Times New Roman"/>
                <w:b/>
                <w:bCs/>
                <w:sz w:val="20"/>
                <w:szCs w:val="20"/>
              </w:rPr>
            </w:pPr>
            <w:r w:rsidRPr="00C1694A">
              <w:rPr>
                <w:rFonts w:ascii="Times New Roman" w:hAnsi="Times New Roman" w:cs="Times New Roman"/>
                <w:sz w:val="20"/>
                <w:szCs w:val="20"/>
              </w:rPr>
              <w:t>63,566</w:t>
            </w:r>
          </w:p>
        </w:tc>
        <w:tc>
          <w:tcPr>
            <w:tcW w:w="1530" w:type="dxa"/>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4,238</w:t>
            </w:r>
          </w:p>
        </w:tc>
        <w:tc>
          <w:tcPr>
            <w:tcW w:w="1710" w:type="dxa"/>
          </w:tcPr>
          <w:p w:rsidR="006C2DBA" w:rsidRPr="00C1694A" w:rsidRDefault="006C2DBA" w:rsidP="006A209D">
            <w:pPr>
              <w:spacing w:after="0" w:line="240" w:lineRule="auto"/>
              <w:jc w:val="right"/>
              <w:rPr>
                <w:rFonts w:ascii="Times New Roman" w:hAnsi="Times New Roman" w:cs="Times New Roman"/>
                <w:sz w:val="20"/>
              </w:rPr>
            </w:pPr>
            <w:r w:rsidRPr="00C1694A">
              <w:rPr>
                <w:rFonts w:ascii="Times New Roman" w:hAnsi="Times New Roman" w:cs="Times New Roman"/>
                <w:sz w:val="20"/>
              </w:rPr>
              <w:t>$425,935,952</w:t>
            </w:r>
          </w:p>
        </w:tc>
        <w:tc>
          <w:tcPr>
            <w:tcW w:w="2160" w:type="dxa"/>
          </w:tcPr>
          <w:p w:rsidR="006C2DBA" w:rsidRPr="00C1694A" w:rsidRDefault="006C2DBA" w:rsidP="006A209D">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$141,978,651</w:t>
            </w:r>
          </w:p>
        </w:tc>
      </w:tr>
    </w:tbl>
    <w:p w:rsidR="006C2DBA" w:rsidRPr="00C1694A" w:rsidRDefault="006C2DBA" w:rsidP="00331A7B">
      <w:pPr>
        <w:spacing w:after="0" w:line="480" w:lineRule="auto"/>
        <w:rPr>
          <w:rFonts w:ascii="Times New Roman" w:hAnsi="Times New Roman" w:cs="Times New Roman"/>
          <w:i/>
          <w:sz w:val="24"/>
          <w:szCs w:val="24"/>
        </w:rPr>
      </w:pPr>
    </w:p>
    <w:p w:rsidR="006C2DBA" w:rsidRPr="00C1694A" w:rsidRDefault="006C2DBA" w:rsidP="00331A7B">
      <w:pPr>
        <w:spacing w:after="0" w:line="480" w:lineRule="auto"/>
        <w:rPr>
          <w:rFonts w:ascii="Times New Roman" w:hAnsi="Times New Roman" w:cs="Times New Roman"/>
          <w:b/>
          <w:sz w:val="24"/>
          <w:szCs w:val="24"/>
          <w:u w:val="single"/>
        </w:rPr>
      </w:pPr>
    </w:p>
    <w:p w:rsidR="006C2DBA" w:rsidRPr="00C1694A" w:rsidRDefault="006C2DBA" w:rsidP="00331A7B">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Curriculum and Assessment Provisions</w:t>
      </w:r>
    </w:p>
    <w:p w:rsidR="006C2DBA" w:rsidRPr="00C1694A" w:rsidRDefault="006C2DBA" w:rsidP="00331A7B">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 xml:space="preserve">This rule includes several provisions to improve curriculum and assessments.  We analyzed costs associated with the following specific requirements: improving curriculum in §1302.32(a)(1); monitoring the fidelity of curriculum implementation in §1302.32(a)(2); language assessment in home language and English for all dual language learners in §1302.33(c)(2), and opportunities for parents to participate in a parenting curriculum in §1302.51(b).  We analyzed savings associated with the removal of Head Start designed IEPs from part 1308 of the previous standards.   </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Improving Curriculum</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this rule, we include several provisions intended to improve the quality of curricula that programs select in §1302.32(a)(1).  Specifically, these new provisions will require programs to critically analyze the curricula they use to determine whether they are appropriately aligned with and sufficiently content-rich to support growth in the domains outlined in the </w:t>
      </w:r>
      <w:r w:rsidRPr="00C1694A">
        <w:rPr>
          <w:rFonts w:ascii="Times New Roman" w:eastAsia="Times New Roman" w:hAnsi="Times New Roman" w:cs="Times New Roman"/>
          <w:sz w:val="24"/>
          <w:szCs w:val="24"/>
          <w:u w:val="single"/>
        </w:rPr>
        <w:t>Head Start Early Learning Outcomes Framework: Ages Birth to Five</w:t>
      </w:r>
      <w:r w:rsidRPr="00C1694A">
        <w:rPr>
          <w:rFonts w:ascii="Times New Roman" w:hAnsi="Times New Roman" w:cs="Times New Roman"/>
          <w:sz w:val="24"/>
          <w:szCs w:val="24"/>
        </w:rPr>
        <w:t>.  This change will ensure all programs select and implement curricula with the key qualities that</w:t>
      </w:r>
      <w:r w:rsidRPr="00C1694A">
        <w:rPr>
          <w:rFonts w:ascii="Times New Roman" w:eastAsia="Times New Roman" w:hAnsi="Times New Roman" w:cs="Times New Roman"/>
          <w:bCs/>
          <w:sz w:val="24"/>
          <w:szCs w:val="24"/>
        </w:rPr>
        <w:t xml:space="preserve"> research suggests are critical to promoting child outcomes.</w:t>
      </w:r>
      <w:r w:rsidRPr="00C1694A">
        <w:rPr>
          <w:rStyle w:val="FootnoteReference"/>
          <w:rFonts w:ascii="Times New Roman" w:eastAsia="Times New Roman" w:hAnsi="Times New Roman" w:cs="Times New Roman"/>
          <w:bCs/>
          <w:sz w:val="24"/>
          <w:szCs w:val="24"/>
        </w:rPr>
        <w:footnoteReference w:id="166"/>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67"/>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68"/>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69"/>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70"/>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71"/>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72"/>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73"/>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74"/>
      </w:r>
      <w:r w:rsidRPr="00C1694A">
        <w:rPr>
          <w:rFonts w:ascii="Times New Roman" w:eastAsia="Times New Roman" w:hAnsi="Times New Roman" w:cs="Times New Roman"/>
          <w:bCs/>
          <w:sz w:val="24"/>
          <w:szCs w:val="24"/>
        </w:rPr>
        <w:t xml:space="preserve"> </w:t>
      </w:r>
      <w:r w:rsidRPr="00C1694A">
        <w:rPr>
          <w:rFonts w:ascii="Times New Roman" w:hAnsi="Times New Roman" w:cs="Times New Roman"/>
          <w:sz w:val="24"/>
          <w:szCs w:val="24"/>
        </w:rPr>
        <w:t xml:space="preserve">For some programs, these new provisions may require purchasing new curricula, or purchasing curricular add-ons or enhancements.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order to estimate the cost associated with these provisions, we assumed that education managers would need to allocate an additional thirty hours of analysis and planning time.  We estimated the average hourly rate from the average annual salary of education managers and determined the total cost per manager for thirty hours.  We then multiplied the cost by the total number of all programs to find a total cost to society of $1,477,847. We then found the cost borne by Head Start ($1,056,660) by applying the proportion of education manager salaries borne by Head Start funds of 71.5 percent, and then found the cost borne by other parties ($421,187).  In addition, we estimated the cost of a curricular enhancement to be $4,500 for a three year multi-site license.  We know that most programs routinely upgrade their curriculum or purchase a new curriculum.  For this cost estimate, we assumed an average of two-thirds of programs (1,346) would identify the need to purchase additional curricular enhancements, and multiplied that number of programs by the average cost of an enhancement to estimate its total cost ($12,114,000). We then summed the cost of managerial time and curricular enhancements ($13,591,847).  Since most licensing will be for three years, we assumed grantees will conduct a curriculum assessment process every three years and divided the cost by three.  This results in an estimated annual cost of improving curriculum of $4,530,616, and the annual cost borne by Head Start is $4,390,220 with an annual cost borne by other parties of $140,396.  These costs will be realized in year two and annually thereafter.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170"/>
        <w:gridCol w:w="1170"/>
        <w:gridCol w:w="1350"/>
        <w:gridCol w:w="1440"/>
        <w:gridCol w:w="1548"/>
      </w:tblGrid>
      <w:tr w:rsidR="006C2DBA" w:rsidRPr="00C1694A" w:rsidTr="00D23898">
        <w:trPr>
          <w:trHeight w:val="305"/>
        </w:trPr>
        <w:tc>
          <w:tcPr>
            <w:tcW w:w="9468" w:type="dxa"/>
            <w:gridSpan w:val="7"/>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Improving Curriculum: Costs Borne by Head Start and by Other Parties</w:t>
            </w:r>
          </w:p>
        </w:tc>
      </w:tr>
      <w:tr w:rsidR="006C2DBA" w:rsidRPr="00C1694A" w:rsidTr="00D23898">
        <w:trPr>
          <w:trHeight w:val="764"/>
        </w:trPr>
        <w:tc>
          <w:tcPr>
            <w:tcW w:w="135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p>
        </w:tc>
        <w:tc>
          <w:tcPr>
            <w:tcW w:w="144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Ed Manager Salary</w:t>
            </w:r>
          </w:p>
        </w:tc>
        <w:tc>
          <w:tcPr>
            <w:tcW w:w="117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of 30 Hours</w:t>
            </w:r>
          </w:p>
        </w:tc>
        <w:tc>
          <w:tcPr>
            <w:tcW w:w="117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Programs</w:t>
            </w:r>
          </w:p>
        </w:tc>
        <w:tc>
          <w:tcPr>
            <w:tcW w:w="135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 to Society</w:t>
            </w:r>
          </w:p>
        </w:tc>
        <w:tc>
          <w:tcPr>
            <w:tcW w:w="144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Costs Borne by Head Start</w:t>
            </w:r>
          </w:p>
        </w:tc>
        <w:tc>
          <w:tcPr>
            <w:tcW w:w="1548"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Costs Borne by Other Parties</w:t>
            </w:r>
          </w:p>
        </w:tc>
      </w:tr>
      <w:tr w:rsidR="006C2DBA" w:rsidRPr="00C1694A" w:rsidTr="00D23898">
        <w:tc>
          <w:tcPr>
            <w:tcW w:w="135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Additional Staff Time</w:t>
            </w:r>
          </w:p>
        </w:tc>
        <w:tc>
          <w:tcPr>
            <w:tcW w:w="144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$50,252</w:t>
            </w:r>
          </w:p>
        </w:tc>
        <w:tc>
          <w:tcPr>
            <w:tcW w:w="117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$724.79</w:t>
            </w:r>
          </w:p>
        </w:tc>
        <w:tc>
          <w:tcPr>
            <w:tcW w:w="1170"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2,039</w:t>
            </w:r>
          </w:p>
        </w:tc>
        <w:tc>
          <w:tcPr>
            <w:tcW w:w="135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$1,477,847</w:t>
            </w:r>
          </w:p>
        </w:tc>
        <w:tc>
          <w:tcPr>
            <w:tcW w:w="144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$1,056,660</w:t>
            </w:r>
          </w:p>
        </w:tc>
        <w:tc>
          <w:tcPr>
            <w:tcW w:w="1548"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$421,187</w:t>
            </w:r>
          </w:p>
        </w:tc>
      </w:tr>
      <w:tr w:rsidR="006C2DBA" w:rsidRPr="00C1694A" w:rsidTr="00D23898">
        <w:trPr>
          <w:trHeight w:val="485"/>
        </w:trPr>
        <w:tc>
          <w:tcPr>
            <w:tcW w:w="1350" w:type="dxa"/>
          </w:tcPr>
          <w:p w:rsidR="006C2DBA" w:rsidRPr="00C1694A" w:rsidRDefault="006C2DBA" w:rsidP="00DC5146">
            <w:pPr>
              <w:spacing w:after="0" w:line="240" w:lineRule="auto"/>
              <w:jc w:val="center"/>
              <w:rPr>
                <w:rFonts w:ascii="Times New Roman" w:hAnsi="Times New Roman" w:cs="Times New Roman"/>
                <w:b/>
                <w:sz w:val="20"/>
                <w:szCs w:val="20"/>
              </w:rPr>
            </w:pPr>
          </w:p>
        </w:tc>
        <w:tc>
          <w:tcPr>
            <w:tcW w:w="144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Cost of Enhancement</w:t>
            </w:r>
          </w:p>
        </w:tc>
        <w:tc>
          <w:tcPr>
            <w:tcW w:w="117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Programs</w:t>
            </w:r>
          </w:p>
        </w:tc>
        <w:tc>
          <w:tcPr>
            <w:tcW w:w="1170" w:type="dxa"/>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rPr>
              <w:t>66% of Programs</w:t>
            </w:r>
          </w:p>
        </w:tc>
        <w:tc>
          <w:tcPr>
            <w:tcW w:w="1350" w:type="dxa"/>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szCs w:val="20"/>
              </w:rPr>
              <w:t>Estimated Cost to Society</w:t>
            </w:r>
          </w:p>
        </w:tc>
        <w:tc>
          <w:tcPr>
            <w:tcW w:w="2988" w:type="dxa"/>
            <w:gridSpan w:val="2"/>
            <w:vMerge w:val="restart"/>
            <w:vAlign w:val="bottom"/>
          </w:tcPr>
          <w:p w:rsidR="006C2DBA" w:rsidRPr="00C1694A" w:rsidRDefault="006C2DBA" w:rsidP="00DC5146">
            <w:pPr>
              <w:spacing w:after="0" w:line="240" w:lineRule="auto"/>
              <w:jc w:val="right"/>
              <w:rPr>
                <w:rFonts w:ascii="Times New Roman" w:hAnsi="Times New Roman" w:cs="Times New Roman"/>
                <w:b/>
                <w:sz w:val="20"/>
              </w:rPr>
            </w:pPr>
          </w:p>
        </w:tc>
      </w:tr>
      <w:tr w:rsidR="006C2DBA" w:rsidRPr="00C1694A" w:rsidTr="00D23898">
        <w:tc>
          <w:tcPr>
            <w:tcW w:w="135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Curricular Enhancement</w:t>
            </w:r>
          </w:p>
        </w:tc>
        <w:tc>
          <w:tcPr>
            <w:tcW w:w="144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$9,000</w:t>
            </w:r>
          </w:p>
        </w:tc>
        <w:tc>
          <w:tcPr>
            <w:tcW w:w="117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2,039</w:t>
            </w:r>
          </w:p>
        </w:tc>
        <w:tc>
          <w:tcPr>
            <w:tcW w:w="1170"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1,346</w:t>
            </w:r>
          </w:p>
        </w:tc>
        <w:tc>
          <w:tcPr>
            <w:tcW w:w="1350"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$12,114,000</w:t>
            </w:r>
          </w:p>
        </w:tc>
        <w:tc>
          <w:tcPr>
            <w:tcW w:w="2988" w:type="dxa"/>
            <w:gridSpan w:val="2"/>
            <w:vMerge/>
            <w:vAlign w:val="bottom"/>
          </w:tcPr>
          <w:p w:rsidR="006C2DBA" w:rsidRPr="00C1694A" w:rsidRDefault="006C2DBA" w:rsidP="00DC5146">
            <w:pPr>
              <w:spacing w:after="0" w:line="240" w:lineRule="auto"/>
              <w:jc w:val="right"/>
              <w:rPr>
                <w:rFonts w:ascii="Times New Roman" w:hAnsi="Times New Roman" w:cs="Times New Roman"/>
                <w:sz w:val="20"/>
              </w:rPr>
            </w:pPr>
          </w:p>
        </w:tc>
      </w:tr>
      <w:tr w:rsidR="006C2DBA" w:rsidRPr="00C1694A" w:rsidTr="00D23898">
        <w:trPr>
          <w:trHeight w:val="773"/>
        </w:trPr>
        <w:tc>
          <w:tcPr>
            <w:tcW w:w="5130" w:type="dxa"/>
            <w:gridSpan w:val="4"/>
          </w:tcPr>
          <w:p w:rsidR="006C2DBA" w:rsidRPr="00C1694A" w:rsidRDefault="006C2DBA" w:rsidP="00DC5146">
            <w:pPr>
              <w:spacing w:after="0" w:line="240" w:lineRule="auto"/>
              <w:jc w:val="right"/>
              <w:rPr>
                <w:rFonts w:ascii="Times New Roman" w:hAnsi="Times New Roman" w:cs="Times New Roman"/>
                <w:b/>
                <w:sz w:val="20"/>
              </w:rPr>
            </w:pPr>
          </w:p>
        </w:tc>
        <w:tc>
          <w:tcPr>
            <w:tcW w:w="1350" w:type="dxa"/>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szCs w:val="20"/>
              </w:rPr>
              <w:t>Estimated Cost to Society</w:t>
            </w:r>
          </w:p>
        </w:tc>
        <w:tc>
          <w:tcPr>
            <w:tcW w:w="1440" w:type="dxa"/>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szCs w:val="20"/>
              </w:rPr>
              <w:t>Costs Borne by Head Start</w:t>
            </w:r>
          </w:p>
        </w:tc>
        <w:tc>
          <w:tcPr>
            <w:tcW w:w="1548" w:type="dxa"/>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szCs w:val="20"/>
              </w:rPr>
              <w:t>Costs Borne by Other Parties</w:t>
            </w:r>
          </w:p>
        </w:tc>
      </w:tr>
      <w:tr w:rsidR="006C2DBA" w:rsidRPr="00C1694A" w:rsidTr="00D23898">
        <w:trPr>
          <w:trHeight w:val="341"/>
        </w:trPr>
        <w:tc>
          <w:tcPr>
            <w:tcW w:w="5130" w:type="dxa"/>
            <w:gridSpan w:val="4"/>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Total</w:t>
            </w:r>
          </w:p>
        </w:tc>
        <w:tc>
          <w:tcPr>
            <w:tcW w:w="1350" w:type="dxa"/>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$13,591,847</w:t>
            </w:r>
          </w:p>
        </w:tc>
        <w:tc>
          <w:tcPr>
            <w:tcW w:w="1440" w:type="dxa"/>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$13,170,660</w:t>
            </w:r>
          </w:p>
        </w:tc>
        <w:tc>
          <w:tcPr>
            <w:tcW w:w="1548" w:type="dxa"/>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szCs w:val="20"/>
              </w:rPr>
              <w:t>$421,187</w:t>
            </w:r>
          </w:p>
        </w:tc>
      </w:tr>
      <w:tr w:rsidR="006C2DBA" w:rsidRPr="00C1694A" w:rsidTr="00D23898">
        <w:trPr>
          <w:trHeight w:val="341"/>
        </w:trPr>
        <w:tc>
          <w:tcPr>
            <w:tcW w:w="5130" w:type="dxa"/>
            <w:gridSpan w:val="4"/>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Annual Total</w:t>
            </w:r>
          </w:p>
        </w:tc>
        <w:tc>
          <w:tcPr>
            <w:tcW w:w="1350" w:type="dxa"/>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$4,530,616</w:t>
            </w:r>
          </w:p>
        </w:tc>
        <w:tc>
          <w:tcPr>
            <w:tcW w:w="1440" w:type="dxa"/>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$4,390,220</w:t>
            </w:r>
          </w:p>
        </w:tc>
        <w:tc>
          <w:tcPr>
            <w:tcW w:w="1548"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$140,396</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Monitoring Fidelity of Curriculum Implementation</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addition to the curriculum quality requirements described in the previous section, this rule also requires in §1302.32(a)(2) that programs provide adequate </w:t>
      </w:r>
      <w:r w:rsidRPr="00C1694A">
        <w:rPr>
          <w:rFonts w:ascii="Times New Roman" w:eastAsia="Times New Roman" w:hAnsi="Times New Roman" w:cs="Times New Roman"/>
          <w:bCs/>
          <w:sz w:val="24"/>
          <w:szCs w:val="24"/>
        </w:rPr>
        <w:t>supervision and regular monitoring of curriculum use to ensure effective curriculum implementation, which is critical to reaping the benefits of using high quality curricula described above.</w:t>
      </w:r>
      <w:r w:rsidRPr="00C1694A">
        <w:rPr>
          <w:rStyle w:val="FootnoteReference"/>
          <w:rFonts w:ascii="Times New Roman" w:eastAsia="Times New Roman" w:hAnsi="Times New Roman" w:cs="Times New Roman"/>
          <w:bCs/>
          <w:sz w:val="24"/>
          <w:szCs w:val="24"/>
        </w:rPr>
        <w:t xml:space="preserve"> </w:t>
      </w:r>
      <w:r w:rsidRPr="00C1694A">
        <w:rPr>
          <w:rStyle w:val="FootnoteReference"/>
          <w:rFonts w:ascii="Times New Roman" w:eastAsia="Times New Roman" w:hAnsi="Times New Roman" w:cs="Times New Roman"/>
          <w:bCs/>
          <w:sz w:val="24"/>
          <w:szCs w:val="24"/>
        </w:rPr>
        <w:footnoteReference w:id="175"/>
      </w:r>
      <w:r w:rsidRPr="00C1694A">
        <w:rPr>
          <w:rFonts w:ascii="Times New Roman" w:eastAsia="Times New Roman" w:hAnsi="Times New Roman" w:cs="Times New Roman"/>
          <w:bCs/>
          <w:sz w:val="24"/>
          <w:szCs w:val="24"/>
          <w:vertAlign w:val="superscript"/>
        </w:rPr>
        <w:t>,</w:t>
      </w:r>
      <w:r w:rsidRPr="00C1694A">
        <w:rPr>
          <w:rStyle w:val="FootnoteReference"/>
          <w:rFonts w:ascii="Times New Roman" w:eastAsia="Times New Roman" w:hAnsi="Times New Roman" w:cs="Times New Roman"/>
          <w:bCs/>
          <w:sz w:val="24"/>
          <w:szCs w:val="24"/>
        </w:rPr>
        <w:footnoteReference w:id="176"/>
      </w:r>
      <w:r w:rsidRPr="00C1694A">
        <w:rPr>
          <w:rFonts w:ascii="Times New Roman" w:eastAsia="Times New Roman" w:hAnsi="Times New Roman" w:cs="Times New Roman"/>
          <w:bCs/>
          <w:sz w:val="24"/>
          <w:szCs w:val="24"/>
        </w:rPr>
        <w:t xml:space="preserve">   </w:t>
      </w:r>
      <w:r w:rsidRPr="00C1694A">
        <w:rPr>
          <w:rFonts w:ascii="Times New Roman" w:hAnsi="Times New Roman" w:cs="Times New Roman"/>
          <w:sz w:val="24"/>
          <w:szCs w:val="24"/>
        </w:rPr>
        <w:t xml:space="preserve">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order to estimate the cost associated with this provision, we researched the cost of curriculum fidelity kits, which help programs assess how well their teachers are implementing a particular curricula through planned activities.  At present, few curricula offer such a kit.  However, based on those that are available, we assessed the average cost of an implementation tool kit at $50.  We then multiplied that estimate by the number of programs to find the total cost of this provision.  We did not estimate additional staff time, because monitoring and staff supervision was required in the previous rule and individualization of this information is included in our mentor coaching estimate.  Using this method, we estimate the cost of fidelity tools for all programs to be $101,950.  </w:t>
      </w:r>
      <w:r w:rsidRPr="00C1694A">
        <w:rPr>
          <w:rFonts w:ascii="Times New Roman" w:eastAsia="Times New Roman" w:hAnsi="Times New Roman" w:cs="Times New Roman"/>
          <w:sz w:val="24"/>
          <w:szCs w:val="24"/>
        </w:rPr>
        <w:t xml:space="preserve">However, in response to comments, we modified the requirement in the final rule to provide additional flexibility for programs to determine how well their curriculum is being implemented.  Therefore, we assume approximately one-third of programs will use a fidelity tool and estimate the total cost of this requirement to be $33,983. </w:t>
      </w:r>
      <w:r w:rsidRPr="00C1694A">
        <w:rPr>
          <w:rFonts w:ascii="Times New Roman" w:hAnsi="Times New Roman" w:cs="Times New Roman"/>
          <w:sz w:val="24"/>
          <w:szCs w:val="24"/>
        </w:rPr>
        <w:t>These costs will be realized in year two and annually thereafter.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67"/>
        <w:gridCol w:w="2478"/>
        <w:gridCol w:w="2199"/>
      </w:tblGrid>
      <w:tr w:rsidR="006C2DBA" w:rsidRPr="00C1694A" w:rsidTr="00D23898">
        <w:tc>
          <w:tcPr>
            <w:tcW w:w="9242" w:type="dxa"/>
            <w:gridSpan w:val="4"/>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Monitoring Fidelity of Curriculum Implementation: Costs Borne by Head Start</w:t>
            </w:r>
          </w:p>
        </w:tc>
      </w:tr>
      <w:tr w:rsidR="006C2DBA" w:rsidRPr="00C1694A" w:rsidTr="00D23898">
        <w:tc>
          <w:tcPr>
            <w:tcW w:w="2398"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Cost of Implementation Tool Kit</w:t>
            </w:r>
          </w:p>
        </w:tc>
        <w:tc>
          <w:tcPr>
            <w:tcW w:w="2167"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Programs</w:t>
            </w:r>
          </w:p>
        </w:tc>
        <w:tc>
          <w:tcPr>
            <w:tcW w:w="2478"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 for all programs</w:t>
            </w:r>
          </w:p>
        </w:tc>
        <w:tc>
          <w:tcPr>
            <w:tcW w:w="2199" w:type="dxa"/>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 of Requirement</w:t>
            </w:r>
          </w:p>
        </w:tc>
      </w:tr>
      <w:tr w:rsidR="006C2DBA" w:rsidRPr="00C1694A" w:rsidTr="00D23898">
        <w:tc>
          <w:tcPr>
            <w:tcW w:w="2398"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$50</w:t>
            </w:r>
          </w:p>
        </w:tc>
        <w:tc>
          <w:tcPr>
            <w:tcW w:w="2167"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2,039</w:t>
            </w:r>
          </w:p>
        </w:tc>
        <w:tc>
          <w:tcPr>
            <w:tcW w:w="2478"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rPr>
              <w:t>$101,950</w:t>
            </w:r>
          </w:p>
        </w:tc>
        <w:tc>
          <w:tcPr>
            <w:tcW w:w="2199" w:type="dxa"/>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$33,983</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Assessments for Dual Language Learners</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this rule, we also codify best practice in assessing dual language learners (DLL) in §1302.33(c)(2) by requiring programs to administer language assessments to dual language learners in both English and their home language, as needed, either directly or through interpreters. These requirements will ensure that screening and assessment data is collected in both languages to ensure a more complete understanding of these children’s knowledge, skills and abilities.</w:t>
      </w:r>
      <w:r w:rsidRPr="00C1694A">
        <w:rPr>
          <w:rStyle w:val="FootnoteReference"/>
          <w:rFonts w:ascii="Times New Roman" w:hAnsi="Times New Roman" w:cs="Times New Roman"/>
          <w:sz w:val="24"/>
          <w:szCs w:val="24"/>
        </w:rPr>
        <w:footnoteReference w:id="177"/>
      </w:r>
      <w:r w:rsidRPr="00C1694A">
        <w:rPr>
          <w:rFonts w:ascii="Times New Roman" w:hAnsi="Times New Roman" w:cs="Times New Roman"/>
          <w:sz w:val="24"/>
          <w:szCs w:val="24"/>
        </w:rPr>
        <w:t xml:space="preserve">  In order to estimate the costs associated with this proposal, we first determined the number of DLLs across Head Start and Early Head Start by assuming all children who speak a language other than English in the home are DLLs.  We then determined the proportion of DLL children who speak Spanish in the home and the number of children who speak other languages.  For the purposes of this estimate, we assume that all DLLs who speak Spanish in the home will receive a direct assessment in Spanish, and for all DLLs who speak any language other than Spanish in the home will be assessed through an interpreter.  For Spanish-speaking DLLs (265,209 children), we assumed the average cost of a Spanish-language assessment tool-kit (using the most frequently reported assessment as our proxy) is $200 and the average cost per pack of 25 assessment forms is $50.  We determined the total number of tool-kits needed by finding the number of programs serving at least one Spanish-speaking child (1,651).  We determined the number of packs of assessment forms needed by dividing the total number of Spanish-speaking children by 25 (10,610).  We then multiplied the cost of the tool-kit by the number of programs and the cost of the assessment forms by the number of children and summed them to find the total cost of this provision for children who can be directly assessed.  For DLLs speaking languages other than Spanish (56,658 children), we found the average hourly rate for an interpreter from the Bureau of Labor Statistics and assumed two hours for each assessment.  Finally, we doubled this hourly wage to account for fringe and overhead ($46.08) even though we assume that programs will utilize the services of interpreters on a case-by-case basis rather than employing them as program staff. We then multiplied that cost by the number of non-Spanish-speaking DLLs to find the cost of this provision for children who need to be assessed through an interpreter.  Finally, we summed these two estimates to produce a total cost estimate for the provision: $3,471,519.  These costs will be realized in year two and annually thereafter.</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001"/>
        <w:gridCol w:w="1350"/>
        <w:gridCol w:w="1206"/>
        <w:gridCol w:w="1516"/>
        <w:gridCol w:w="1778"/>
      </w:tblGrid>
      <w:tr w:rsidR="006C2DBA" w:rsidRPr="00C1694A" w:rsidTr="00D23898">
        <w:tc>
          <w:tcPr>
            <w:tcW w:w="9180" w:type="dxa"/>
            <w:gridSpan w:val="6"/>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Assessments for Dual Language Learners: Costs Borne by Head Start</w:t>
            </w:r>
          </w:p>
        </w:tc>
      </w:tr>
      <w:tr w:rsidR="006C2DBA" w:rsidRPr="00C1694A" w:rsidTr="00202212">
        <w:tc>
          <w:tcPr>
            <w:tcW w:w="1329"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Type of DLL</w:t>
            </w:r>
          </w:p>
        </w:tc>
        <w:tc>
          <w:tcPr>
            <w:tcW w:w="2001"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Cost of Spanish Assessment</w:t>
            </w:r>
          </w:p>
        </w:tc>
        <w:tc>
          <w:tcPr>
            <w:tcW w:w="135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Cost of 25 Forms</w:t>
            </w:r>
          </w:p>
        </w:tc>
        <w:tc>
          <w:tcPr>
            <w:tcW w:w="1206"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Programs</w:t>
            </w:r>
          </w:p>
        </w:tc>
        <w:tc>
          <w:tcPr>
            <w:tcW w:w="1516"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Form Packs</w:t>
            </w:r>
          </w:p>
        </w:tc>
        <w:tc>
          <w:tcPr>
            <w:tcW w:w="1778"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w:t>
            </w:r>
          </w:p>
        </w:tc>
      </w:tr>
      <w:tr w:rsidR="006C2DBA" w:rsidRPr="00C1694A" w:rsidTr="00202212">
        <w:tc>
          <w:tcPr>
            <w:tcW w:w="1329"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Spanish-speaking</w:t>
            </w:r>
          </w:p>
        </w:tc>
        <w:tc>
          <w:tcPr>
            <w:tcW w:w="2001"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$200</w:t>
            </w:r>
          </w:p>
        </w:tc>
        <w:tc>
          <w:tcPr>
            <w:tcW w:w="135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$50</w:t>
            </w:r>
          </w:p>
        </w:tc>
        <w:tc>
          <w:tcPr>
            <w:tcW w:w="1206"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1,651</w:t>
            </w:r>
          </w:p>
        </w:tc>
        <w:tc>
          <w:tcPr>
            <w:tcW w:w="1516"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10,610</w:t>
            </w:r>
          </w:p>
        </w:tc>
        <w:tc>
          <w:tcPr>
            <w:tcW w:w="1778"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$860,700</w:t>
            </w:r>
          </w:p>
        </w:tc>
      </w:tr>
      <w:tr w:rsidR="006C2DBA" w:rsidRPr="00C1694A" w:rsidTr="00202212">
        <w:tc>
          <w:tcPr>
            <w:tcW w:w="1329" w:type="dxa"/>
          </w:tcPr>
          <w:p w:rsidR="006C2DBA" w:rsidRPr="00C1694A" w:rsidRDefault="006C2DBA" w:rsidP="00DC5146">
            <w:pPr>
              <w:spacing w:after="0" w:line="240" w:lineRule="auto"/>
              <w:jc w:val="center"/>
              <w:rPr>
                <w:rFonts w:ascii="Times New Roman" w:hAnsi="Times New Roman" w:cs="Times New Roman"/>
                <w:b/>
                <w:sz w:val="20"/>
                <w:szCs w:val="20"/>
              </w:rPr>
            </w:pPr>
          </w:p>
        </w:tc>
        <w:tc>
          <w:tcPr>
            <w:tcW w:w="2001"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Hourly Wage for Interpreter Inflated for Fringe and Overhead</w:t>
            </w:r>
          </w:p>
        </w:tc>
        <w:tc>
          <w:tcPr>
            <w:tcW w:w="135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Assessment</w:t>
            </w:r>
          </w:p>
        </w:tc>
        <w:tc>
          <w:tcPr>
            <w:tcW w:w="2722" w:type="dxa"/>
            <w:gridSpan w:val="2"/>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rPr>
              <w:t>Number of Children</w:t>
            </w:r>
          </w:p>
        </w:tc>
        <w:tc>
          <w:tcPr>
            <w:tcW w:w="1778" w:type="dxa"/>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szCs w:val="20"/>
              </w:rPr>
              <w:t>Estimated Cost</w:t>
            </w:r>
          </w:p>
        </w:tc>
      </w:tr>
      <w:tr w:rsidR="006C2DBA" w:rsidRPr="00C1694A" w:rsidTr="00202212">
        <w:tc>
          <w:tcPr>
            <w:tcW w:w="1329" w:type="dxa"/>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Other</w:t>
            </w:r>
          </w:p>
        </w:tc>
        <w:tc>
          <w:tcPr>
            <w:tcW w:w="2001" w:type="dxa"/>
          </w:tcPr>
          <w:p w:rsidR="006C2DBA" w:rsidRPr="00C1694A" w:rsidRDefault="006C2DBA" w:rsidP="00202212">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$46.08</w:t>
            </w:r>
          </w:p>
        </w:tc>
        <w:tc>
          <w:tcPr>
            <w:tcW w:w="1350" w:type="dxa"/>
          </w:tcPr>
          <w:p w:rsidR="006C2DBA" w:rsidRPr="00C1694A" w:rsidRDefault="006C2DBA" w:rsidP="00202212">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$92.16</w:t>
            </w:r>
          </w:p>
        </w:tc>
        <w:tc>
          <w:tcPr>
            <w:tcW w:w="2722" w:type="dxa"/>
            <w:gridSpan w:val="2"/>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56,658</w:t>
            </w:r>
          </w:p>
        </w:tc>
        <w:tc>
          <w:tcPr>
            <w:tcW w:w="1778" w:type="dxa"/>
          </w:tcPr>
          <w:p w:rsidR="006C2DBA" w:rsidRPr="00C1694A" w:rsidRDefault="006C2DBA" w:rsidP="00202212">
            <w:pPr>
              <w:spacing w:after="0" w:line="240" w:lineRule="auto"/>
              <w:jc w:val="right"/>
              <w:rPr>
                <w:rFonts w:ascii="Times New Roman" w:hAnsi="Times New Roman" w:cs="Times New Roman"/>
                <w:sz w:val="20"/>
              </w:rPr>
            </w:pPr>
            <w:r w:rsidRPr="00C1694A">
              <w:rPr>
                <w:rFonts w:ascii="Times New Roman" w:hAnsi="Times New Roman" w:cs="Times New Roman"/>
                <w:sz w:val="20"/>
                <w:szCs w:val="20"/>
              </w:rPr>
              <w:t>$5,221,638</w:t>
            </w:r>
          </w:p>
        </w:tc>
      </w:tr>
      <w:tr w:rsidR="006C2DBA" w:rsidRPr="00C1694A" w:rsidTr="00D23898">
        <w:tc>
          <w:tcPr>
            <w:tcW w:w="7402" w:type="dxa"/>
            <w:gridSpan w:val="5"/>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Total</w:t>
            </w:r>
          </w:p>
        </w:tc>
        <w:tc>
          <w:tcPr>
            <w:tcW w:w="1778" w:type="dxa"/>
          </w:tcPr>
          <w:p w:rsidR="006C2DBA" w:rsidRPr="00C1694A" w:rsidRDefault="006C2DBA" w:rsidP="00202212">
            <w:pPr>
              <w:spacing w:after="0" w:line="240" w:lineRule="auto"/>
              <w:jc w:val="right"/>
              <w:rPr>
                <w:rFonts w:ascii="Times New Roman" w:hAnsi="Times New Roman" w:cs="Times New Roman"/>
                <w:b/>
                <w:sz w:val="20"/>
              </w:rPr>
            </w:pPr>
            <w:r w:rsidRPr="00C1694A">
              <w:rPr>
                <w:rFonts w:ascii="Times New Roman" w:hAnsi="Times New Roman" w:cs="Times New Roman"/>
                <w:b/>
                <w:sz w:val="20"/>
              </w:rPr>
              <w:t>$6,082,338</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Screenings for Children with IEPs and IFSPs</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§1302.33(a)(3) of the NPRM, we explicitly stated Head Start programs were not required to perform initial developmental screenings for children who enter the program with a current IEP or IFSP.  However, in response to public comments expressing concern about this provision, it has been removed from the final rule and we have reinstated the existing requirement that programs must perform initial developmental screenings for all children, including those with a current IEP or IFSP. Therefore, we do not have estimates associated with this provision. </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Removal of Head Start-specific IEPs</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The reauthorization of the Head Start Act in 2007 removed previously held authority for Head Start programs to create their own IEPs for children with disabilities.  As a result, no programs currently create their own IEPs for children. Prior to 2007, Head Start programs frequently created such IEPs at great cost to programs.  In accordance with OMB Circular A-4, we estimate the cost/savings associated with all new provisions in this final rule, including the removal of this authority and the extensive regulatory requirements that accompany it in part 1308 of the previous rule.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order to estimate the savings associated with the removal of these provisions, we first estimated the number of children in the 2004-2005 program year whose IEP was created by Head Start, which was the last year in which the PIR collected this data.  PIR data from that year indicate 14,758 children had IEPs but were not eligible for services under IDEA.  We assumed, at a minimum, that the IEPs for all of these children were created through the Head Start process.  In order to estimate the cost of an IEP, we first assumed 2 hours of staff time for both the Education Manager and the Disabilities Coordinator.  We also assumed 4 hours of Special Education Specialist consultant work, at $50 per hour on average.  We then multiplied this staff time by the number of IEPs.  We also researched the cost of a multi-disciplinary evaluation and estimated, based on a sample of state estimates, the cost per IEP to be $2,500 on average.  We multiplied this cost by the number of IEPs and then added it to the estimated cost of staff time to determine our total cost savings to Head Start for this policy change at $41,180,576.  </w:t>
      </w:r>
      <w:r w:rsidRPr="00C1694A">
        <w:rPr>
          <w:rFonts w:ascii="Times New Roman" w:eastAsia="Times New Roman" w:hAnsi="Times New Roman" w:cs="Times New Roman"/>
          <w:sz w:val="24"/>
          <w:szCs w:val="24"/>
        </w:rPr>
        <w:t xml:space="preserve">The entire cost savings associated with the removal of Head Start-specific IEPs is considered a transfer, because these costs will be borne by other parties, leading to a net cost to society of zero dollars. </w:t>
      </w:r>
      <w:r w:rsidRPr="00C1694A">
        <w:rPr>
          <w:rFonts w:ascii="Times New Roman" w:hAnsi="Times New Roman" w:cs="Times New Roman"/>
          <w:sz w:val="24"/>
          <w:szCs w:val="24"/>
        </w:rPr>
        <w:t>The transfer of these costs will be realized in year one and annually thereafter.</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039"/>
        <w:gridCol w:w="1336"/>
        <w:gridCol w:w="1199"/>
        <w:gridCol w:w="1645"/>
        <w:gridCol w:w="1477"/>
        <w:gridCol w:w="1047"/>
      </w:tblGrid>
      <w:tr w:rsidR="006C2DBA" w:rsidRPr="00C1694A" w:rsidTr="00D23898">
        <w:trPr>
          <w:trHeight w:val="296"/>
        </w:trPr>
        <w:tc>
          <w:tcPr>
            <w:tcW w:w="9738" w:type="dxa"/>
            <w:gridSpan w:val="7"/>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Removal of Head Start-specific IEPs: Cost Savings to Head Start and Transfer Cost</w:t>
            </w:r>
          </w:p>
        </w:tc>
      </w:tr>
      <w:tr w:rsidR="006C2DBA" w:rsidRPr="00C1694A" w:rsidTr="00D23898">
        <w:trPr>
          <w:trHeight w:val="620"/>
        </w:trPr>
        <w:tc>
          <w:tcPr>
            <w:tcW w:w="1995"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p>
        </w:tc>
        <w:tc>
          <w:tcPr>
            <w:tcW w:w="1039"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Hour for Staff</w:t>
            </w:r>
          </w:p>
        </w:tc>
        <w:tc>
          <w:tcPr>
            <w:tcW w:w="1336"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of Consultation</w:t>
            </w:r>
          </w:p>
        </w:tc>
        <w:tc>
          <w:tcPr>
            <w:tcW w:w="1199"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IEPs</w:t>
            </w:r>
          </w:p>
        </w:tc>
        <w:tc>
          <w:tcPr>
            <w:tcW w:w="1645"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Savings Borne by Head Start</w:t>
            </w:r>
          </w:p>
        </w:tc>
        <w:tc>
          <w:tcPr>
            <w:tcW w:w="1477" w:type="dxa"/>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 xml:space="preserve">Transfer Cost </w:t>
            </w:r>
          </w:p>
        </w:tc>
        <w:tc>
          <w:tcPr>
            <w:tcW w:w="1047" w:type="dxa"/>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Net Cost to Society</w:t>
            </w:r>
          </w:p>
        </w:tc>
      </w:tr>
      <w:tr w:rsidR="006C2DBA" w:rsidRPr="00C1694A" w:rsidTr="00D23898">
        <w:tc>
          <w:tcPr>
            <w:tcW w:w="1995" w:type="dxa"/>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Staff/Consultant Time</w:t>
            </w:r>
          </w:p>
        </w:tc>
        <w:tc>
          <w:tcPr>
            <w:tcW w:w="1039"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$90.39</w:t>
            </w:r>
          </w:p>
        </w:tc>
        <w:tc>
          <w:tcPr>
            <w:tcW w:w="1336"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$200</w:t>
            </w:r>
          </w:p>
        </w:tc>
        <w:tc>
          <w:tcPr>
            <w:tcW w:w="1199"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14,758</w:t>
            </w:r>
          </w:p>
        </w:tc>
        <w:tc>
          <w:tcPr>
            <w:tcW w:w="1645"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$4,285,576</w:t>
            </w:r>
          </w:p>
        </w:tc>
        <w:tc>
          <w:tcPr>
            <w:tcW w:w="1477"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$4,285,576</w:t>
            </w:r>
          </w:p>
        </w:tc>
        <w:tc>
          <w:tcPr>
            <w:tcW w:w="1047"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$0</w:t>
            </w:r>
          </w:p>
        </w:tc>
      </w:tr>
      <w:tr w:rsidR="006C2DBA" w:rsidRPr="00C1694A" w:rsidTr="00D23898">
        <w:trPr>
          <w:trHeight w:val="530"/>
        </w:trPr>
        <w:tc>
          <w:tcPr>
            <w:tcW w:w="1995"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p>
        </w:tc>
        <w:tc>
          <w:tcPr>
            <w:tcW w:w="2375" w:type="dxa"/>
            <w:gridSpan w:val="2"/>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of Evaluation</w:t>
            </w:r>
          </w:p>
        </w:tc>
        <w:tc>
          <w:tcPr>
            <w:tcW w:w="1199" w:type="dxa"/>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rPr>
              <w:t>Number of IEPs</w:t>
            </w:r>
          </w:p>
        </w:tc>
        <w:tc>
          <w:tcPr>
            <w:tcW w:w="1645" w:type="dxa"/>
            <w:vAlign w:val="bottom"/>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szCs w:val="20"/>
              </w:rPr>
              <w:t>Cost Savings Borne by Head Start</w:t>
            </w:r>
          </w:p>
        </w:tc>
        <w:tc>
          <w:tcPr>
            <w:tcW w:w="1477" w:type="dxa"/>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szCs w:val="20"/>
              </w:rPr>
              <w:t xml:space="preserve">Transfer Cost </w:t>
            </w:r>
          </w:p>
        </w:tc>
        <w:tc>
          <w:tcPr>
            <w:tcW w:w="1047" w:type="dxa"/>
          </w:tcPr>
          <w:p w:rsidR="006C2DBA" w:rsidRPr="00C1694A" w:rsidRDefault="006C2DBA" w:rsidP="00DC5146">
            <w:pPr>
              <w:spacing w:after="0" w:line="240" w:lineRule="auto"/>
              <w:jc w:val="center"/>
              <w:rPr>
                <w:rFonts w:ascii="Times New Roman" w:hAnsi="Times New Roman" w:cs="Times New Roman"/>
                <w:b/>
                <w:sz w:val="20"/>
              </w:rPr>
            </w:pPr>
            <w:r w:rsidRPr="00C1694A">
              <w:rPr>
                <w:rFonts w:ascii="Times New Roman" w:hAnsi="Times New Roman" w:cs="Times New Roman"/>
                <w:b/>
                <w:sz w:val="20"/>
                <w:szCs w:val="20"/>
              </w:rPr>
              <w:t>Net Cost to Society</w:t>
            </w:r>
          </w:p>
        </w:tc>
      </w:tr>
      <w:tr w:rsidR="006C2DBA" w:rsidRPr="00C1694A" w:rsidTr="00D23898">
        <w:tc>
          <w:tcPr>
            <w:tcW w:w="1995" w:type="dxa"/>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Multi-disciplinary Evaluation</w:t>
            </w:r>
          </w:p>
        </w:tc>
        <w:tc>
          <w:tcPr>
            <w:tcW w:w="2375" w:type="dxa"/>
            <w:gridSpan w:val="2"/>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$2,500</w:t>
            </w:r>
          </w:p>
        </w:tc>
        <w:tc>
          <w:tcPr>
            <w:tcW w:w="1199"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14,758</w:t>
            </w:r>
          </w:p>
        </w:tc>
        <w:tc>
          <w:tcPr>
            <w:tcW w:w="1645"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szCs w:val="20"/>
              </w:rPr>
              <w:t>$36,895,000</w:t>
            </w:r>
          </w:p>
        </w:tc>
        <w:tc>
          <w:tcPr>
            <w:tcW w:w="1477"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$36,895,000</w:t>
            </w:r>
          </w:p>
        </w:tc>
        <w:tc>
          <w:tcPr>
            <w:tcW w:w="1047"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$0</w:t>
            </w:r>
          </w:p>
        </w:tc>
      </w:tr>
      <w:tr w:rsidR="006C2DBA" w:rsidRPr="00C1694A" w:rsidTr="00D23898">
        <w:tc>
          <w:tcPr>
            <w:tcW w:w="5569" w:type="dxa"/>
            <w:gridSpan w:val="4"/>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Total</w:t>
            </w:r>
          </w:p>
        </w:tc>
        <w:tc>
          <w:tcPr>
            <w:tcW w:w="1645" w:type="dxa"/>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$41,180,576</w:t>
            </w:r>
          </w:p>
        </w:tc>
        <w:tc>
          <w:tcPr>
            <w:tcW w:w="1477" w:type="dxa"/>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$41,180,576</w:t>
            </w:r>
          </w:p>
        </w:tc>
        <w:tc>
          <w:tcPr>
            <w:tcW w:w="1047" w:type="dxa"/>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$0</w:t>
            </w:r>
          </w:p>
        </w:tc>
      </w:tr>
    </w:tbl>
    <w:p w:rsidR="006C2DBA" w:rsidRPr="00C1694A" w:rsidRDefault="006C2DBA" w:rsidP="00331A7B">
      <w:pPr>
        <w:spacing w:after="0" w:line="480" w:lineRule="auto"/>
        <w:rPr>
          <w:rFonts w:ascii="Times New Roman" w:hAnsi="Times New Roman" w:cs="Times New Roman"/>
          <w:b/>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Parenting Curriculum</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This rule includes a requirement in §1302.51(b) that programs provide parents with opportunities to participate in a parenting curriculum.  The NPRM proposed this requirement but the Regulatory Impact Analysis in the NPRM did not account for any costs associated with the requirement. We have added this cost estimate in response to comments that suggested we should acknowledge the costs associated with providing these opportunities to parents here.</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order to estimate the costs associated with this provision, we researched the cost of parenting curricula online and found and average cost of $1,087 for program-level materials and $14.25 per parent booklet.  We then estimated that programs would provide opportunities such that one-third of parents would participate in a parenting curriculum, which assuming one parent per child is 318,751 parent participants.  We then found the total program-level cost to be $2,216,393 and the total parent-level cost to be $4,542,202, for a total cost of $6,758,595.  However, given recent data</w:t>
      </w:r>
      <w:r w:rsidRPr="00C1694A">
        <w:rPr>
          <w:rStyle w:val="FootnoteReference"/>
          <w:rFonts w:ascii="Times New Roman" w:hAnsi="Times New Roman" w:cs="Times New Roman"/>
          <w:sz w:val="24"/>
          <w:szCs w:val="24"/>
        </w:rPr>
        <w:footnoteReference w:id="178"/>
      </w:r>
      <w:r w:rsidRPr="00C1694A">
        <w:rPr>
          <w:rFonts w:ascii="Times New Roman" w:hAnsi="Times New Roman" w:cs="Times New Roman"/>
          <w:sz w:val="24"/>
          <w:szCs w:val="24"/>
        </w:rPr>
        <w:t xml:space="preserve"> that suggests that 41% of Head Start and Early Head Start parents already participate in parenting classes, we reduce this estimate by 40% for a total cost of $4,055,157. </w:t>
      </w:r>
    </w:p>
    <w:tbl>
      <w:tblPr>
        <w:tblStyle w:val="TableGrid"/>
        <w:tblW w:w="0" w:type="auto"/>
        <w:tblLook w:val="04A0" w:firstRow="1" w:lastRow="0" w:firstColumn="1" w:lastColumn="0" w:noHBand="0" w:noVBand="1"/>
      </w:tblPr>
      <w:tblGrid>
        <w:gridCol w:w="2358"/>
        <w:gridCol w:w="1472"/>
        <w:gridCol w:w="1915"/>
        <w:gridCol w:w="2193"/>
        <w:gridCol w:w="1638"/>
      </w:tblGrid>
      <w:tr w:rsidR="006C2DBA" w:rsidRPr="00C1694A" w:rsidTr="00D722F2">
        <w:tc>
          <w:tcPr>
            <w:tcW w:w="9576" w:type="dxa"/>
            <w:gridSpan w:val="5"/>
            <w:vAlign w:val="bottom"/>
          </w:tcPr>
          <w:p w:rsidR="006C2DBA" w:rsidRPr="00C1694A" w:rsidRDefault="006C2DBA" w:rsidP="00D722F2">
            <w:pPr>
              <w:rPr>
                <w:rFonts w:ascii="Times New Roman" w:hAnsi="Times New Roman" w:cs="Times New Roman"/>
                <w:b/>
                <w:sz w:val="20"/>
                <w:szCs w:val="20"/>
              </w:rPr>
            </w:pPr>
            <w:r w:rsidRPr="00C1694A">
              <w:rPr>
                <w:rFonts w:ascii="Times New Roman" w:hAnsi="Times New Roman" w:cs="Times New Roman"/>
                <w:b/>
                <w:sz w:val="20"/>
                <w:szCs w:val="20"/>
              </w:rPr>
              <w:t>Parenting Curriculum</w:t>
            </w:r>
          </w:p>
        </w:tc>
      </w:tr>
      <w:tr w:rsidR="006C2DBA" w:rsidRPr="00C1694A" w:rsidTr="00D722F2">
        <w:tc>
          <w:tcPr>
            <w:tcW w:w="2358" w:type="dxa"/>
            <w:vAlign w:val="bottom"/>
          </w:tcPr>
          <w:p w:rsidR="006C2DBA" w:rsidRPr="00C1694A" w:rsidRDefault="006C2DBA" w:rsidP="00D722F2">
            <w:pPr>
              <w:rPr>
                <w:rFonts w:ascii="Times New Roman" w:hAnsi="Times New Roman" w:cs="Times New Roman"/>
                <w:sz w:val="20"/>
                <w:szCs w:val="20"/>
              </w:rPr>
            </w:pPr>
            <w:r w:rsidRPr="00C1694A">
              <w:rPr>
                <w:rFonts w:ascii="Times New Roman" w:hAnsi="Times New Roman" w:cs="Times New Roman"/>
                <w:b/>
                <w:sz w:val="20"/>
                <w:szCs w:val="20"/>
              </w:rPr>
              <w:t>Average Program-Level Cost of Curriculum</w:t>
            </w:r>
          </w:p>
        </w:tc>
        <w:tc>
          <w:tcPr>
            <w:tcW w:w="1472"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Number of Programs</w:t>
            </w:r>
          </w:p>
        </w:tc>
        <w:tc>
          <w:tcPr>
            <w:tcW w:w="1915"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Average Cost per Parent</w:t>
            </w:r>
          </w:p>
        </w:tc>
        <w:tc>
          <w:tcPr>
            <w:tcW w:w="2193"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Participating Parents (One-Third)</w:t>
            </w:r>
          </w:p>
        </w:tc>
        <w:tc>
          <w:tcPr>
            <w:tcW w:w="1638" w:type="dxa"/>
            <w:vAlign w:val="bottom"/>
          </w:tcPr>
          <w:p w:rsidR="006C2DBA" w:rsidRPr="00C1694A" w:rsidRDefault="006C2DBA" w:rsidP="00D722F2">
            <w:pPr>
              <w:jc w:val="center"/>
              <w:rPr>
                <w:rFonts w:ascii="Times New Roman" w:hAnsi="Times New Roman" w:cs="Times New Roman"/>
                <w:b/>
                <w:sz w:val="20"/>
                <w:szCs w:val="20"/>
              </w:rPr>
            </w:pPr>
            <w:r w:rsidRPr="00C1694A">
              <w:rPr>
                <w:rFonts w:ascii="Times New Roman" w:hAnsi="Times New Roman" w:cs="Times New Roman"/>
                <w:b/>
                <w:sz w:val="20"/>
                <w:szCs w:val="20"/>
              </w:rPr>
              <w:t>Total Cost</w:t>
            </w:r>
          </w:p>
        </w:tc>
      </w:tr>
      <w:tr w:rsidR="006C2DBA" w:rsidRPr="00C1694A" w:rsidTr="00D722F2">
        <w:tc>
          <w:tcPr>
            <w:tcW w:w="2358"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$1,087</w:t>
            </w:r>
          </w:p>
        </w:tc>
        <w:tc>
          <w:tcPr>
            <w:tcW w:w="1472"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2,039</w:t>
            </w:r>
          </w:p>
        </w:tc>
        <w:tc>
          <w:tcPr>
            <w:tcW w:w="1915"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$14.25</w:t>
            </w:r>
          </w:p>
        </w:tc>
        <w:tc>
          <w:tcPr>
            <w:tcW w:w="2193"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318,751</w:t>
            </w:r>
          </w:p>
        </w:tc>
        <w:tc>
          <w:tcPr>
            <w:tcW w:w="1638" w:type="dxa"/>
            <w:vAlign w:val="bottom"/>
          </w:tcPr>
          <w:p w:rsidR="006C2DBA" w:rsidRPr="00C1694A" w:rsidRDefault="006C2DBA" w:rsidP="00D722F2">
            <w:pPr>
              <w:jc w:val="right"/>
              <w:rPr>
                <w:rFonts w:ascii="Times New Roman" w:hAnsi="Times New Roman" w:cs="Times New Roman"/>
                <w:sz w:val="20"/>
                <w:szCs w:val="20"/>
              </w:rPr>
            </w:pPr>
            <w:r w:rsidRPr="00C1694A">
              <w:rPr>
                <w:rFonts w:ascii="Times New Roman" w:hAnsi="Times New Roman" w:cs="Times New Roman"/>
                <w:sz w:val="20"/>
                <w:szCs w:val="20"/>
              </w:rPr>
              <w:t>$6,758,595</w:t>
            </w:r>
          </w:p>
        </w:tc>
      </w:tr>
      <w:tr w:rsidR="006C2DBA" w:rsidRPr="00C1694A" w:rsidTr="00D722F2">
        <w:tc>
          <w:tcPr>
            <w:tcW w:w="7938" w:type="dxa"/>
            <w:gridSpan w:val="4"/>
            <w:vAlign w:val="bottom"/>
          </w:tcPr>
          <w:p w:rsidR="006C2DBA" w:rsidRPr="00C1694A" w:rsidRDefault="006C2DBA" w:rsidP="00D722F2">
            <w:pPr>
              <w:jc w:val="right"/>
              <w:rPr>
                <w:rFonts w:ascii="Times New Roman" w:hAnsi="Times New Roman" w:cs="Times New Roman"/>
                <w:b/>
                <w:sz w:val="20"/>
                <w:szCs w:val="20"/>
              </w:rPr>
            </w:pPr>
            <w:r w:rsidRPr="00C1694A">
              <w:rPr>
                <w:rFonts w:ascii="Times New Roman" w:hAnsi="Times New Roman" w:cs="Times New Roman"/>
                <w:b/>
                <w:sz w:val="20"/>
                <w:szCs w:val="20"/>
              </w:rPr>
              <w:t>Reduced by 40%</w:t>
            </w:r>
          </w:p>
        </w:tc>
        <w:tc>
          <w:tcPr>
            <w:tcW w:w="1638" w:type="dxa"/>
            <w:vAlign w:val="bottom"/>
          </w:tcPr>
          <w:p w:rsidR="006C2DBA" w:rsidRPr="00C1694A" w:rsidRDefault="006C2DBA" w:rsidP="00D722F2">
            <w:pPr>
              <w:jc w:val="right"/>
              <w:rPr>
                <w:rFonts w:ascii="Times New Roman" w:hAnsi="Times New Roman" w:cs="Times New Roman"/>
                <w:b/>
                <w:sz w:val="20"/>
                <w:szCs w:val="20"/>
              </w:rPr>
            </w:pPr>
            <w:r w:rsidRPr="00C1694A">
              <w:rPr>
                <w:rFonts w:ascii="Times New Roman" w:hAnsi="Times New Roman" w:cs="Times New Roman"/>
                <w:b/>
                <w:sz w:val="20"/>
                <w:szCs w:val="20"/>
              </w:rPr>
              <w:t>$4,055,157</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Administrative/Managerial Provisions</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rPr>
        <w:tab/>
        <w:t xml:space="preserve">This rule includes several provisions to improve important managerial and administrative responsibilities, and to reduce unnecessary administrative burden.  We analyzed costs associated with the following specific requirements: memoranda of understanding in §1302.53(b)(1); background checks in §1302.90(b); mediation and arbitration of disputes between the governing body and policy council in §1301.6; data management requirements in §1302.53(b)(2) and (3), participation in Quality Rating Improvement Systems and participation in State longitudinal data systems in §1302.53.  We analyzed savings associated with the following specific requirements: removal of annual audits; removal of delegate appeal process at the federal level; clarification of the facilities application process in §1303.40; revision of community needs assessment in §1302.11(b)(1); and revision of managerial planning in §1302.101(b).  </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Memoranda of Understanding (MOU)</w:t>
      </w:r>
    </w:p>
    <w:p w:rsidR="006C2DBA" w:rsidRPr="00C1694A" w:rsidRDefault="006C2DBA" w:rsidP="00331A7B">
      <w:pPr>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rPr>
        <w:t>This rule includes a new requirement that programs establish formal agreements with the local entity responsible for publicly funded preschool in §1302.32.  This change reflects a provision of the Act that requires MOUs and has been in effect since 2008.  Nonetheless, per the OMB Circular Requirements for Regulatory Impact Analysis, we must estimate the costs associated with the provision, as though no programs have implemented the statutory change.</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order to estimate the costs associated with meeting this new requirement, we first estimated that establishing an MOU with such entities will require approximately 2 hours of management time, based on grantee experience implementing similar MOUs.  To estimate the cost of that time, we multiplied the average hourly salary of all management positions by 2.  We then multiplied that cost by the total number of programs.  Using this method, we estimated the total cost associated with this requirement to be $90,185.  We then estimated the proportion of the estimated cost borne by Head Start by applying the average proportion of these management wages borne by Head Start (68.2 percent), and found $61,506 is borne by Head Start and the remaining $28,679 is borne by other parties. This may be an over-estimate of cost given that one purpose of the MOU is to better coordinate and share local resources, which may lead to savings, associated with implementation of the MOU. These costs will be realized in year one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440"/>
        <w:gridCol w:w="1300"/>
        <w:gridCol w:w="1754"/>
        <w:gridCol w:w="1513"/>
        <w:gridCol w:w="1278"/>
      </w:tblGrid>
      <w:tr w:rsidR="006C2DBA" w:rsidRPr="00C1694A" w:rsidTr="00D23898">
        <w:tc>
          <w:tcPr>
            <w:tcW w:w="9242" w:type="dxa"/>
            <w:gridSpan w:val="6"/>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Memoranda of Understanding: Costs Borne by Head Start and by Other Parties</w:t>
            </w:r>
          </w:p>
        </w:tc>
      </w:tr>
      <w:tr w:rsidR="006C2DBA" w:rsidRPr="00C1694A" w:rsidTr="00D23898">
        <w:tc>
          <w:tcPr>
            <w:tcW w:w="1957"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Wage for 2 Hours of Management Time</w:t>
            </w:r>
          </w:p>
        </w:tc>
        <w:tc>
          <w:tcPr>
            <w:tcW w:w="144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Cost of Wage Borne by Head Start</w:t>
            </w:r>
          </w:p>
        </w:tc>
        <w:tc>
          <w:tcPr>
            <w:tcW w:w="130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Programs</w:t>
            </w:r>
          </w:p>
        </w:tc>
        <w:tc>
          <w:tcPr>
            <w:tcW w:w="1754"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Total Cost</w:t>
            </w:r>
          </w:p>
        </w:tc>
        <w:tc>
          <w:tcPr>
            <w:tcW w:w="1513"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Costs borne by Head Start</w:t>
            </w:r>
          </w:p>
        </w:tc>
        <w:tc>
          <w:tcPr>
            <w:tcW w:w="1278"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Costs borne by Other Parties</w:t>
            </w:r>
          </w:p>
        </w:tc>
      </w:tr>
      <w:tr w:rsidR="006C2DBA" w:rsidRPr="00C1694A" w:rsidTr="00D23898">
        <w:tc>
          <w:tcPr>
            <w:tcW w:w="1957"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$44.23</w:t>
            </w:r>
          </w:p>
        </w:tc>
        <w:tc>
          <w:tcPr>
            <w:tcW w:w="144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$30.23</w:t>
            </w:r>
          </w:p>
        </w:tc>
        <w:tc>
          <w:tcPr>
            <w:tcW w:w="130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2,039</w:t>
            </w:r>
          </w:p>
        </w:tc>
        <w:tc>
          <w:tcPr>
            <w:tcW w:w="1754"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$90,185</w:t>
            </w:r>
          </w:p>
        </w:tc>
        <w:tc>
          <w:tcPr>
            <w:tcW w:w="1513"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$61,506</w:t>
            </w:r>
          </w:p>
        </w:tc>
        <w:tc>
          <w:tcPr>
            <w:tcW w:w="1278"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$28,679</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Criminal Background Checks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rule includes two new provisions that strengthen the requirements programs currently must meet with regard to criminal background checks for staff in §1302.90(b).  T</w:t>
      </w:r>
      <w:r w:rsidRPr="00C1694A">
        <w:rPr>
          <w:rFonts w:ascii="Times New Roman" w:eastAsia="Times New Roman" w:hAnsi="Times New Roman" w:cs="Times New Roman"/>
          <w:bCs/>
          <w:sz w:val="24"/>
          <w:szCs w:val="24"/>
        </w:rPr>
        <w:t xml:space="preserve">hese changes will provide alignment across federal programs about the importance and key characteristics of comprehensive background checks, which are critical to ensuring child safety in all early care and education settings.  </w:t>
      </w:r>
      <w:r w:rsidRPr="00C1694A">
        <w:rPr>
          <w:rFonts w:ascii="Times New Roman" w:hAnsi="Times New Roman" w:cs="Times New Roman"/>
          <w:sz w:val="24"/>
          <w:szCs w:val="24"/>
        </w:rPr>
        <w:t>Specifically, the first provision requires programs perform both a state and FBI criminal background check on all new employees prior to hire, whereas the previous rule only required programs to perform one of the two checks.  The second provision requires programs to renew criminal background checks for all employees once every five years.  The FBI estimates the average cost of a criminal background check is $30. The cost of state background checks varies significantly, with some states charging more than $30.  However, some states cover costs of the checks for early care providers and other states reduce costs for a combined FBI and state check.  Therefore, we assume $50 to be the average cost of both the FBI and state background check, together, based on information from the Office of Child Care’s CCDF State Plans, in producing our cost estimate.  We also assume a $5 cost for checks of Child Abuse and Neglect registries.  The national sex offender registry can be checked online, free of charge.</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considered both monetary costs and opportunity costs when estimating the cost of the first provision.  To estimate the monetary cost of requiring both FBI and state background checks for new hires, we used the average turnover rate of teachers and home visitors from the PIR data (17 percent) and applied it to all staff to estimate the average number of new hires due to turnover per year.  We then multiplied the number of new hires (36,438) by the average cost of the FBI background check ($30) to estimate the cost associated with this provision ($1,275,330).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addition to these monetary costs, we also estimated the opportunity cost for new employees prior to hire to meet this requirement.  This represents the value of time (measured as forgone earnings) of a prospective employee during the time, they spend to complete a background check.  To calculate the opportunity cost, we averaged the hourly wage for a teacher and an assistant teacher of $15.35, multiplied it by 1.5 hours for the estimated time it would take, and multiplied that by the average number of new hires due to turnover per year.   We estimate the total opportunity cost for this provision to be $838,985.</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To estimate the cost of the second provision, we estimated the number of staff that would need a background check renewal every five years by dividing the total number of staff for all grantees by 5.  Then we multiplied the cost of a full background check ($55) by number of staff needing a background check renewal per year (48,584) for a total cost of $2,672,120.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addition, we estimated the cost associated with administrative staff time to process each additional background check.  To calculate this, we used the applicable number of staff that would need additional background checks per year both through renewal and additional checks as staff turnover (85,022) and divided that number by 6 assuming each application will take approximately 10 minutes to process.  This provided an estimate for the number of hours that administrative staff time to process additional background checks (12,265) annually.  Finally, we multiplied the number of hours by the hourly wage of an administrative assistant, which we assumed to be the same rate as teacher assistants ($11.99), to estimate the total cost of processing at $169,898.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Using this method, we estimate the total monetary costs associated with the background check provisions to be $4,117,348 and the total opportunity cost to be $838,985. These costs will be realized in year two and annually thereafter.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710"/>
        <w:gridCol w:w="1710"/>
        <w:gridCol w:w="1710"/>
        <w:gridCol w:w="1710"/>
      </w:tblGrid>
      <w:tr w:rsidR="006C2DBA" w:rsidRPr="00C1694A" w:rsidTr="00D23898">
        <w:tc>
          <w:tcPr>
            <w:tcW w:w="9450" w:type="dxa"/>
            <w:gridSpan w:val="5"/>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Criminal Background Checks: Costs borne by Head Start</w:t>
            </w:r>
          </w:p>
        </w:tc>
      </w:tr>
      <w:tr w:rsidR="006C2DBA" w:rsidRPr="00C1694A" w:rsidTr="00202212">
        <w:tc>
          <w:tcPr>
            <w:tcW w:w="26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Provision</w:t>
            </w:r>
          </w:p>
        </w:tc>
        <w:tc>
          <w:tcPr>
            <w:tcW w:w="17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Cost of Check</w:t>
            </w:r>
          </w:p>
        </w:tc>
        <w:tc>
          <w:tcPr>
            <w:tcW w:w="17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Total Number of Staff</w:t>
            </w:r>
          </w:p>
        </w:tc>
        <w:tc>
          <w:tcPr>
            <w:tcW w:w="17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Applicable Staff</w:t>
            </w:r>
          </w:p>
        </w:tc>
        <w:tc>
          <w:tcPr>
            <w:tcW w:w="17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w:t>
            </w:r>
          </w:p>
        </w:tc>
      </w:tr>
      <w:tr w:rsidR="006C2DBA" w:rsidRPr="00C1694A" w:rsidTr="00D23898">
        <w:tc>
          <w:tcPr>
            <w:tcW w:w="26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Initial Comprehensive Background Check</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$35</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242,918</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36,438</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$1,275,330</w:t>
            </w:r>
          </w:p>
        </w:tc>
      </w:tr>
      <w:tr w:rsidR="006C2DBA" w:rsidRPr="00C1694A" w:rsidTr="00D23898">
        <w:tc>
          <w:tcPr>
            <w:tcW w:w="26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5-year Renewal</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$55</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242,918</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48,584</w:t>
            </w:r>
          </w:p>
        </w:tc>
        <w:tc>
          <w:tcPr>
            <w:tcW w:w="1710" w:type="dxa"/>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szCs w:val="20"/>
              </w:rPr>
              <w:t>$2,672,120</w:t>
            </w:r>
          </w:p>
        </w:tc>
      </w:tr>
      <w:tr w:rsidR="006C2DBA" w:rsidRPr="00C1694A" w:rsidTr="00202212">
        <w:tc>
          <w:tcPr>
            <w:tcW w:w="26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p>
        </w:tc>
        <w:tc>
          <w:tcPr>
            <w:tcW w:w="17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Hourly wage</w:t>
            </w:r>
          </w:p>
        </w:tc>
        <w:tc>
          <w:tcPr>
            <w:tcW w:w="17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Applicable Staff</w:t>
            </w:r>
          </w:p>
        </w:tc>
        <w:tc>
          <w:tcPr>
            <w:tcW w:w="17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Hours</w:t>
            </w:r>
          </w:p>
        </w:tc>
        <w:tc>
          <w:tcPr>
            <w:tcW w:w="171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w:t>
            </w:r>
          </w:p>
        </w:tc>
      </w:tr>
      <w:tr w:rsidR="006C2DBA" w:rsidRPr="00C1694A" w:rsidTr="00D23898">
        <w:tc>
          <w:tcPr>
            <w:tcW w:w="26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Staff time to process checks</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$11.99</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85,022</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14,170</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$169,898</w:t>
            </w:r>
          </w:p>
        </w:tc>
      </w:tr>
      <w:tr w:rsidR="006C2DBA" w:rsidRPr="00C1694A" w:rsidTr="00D23898">
        <w:tc>
          <w:tcPr>
            <w:tcW w:w="7740" w:type="dxa"/>
            <w:gridSpan w:val="4"/>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Total</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$4,117,348</w:t>
            </w:r>
          </w:p>
        </w:tc>
      </w:tr>
    </w:tbl>
    <w:p w:rsidR="006C2DBA" w:rsidRPr="00C1694A" w:rsidRDefault="006C2DBA" w:rsidP="00DC5146">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070"/>
        <w:gridCol w:w="1530"/>
        <w:gridCol w:w="1260"/>
        <w:gridCol w:w="1170"/>
        <w:gridCol w:w="1440"/>
      </w:tblGrid>
      <w:tr w:rsidR="006C2DBA" w:rsidRPr="00C1694A" w:rsidTr="00202212">
        <w:tc>
          <w:tcPr>
            <w:tcW w:w="7920" w:type="dxa"/>
            <w:gridSpan w:val="5"/>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Criminal Background Checks: Opportunity Costs</w:t>
            </w:r>
          </w:p>
        </w:tc>
        <w:tc>
          <w:tcPr>
            <w:tcW w:w="1440" w:type="dxa"/>
          </w:tcPr>
          <w:p w:rsidR="006C2DBA" w:rsidRPr="00C1694A" w:rsidRDefault="006C2DBA" w:rsidP="00DC5146">
            <w:pPr>
              <w:spacing w:after="0" w:line="240" w:lineRule="auto"/>
              <w:rPr>
                <w:rFonts w:ascii="Times New Roman" w:hAnsi="Times New Roman" w:cs="Times New Roman"/>
                <w:b/>
                <w:sz w:val="20"/>
                <w:szCs w:val="20"/>
              </w:rPr>
            </w:pPr>
          </w:p>
        </w:tc>
      </w:tr>
      <w:tr w:rsidR="006C2DBA" w:rsidRPr="00C1694A" w:rsidTr="00202212">
        <w:tc>
          <w:tcPr>
            <w:tcW w:w="189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Provision</w:t>
            </w:r>
          </w:p>
        </w:tc>
        <w:tc>
          <w:tcPr>
            <w:tcW w:w="207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Avg. Hourly Wage</w:t>
            </w:r>
          </w:p>
        </w:tc>
        <w:tc>
          <w:tcPr>
            <w:tcW w:w="153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Time in Hours</w:t>
            </w:r>
          </w:p>
        </w:tc>
        <w:tc>
          <w:tcPr>
            <w:tcW w:w="126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Total Wage Cost</w:t>
            </w:r>
          </w:p>
        </w:tc>
        <w:tc>
          <w:tcPr>
            <w:tcW w:w="117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Applicable Staff</w:t>
            </w:r>
          </w:p>
        </w:tc>
        <w:tc>
          <w:tcPr>
            <w:tcW w:w="1440" w:type="dxa"/>
            <w:vAlign w:val="bottom"/>
          </w:tcPr>
          <w:p w:rsidR="006C2DBA" w:rsidRPr="00C1694A" w:rsidRDefault="006C2DBA" w:rsidP="00202212">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w:t>
            </w:r>
          </w:p>
        </w:tc>
      </w:tr>
      <w:tr w:rsidR="006C2DBA" w:rsidRPr="00C1694A" w:rsidTr="00202212">
        <w:tc>
          <w:tcPr>
            <w:tcW w:w="189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FBI and State Check</w:t>
            </w:r>
          </w:p>
        </w:tc>
        <w:tc>
          <w:tcPr>
            <w:tcW w:w="2070" w:type="dxa"/>
          </w:tcPr>
          <w:p w:rsidR="006C2DBA" w:rsidRPr="00C1694A" w:rsidRDefault="006C2DBA" w:rsidP="00202212">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$15.35</w:t>
            </w:r>
          </w:p>
        </w:tc>
        <w:tc>
          <w:tcPr>
            <w:tcW w:w="153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1.5</w:t>
            </w:r>
          </w:p>
        </w:tc>
        <w:tc>
          <w:tcPr>
            <w:tcW w:w="1260" w:type="dxa"/>
          </w:tcPr>
          <w:p w:rsidR="006C2DBA" w:rsidRPr="00C1694A" w:rsidRDefault="006C2DBA" w:rsidP="00202212">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$23.03</w:t>
            </w:r>
          </w:p>
        </w:tc>
        <w:tc>
          <w:tcPr>
            <w:tcW w:w="117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36,438</w:t>
            </w:r>
          </w:p>
        </w:tc>
        <w:tc>
          <w:tcPr>
            <w:tcW w:w="1440" w:type="dxa"/>
          </w:tcPr>
          <w:p w:rsidR="006C2DBA" w:rsidRPr="00C1694A" w:rsidRDefault="006C2DBA" w:rsidP="00202212">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$838,985</w:t>
            </w:r>
          </w:p>
        </w:tc>
      </w:tr>
      <w:tr w:rsidR="006C2DBA" w:rsidRPr="00C1694A" w:rsidTr="00202212">
        <w:tc>
          <w:tcPr>
            <w:tcW w:w="7920" w:type="dxa"/>
            <w:gridSpan w:val="5"/>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b/>
                <w:sz w:val="20"/>
                <w:szCs w:val="20"/>
              </w:rPr>
              <w:t>Total</w:t>
            </w:r>
          </w:p>
        </w:tc>
        <w:tc>
          <w:tcPr>
            <w:tcW w:w="1440" w:type="dxa"/>
            <w:vAlign w:val="bottom"/>
          </w:tcPr>
          <w:p w:rsidR="006C2DBA" w:rsidRPr="00C1694A" w:rsidRDefault="006C2DBA" w:rsidP="00202212">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$838,985</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Mediation and Arbitration</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The rule includes a requirement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1301.6(b) and (c) that agencies unable to resolve impasses through their own decision-making process must participate in a formal process of mediation.  If agencies do not reach a resolution with a mediator, they must pursue arbitration and the arbitrator’s decision is final.  We assume few grantees will reach an impasse and fewer grantees will be unable to resolve the impasse with their own decision-making process.  For purposes of estimating the costs of these provisions, we assume one percent of programs, or 20 programs, will pursue mediation – likely an overestimate – and ten percent of those, or 2 programs, will go on to pursue arbitration.  According to data from the National Arbitration Association, the costs of mediation vary but are significantly lower than arbitration.  They cite the costs of arbitration services range from $200 to $700 per hour.  To estimate the cost, we average the hourly cost and assume $450 per hour.  The National Arbitration Association also states that arbitration usually takes no more than two weeks.  Therefore, we assume 80 hours at $450 per hour for three programs for a total cost of $72,000.  For mediation, we assume half the cost of arbitration (both hourly rate ($225) and length of time (40 hours)), which is consistent with estimates we saw elsewhere.  We assumed 20 programs would pursue mediation for a total cost of $261,000.  The total for these two provisions is $333,000. These costs will be realized in year one and annually thereafter. </w:t>
      </w:r>
    </w:p>
    <w:p w:rsidR="006C2DBA" w:rsidRPr="00C1694A" w:rsidRDefault="006C2DBA">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710"/>
        <w:gridCol w:w="1710"/>
        <w:gridCol w:w="1710"/>
        <w:gridCol w:w="1646"/>
      </w:tblGrid>
      <w:tr w:rsidR="006C2DBA" w:rsidRPr="00C1694A" w:rsidTr="00D23898">
        <w:tc>
          <w:tcPr>
            <w:tcW w:w="9386" w:type="dxa"/>
            <w:gridSpan w:val="5"/>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Mediation and Arbitration: Costs Borne by Head Start</w:t>
            </w:r>
          </w:p>
        </w:tc>
      </w:tr>
      <w:tr w:rsidR="006C2DBA" w:rsidRPr="00C1694A" w:rsidTr="00D23898">
        <w:tc>
          <w:tcPr>
            <w:tcW w:w="2610"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Provision</w:t>
            </w:r>
          </w:p>
        </w:tc>
        <w:tc>
          <w:tcPr>
            <w:tcW w:w="1710"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 xml:space="preserve">Avg. Hourly Cost </w:t>
            </w:r>
          </w:p>
        </w:tc>
        <w:tc>
          <w:tcPr>
            <w:tcW w:w="1710"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Number of Hours</w:t>
            </w:r>
          </w:p>
        </w:tc>
        <w:tc>
          <w:tcPr>
            <w:tcW w:w="1710"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 xml:space="preserve">Number of Programs </w:t>
            </w:r>
          </w:p>
        </w:tc>
        <w:tc>
          <w:tcPr>
            <w:tcW w:w="1646"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Estimated Cost</w:t>
            </w:r>
          </w:p>
        </w:tc>
      </w:tr>
      <w:tr w:rsidR="006C2DBA" w:rsidRPr="00C1694A" w:rsidTr="00D23898">
        <w:tc>
          <w:tcPr>
            <w:tcW w:w="26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Mediation</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$225</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40</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20</w:t>
            </w:r>
          </w:p>
        </w:tc>
        <w:tc>
          <w:tcPr>
            <w:tcW w:w="1646"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$261,000</w:t>
            </w:r>
          </w:p>
        </w:tc>
      </w:tr>
      <w:tr w:rsidR="006C2DBA" w:rsidRPr="00C1694A" w:rsidTr="00D23898">
        <w:tc>
          <w:tcPr>
            <w:tcW w:w="26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Arbitration</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$450</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80</w:t>
            </w:r>
          </w:p>
        </w:tc>
        <w:tc>
          <w:tcPr>
            <w:tcW w:w="1710"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w:t>
            </w:r>
          </w:p>
        </w:tc>
        <w:tc>
          <w:tcPr>
            <w:tcW w:w="1646" w:type="dxa"/>
          </w:tcPr>
          <w:p w:rsidR="006C2DBA" w:rsidRPr="00C1694A" w:rsidRDefault="006C2DBA" w:rsidP="0038535F">
            <w:pPr>
              <w:spacing w:after="0" w:line="240" w:lineRule="auto"/>
              <w:jc w:val="right"/>
              <w:rPr>
                <w:rFonts w:ascii="Times New Roman" w:hAnsi="Times New Roman" w:cs="Times New Roman"/>
                <w:sz w:val="20"/>
              </w:rPr>
            </w:pPr>
            <w:r w:rsidRPr="00C1694A">
              <w:rPr>
                <w:rFonts w:ascii="Times New Roman" w:hAnsi="Times New Roman" w:cs="Times New Roman"/>
                <w:sz w:val="20"/>
                <w:szCs w:val="20"/>
              </w:rPr>
              <w:t>$72,000</w:t>
            </w:r>
          </w:p>
        </w:tc>
      </w:tr>
      <w:tr w:rsidR="006C2DBA" w:rsidRPr="00C1694A" w:rsidTr="00D23898">
        <w:tc>
          <w:tcPr>
            <w:tcW w:w="7740" w:type="dxa"/>
            <w:gridSpan w:val="4"/>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Total</w:t>
            </w:r>
          </w:p>
        </w:tc>
        <w:tc>
          <w:tcPr>
            <w:tcW w:w="1646" w:type="dxa"/>
          </w:tcPr>
          <w:p w:rsidR="006C2DBA" w:rsidRPr="00C1694A" w:rsidRDefault="006C2DBA" w:rsidP="0038535F">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$333,000</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Removal of Annual Audits</w:t>
      </w:r>
    </w:p>
    <w:p w:rsidR="006C2DBA" w:rsidRPr="00C1694A" w:rsidRDefault="006C2DBA" w:rsidP="00331A7B">
      <w:pPr>
        <w:spacing w:after="0" w:line="480" w:lineRule="auto"/>
        <w:rPr>
          <w:rFonts w:ascii="Times New Roman" w:hAnsi="Times New Roman" w:cs="Times New Roman"/>
        </w:rPr>
      </w:pPr>
      <w:r w:rsidRPr="00C1694A">
        <w:rPr>
          <w:rFonts w:ascii="Times New Roman" w:hAnsi="Times New Roman" w:cs="Times New Roman"/>
          <w:sz w:val="24"/>
          <w:szCs w:val="24"/>
        </w:rPr>
        <w:tab/>
        <w:t xml:space="preserve">This rule eliminates the separate audit requirement for Head Start programs in the previous standards in </w:t>
      </w:r>
      <w:r w:rsidRPr="00C1694A">
        <w:rPr>
          <w:rFonts w:ascii="Times New Roman" w:eastAsia="Calibri" w:hAnsi="Times New Roman" w:cs="Times New Roman"/>
          <w:sz w:val="24"/>
          <w:szCs w:val="24"/>
        </w:rPr>
        <w:t>§</w:t>
      </w:r>
      <w:r w:rsidRPr="00C1694A">
        <w:rPr>
          <w:rFonts w:ascii="Times New Roman" w:hAnsi="Times New Roman" w:cs="Times New Roman"/>
          <w:sz w:val="24"/>
        </w:rPr>
        <w:t xml:space="preserve">1301.12 </w:t>
      </w:r>
      <w:r w:rsidRPr="00C1694A">
        <w:rPr>
          <w:rFonts w:ascii="Times New Roman" w:hAnsi="Times New Roman" w:cs="Times New Roman"/>
          <w:sz w:val="24"/>
          <w:szCs w:val="24"/>
        </w:rPr>
        <w:t xml:space="preserve">in favor of aligning with the Uniform </w:t>
      </w:r>
      <w:r w:rsidRPr="00C1694A">
        <w:rPr>
          <w:rFonts w:ascii="Times New Roman" w:hAnsi="Times New Roman" w:cs="Times New Roman"/>
          <w:sz w:val="24"/>
        </w:rPr>
        <w:t xml:space="preserve">Administrative Requirements, Cost Principles and Audit Requirements for Federal Awards (Uniform Guidance, 2 CFR </w:t>
      </w:r>
      <w:r w:rsidR="00327D6B">
        <w:rPr>
          <w:rFonts w:ascii="Times New Roman" w:hAnsi="Times New Roman" w:cs="Times New Roman"/>
          <w:sz w:val="24"/>
        </w:rPr>
        <w:t>p</w:t>
      </w:r>
      <w:r w:rsidRPr="00C1694A">
        <w:rPr>
          <w:rFonts w:ascii="Times New Roman" w:hAnsi="Times New Roman" w:cs="Times New Roman"/>
          <w:sz w:val="24"/>
        </w:rPr>
        <w:t xml:space="preserve">art 200).This change will eliminate unnecessary burden on small grantees and the Office of Head Start. The Omni Circular requires a Single Audit of entities if their total federal expenditures exceed $750,000.  As a result of this $750,000 threshold, there are 18 grantees that will no longer be required to have an audit.  Using an estimate of $17,000 per audit per the suggestion of regional grants management staff who oversee audit procedures, we estimate a savings of $306,000. </w:t>
      </w:r>
      <w:r w:rsidRPr="00C1694A">
        <w:rPr>
          <w:rFonts w:ascii="Times New Roman" w:hAnsi="Times New Roman" w:cs="Times New Roman"/>
          <w:sz w:val="24"/>
          <w:szCs w:val="24"/>
        </w:rPr>
        <w:t>These costs will be realized in year one and annually thereafter.</w:t>
      </w: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3203"/>
        <w:gridCol w:w="3291"/>
      </w:tblGrid>
      <w:tr w:rsidR="006C2DBA" w:rsidRPr="00C1694A" w:rsidTr="00202212">
        <w:tc>
          <w:tcPr>
            <w:tcW w:w="9429" w:type="dxa"/>
            <w:gridSpan w:val="3"/>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Removal of Annual Audits: Cost Savings Borne by Head Start</w:t>
            </w:r>
          </w:p>
        </w:tc>
      </w:tr>
      <w:tr w:rsidR="006C2DBA" w:rsidRPr="00C1694A" w:rsidTr="00202212">
        <w:tc>
          <w:tcPr>
            <w:tcW w:w="2935"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per Audit</w:t>
            </w:r>
          </w:p>
        </w:tc>
        <w:tc>
          <w:tcPr>
            <w:tcW w:w="3203"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 xml:space="preserve">Number of Programs </w:t>
            </w:r>
          </w:p>
        </w:tc>
        <w:tc>
          <w:tcPr>
            <w:tcW w:w="3291"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Savings</w:t>
            </w:r>
          </w:p>
        </w:tc>
      </w:tr>
      <w:tr w:rsidR="006C2DBA" w:rsidRPr="00C1694A" w:rsidTr="00202212">
        <w:tc>
          <w:tcPr>
            <w:tcW w:w="2935"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sz w:val="20"/>
                <w:szCs w:val="20"/>
              </w:rPr>
              <w:t xml:space="preserve">            $17,000</w:t>
            </w:r>
          </w:p>
        </w:tc>
        <w:tc>
          <w:tcPr>
            <w:tcW w:w="3203" w:type="dxa"/>
            <w:vAlign w:val="bottom"/>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sz w:val="20"/>
                <w:szCs w:val="20"/>
              </w:rPr>
              <w:t>18</w:t>
            </w:r>
          </w:p>
        </w:tc>
        <w:tc>
          <w:tcPr>
            <w:tcW w:w="3291"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$306,000</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Parent Committees</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rPr>
        <w:tab/>
        <w:t>We received comments expressing concern about the removal of the requirement that agencies establish parent committees.  As a result, we restored this requirement in the final rule.  Therefore, there are no monetary or opportunity cost savings associated with the removal of parent committees in the final rule.</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 xml:space="preserve">Delegate Appeals </w:t>
      </w:r>
    </w:p>
    <w:p w:rsidR="006C2DB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rule aligns with section </w:t>
      </w:r>
      <w:r w:rsidRPr="00C1694A">
        <w:rPr>
          <w:rFonts w:ascii="Times New Roman" w:hAnsi="Times New Roman" w:cs="Times New Roman"/>
          <w:sz w:val="24"/>
        </w:rPr>
        <w:t>641A(d) of the Act, by only requiring grantees to establish procedures for a delegate agency to appeal a defunding decision, which the Act established</w:t>
      </w:r>
      <w:r w:rsidRPr="00C1694A">
        <w:rPr>
          <w:rFonts w:ascii="Times New Roman" w:hAnsi="Times New Roman" w:cs="Times New Roman"/>
          <w:sz w:val="24"/>
          <w:szCs w:val="24"/>
        </w:rPr>
        <w:t xml:space="preserve">. As a result, we eliminate the process by which current delegates can appeal grantee decisions to HHS, as outlined in §1303.21.  </w:t>
      </w:r>
      <w:r w:rsidRPr="00C1694A">
        <w:rPr>
          <w:rFonts w:ascii="Times New Roman" w:hAnsi="Times New Roman" w:cs="Times New Roman"/>
          <w:sz w:val="24"/>
        </w:rPr>
        <w:t xml:space="preserve">This change will eliminate unnecessary burden on grantees and the Office of Head Start. </w:t>
      </w:r>
      <w:r w:rsidRPr="00C1694A">
        <w:rPr>
          <w:rFonts w:ascii="Times New Roman" w:hAnsi="Times New Roman" w:cs="Times New Roman"/>
          <w:sz w:val="24"/>
          <w:szCs w:val="24"/>
        </w:rPr>
        <w:t>To estimate the savings associated with the removal of this process, we determined the number of delegate appeals that have occurred across ACF’s 12 regions over two years (25) and then divided that number by two to find the average number of appeals annually (12.5).  We obtained an estimate from a grantee on the costs of their individual appeal ($66,691) and multiplied it by two to factor in both the cost to the grantee and the delegate agency of the appeal process.  We then divided that total by two based on the assumption that half of the costs are spent on the HHS phase of the appeal, which we removed.  We then multiplied the average cost by the average number of appeals per year (12.5) to arrive at the annual savings.  We estimate savings of $833,638 because of this change. These savings will be realized in year one and annually thereafter.</w:t>
      </w:r>
    </w:p>
    <w:p w:rsidR="006C2DBA" w:rsidRPr="00C1694A" w:rsidRDefault="006C2DBA" w:rsidP="00331A7B">
      <w:pPr>
        <w:spacing w:after="0" w:line="480" w:lineRule="auto"/>
        <w:rPr>
          <w:rFonts w:ascii="Times New Roman" w:hAnsi="Times New Roman" w:cs="Times New Roman"/>
          <w:sz w:val="24"/>
          <w:szCs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3023"/>
        <w:gridCol w:w="2866"/>
      </w:tblGrid>
      <w:tr w:rsidR="006C2DBA" w:rsidRPr="00C1694A" w:rsidTr="00202212">
        <w:tc>
          <w:tcPr>
            <w:tcW w:w="9090" w:type="dxa"/>
            <w:gridSpan w:val="3"/>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Delegate Appeals: Cost Savings Borne by Head Start</w:t>
            </w:r>
          </w:p>
        </w:tc>
      </w:tr>
      <w:tr w:rsidR="006C2DBA" w:rsidRPr="00C1694A" w:rsidTr="00202212">
        <w:tc>
          <w:tcPr>
            <w:tcW w:w="3201"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Average Savings from Removal of HHS Phase per Appeal</w:t>
            </w:r>
          </w:p>
        </w:tc>
        <w:tc>
          <w:tcPr>
            <w:tcW w:w="3023"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Delegate Appeals/Year</w:t>
            </w:r>
          </w:p>
        </w:tc>
        <w:tc>
          <w:tcPr>
            <w:tcW w:w="2866"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Savings</w:t>
            </w:r>
          </w:p>
        </w:tc>
      </w:tr>
      <w:tr w:rsidR="006C2DBA" w:rsidRPr="00C1694A" w:rsidTr="00202212">
        <w:tc>
          <w:tcPr>
            <w:tcW w:w="3201"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$66,691</w:t>
            </w:r>
          </w:p>
        </w:tc>
        <w:tc>
          <w:tcPr>
            <w:tcW w:w="3023"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12.5</w:t>
            </w:r>
          </w:p>
        </w:tc>
        <w:tc>
          <w:tcPr>
            <w:tcW w:w="2866" w:type="dxa"/>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$833,638</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Clarification of Facilities Application Process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This rule reorders the application requirements for funds to purchase, construct or renovate facilities to align with typical project development in §1303.40.  In doing so, we anticipate savings associated with grantees who are likely to identify unfeasible projects more quickly prior to soliciting costly professional advice or unnecessary testing (e.g. environmental), referred to as soft costs. To estimate the savings associated with these revisions, we assumed a per project cost for facilities projects of $500,000, based on our experience with facilities costs.  </w:t>
      </w:r>
    </w:p>
    <w:p w:rsidR="006C2DB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Since the savings would come from the soft costs that grantees incur at the beginning of a project – which under our reordered application process could be avoided for projects that grantees realize more quickly are not fundable – we assume that approximately 30 percent of the average per project costs, or $150,000 are for soft costs.  Our data systems do not capture the number of applications for facility projects each year, so as a proxy, we used the total number of facilities with federal interest for the past 11 years, which is the timeframe for which we have data, with that total (4,051) divided by 11 for the number of facilities with federal interest per year (368).    Based on historical data, we then estimate that 8 percent of the 368 facilities with federal interest (29 facilities projects) submit un-fundable applications annually.  As a result, we then multiplied the $150,000 in estimated soft costs by 29 projects to determine the savings that would result if those grantees realized the unfeasibility of their projects earlier and never spent those funds.  We estimate the total savings associated with these revisions to total $4,350,000. These costs will be realized in year one and annually thereafter.</w:t>
      </w:r>
    </w:p>
    <w:p w:rsidR="006C2DBA" w:rsidRPr="00C1694A" w:rsidRDefault="006C2DBA" w:rsidP="00331A7B">
      <w:pPr>
        <w:spacing w:after="0" w:line="480" w:lineRule="auto"/>
        <w:rPr>
          <w:rFonts w:ascii="Times New Roman" w:hAnsi="Times New Roman" w:cs="Times New Roman"/>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00"/>
        <w:gridCol w:w="2160"/>
        <w:gridCol w:w="2160"/>
        <w:gridCol w:w="1350"/>
      </w:tblGrid>
      <w:tr w:rsidR="006C2DBA" w:rsidRPr="00C1694A" w:rsidTr="00D23898">
        <w:tc>
          <w:tcPr>
            <w:tcW w:w="9180" w:type="dxa"/>
            <w:gridSpan w:val="5"/>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Clarification of Facilities Application Process: Cost Savings Borne by Head Start</w:t>
            </w:r>
          </w:p>
        </w:tc>
      </w:tr>
      <w:tr w:rsidR="006C2DBA" w:rsidRPr="00C1694A" w:rsidTr="00D23898">
        <w:tc>
          <w:tcPr>
            <w:tcW w:w="171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 xml:space="preserve">Avg. Cost of Facility Project </w:t>
            </w:r>
          </w:p>
        </w:tc>
        <w:tc>
          <w:tcPr>
            <w:tcW w:w="180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 xml:space="preserve">Avg. “Soft” Costs </w:t>
            </w:r>
          </w:p>
        </w:tc>
        <w:tc>
          <w:tcPr>
            <w:tcW w:w="216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Facilities with Federal Interest/ Year</w:t>
            </w:r>
          </w:p>
        </w:tc>
        <w:tc>
          <w:tcPr>
            <w:tcW w:w="216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Unfundable Facility Applications/ Year</w:t>
            </w:r>
          </w:p>
        </w:tc>
        <w:tc>
          <w:tcPr>
            <w:tcW w:w="135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Savings</w:t>
            </w:r>
          </w:p>
        </w:tc>
      </w:tr>
      <w:tr w:rsidR="006C2DBA" w:rsidRPr="00C1694A" w:rsidTr="00D23898">
        <w:trPr>
          <w:trHeight w:val="260"/>
        </w:trPr>
        <w:tc>
          <w:tcPr>
            <w:tcW w:w="171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$500,000</w:t>
            </w:r>
          </w:p>
        </w:tc>
        <w:tc>
          <w:tcPr>
            <w:tcW w:w="180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$150,000</w:t>
            </w:r>
          </w:p>
        </w:tc>
        <w:tc>
          <w:tcPr>
            <w:tcW w:w="216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368</w:t>
            </w:r>
          </w:p>
        </w:tc>
        <w:tc>
          <w:tcPr>
            <w:tcW w:w="216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29</w:t>
            </w:r>
          </w:p>
        </w:tc>
        <w:tc>
          <w:tcPr>
            <w:tcW w:w="135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$4,350,000</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Community Assessment</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rule also includes provisions that change the previous requirement for programs to conduct full community assessments from every three years to every five years in §1302.11(b)(1).  </w:t>
      </w:r>
      <w:r w:rsidRPr="00C1694A">
        <w:rPr>
          <w:rFonts w:ascii="Times New Roman" w:hAnsi="Times New Roman" w:cs="Times New Roman"/>
          <w:sz w:val="24"/>
        </w:rPr>
        <w:t xml:space="preserve">This change will streamline the community assessment process and eliminate unnecessary burden on grantees and the Office of Head Start. </w:t>
      </w:r>
      <w:r w:rsidRPr="00C1694A">
        <w:rPr>
          <w:rFonts w:ascii="Times New Roman" w:hAnsi="Times New Roman" w:cs="Times New Roman"/>
          <w:sz w:val="24"/>
          <w:szCs w:val="24"/>
        </w:rPr>
        <w:t xml:space="preserve">We estimated the current cost of the community assessment and assumed a reduction in costs of 40 percent, based on the change from three to five years.  To determine the average cost of a community assessment, we incorporated grantee feedback about both the frequency with which they choose to perform the assessment internally versus hiring consultants, and the average cost, in staff time and consultant fees, respectively of those assessments.  From this feedback, we assumed 75 percent of programs (1,529) perform their community assessments using Head Start staff, while the remaining 25 percent (510) hire consultants.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We estimated the costs associated with Head Start staff time for 75 percent of programs by calculating the average hourly wage of the entire management team (for the director, education manager, health services manager, family services manager and disabilities coordinator combined), and assumed 40 hours of the entire management team’s time to complete the assessment ($4,965).  Note, this is likely an overestimate because many programs do not have discrete managers for each service type. We then multiplied the cost of these 40 hours by the number of programs using Head Start staff to complete their assessments for a total estimated cost to complete the assessment of $7,591,485. We then divided this cost by 3 to get the previous annual cost ($2,530,495) and by 5 to get the new annual cost ($1,518,297) and found the difference to determine the total annual savings for this approach ($1,012,198).</w:t>
      </w:r>
    </w:p>
    <w:p w:rsidR="006C2DBA" w:rsidRPr="00C1694A" w:rsidRDefault="006C2DBA" w:rsidP="00331A7B">
      <w:pPr>
        <w:spacing w:after="0" w:line="480" w:lineRule="auto"/>
        <w:rPr>
          <w:rFonts w:ascii="Times New Roman" w:eastAsia="Times New Roman" w:hAnsi="Times New Roman" w:cs="Times New Roman"/>
          <w:sz w:val="24"/>
          <w:szCs w:val="24"/>
        </w:rPr>
      </w:pPr>
      <w:r w:rsidRPr="00C1694A">
        <w:rPr>
          <w:rFonts w:ascii="Times New Roman" w:hAnsi="Times New Roman" w:cs="Times New Roman"/>
          <w:sz w:val="24"/>
          <w:szCs w:val="24"/>
        </w:rPr>
        <w:tab/>
        <w:t>We estimated the costs associated with consultants for 25 percent of programs by the average cost for a consultant to perform the community assessment at $6,000 and assumed an additional 10 hours of the management team’s time to support the completion of the assessment ($1,241).  We then multiplied these costs by the number of programs who choose to hire consultants for their community assessment for a total estimated cost to complete the assessment of $3,692,910. We then divided this cost by 3 to get the previous annual cost ($1,230,970) and by 5 to get the new annual cost ($738,582) and found the difference to determine the total annual savings for this approach ($492,388).   Finally, we summed the savings from these approaches to find the estimated the savings for this policy change to be $1,504,586.</w:t>
      </w:r>
      <w:r w:rsidRPr="00C1694A">
        <w:rPr>
          <w:rFonts w:ascii="Times New Roman" w:eastAsia="Times New Roman" w:hAnsi="Times New Roman" w:cs="Times New Roman"/>
          <w:sz w:val="24"/>
          <w:szCs w:val="24"/>
        </w:rPr>
        <w:t xml:space="preserve">   We then applied the proportion of management staff salaries paid for with Head Start funds of 67.9 percent to find the total estimated savings borne by Head Start of </w:t>
      </w:r>
      <w:r w:rsidRPr="00C1694A">
        <w:rPr>
          <w:rFonts w:ascii="Times New Roman" w:hAnsi="Times New Roman" w:cs="Times New Roman"/>
          <w:sz w:val="24"/>
          <w:szCs w:val="24"/>
        </w:rPr>
        <w:t xml:space="preserve">$1,152,558 </w:t>
      </w:r>
      <w:r w:rsidRPr="00C1694A">
        <w:rPr>
          <w:rFonts w:ascii="Times New Roman" w:eastAsia="Times New Roman" w:hAnsi="Times New Roman" w:cs="Times New Roman"/>
          <w:sz w:val="24"/>
          <w:szCs w:val="24"/>
        </w:rPr>
        <w:t xml:space="preserve">and the estimated savings borne by other parties of </w:t>
      </w:r>
      <w:r w:rsidRPr="00C1694A">
        <w:rPr>
          <w:rFonts w:ascii="Times New Roman" w:hAnsi="Times New Roman" w:cs="Times New Roman"/>
          <w:sz w:val="24"/>
          <w:szCs w:val="24"/>
        </w:rPr>
        <w:t>$352,028</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These cost savings will be realized in year one and annually thereafter.</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802"/>
        <w:gridCol w:w="711"/>
        <w:gridCol w:w="1163"/>
        <w:gridCol w:w="1069"/>
        <w:gridCol w:w="1247"/>
        <w:gridCol w:w="1247"/>
        <w:gridCol w:w="1425"/>
        <w:gridCol w:w="1247"/>
        <w:gridCol w:w="1268"/>
      </w:tblGrid>
      <w:tr w:rsidR="006C2DBA" w:rsidRPr="00C1694A" w:rsidTr="00202212">
        <w:tc>
          <w:tcPr>
            <w:tcW w:w="11070" w:type="dxa"/>
            <w:gridSpan w:val="10"/>
            <w:vAlign w:val="bottom"/>
          </w:tcPr>
          <w:p w:rsidR="006C2DBA" w:rsidRPr="00C1694A" w:rsidRDefault="006C2DBA" w:rsidP="00DC5146">
            <w:pPr>
              <w:spacing w:after="0" w:line="240" w:lineRule="auto"/>
              <w:rPr>
                <w:rFonts w:ascii="Times New Roman" w:hAnsi="Times New Roman" w:cs="Times New Roman"/>
                <w:b/>
                <w:sz w:val="18"/>
                <w:szCs w:val="18"/>
              </w:rPr>
            </w:pPr>
            <w:r w:rsidRPr="00C1694A">
              <w:rPr>
                <w:rFonts w:ascii="Times New Roman" w:hAnsi="Times New Roman" w:cs="Times New Roman"/>
                <w:b/>
                <w:sz w:val="18"/>
                <w:szCs w:val="18"/>
              </w:rPr>
              <w:t>Community Assessment: Cost Savings Borne by Head Start and by Other Parties</w:t>
            </w:r>
          </w:p>
        </w:tc>
      </w:tr>
      <w:tr w:rsidR="006C2DBA" w:rsidRPr="00C1694A" w:rsidTr="00202212">
        <w:tc>
          <w:tcPr>
            <w:tcW w:w="1693" w:type="dxa"/>
            <w:gridSpan w:val="2"/>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Option</w:t>
            </w:r>
          </w:p>
          <w:p w:rsidR="006C2DBA" w:rsidRPr="00C1694A" w:rsidRDefault="006C2DBA" w:rsidP="00DC5146">
            <w:pPr>
              <w:spacing w:after="0" w:line="240" w:lineRule="auto"/>
              <w:jc w:val="center"/>
              <w:rPr>
                <w:rFonts w:ascii="Times New Roman" w:hAnsi="Times New Roman" w:cs="Times New Roman"/>
                <w:b/>
                <w:sz w:val="18"/>
                <w:szCs w:val="18"/>
              </w:rPr>
            </w:pPr>
          </w:p>
        </w:tc>
        <w:tc>
          <w:tcPr>
            <w:tcW w:w="711" w:type="dxa"/>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Cost</w:t>
            </w:r>
          </w:p>
        </w:tc>
        <w:tc>
          <w:tcPr>
            <w:tcW w:w="1163" w:type="dxa"/>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Number of Programs</w:t>
            </w:r>
          </w:p>
        </w:tc>
        <w:tc>
          <w:tcPr>
            <w:tcW w:w="1069" w:type="dxa"/>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Total Cost</w:t>
            </w:r>
          </w:p>
        </w:tc>
        <w:tc>
          <w:tcPr>
            <w:tcW w:w="1247" w:type="dxa"/>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 xml:space="preserve">Previous Annual Cost </w:t>
            </w:r>
          </w:p>
        </w:tc>
        <w:tc>
          <w:tcPr>
            <w:tcW w:w="1247" w:type="dxa"/>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New Annual Cost</w:t>
            </w:r>
          </w:p>
        </w:tc>
        <w:tc>
          <w:tcPr>
            <w:tcW w:w="1425" w:type="dxa"/>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Difference (Total Savings)</w:t>
            </w:r>
          </w:p>
        </w:tc>
        <w:tc>
          <w:tcPr>
            <w:tcW w:w="1247" w:type="dxa"/>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Cost Savings borne by Head Start</w:t>
            </w:r>
          </w:p>
        </w:tc>
        <w:tc>
          <w:tcPr>
            <w:tcW w:w="1268" w:type="dxa"/>
            <w:vAlign w:val="bottom"/>
          </w:tcPr>
          <w:p w:rsidR="006C2DBA" w:rsidRPr="00C1694A" w:rsidRDefault="006C2DBA" w:rsidP="00DC5146">
            <w:pPr>
              <w:spacing w:after="0" w:line="240" w:lineRule="auto"/>
              <w:jc w:val="center"/>
              <w:rPr>
                <w:rFonts w:ascii="Times New Roman" w:hAnsi="Times New Roman" w:cs="Times New Roman"/>
                <w:b/>
                <w:sz w:val="18"/>
                <w:szCs w:val="18"/>
              </w:rPr>
            </w:pPr>
            <w:r w:rsidRPr="00C1694A">
              <w:rPr>
                <w:rFonts w:ascii="Times New Roman" w:hAnsi="Times New Roman" w:cs="Times New Roman"/>
                <w:b/>
                <w:sz w:val="18"/>
                <w:szCs w:val="18"/>
              </w:rPr>
              <w:t>Cost Savings borne by Other Parties</w:t>
            </w:r>
          </w:p>
        </w:tc>
      </w:tr>
      <w:tr w:rsidR="006C2DBA" w:rsidRPr="00C1694A" w:rsidTr="00202212">
        <w:tc>
          <w:tcPr>
            <w:tcW w:w="891" w:type="dxa"/>
          </w:tcPr>
          <w:p w:rsidR="006C2DBA" w:rsidRPr="00C1694A" w:rsidRDefault="006C2DBA" w:rsidP="00DC5146">
            <w:pPr>
              <w:spacing w:after="0" w:line="240" w:lineRule="auto"/>
              <w:jc w:val="right"/>
              <w:rPr>
                <w:rFonts w:ascii="Times New Roman" w:hAnsi="Times New Roman" w:cs="Times New Roman"/>
                <w:b/>
                <w:sz w:val="18"/>
                <w:szCs w:val="18"/>
              </w:rPr>
            </w:pPr>
            <w:r w:rsidRPr="00C1694A">
              <w:rPr>
                <w:rFonts w:ascii="Times New Roman" w:hAnsi="Times New Roman" w:cs="Times New Roman"/>
                <w:b/>
                <w:sz w:val="18"/>
                <w:szCs w:val="18"/>
              </w:rPr>
              <w:t>External</w:t>
            </w:r>
          </w:p>
        </w:tc>
        <w:tc>
          <w:tcPr>
            <w:tcW w:w="802" w:type="dxa"/>
          </w:tcPr>
          <w:p w:rsidR="006C2DBA" w:rsidRPr="00C1694A" w:rsidRDefault="006C2DBA" w:rsidP="00DC5146">
            <w:pPr>
              <w:spacing w:after="0" w:line="240" w:lineRule="auto"/>
              <w:jc w:val="right"/>
              <w:rPr>
                <w:rFonts w:ascii="Times New Roman" w:hAnsi="Times New Roman" w:cs="Times New Roman"/>
                <w:i/>
                <w:sz w:val="18"/>
                <w:szCs w:val="18"/>
              </w:rPr>
            </w:pPr>
            <w:r w:rsidRPr="00C1694A">
              <w:rPr>
                <w:rFonts w:ascii="Times New Roman" w:hAnsi="Times New Roman" w:cs="Times New Roman"/>
                <w:i/>
                <w:sz w:val="18"/>
                <w:szCs w:val="18"/>
              </w:rPr>
              <w:t>Staff time</w:t>
            </w:r>
          </w:p>
        </w:tc>
        <w:tc>
          <w:tcPr>
            <w:tcW w:w="711"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$1,241</w:t>
            </w:r>
          </w:p>
        </w:tc>
        <w:tc>
          <w:tcPr>
            <w:tcW w:w="1163"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510</w:t>
            </w:r>
          </w:p>
        </w:tc>
        <w:tc>
          <w:tcPr>
            <w:tcW w:w="1069"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$632,910</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$210,970</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$126,582</w:t>
            </w:r>
          </w:p>
        </w:tc>
        <w:tc>
          <w:tcPr>
            <w:tcW w:w="1425"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$84,388</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$57,324</w:t>
            </w:r>
          </w:p>
        </w:tc>
        <w:tc>
          <w:tcPr>
            <w:tcW w:w="1268"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$27,064</w:t>
            </w:r>
          </w:p>
        </w:tc>
      </w:tr>
      <w:tr w:rsidR="006C2DBA" w:rsidRPr="00C1694A" w:rsidTr="00202212">
        <w:tc>
          <w:tcPr>
            <w:tcW w:w="891" w:type="dxa"/>
          </w:tcPr>
          <w:p w:rsidR="006C2DBA" w:rsidRPr="00C1694A" w:rsidRDefault="006C2DBA" w:rsidP="00DC5146">
            <w:pPr>
              <w:spacing w:after="0" w:line="240" w:lineRule="auto"/>
              <w:jc w:val="right"/>
              <w:rPr>
                <w:rFonts w:ascii="Times New Roman" w:hAnsi="Times New Roman" w:cs="Times New Roman"/>
                <w:b/>
                <w:sz w:val="18"/>
                <w:szCs w:val="18"/>
              </w:rPr>
            </w:pPr>
          </w:p>
        </w:tc>
        <w:tc>
          <w:tcPr>
            <w:tcW w:w="802" w:type="dxa"/>
          </w:tcPr>
          <w:p w:rsidR="006C2DBA" w:rsidRPr="00C1694A" w:rsidRDefault="006C2DBA" w:rsidP="00DC5146">
            <w:pPr>
              <w:spacing w:after="0" w:line="240" w:lineRule="auto"/>
              <w:jc w:val="right"/>
              <w:rPr>
                <w:rFonts w:ascii="Times New Roman" w:hAnsi="Times New Roman" w:cs="Times New Roman"/>
                <w:i/>
                <w:sz w:val="18"/>
                <w:szCs w:val="18"/>
              </w:rPr>
            </w:pPr>
            <w:r w:rsidRPr="00C1694A">
              <w:rPr>
                <w:rFonts w:ascii="Times New Roman" w:hAnsi="Times New Roman" w:cs="Times New Roman"/>
                <w:i/>
                <w:sz w:val="18"/>
                <w:szCs w:val="18"/>
              </w:rPr>
              <w:t>Consult Time</w:t>
            </w:r>
          </w:p>
        </w:tc>
        <w:tc>
          <w:tcPr>
            <w:tcW w:w="711"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$6,000</w:t>
            </w:r>
          </w:p>
        </w:tc>
        <w:tc>
          <w:tcPr>
            <w:tcW w:w="1163" w:type="dxa"/>
            <w:vAlign w:val="bottom"/>
          </w:tcPr>
          <w:p w:rsidR="006C2DBA" w:rsidRPr="00C1694A" w:rsidDel="00871AE7"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510</w:t>
            </w:r>
          </w:p>
        </w:tc>
        <w:tc>
          <w:tcPr>
            <w:tcW w:w="1069"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$3,060,000</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$1,020,000</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$612,000</w:t>
            </w:r>
          </w:p>
        </w:tc>
        <w:tc>
          <w:tcPr>
            <w:tcW w:w="1425"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$408,000</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$408,000</w:t>
            </w:r>
          </w:p>
        </w:tc>
        <w:tc>
          <w:tcPr>
            <w:tcW w:w="1268"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w:t>
            </w:r>
          </w:p>
        </w:tc>
      </w:tr>
      <w:tr w:rsidR="006C2DBA" w:rsidRPr="00C1694A" w:rsidTr="00202212">
        <w:tc>
          <w:tcPr>
            <w:tcW w:w="891" w:type="dxa"/>
          </w:tcPr>
          <w:p w:rsidR="006C2DBA" w:rsidRPr="00C1694A" w:rsidRDefault="006C2DBA" w:rsidP="00DC5146">
            <w:pPr>
              <w:spacing w:after="0" w:line="240" w:lineRule="auto"/>
              <w:jc w:val="right"/>
              <w:rPr>
                <w:rFonts w:ascii="Times New Roman" w:hAnsi="Times New Roman" w:cs="Times New Roman"/>
                <w:b/>
                <w:sz w:val="18"/>
                <w:szCs w:val="18"/>
              </w:rPr>
            </w:pPr>
            <w:r w:rsidRPr="00C1694A">
              <w:rPr>
                <w:rFonts w:ascii="Times New Roman" w:hAnsi="Times New Roman" w:cs="Times New Roman"/>
                <w:b/>
                <w:sz w:val="18"/>
                <w:szCs w:val="18"/>
              </w:rPr>
              <w:t>Internal</w:t>
            </w:r>
          </w:p>
        </w:tc>
        <w:tc>
          <w:tcPr>
            <w:tcW w:w="802" w:type="dxa"/>
          </w:tcPr>
          <w:p w:rsidR="006C2DBA" w:rsidRPr="00C1694A" w:rsidRDefault="006C2DBA" w:rsidP="00DC5146">
            <w:pPr>
              <w:spacing w:after="0" w:line="240" w:lineRule="auto"/>
              <w:jc w:val="right"/>
              <w:rPr>
                <w:rFonts w:ascii="Times New Roman" w:hAnsi="Times New Roman" w:cs="Times New Roman"/>
                <w:b/>
                <w:sz w:val="18"/>
                <w:szCs w:val="18"/>
              </w:rPr>
            </w:pPr>
            <w:r w:rsidRPr="00C1694A">
              <w:rPr>
                <w:rFonts w:ascii="Times New Roman" w:hAnsi="Times New Roman" w:cs="Times New Roman"/>
                <w:i/>
                <w:sz w:val="18"/>
                <w:szCs w:val="18"/>
              </w:rPr>
              <w:t>Staff time</w:t>
            </w:r>
          </w:p>
        </w:tc>
        <w:tc>
          <w:tcPr>
            <w:tcW w:w="711"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$4,965</w:t>
            </w:r>
          </w:p>
        </w:tc>
        <w:tc>
          <w:tcPr>
            <w:tcW w:w="1163"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1,529</w:t>
            </w:r>
          </w:p>
        </w:tc>
        <w:tc>
          <w:tcPr>
            <w:tcW w:w="1069"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$7,591,485</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$2,530,495</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$1,518,297</w:t>
            </w:r>
          </w:p>
        </w:tc>
        <w:tc>
          <w:tcPr>
            <w:tcW w:w="1425"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$1,012,198</w:t>
            </w:r>
          </w:p>
        </w:tc>
        <w:tc>
          <w:tcPr>
            <w:tcW w:w="1247"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$687,234</w:t>
            </w:r>
          </w:p>
        </w:tc>
        <w:tc>
          <w:tcPr>
            <w:tcW w:w="1268"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$324,964</w:t>
            </w:r>
          </w:p>
        </w:tc>
      </w:tr>
      <w:tr w:rsidR="006C2DBA" w:rsidRPr="00C1694A" w:rsidTr="00202212">
        <w:tc>
          <w:tcPr>
            <w:tcW w:w="7130" w:type="dxa"/>
            <w:gridSpan w:val="7"/>
          </w:tcPr>
          <w:p w:rsidR="006C2DBA" w:rsidRPr="00C1694A" w:rsidRDefault="006C2DBA" w:rsidP="00DC5146">
            <w:pPr>
              <w:spacing w:after="0" w:line="240" w:lineRule="auto"/>
              <w:jc w:val="right"/>
              <w:rPr>
                <w:rFonts w:ascii="Times New Roman" w:hAnsi="Times New Roman" w:cs="Times New Roman"/>
                <w:b/>
                <w:sz w:val="18"/>
                <w:szCs w:val="18"/>
              </w:rPr>
            </w:pPr>
            <w:r w:rsidRPr="00C1694A">
              <w:rPr>
                <w:rFonts w:ascii="Times New Roman" w:hAnsi="Times New Roman" w:cs="Times New Roman"/>
                <w:b/>
                <w:sz w:val="18"/>
                <w:szCs w:val="18"/>
              </w:rPr>
              <w:t>Total</w:t>
            </w:r>
          </w:p>
        </w:tc>
        <w:tc>
          <w:tcPr>
            <w:tcW w:w="1425" w:type="dxa"/>
            <w:vAlign w:val="bottom"/>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$1,504,586</w:t>
            </w:r>
          </w:p>
        </w:tc>
        <w:tc>
          <w:tcPr>
            <w:tcW w:w="1247" w:type="dxa"/>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$1,152,558</w:t>
            </w:r>
          </w:p>
        </w:tc>
        <w:tc>
          <w:tcPr>
            <w:tcW w:w="1268" w:type="dxa"/>
          </w:tcPr>
          <w:p w:rsidR="006C2DBA" w:rsidRPr="00C1694A" w:rsidRDefault="006C2DBA" w:rsidP="00DC5146">
            <w:pPr>
              <w:spacing w:after="0" w:line="240" w:lineRule="auto"/>
              <w:jc w:val="right"/>
              <w:rPr>
                <w:rFonts w:ascii="Times New Roman" w:hAnsi="Times New Roman" w:cs="Times New Roman"/>
                <w:sz w:val="18"/>
                <w:szCs w:val="18"/>
              </w:rPr>
            </w:pPr>
            <w:r w:rsidRPr="00C1694A">
              <w:rPr>
                <w:rFonts w:ascii="Times New Roman" w:hAnsi="Times New Roman" w:cs="Times New Roman"/>
                <w:sz w:val="18"/>
                <w:szCs w:val="18"/>
              </w:rPr>
              <w:t>$352,028</w:t>
            </w:r>
          </w:p>
        </w:tc>
      </w:tr>
    </w:tbl>
    <w:p w:rsidR="006C2DBA" w:rsidRPr="00C1694A" w:rsidRDefault="006C2DBA" w:rsidP="00331A7B">
      <w:pPr>
        <w:spacing w:after="0" w:line="480" w:lineRule="auto"/>
        <w:rPr>
          <w:rFonts w:ascii="Times New Roman" w:hAnsi="Times New Roman" w:cs="Times New Roman"/>
          <w:sz w:val="24"/>
          <w:szCs w:val="24"/>
          <w:u w:val="single"/>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Managerial Planning</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rule includes two new provisions that lessen the administrative planning burden on programs by reducing the number and prescriptiveness of planning processes that are required in §1302.101(b).  Specifically, the first provision reduces current planning topics from four in the previous rule (education, health, family and community partnerships, and program design and management) to two.  The second provision significantly reduces the prescriptiveness of the disabilities services plan and as a result significantly reduces the costs associated with the requirement for that planning.  </w:t>
      </w:r>
    </w:p>
    <w:p w:rsidR="006C2DB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order to estimate the costs associated with the first provision, we assumed the four plans required in the existing rule took approximately two weeks of the education manager’s time to develop.  Our proposed provision would reduce the number of required plans by half.  As a result, we assume one week of the education manager’s salary as cost savings for each program.  Then we multiplied this salary by the number of programs to estimate the savings associated with this provision.  Further, we applied the proportion of the education manager’s salary paid for with Head Start funds (71.5 percent) to determine the cost savings to Head Start and the cost savings borne by other parties.  For the second provision, we assumed the disabilities service plan as outlined in the previous rule took an average of one week of the disabilities coordinator’s time.  We also assume that the changes to this provision will result in an 80 percent decrease in burden, and as such, estimate the cost savings per program to be 80 percent of the disabilities coordinator’s average weekly wage.  We then find estimated cost savings associated with this provision both to Head Start and to other parties by multiplying this amount by the total number of programs and applying the proportion of disabilities coordinator’s salaries paid for with Head Start funds (64.9 percent).  Finally, we sum these two cost savings to find the total estimated cost savings for this policy change to be $3,341,921, the total cost savings borne by Head Start to be $2,298,905, and the total cost savings borne by other parties to be $1,043,016. These costs will be realized in year one and annually thereafter.</w:t>
      </w:r>
    </w:p>
    <w:p w:rsidR="006C2DB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289"/>
        <w:gridCol w:w="1060"/>
        <w:gridCol w:w="1080"/>
        <w:gridCol w:w="1170"/>
        <w:gridCol w:w="1440"/>
        <w:gridCol w:w="1548"/>
      </w:tblGrid>
      <w:tr w:rsidR="006C2DBA" w:rsidRPr="00C1694A" w:rsidTr="00D23898">
        <w:tc>
          <w:tcPr>
            <w:tcW w:w="9468" w:type="dxa"/>
            <w:gridSpan w:val="7"/>
            <w:vAlign w:val="bottom"/>
          </w:tcPr>
          <w:p w:rsidR="006C2DBA" w:rsidRPr="00C1694A" w:rsidRDefault="006C2DBA" w:rsidP="00DC5146">
            <w:pPr>
              <w:spacing w:after="0" w:line="240" w:lineRule="auto"/>
              <w:rPr>
                <w:rFonts w:ascii="Times New Roman" w:hAnsi="Times New Roman" w:cs="Times New Roman"/>
                <w:b/>
                <w:sz w:val="20"/>
                <w:szCs w:val="20"/>
              </w:rPr>
            </w:pPr>
            <w:r w:rsidRPr="00C1694A">
              <w:rPr>
                <w:rFonts w:ascii="Times New Roman" w:hAnsi="Times New Roman" w:cs="Times New Roman"/>
                <w:b/>
                <w:sz w:val="20"/>
                <w:szCs w:val="20"/>
              </w:rPr>
              <w:t>Managerial Planning: Cost Savings Borne by Head Start and by Other Parties</w:t>
            </w:r>
          </w:p>
        </w:tc>
      </w:tr>
      <w:tr w:rsidR="006C2DBA" w:rsidRPr="00C1694A" w:rsidTr="00D23898">
        <w:tc>
          <w:tcPr>
            <w:tcW w:w="1881"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w:t>
            </w:r>
          </w:p>
        </w:tc>
        <w:tc>
          <w:tcPr>
            <w:tcW w:w="1289"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of Staff Time/ Week</w:t>
            </w:r>
          </w:p>
        </w:tc>
        <w:tc>
          <w:tcPr>
            <w:tcW w:w="106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Savings per Program</w:t>
            </w:r>
          </w:p>
        </w:tc>
        <w:tc>
          <w:tcPr>
            <w:tcW w:w="108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Number of Programs</w:t>
            </w:r>
          </w:p>
        </w:tc>
        <w:tc>
          <w:tcPr>
            <w:tcW w:w="117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Estimated Cost Savings</w:t>
            </w:r>
          </w:p>
        </w:tc>
        <w:tc>
          <w:tcPr>
            <w:tcW w:w="1440"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Savings Borne by Head Start</w:t>
            </w:r>
          </w:p>
        </w:tc>
        <w:tc>
          <w:tcPr>
            <w:tcW w:w="1548" w:type="dxa"/>
            <w:vAlign w:val="bottom"/>
          </w:tcPr>
          <w:p w:rsidR="006C2DBA" w:rsidRPr="00C1694A" w:rsidRDefault="006C2DBA" w:rsidP="00DC5146">
            <w:pPr>
              <w:spacing w:after="0" w:line="240" w:lineRule="auto"/>
              <w:jc w:val="center"/>
              <w:rPr>
                <w:rFonts w:ascii="Times New Roman" w:hAnsi="Times New Roman" w:cs="Times New Roman"/>
                <w:b/>
                <w:sz w:val="20"/>
                <w:szCs w:val="20"/>
              </w:rPr>
            </w:pPr>
            <w:r w:rsidRPr="00C1694A">
              <w:rPr>
                <w:rFonts w:ascii="Times New Roman" w:hAnsi="Times New Roman" w:cs="Times New Roman"/>
                <w:b/>
                <w:sz w:val="20"/>
                <w:szCs w:val="20"/>
              </w:rPr>
              <w:t>Cost Savings Borne by Other Parties</w:t>
            </w:r>
          </w:p>
        </w:tc>
      </w:tr>
      <w:tr w:rsidR="006C2DBA" w:rsidRPr="00C1694A" w:rsidTr="00D23898">
        <w:tc>
          <w:tcPr>
            <w:tcW w:w="1881" w:type="dxa"/>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Reduction of Plans</w:t>
            </w:r>
          </w:p>
        </w:tc>
        <w:tc>
          <w:tcPr>
            <w:tcW w:w="1289"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$966</w:t>
            </w:r>
          </w:p>
        </w:tc>
        <w:tc>
          <w:tcPr>
            <w:tcW w:w="1060" w:type="dxa"/>
            <w:vAlign w:val="bottom"/>
          </w:tcPr>
          <w:p w:rsidR="006C2DBA" w:rsidRPr="00C1694A" w:rsidRDefault="006C2DBA" w:rsidP="00DC5146">
            <w:pPr>
              <w:spacing w:after="0" w:line="240" w:lineRule="auto"/>
              <w:jc w:val="right"/>
              <w:rPr>
                <w:rFonts w:ascii="Times New Roman" w:hAnsi="Times New Roman" w:cs="Times New Roman"/>
                <w:sz w:val="20"/>
                <w:szCs w:val="20"/>
              </w:rPr>
            </w:pPr>
          </w:p>
        </w:tc>
        <w:tc>
          <w:tcPr>
            <w:tcW w:w="1080"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2,039</w:t>
            </w:r>
          </w:p>
        </w:tc>
        <w:tc>
          <w:tcPr>
            <w:tcW w:w="117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w:t>
            </w:r>
            <w:r w:rsidRPr="00C1694A">
              <w:rPr>
                <w:rFonts w:ascii="Times New Roman" w:hAnsi="Times New Roman" w:cs="Times New Roman"/>
                <w:sz w:val="20"/>
              </w:rPr>
              <w:t>1,969,674</w:t>
            </w:r>
          </w:p>
        </w:tc>
        <w:tc>
          <w:tcPr>
            <w:tcW w:w="144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$1,408,317</w:t>
            </w:r>
          </w:p>
        </w:tc>
        <w:tc>
          <w:tcPr>
            <w:tcW w:w="1548"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$561,357</w:t>
            </w:r>
          </w:p>
        </w:tc>
      </w:tr>
      <w:tr w:rsidR="006C2DBA" w:rsidRPr="00C1694A" w:rsidTr="00D23898">
        <w:tc>
          <w:tcPr>
            <w:tcW w:w="1881" w:type="dxa"/>
          </w:tcPr>
          <w:p w:rsidR="006C2DBA" w:rsidRPr="00C1694A" w:rsidRDefault="006C2DBA" w:rsidP="00DC5146">
            <w:pPr>
              <w:spacing w:after="0" w:line="240" w:lineRule="auto"/>
              <w:jc w:val="right"/>
              <w:rPr>
                <w:rFonts w:ascii="Times New Roman" w:hAnsi="Times New Roman" w:cs="Times New Roman"/>
                <w:b/>
                <w:sz w:val="20"/>
                <w:szCs w:val="20"/>
              </w:rPr>
            </w:pPr>
            <w:r w:rsidRPr="00C1694A">
              <w:rPr>
                <w:rFonts w:ascii="Times New Roman" w:hAnsi="Times New Roman" w:cs="Times New Roman"/>
                <w:b/>
                <w:sz w:val="20"/>
                <w:szCs w:val="20"/>
              </w:rPr>
              <w:t>Revision of Disabilities Plan</w:t>
            </w:r>
          </w:p>
        </w:tc>
        <w:tc>
          <w:tcPr>
            <w:tcW w:w="1289"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$841</w:t>
            </w:r>
          </w:p>
        </w:tc>
        <w:tc>
          <w:tcPr>
            <w:tcW w:w="106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$673</w:t>
            </w:r>
          </w:p>
        </w:tc>
        <w:tc>
          <w:tcPr>
            <w:tcW w:w="1080"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rPr>
              <w:t>2,039</w:t>
            </w:r>
          </w:p>
        </w:tc>
        <w:tc>
          <w:tcPr>
            <w:tcW w:w="1170" w:type="dxa"/>
            <w:vAlign w:val="bottom"/>
          </w:tcPr>
          <w:p w:rsidR="006C2DBA" w:rsidRPr="00C1694A" w:rsidRDefault="006C2DBA" w:rsidP="00DC5146">
            <w:pPr>
              <w:spacing w:after="0" w:line="240" w:lineRule="auto"/>
              <w:jc w:val="right"/>
              <w:rPr>
                <w:rFonts w:ascii="Times New Roman" w:hAnsi="Times New Roman" w:cs="Times New Roman"/>
                <w:sz w:val="20"/>
              </w:rPr>
            </w:pPr>
            <w:r w:rsidRPr="00C1694A">
              <w:rPr>
                <w:rFonts w:ascii="Times New Roman" w:hAnsi="Times New Roman" w:cs="Times New Roman"/>
                <w:sz w:val="20"/>
                <w:szCs w:val="20"/>
              </w:rPr>
              <w:t>$</w:t>
            </w:r>
            <w:r w:rsidRPr="00C1694A">
              <w:rPr>
                <w:rFonts w:ascii="Times New Roman" w:hAnsi="Times New Roman" w:cs="Times New Roman"/>
                <w:sz w:val="20"/>
              </w:rPr>
              <w:t>1,372,247</w:t>
            </w:r>
          </w:p>
        </w:tc>
        <w:tc>
          <w:tcPr>
            <w:tcW w:w="1440"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$890,588</w:t>
            </w:r>
          </w:p>
        </w:tc>
        <w:tc>
          <w:tcPr>
            <w:tcW w:w="1548" w:type="dxa"/>
            <w:vAlign w:val="bottom"/>
          </w:tcPr>
          <w:p w:rsidR="006C2DBA" w:rsidRPr="00C1694A" w:rsidRDefault="006C2DBA" w:rsidP="00DC5146">
            <w:pPr>
              <w:spacing w:after="0" w:line="240" w:lineRule="auto"/>
              <w:jc w:val="right"/>
              <w:rPr>
                <w:rFonts w:ascii="Times New Roman" w:hAnsi="Times New Roman" w:cs="Times New Roman"/>
                <w:sz w:val="20"/>
                <w:szCs w:val="20"/>
              </w:rPr>
            </w:pPr>
            <w:r w:rsidRPr="00C1694A">
              <w:rPr>
                <w:rFonts w:ascii="Times New Roman" w:hAnsi="Times New Roman" w:cs="Times New Roman"/>
                <w:sz w:val="20"/>
                <w:szCs w:val="20"/>
              </w:rPr>
              <w:t>$481,659</w:t>
            </w:r>
          </w:p>
        </w:tc>
      </w:tr>
      <w:tr w:rsidR="006C2DBA" w:rsidRPr="00C1694A" w:rsidTr="00D23898">
        <w:tc>
          <w:tcPr>
            <w:tcW w:w="5310" w:type="dxa"/>
            <w:gridSpan w:val="4"/>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Total</w:t>
            </w:r>
          </w:p>
        </w:tc>
        <w:tc>
          <w:tcPr>
            <w:tcW w:w="1170" w:type="dxa"/>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$3,341,921</w:t>
            </w:r>
          </w:p>
        </w:tc>
        <w:tc>
          <w:tcPr>
            <w:tcW w:w="1440" w:type="dxa"/>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$2,298,905</w:t>
            </w:r>
          </w:p>
        </w:tc>
        <w:tc>
          <w:tcPr>
            <w:tcW w:w="1548" w:type="dxa"/>
            <w:vAlign w:val="bottom"/>
          </w:tcPr>
          <w:p w:rsidR="006C2DBA" w:rsidRPr="00C1694A" w:rsidRDefault="006C2DBA" w:rsidP="00DC5146">
            <w:pPr>
              <w:spacing w:after="0" w:line="240" w:lineRule="auto"/>
              <w:jc w:val="right"/>
              <w:rPr>
                <w:rFonts w:ascii="Times New Roman" w:hAnsi="Times New Roman" w:cs="Times New Roman"/>
                <w:b/>
                <w:sz w:val="20"/>
              </w:rPr>
            </w:pPr>
            <w:r w:rsidRPr="00C1694A">
              <w:rPr>
                <w:rFonts w:ascii="Times New Roman" w:hAnsi="Times New Roman" w:cs="Times New Roman"/>
                <w:b/>
                <w:sz w:val="20"/>
              </w:rPr>
              <w:t>$1,043,016</w:t>
            </w:r>
          </w:p>
        </w:tc>
      </w:tr>
    </w:tbl>
    <w:p w:rsidR="006C2DBA" w:rsidRPr="00C1694A" w:rsidRDefault="006C2DBA" w:rsidP="00331A7B">
      <w:pPr>
        <w:rPr>
          <w:rFonts w:ascii="Times New Roman" w:hAnsi="Times New Roman" w:cs="Times New Roman"/>
          <w:sz w:val="24"/>
          <w:szCs w:val="24"/>
          <w:u w:val="single"/>
        </w:rPr>
      </w:pPr>
    </w:p>
    <w:p w:rsidR="006C2DBA" w:rsidRPr="00C1694A" w:rsidRDefault="006C2DBA" w:rsidP="00331A7B">
      <w:pPr>
        <w:rPr>
          <w:rFonts w:ascii="Times New Roman" w:hAnsi="Times New Roman" w:cs="Times New Roman"/>
          <w:sz w:val="24"/>
          <w:szCs w:val="24"/>
          <w:u w:val="single"/>
        </w:rPr>
      </w:pPr>
      <w:r w:rsidRPr="00C1694A">
        <w:rPr>
          <w:rFonts w:ascii="Times New Roman" w:hAnsi="Times New Roman" w:cs="Times New Roman"/>
          <w:sz w:val="24"/>
          <w:szCs w:val="24"/>
          <w:u w:val="single"/>
        </w:rPr>
        <w:t>Data Management</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This rule includes several new requirements related to data management, privacy, and data governance in §1302.53(b)(2) and (3), §1302.101(b)(4), and part 1303</w:t>
      </w:r>
      <w:r w:rsidR="006B3FF7">
        <w:rPr>
          <w:rFonts w:ascii="Times New Roman" w:hAnsi="Times New Roman" w:cs="Times New Roman"/>
          <w:sz w:val="24"/>
          <w:szCs w:val="24"/>
        </w:rPr>
        <w:t>,</w:t>
      </w:r>
      <w:r w:rsidRPr="00C1694A">
        <w:rPr>
          <w:rFonts w:ascii="Times New Roman" w:hAnsi="Times New Roman" w:cs="Times New Roman"/>
          <w:sz w:val="24"/>
          <w:szCs w:val="24"/>
        </w:rPr>
        <w:t xml:space="preserve"> subpart C.  Specifically, these provisions require that programs establish procedures related to the availability, usability, integrity, and security of data and communicate, cooperate, and share information among agencies and their community partners.  For the purposes of estimating the costs of these provisions, we focus on three major elements: designing and implementing a program-wide coordinated approach to data management and sharing data with other programs and systems through parental consent and memoranda of understanding.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First, we estimated the cost to programs of designing and implementing a program-wide coordinated approach to data management.  We assumed one full day (eight hours) of planning time, using a cumulative hourly wage of $123.81 for management staff for all 2,039 programs.  This resulted in a cost of $2,019,589.  We then applied the proportion of management salaries paid for with Head Start funds (67.9 percent) to estimate the total cost borne by Head Start and the costs borne by other parties for this provision.  We estimate the total cost to Head Start to be $1,371,301 and the cost to other parties to be $648,288.</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Second, we estimated the cost of sharing data in order to coordinate with other programs and systems.  We assumed these costs entail costs associated with Head Start staff time requesting parental consent to share data and establishing Memoranda of Understanding (MOU).  We assume that the parental consent process would be performed by family services workers; however, since we do not have PIR data on a family service worker’s hourly wage, we averaged the hourly wage of Head Start teachers and assistant teachers as a proxy for the family service worker wage ($15.35).  To calculate the cost of the parental consent process, we further assumed that each consent process would take 20 minutes of the family service workers’ time and divided that hourly wage by three to arrive at the cost of each parental consent ($5.12).  Then, we multiplied the cost per consent by the number of parents from the PIR (988,923), for an estimated cost of $5,063,286.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We also estimated the cost of the MOU process for all programs.  To do so, we averaged the hourly wages of management staff and assumed an average of three MOUs per program.  We chose three MOUs based on the assumption that most programs would have an MOU with an educational agency, a local social services agency, and some other community partner.  We assumed two hours of a management staff time per MOU.  We used an average hourly wage for managers of $24.76 and multiplied it by two hours per each of three MOUs for an estimated cost of $148.56 per program.  Then we multiplied this cost by the total number of programs (2,039) for an estimated cost of $302,914 for the MOU process.  We then applied the proportion of management salaries paid for with Head Start funds (67.9 percent) to estimate the total cost borne by Head Start and the total cost borne by other parties for the MOU process.  The cost borne by Head Start is $205,680, and the cost borne by other parties is $97,234.</w:t>
      </w:r>
      <w:r w:rsidRPr="00C1694A">
        <w:rPr>
          <w:rFonts w:ascii="Times New Roman" w:hAnsi="Times New Roman" w:cs="Times New Roman"/>
          <w:sz w:val="24"/>
          <w:szCs w:val="24"/>
        </w:rPr>
        <w:tab/>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sum, the total estimated cost of this provision is $7,385,789, the total estimated cost borne by Head Start is $6,643,811, and the total estimated cost borne by other parties is $741,978.  These costs will be realized in year two and annually thereafter.</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addition to monetary costs, we also estimated the opportunity cost associated with parents’ time spent completing the parental consent process. To calculate this opportunity cost, we use foregone wages as an estimate for the value of parents’ time.  This represents the value of their time when they participate in an additional home visit rather than working. Because Head Start families are primarily families from low-income backgrounds, we used the federal minimum wage and assumed twenty minutes of time for one parent from each family served (988,923 according to 2015 PIR data) to meet this requirement.  Therefore, we estimate the opportunity cost associated with this provision to be $2,393,194.  This cost will be realized in year two and annually thereafter.</w:t>
      </w: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40"/>
        <w:gridCol w:w="1170"/>
        <w:gridCol w:w="1890"/>
        <w:gridCol w:w="1530"/>
        <w:gridCol w:w="1530"/>
        <w:gridCol w:w="1620"/>
      </w:tblGrid>
      <w:tr w:rsidR="006C2DBA" w:rsidRPr="00C1694A" w:rsidTr="00D23898">
        <w:trPr>
          <w:trHeight w:val="241"/>
        </w:trPr>
        <w:tc>
          <w:tcPr>
            <w:tcW w:w="9180" w:type="dxa"/>
            <w:gridSpan w:val="6"/>
            <w:shd w:val="clear" w:color="auto" w:fill="auto"/>
          </w:tcPr>
          <w:p w:rsidR="006C2DBA" w:rsidRPr="00C1694A" w:rsidRDefault="006C2DBA" w:rsidP="00DC5146">
            <w:pPr>
              <w:spacing w:after="0" w:line="240" w:lineRule="auto"/>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Data Management: Costs Borne by Head Start and by Other Parties</w:t>
            </w:r>
          </w:p>
        </w:tc>
      </w:tr>
      <w:tr w:rsidR="006C2DBA" w:rsidRPr="00C1694A" w:rsidTr="00D23898">
        <w:trPr>
          <w:trHeight w:val="673"/>
        </w:trPr>
        <w:tc>
          <w:tcPr>
            <w:tcW w:w="1440" w:type="dxa"/>
            <w:shd w:val="clear" w:color="auto" w:fill="auto"/>
            <w:hideMark/>
          </w:tcPr>
          <w:p w:rsidR="006C2DBA" w:rsidRPr="00C1694A" w:rsidRDefault="006C2DBA" w:rsidP="00DC5146">
            <w:pPr>
              <w:spacing w:after="0" w:line="240" w:lineRule="auto"/>
              <w:rPr>
                <w:rFonts w:ascii="Times New Roman" w:eastAsia="Times New Roman" w:hAnsi="Times New Roman" w:cs="Times New Roman"/>
                <w:b/>
                <w:bCs/>
                <w:sz w:val="20"/>
                <w:szCs w:val="20"/>
              </w:rPr>
            </w:pPr>
          </w:p>
        </w:tc>
        <w:tc>
          <w:tcPr>
            <w:tcW w:w="1170" w:type="dxa"/>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 xml:space="preserve"> Cost of Staff Time </w:t>
            </w:r>
          </w:p>
        </w:tc>
        <w:tc>
          <w:tcPr>
            <w:tcW w:w="1890" w:type="dxa"/>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 xml:space="preserve">Number of Program/ Families </w:t>
            </w:r>
          </w:p>
        </w:tc>
        <w:tc>
          <w:tcPr>
            <w:tcW w:w="1530" w:type="dxa"/>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Total Estimated Cost</w:t>
            </w:r>
          </w:p>
        </w:tc>
        <w:tc>
          <w:tcPr>
            <w:tcW w:w="1530" w:type="dxa"/>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 xml:space="preserve">Costs Borne by Head Start </w:t>
            </w:r>
          </w:p>
        </w:tc>
        <w:tc>
          <w:tcPr>
            <w:tcW w:w="1620" w:type="dxa"/>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Costs Borne by Other Parties</w:t>
            </w:r>
          </w:p>
        </w:tc>
      </w:tr>
      <w:tr w:rsidR="006C2DBA" w:rsidRPr="00C1694A" w:rsidTr="00D23898">
        <w:trPr>
          <w:trHeight w:val="276"/>
        </w:trPr>
        <w:tc>
          <w:tcPr>
            <w:tcW w:w="1440" w:type="dxa"/>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Coordinated Approach</w:t>
            </w:r>
          </w:p>
        </w:tc>
        <w:tc>
          <w:tcPr>
            <w:tcW w:w="117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990.48 </w:t>
            </w:r>
          </w:p>
        </w:tc>
        <w:tc>
          <w:tcPr>
            <w:tcW w:w="189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2,039 </w:t>
            </w:r>
          </w:p>
        </w:tc>
        <w:tc>
          <w:tcPr>
            <w:tcW w:w="153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$2,019,589 </w:t>
            </w:r>
          </w:p>
        </w:tc>
        <w:tc>
          <w:tcPr>
            <w:tcW w:w="153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$1,374,845 </w:t>
            </w:r>
          </w:p>
        </w:tc>
        <w:tc>
          <w:tcPr>
            <w:tcW w:w="162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$644,744 </w:t>
            </w:r>
          </w:p>
        </w:tc>
      </w:tr>
      <w:tr w:rsidR="006C2DBA" w:rsidRPr="00C1694A" w:rsidTr="00D23898">
        <w:trPr>
          <w:trHeight w:val="276"/>
        </w:trPr>
        <w:tc>
          <w:tcPr>
            <w:tcW w:w="1440" w:type="dxa"/>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Consent Process</w:t>
            </w:r>
          </w:p>
        </w:tc>
        <w:tc>
          <w:tcPr>
            <w:tcW w:w="117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$5.12 </w:t>
            </w:r>
          </w:p>
        </w:tc>
        <w:tc>
          <w:tcPr>
            <w:tcW w:w="189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hAnsi="Times New Roman" w:cs="Times New Roman"/>
                <w:sz w:val="20"/>
                <w:szCs w:val="20"/>
              </w:rPr>
              <w:t>988,923</w:t>
            </w:r>
            <w:r w:rsidRPr="00C1694A">
              <w:rPr>
                <w:rFonts w:ascii="Times New Roman" w:eastAsia="Times New Roman" w:hAnsi="Times New Roman" w:cs="Times New Roman"/>
                <w:sz w:val="20"/>
                <w:szCs w:val="20"/>
              </w:rPr>
              <w:t xml:space="preserve">                   </w:t>
            </w:r>
          </w:p>
        </w:tc>
        <w:tc>
          <w:tcPr>
            <w:tcW w:w="153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$5,063,286 </w:t>
            </w:r>
          </w:p>
        </w:tc>
        <w:tc>
          <w:tcPr>
            <w:tcW w:w="153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$5,063,286</w:t>
            </w:r>
          </w:p>
        </w:tc>
        <w:tc>
          <w:tcPr>
            <w:tcW w:w="162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w:t>
            </w:r>
          </w:p>
        </w:tc>
      </w:tr>
      <w:tr w:rsidR="006C2DBA" w:rsidRPr="00C1694A" w:rsidTr="00D23898">
        <w:trPr>
          <w:trHeight w:val="276"/>
        </w:trPr>
        <w:tc>
          <w:tcPr>
            <w:tcW w:w="1440" w:type="dxa"/>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MOU Process</w:t>
            </w:r>
          </w:p>
        </w:tc>
        <w:tc>
          <w:tcPr>
            <w:tcW w:w="117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$148.56 </w:t>
            </w:r>
          </w:p>
        </w:tc>
        <w:tc>
          <w:tcPr>
            <w:tcW w:w="189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2,039</w:t>
            </w:r>
          </w:p>
        </w:tc>
        <w:tc>
          <w:tcPr>
            <w:tcW w:w="153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$302,914 </w:t>
            </w:r>
          </w:p>
        </w:tc>
        <w:tc>
          <w:tcPr>
            <w:tcW w:w="153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$205,680 </w:t>
            </w:r>
          </w:p>
        </w:tc>
        <w:tc>
          <w:tcPr>
            <w:tcW w:w="162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$97,234 </w:t>
            </w:r>
          </w:p>
        </w:tc>
      </w:tr>
      <w:tr w:rsidR="006C2DBA" w:rsidRPr="00C1694A" w:rsidTr="00D23898">
        <w:trPr>
          <w:trHeight w:val="276"/>
        </w:trPr>
        <w:tc>
          <w:tcPr>
            <w:tcW w:w="4500" w:type="dxa"/>
            <w:gridSpan w:val="3"/>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bCs/>
                <w:sz w:val="20"/>
                <w:szCs w:val="20"/>
              </w:rPr>
              <w:t>Total</w:t>
            </w:r>
          </w:p>
        </w:tc>
        <w:tc>
          <w:tcPr>
            <w:tcW w:w="153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$7,385,789</w:t>
            </w:r>
          </w:p>
        </w:tc>
        <w:tc>
          <w:tcPr>
            <w:tcW w:w="153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 xml:space="preserve"> $6,643,811 </w:t>
            </w:r>
          </w:p>
        </w:tc>
        <w:tc>
          <w:tcPr>
            <w:tcW w:w="162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 xml:space="preserve">$741,978 </w:t>
            </w:r>
          </w:p>
        </w:tc>
      </w:tr>
    </w:tbl>
    <w:p w:rsidR="006C2DBA" w:rsidRPr="00C1694A" w:rsidRDefault="006C2DBA" w:rsidP="00DC5146">
      <w:pPr>
        <w:spacing w:after="0" w:line="240" w:lineRule="auto"/>
        <w:rPr>
          <w:rFonts w:ascii="Times New Roman" w:hAnsi="Times New Roman" w:cs="Times New Roman"/>
          <w:sz w:val="24"/>
          <w:szCs w:val="24"/>
        </w:rPr>
      </w:pP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00"/>
        <w:gridCol w:w="1800"/>
        <w:gridCol w:w="1710"/>
        <w:gridCol w:w="1980"/>
        <w:gridCol w:w="1890"/>
      </w:tblGrid>
      <w:tr w:rsidR="006C2DBA" w:rsidRPr="00C1694A" w:rsidTr="00D23898">
        <w:trPr>
          <w:trHeight w:val="286"/>
        </w:trPr>
        <w:tc>
          <w:tcPr>
            <w:tcW w:w="9180" w:type="dxa"/>
            <w:gridSpan w:val="5"/>
            <w:shd w:val="clear" w:color="auto" w:fill="auto"/>
            <w:vAlign w:val="bottom"/>
          </w:tcPr>
          <w:p w:rsidR="006C2DBA" w:rsidRPr="00C1694A" w:rsidRDefault="006C2DBA" w:rsidP="00DC5146">
            <w:pPr>
              <w:spacing w:after="0" w:line="240" w:lineRule="auto"/>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Data Management: Opportunity Cost</w:t>
            </w:r>
          </w:p>
        </w:tc>
      </w:tr>
      <w:tr w:rsidR="006C2DBA" w:rsidRPr="00C1694A" w:rsidTr="00D23898">
        <w:trPr>
          <w:trHeight w:val="673"/>
        </w:trPr>
        <w:tc>
          <w:tcPr>
            <w:tcW w:w="1800" w:type="dxa"/>
            <w:shd w:val="clear" w:color="auto" w:fill="auto"/>
            <w:hideMark/>
          </w:tcPr>
          <w:p w:rsidR="006C2DBA" w:rsidRPr="00C1694A" w:rsidRDefault="006C2DBA" w:rsidP="00DC5146">
            <w:pPr>
              <w:spacing w:after="0" w:line="240" w:lineRule="auto"/>
              <w:rPr>
                <w:rFonts w:ascii="Times New Roman" w:eastAsia="Times New Roman" w:hAnsi="Times New Roman" w:cs="Times New Roman"/>
                <w:b/>
                <w:bCs/>
                <w:sz w:val="20"/>
                <w:szCs w:val="20"/>
              </w:rPr>
            </w:pPr>
          </w:p>
        </w:tc>
        <w:tc>
          <w:tcPr>
            <w:tcW w:w="1800" w:type="dxa"/>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 xml:space="preserve"> Value of Parent Time/ Hour </w:t>
            </w:r>
          </w:p>
        </w:tc>
        <w:tc>
          <w:tcPr>
            <w:tcW w:w="1710" w:type="dxa"/>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 xml:space="preserve">Number of Parents </w:t>
            </w:r>
          </w:p>
        </w:tc>
        <w:tc>
          <w:tcPr>
            <w:tcW w:w="1980" w:type="dxa"/>
            <w:vAlign w:val="bottom"/>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Time Spent per Parent</w:t>
            </w:r>
          </w:p>
        </w:tc>
        <w:tc>
          <w:tcPr>
            <w:tcW w:w="1890" w:type="dxa"/>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Opportunity Cost</w:t>
            </w:r>
          </w:p>
        </w:tc>
      </w:tr>
      <w:tr w:rsidR="006C2DBA" w:rsidRPr="00C1694A" w:rsidTr="00D23898">
        <w:trPr>
          <w:trHeight w:val="250"/>
        </w:trPr>
        <w:tc>
          <w:tcPr>
            <w:tcW w:w="1800" w:type="dxa"/>
            <w:shd w:val="clear" w:color="auto" w:fill="auto"/>
            <w:noWrap/>
            <w:vAlign w:val="bottom"/>
            <w:hideMark/>
          </w:tcPr>
          <w:p w:rsidR="006C2DBA" w:rsidRPr="00C1694A" w:rsidRDefault="006C2DBA" w:rsidP="00DC5146">
            <w:pPr>
              <w:spacing w:after="0" w:line="240" w:lineRule="auto"/>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Consent Process</w:t>
            </w:r>
          </w:p>
        </w:tc>
        <w:tc>
          <w:tcPr>
            <w:tcW w:w="180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$7.25 </w:t>
            </w:r>
          </w:p>
        </w:tc>
        <w:tc>
          <w:tcPr>
            <w:tcW w:w="171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hAnsi="Times New Roman" w:cs="Times New Roman"/>
                <w:sz w:val="20"/>
                <w:szCs w:val="20"/>
              </w:rPr>
              <w:t>988,923</w:t>
            </w:r>
          </w:p>
        </w:tc>
        <w:tc>
          <w:tcPr>
            <w:tcW w:w="1980" w:type="dxa"/>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20 minutes</w:t>
            </w:r>
          </w:p>
        </w:tc>
        <w:tc>
          <w:tcPr>
            <w:tcW w:w="189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$914,216 </w:t>
            </w:r>
          </w:p>
        </w:tc>
      </w:tr>
      <w:tr w:rsidR="006C2DBA" w:rsidRPr="00C1694A" w:rsidTr="00D23898">
        <w:trPr>
          <w:trHeight w:val="276"/>
        </w:trPr>
        <w:tc>
          <w:tcPr>
            <w:tcW w:w="7290" w:type="dxa"/>
            <w:gridSpan w:val="4"/>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bCs/>
                <w:sz w:val="20"/>
                <w:szCs w:val="20"/>
              </w:rPr>
              <w:t>Total</w:t>
            </w:r>
          </w:p>
        </w:tc>
        <w:tc>
          <w:tcPr>
            <w:tcW w:w="1890" w:type="dxa"/>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 xml:space="preserve">$2,393,194 </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Participation in Quality Rating Improvement Systems</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rule includes a new requirement that programs participate in their State’s Quality Rating and Improvement System if it meets several indicators described in §1302.53, including that the State accepts Head Start monitoring data as evidence that programs meet requirements to be assigned a rating in the State’s tiered system.  As a result, we estimate costs associated with both management staff time spent determining whether their state QRIS meets the indicators which would trigger participation and management staff time spent preparing monitoring reports and filling out paperwork to file with the State.  We also estimate a cost to States associated with reviewing Head Start program documentation and assigning a rating to each program.   While we acknowledge that there may be additional costs to Head Start and other parties associated with Head Start programs who seek to move up within a state’s tiered system, for example by opting to participate in observational ratings such as the </w:t>
      </w:r>
      <w:r w:rsidR="005F3C0D">
        <w:rPr>
          <w:rFonts w:ascii="Times New Roman" w:hAnsi="Times New Roman" w:cs="Times New Roman"/>
          <w:sz w:val="24"/>
          <w:szCs w:val="24"/>
        </w:rPr>
        <w:t>Early Childhood Environmental Rating Scale</w:t>
      </w:r>
      <w:r w:rsidR="005F3C0D" w:rsidRPr="00C1694A">
        <w:rPr>
          <w:rFonts w:ascii="Times New Roman" w:hAnsi="Times New Roman" w:cs="Times New Roman"/>
          <w:sz w:val="24"/>
          <w:szCs w:val="24"/>
        </w:rPr>
        <w:t xml:space="preserve"> </w:t>
      </w:r>
      <w:r w:rsidR="005F3C0D">
        <w:rPr>
          <w:rFonts w:ascii="Times New Roman" w:hAnsi="Times New Roman" w:cs="Times New Roman"/>
          <w:sz w:val="24"/>
          <w:szCs w:val="24"/>
        </w:rPr>
        <w:t>(</w:t>
      </w:r>
      <w:r w:rsidRPr="00C1694A">
        <w:rPr>
          <w:rFonts w:ascii="Times New Roman" w:hAnsi="Times New Roman" w:cs="Times New Roman"/>
          <w:sz w:val="24"/>
          <w:szCs w:val="24"/>
        </w:rPr>
        <w:t>ECERS</w:t>
      </w:r>
      <w:r w:rsidR="005F3C0D">
        <w:rPr>
          <w:rFonts w:ascii="Times New Roman" w:hAnsi="Times New Roman" w:cs="Times New Roman"/>
          <w:sz w:val="24"/>
          <w:szCs w:val="24"/>
        </w:rPr>
        <w:t>)</w:t>
      </w:r>
      <w:r w:rsidRPr="00C1694A">
        <w:rPr>
          <w:rFonts w:ascii="Times New Roman" w:hAnsi="Times New Roman" w:cs="Times New Roman"/>
          <w:sz w:val="24"/>
          <w:szCs w:val="24"/>
        </w:rPr>
        <w:t>, programs are not required to do so by this provision and we do not have data to support a reasonable assumption of how many programs would choose to do so. Therefore we have not estimated these costs here. Further, we assume that programs that choose to participate in such activities to move up within a state’s system would do so in order to reap benefits such as increased subsidy reimbursement rates or access to professional development opportunities, which would, from the program’s perspective, offset the costs involved.  (From the perspective of society as a whole, changes in reimbursement amounts are transfers, increased resources devoted to professional development are costs, and any improved outcomes for Head Start students that result from the professional development are benefits.)</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order to calculate the costs associated with each program determining whether the QRIS in their State meets the indicators, we assumed eight hours of assessment time for the entire management team, using a cumulative hourly wage of $124.13 for management staff for all 2,039 programs.  This resulted in a cost of $2,024,809.  We then applied the proportion of management salaries paid for with Head Start funds (67.9 percent) to estimate the total cost borne by Head Start and the costs borne by other parties for this provision.  We estimate the total cost to Head Start to be $1,367,272 and the cost to other parties to be $657,537.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Then to estimate the cost of program participation in QRIS in states that meet the indicators described in §1302.53, we first assumed that the Program Director and the Education Manager (whose hourly wage is a total of $59.82, $40.28 of which is borne by Head Start and $19.55 of which is borne by other parties) in programs participating in QRIS would spend 16 hours (or two full days) preparing monitoring reports and filling out paperwork to file with the State.  This calculation results in an estimated cost borne by Head Start of $644.42 per program and an estimated cost borne by other parties of $312.73 per program.  Then, to estimate the cost per year, we had to make assumptions about what percent of programs would be in States that meet the described in §1302.53.  Although we do not think most States currently meet these indicators, we assume that States who want Head Start programs to participate in QRIS will make adjustments to their systems over time to meet the indicators such that the Head Start performance standards require participation.  Therefore, we assumed that 25% of programs would participate in the first year this requirement is in place (2017/2018), 50% would participate five years after the requirement is in place (2022/2023) and that by 2025/2026 75% of programs would participate.  To estimate the cost in each year, we multiplied the number of programs participating (510 in 2017/2018, 1,020 in 2022/2023, and 1,529 in 2025/2026).  This results in costs borne by Head Start of $328,656 in 2017/2018, $657,311 in 2022/2023, and $985,323 in 2025/2026; and costs borne by other parties of $159,493 in 2017/2018, $318,985 in 2022/2023, and $478,165 in 2025/2026.</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Then, we further assume additional costs borne by other parties, in costs to the State associated with reviewing Head Start program documentation and assigning a rating to each program.  In order to estimate these costs, we assumed 8 hours of administrative staff time using the average hourly wage for administrative assistants from the Bureau of Labor Statistics 2015 data ($17.55) for a cost of $140.40 per program participating in QRIS.  We then applied this cost per program to the number of programs participating in each year as described above to find the cost borne by States to be $71,569 in 2017/2018, $143,138 in 2022/2023, and $214,707 in 2025/2026.</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sum, the total costs associated with meeting this requirement which are borne by Head Start programs are $1,695,928 in 2017/2018, $2,024,583 in 2022/2023, and $2,352,595 in 2025/2026. Finally, the total costs associated with meeting this requirement which are borne by other parties are $888,598 in 2017/2018, $1,119,660 in 2022/2023, and $1,350,409 in 2025/2026.  </w:t>
      </w:r>
    </w:p>
    <w:p w:rsidR="006C2DBA" w:rsidRPr="00C1694A" w:rsidRDefault="006C2DBA">
      <w:pPr>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66"/>
        <w:gridCol w:w="82"/>
        <w:gridCol w:w="542"/>
        <w:gridCol w:w="628"/>
        <w:gridCol w:w="722"/>
        <w:gridCol w:w="272"/>
        <w:gridCol w:w="898"/>
        <w:gridCol w:w="88"/>
        <w:gridCol w:w="904"/>
        <w:gridCol w:w="714"/>
        <w:gridCol w:w="274"/>
        <w:gridCol w:w="992"/>
        <w:gridCol w:w="534"/>
        <w:gridCol w:w="456"/>
        <w:gridCol w:w="1004"/>
      </w:tblGrid>
      <w:tr w:rsidR="006C2DBA" w:rsidRPr="00C1694A" w:rsidTr="00D23898">
        <w:trPr>
          <w:trHeight w:val="223"/>
        </w:trPr>
        <w:tc>
          <w:tcPr>
            <w:tcW w:w="5000" w:type="pct"/>
            <w:gridSpan w:val="15"/>
          </w:tcPr>
          <w:p w:rsidR="006C2DBA" w:rsidRPr="00C1694A" w:rsidRDefault="006C2DBA" w:rsidP="00DC5146">
            <w:pPr>
              <w:spacing w:after="0" w:line="240" w:lineRule="auto"/>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Participation in QRIS: Costs Borne by Head Start and by Other Parties</w:t>
            </w:r>
          </w:p>
        </w:tc>
      </w:tr>
      <w:tr w:rsidR="006C2DBA" w:rsidRPr="00C1694A" w:rsidTr="00D23898">
        <w:trPr>
          <w:trHeight w:val="511"/>
        </w:trPr>
        <w:tc>
          <w:tcPr>
            <w:tcW w:w="1091" w:type="pct"/>
            <w:gridSpan w:val="3"/>
          </w:tcPr>
          <w:p w:rsidR="006C2DBA" w:rsidRPr="00C1694A" w:rsidRDefault="006C2DBA" w:rsidP="00DC5146">
            <w:pPr>
              <w:spacing w:after="0" w:line="240" w:lineRule="auto"/>
              <w:jc w:val="center"/>
              <w:rPr>
                <w:rFonts w:ascii="Times New Roman" w:eastAsia="Times New Roman" w:hAnsi="Times New Roman" w:cs="Times New Roman"/>
                <w:b/>
                <w:bCs/>
                <w:sz w:val="18"/>
                <w:szCs w:val="18"/>
              </w:rPr>
            </w:pPr>
          </w:p>
        </w:tc>
        <w:tc>
          <w:tcPr>
            <w:tcW w:w="705" w:type="pct"/>
            <w:gridSpan w:val="2"/>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 xml:space="preserve"> Cost of Staff Time Per Program </w:t>
            </w:r>
          </w:p>
        </w:tc>
        <w:tc>
          <w:tcPr>
            <w:tcW w:w="657" w:type="pct"/>
            <w:gridSpan w:val="3"/>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 xml:space="preserve">Number of Programs </w:t>
            </w:r>
          </w:p>
        </w:tc>
        <w:tc>
          <w:tcPr>
            <w:tcW w:w="845" w:type="pct"/>
            <w:gridSpan w:val="2"/>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Total Estimated Cost</w:t>
            </w:r>
          </w:p>
        </w:tc>
        <w:tc>
          <w:tcPr>
            <w:tcW w:w="940" w:type="pct"/>
            <w:gridSpan w:val="3"/>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Costs Borne by Head Start (67.9%)</w:t>
            </w:r>
          </w:p>
        </w:tc>
        <w:tc>
          <w:tcPr>
            <w:tcW w:w="762" w:type="pct"/>
            <w:gridSpan w:val="2"/>
            <w:shd w:val="clear" w:color="auto" w:fill="auto"/>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Costs Borne by Other Parties</w:t>
            </w:r>
          </w:p>
        </w:tc>
      </w:tr>
      <w:tr w:rsidR="006C2DBA" w:rsidRPr="00C1694A" w:rsidTr="00D23898">
        <w:trPr>
          <w:trHeight w:val="276"/>
        </w:trPr>
        <w:tc>
          <w:tcPr>
            <w:tcW w:w="1091" w:type="pct"/>
            <w:gridSpan w:val="3"/>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Determining Participation</w:t>
            </w:r>
          </w:p>
        </w:tc>
        <w:tc>
          <w:tcPr>
            <w:tcW w:w="705" w:type="pct"/>
            <w:gridSpan w:val="2"/>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$993.04 </w:t>
            </w:r>
          </w:p>
        </w:tc>
        <w:tc>
          <w:tcPr>
            <w:tcW w:w="657" w:type="pct"/>
            <w:gridSpan w:val="3"/>
            <w:shd w:val="clear" w:color="auto" w:fill="auto"/>
            <w:noWrap/>
            <w:vAlign w:val="bottom"/>
            <w:hideMark/>
          </w:tcPr>
          <w:p w:rsidR="006C2DBA" w:rsidRPr="00C1694A" w:rsidRDefault="006C2DBA" w:rsidP="00DC5146">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2,039 </w:t>
            </w:r>
          </w:p>
        </w:tc>
        <w:tc>
          <w:tcPr>
            <w:tcW w:w="845" w:type="pct"/>
            <w:gridSpan w:val="2"/>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$2,024,809 </w:t>
            </w:r>
          </w:p>
        </w:tc>
        <w:tc>
          <w:tcPr>
            <w:tcW w:w="940" w:type="pct"/>
            <w:gridSpan w:val="3"/>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$1,367,272 </w:t>
            </w:r>
          </w:p>
        </w:tc>
        <w:tc>
          <w:tcPr>
            <w:tcW w:w="762" w:type="pct"/>
            <w:gridSpan w:val="2"/>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$657,537 </w:t>
            </w:r>
          </w:p>
        </w:tc>
      </w:tr>
      <w:tr w:rsidR="006C2DBA" w:rsidRPr="00C1694A" w:rsidTr="00D23898">
        <w:trPr>
          <w:trHeight w:val="223"/>
        </w:trPr>
        <w:tc>
          <w:tcPr>
            <w:tcW w:w="5000" w:type="pct"/>
            <w:gridSpan w:val="15"/>
          </w:tcPr>
          <w:p w:rsidR="006C2DBA" w:rsidRPr="00C1694A" w:rsidRDefault="006C2DBA" w:rsidP="00D722F2">
            <w:pPr>
              <w:spacing w:after="0" w:line="240" w:lineRule="auto"/>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Participation in QRIS: Costs Borne by Head Start and by Other Parties</w:t>
            </w:r>
          </w:p>
        </w:tc>
      </w:tr>
      <w:tr w:rsidR="006C2DBA" w:rsidRPr="00C1694A" w:rsidTr="00D23898">
        <w:trPr>
          <w:trHeight w:val="673"/>
        </w:trPr>
        <w:tc>
          <w:tcPr>
            <w:tcW w:w="765" w:type="pct"/>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p>
        </w:tc>
        <w:tc>
          <w:tcPr>
            <w:tcW w:w="654" w:type="pct"/>
            <w:gridSpan w:val="3"/>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 xml:space="preserve"> Cost of Staff Time Per Program </w:t>
            </w:r>
          </w:p>
        </w:tc>
        <w:tc>
          <w:tcPr>
            <w:tcW w:w="519"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 xml:space="preserve">Number of Programs </w:t>
            </w:r>
          </w:p>
        </w:tc>
        <w:tc>
          <w:tcPr>
            <w:tcW w:w="987" w:type="pct"/>
            <w:gridSpan w:val="3"/>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Estimated Cost for 25% of Programs</w:t>
            </w:r>
          </w:p>
        </w:tc>
        <w:tc>
          <w:tcPr>
            <w:tcW w:w="1034" w:type="pct"/>
            <w:gridSpan w:val="3"/>
            <w:vAlign w:val="bottom"/>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Estimated Cost for 50% of Programs</w:t>
            </w:r>
          </w:p>
        </w:tc>
        <w:tc>
          <w:tcPr>
            <w:tcW w:w="1041" w:type="pct"/>
            <w:gridSpan w:val="3"/>
            <w:vAlign w:val="bottom"/>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Estimated Cost for 75% of Programs</w:t>
            </w:r>
          </w:p>
        </w:tc>
      </w:tr>
      <w:tr w:rsidR="006C2DBA" w:rsidRPr="00C1694A" w:rsidTr="00D23898">
        <w:trPr>
          <w:trHeight w:val="276"/>
        </w:trPr>
        <w:tc>
          <w:tcPr>
            <w:tcW w:w="1938" w:type="pct"/>
            <w:gridSpan w:val="6"/>
          </w:tcPr>
          <w:p w:rsidR="006C2DBA" w:rsidRPr="00C1694A" w:rsidRDefault="006C2DBA" w:rsidP="00D722F2">
            <w:pPr>
              <w:spacing w:after="0" w:line="240" w:lineRule="auto"/>
              <w:jc w:val="right"/>
              <w:rPr>
                <w:rFonts w:ascii="Times New Roman" w:eastAsia="Times New Roman" w:hAnsi="Times New Roman" w:cs="Times New Roman"/>
                <w:sz w:val="18"/>
                <w:szCs w:val="18"/>
              </w:rPr>
            </w:pPr>
          </w:p>
        </w:tc>
        <w:tc>
          <w:tcPr>
            <w:tcW w:w="469" w:type="pct"/>
            <w:shd w:val="clear" w:color="auto" w:fill="auto"/>
            <w:noWrap/>
            <w:vAlign w:val="bottom"/>
          </w:tcPr>
          <w:p w:rsidR="006C2DBA" w:rsidRPr="00C1694A" w:rsidRDefault="006C2DBA" w:rsidP="00D23898">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Head Start</w:t>
            </w:r>
          </w:p>
        </w:tc>
        <w:tc>
          <w:tcPr>
            <w:tcW w:w="518" w:type="pct"/>
            <w:gridSpan w:val="2"/>
            <w:shd w:val="clear" w:color="auto" w:fill="auto"/>
            <w:vAlign w:val="bottom"/>
          </w:tcPr>
          <w:p w:rsidR="006C2DBA" w:rsidRPr="00C1694A" w:rsidRDefault="006C2DBA" w:rsidP="00D23898">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Other Parties</w:t>
            </w:r>
          </w:p>
        </w:tc>
        <w:tc>
          <w:tcPr>
            <w:tcW w:w="516" w:type="pct"/>
            <w:gridSpan w:val="2"/>
            <w:vAlign w:val="bottom"/>
          </w:tcPr>
          <w:p w:rsidR="006C2DBA" w:rsidRPr="00C1694A" w:rsidRDefault="006C2DBA" w:rsidP="00D23898">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Head Start</w:t>
            </w:r>
          </w:p>
        </w:tc>
        <w:tc>
          <w:tcPr>
            <w:tcW w:w="518" w:type="pct"/>
            <w:vAlign w:val="bottom"/>
          </w:tcPr>
          <w:p w:rsidR="006C2DBA" w:rsidRPr="00C1694A" w:rsidRDefault="006C2DBA" w:rsidP="00D23898">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Other Parties</w:t>
            </w:r>
          </w:p>
        </w:tc>
        <w:tc>
          <w:tcPr>
            <w:tcW w:w="517" w:type="pct"/>
            <w:gridSpan w:val="2"/>
            <w:vAlign w:val="bottom"/>
          </w:tcPr>
          <w:p w:rsidR="006C2DBA" w:rsidRPr="00C1694A" w:rsidRDefault="006C2DBA" w:rsidP="00D23898">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Head Start</w:t>
            </w:r>
          </w:p>
        </w:tc>
        <w:tc>
          <w:tcPr>
            <w:tcW w:w="524" w:type="pct"/>
            <w:vAlign w:val="bottom"/>
          </w:tcPr>
          <w:p w:rsidR="006C2DBA" w:rsidRPr="00C1694A" w:rsidRDefault="006C2DBA" w:rsidP="00D23898">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Other Parties</w:t>
            </w:r>
          </w:p>
        </w:tc>
      </w:tr>
      <w:tr w:rsidR="006C2DBA" w:rsidRPr="00C1694A" w:rsidTr="00D23898">
        <w:trPr>
          <w:trHeight w:val="276"/>
        </w:trPr>
        <w:tc>
          <w:tcPr>
            <w:tcW w:w="808" w:type="pct"/>
            <w:gridSpan w:val="2"/>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HS Management Staff for Participating Programs</w:t>
            </w:r>
          </w:p>
        </w:tc>
        <w:tc>
          <w:tcPr>
            <w:tcW w:w="611" w:type="pct"/>
            <w:gridSpan w:val="2"/>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$957.15</w:t>
            </w:r>
          </w:p>
        </w:tc>
        <w:tc>
          <w:tcPr>
            <w:tcW w:w="519" w:type="pct"/>
            <w:gridSpan w:val="2"/>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2,039 </w:t>
            </w:r>
          </w:p>
        </w:tc>
        <w:tc>
          <w:tcPr>
            <w:tcW w:w="469"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$328,656</w:t>
            </w:r>
          </w:p>
        </w:tc>
        <w:tc>
          <w:tcPr>
            <w:tcW w:w="518" w:type="pct"/>
            <w:gridSpan w:val="2"/>
            <w:shd w:val="clear" w:color="auto" w:fill="auto"/>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$159,493</w:t>
            </w:r>
          </w:p>
        </w:tc>
        <w:tc>
          <w:tcPr>
            <w:tcW w:w="516" w:type="pct"/>
            <w:gridSpan w:val="2"/>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$657,311</w:t>
            </w:r>
          </w:p>
        </w:tc>
        <w:tc>
          <w:tcPr>
            <w:tcW w:w="518" w:type="pct"/>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$318,985</w:t>
            </w:r>
          </w:p>
        </w:tc>
        <w:tc>
          <w:tcPr>
            <w:tcW w:w="517" w:type="pct"/>
            <w:gridSpan w:val="2"/>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$985,323</w:t>
            </w:r>
          </w:p>
        </w:tc>
        <w:tc>
          <w:tcPr>
            <w:tcW w:w="524" w:type="pct"/>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$478,165</w:t>
            </w:r>
          </w:p>
        </w:tc>
      </w:tr>
      <w:tr w:rsidR="006C2DBA" w:rsidRPr="00C1694A" w:rsidTr="00D23898">
        <w:trPr>
          <w:trHeight w:val="276"/>
        </w:trPr>
        <w:tc>
          <w:tcPr>
            <w:tcW w:w="808" w:type="pct"/>
            <w:gridSpan w:val="2"/>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State Administrative Staff</w:t>
            </w:r>
          </w:p>
        </w:tc>
        <w:tc>
          <w:tcPr>
            <w:tcW w:w="611" w:type="pct"/>
            <w:gridSpan w:val="2"/>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$140.40</w:t>
            </w:r>
          </w:p>
        </w:tc>
        <w:tc>
          <w:tcPr>
            <w:tcW w:w="519" w:type="pct"/>
            <w:gridSpan w:val="2"/>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2,039 </w:t>
            </w:r>
          </w:p>
        </w:tc>
        <w:tc>
          <w:tcPr>
            <w:tcW w:w="469"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n/a</w:t>
            </w:r>
          </w:p>
        </w:tc>
        <w:tc>
          <w:tcPr>
            <w:tcW w:w="518" w:type="pct"/>
            <w:gridSpan w:val="2"/>
            <w:shd w:val="clear" w:color="auto" w:fill="auto"/>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$71,569</w:t>
            </w:r>
          </w:p>
        </w:tc>
        <w:tc>
          <w:tcPr>
            <w:tcW w:w="516" w:type="pct"/>
            <w:gridSpan w:val="2"/>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n/a</w:t>
            </w:r>
          </w:p>
        </w:tc>
        <w:tc>
          <w:tcPr>
            <w:tcW w:w="518" w:type="pct"/>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$143,138</w:t>
            </w:r>
          </w:p>
        </w:tc>
        <w:tc>
          <w:tcPr>
            <w:tcW w:w="517" w:type="pct"/>
            <w:gridSpan w:val="2"/>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n/a</w:t>
            </w:r>
          </w:p>
        </w:tc>
        <w:tc>
          <w:tcPr>
            <w:tcW w:w="524" w:type="pct"/>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$214,707</w:t>
            </w:r>
          </w:p>
        </w:tc>
      </w:tr>
    </w:tbl>
    <w:p w:rsidR="006C2DBA" w:rsidRPr="00C1694A" w:rsidRDefault="006C2DBA" w:rsidP="00331A7B">
      <w:pPr>
        <w:spacing w:after="0" w:line="480" w:lineRule="auto"/>
        <w:rPr>
          <w:rFonts w:ascii="Times New Roman" w:hAnsi="Times New Roman" w:cs="Times New Roman"/>
          <w:sz w:val="18"/>
          <w:szCs w:val="18"/>
        </w:rPr>
      </w:pPr>
    </w:p>
    <w:tbl>
      <w:tblPr>
        <w:tblW w:w="51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4"/>
        <w:gridCol w:w="991"/>
        <w:gridCol w:w="991"/>
        <w:gridCol w:w="991"/>
        <w:gridCol w:w="991"/>
        <w:gridCol w:w="989"/>
        <w:gridCol w:w="991"/>
        <w:gridCol w:w="989"/>
        <w:gridCol w:w="991"/>
        <w:gridCol w:w="991"/>
      </w:tblGrid>
      <w:tr w:rsidR="006C2DBA" w:rsidRPr="00C1694A" w:rsidTr="00D23898">
        <w:trPr>
          <w:trHeight w:val="223"/>
        </w:trPr>
        <w:tc>
          <w:tcPr>
            <w:tcW w:w="4999" w:type="pct"/>
            <w:gridSpan w:val="10"/>
          </w:tcPr>
          <w:p w:rsidR="006C2DBA" w:rsidRPr="00C1694A" w:rsidRDefault="006C2DBA" w:rsidP="00D722F2">
            <w:pPr>
              <w:spacing w:after="0" w:line="240" w:lineRule="auto"/>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Participation in QRIS: Costs Borne by Head Start and by Other Parties</w:t>
            </w:r>
          </w:p>
        </w:tc>
      </w:tr>
      <w:tr w:rsidR="006C2DBA" w:rsidRPr="00C1694A" w:rsidTr="00D23898">
        <w:trPr>
          <w:trHeight w:val="276"/>
        </w:trPr>
        <w:tc>
          <w:tcPr>
            <w:tcW w:w="465" w:type="pct"/>
          </w:tcPr>
          <w:p w:rsidR="006C2DBA" w:rsidRPr="00C1694A" w:rsidRDefault="006C2DBA" w:rsidP="00D722F2">
            <w:pPr>
              <w:spacing w:after="0" w:line="240" w:lineRule="auto"/>
              <w:jc w:val="right"/>
              <w:rPr>
                <w:rFonts w:ascii="Times New Roman" w:eastAsia="Times New Roman" w:hAnsi="Times New Roman" w:cs="Times New Roman"/>
                <w:b/>
                <w:sz w:val="18"/>
                <w:szCs w:val="18"/>
              </w:rPr>
            </w:pPr>
          </w:p>
        </w:tc>
        <w:tc>
          <w:tcPr>
            <w:tcW w:w="504"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2</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2017-2018</w:t>
            </w:r>
          </w:p>
        </w:tc>
        <w:tc>
          <w:tcPr>
            <w:tcW w:w="504"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3</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2018-2019</w:t>
            </w:r>
          </w:p>
        </w:tc>
        <w:tc>
          <w:tcPr>
            <w:tcW w:w="504"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4</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2019-2020</w:t>
            </w:r>
          </w:p>
        </w:tc>
        <w:tc>
          <w:tcPr>
            <w:tcW w:w="504"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5</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2020-2021</w:t>
            </w:r>
          </w:p>
        </w:tc>
        <w:tc>
          <w:tcPr>
            <w:tcW w:w="503"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6</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2021-2022</w:t>
            </w:r>
          </w:p>
        </w:tc>
        <w:tc>
          <w:tcPr>
            <w:tcW w:w="504"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7</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2022-2023</w:t>
            </w:r>
          </w:p>
        </w:tc>
        <w:tc>
          <w:tcPr>
            <w:tcW w:w="503"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8</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2023-2024</w:t>
            </w:r>
          </w:p>
        </w:tc>
        <w:tc>
          <w:tcPr>
            <w:tcW w:w="504"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9</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2024-2025</w:t>
            </w:r>
          </w:p>
        </w:tc>
        <w:tc>
          <w:tcPr>
            <w:tcW w:w="504"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10</w:t>
            </w:r>
          </w:p>
          <w:p w:rsidR="006C2DBA" w:rsidRPr="00C1694A" w:rsidRDefault="006C2DBA" w:rsidP="00D23898">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2025-2026</w:t>
            </w:r>
          </w:p>
        </w:tc>
      </w:tr>
      <w:tr w:rsidR="006C2DBA" w:rsidRPr="00C1694A" w:rsidTr="00D23898">
        <w:trPr>
          <w:trHeight w:val="276"/>
        </w:trPr>
        <w:tc>
          <w:tcPr>
            <w:tcW w:w="465" w:type="pct"/>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Total Costs to Head Start</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$1,695,928</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$1,695,928</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$1,695,928</w:t>
            </w:r>
          </w:p>
        </w:tc>
        <w:tc>
          <w:tcPr>
            <w:tcW w:w="504"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$1,695,928</w:t>
            </w:r>
          </w:p>
        </w:tc>
        <w:tc>
          <w:tcPr>
            <w:tcW w:w="503"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$1,695,928</w:t>
            </w:r>
          </w:p>
        </w:tc>
        <w:tc>
          <w:tcPr>
            <w:tcW w:w="504"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$2,024,583</w:t>
            </w:r>
          </w:p>
        </w:tc>
        <w:tc>
          <w:tcPr>
            <w:tcW w:w="503"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$2,024,583</w:t>
            </w:r>
          </w:p>
        </w:tc>
        <w:tc>
          <w:tcPr>
            <w:tcW w:w="504"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$2,024,583</w:t>
            </w:r>
          </w:p>
        </w:tc>
        <w:tc>
          <w:tcPr>
            <w:tcW w:w="504"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$2,352,595</w:t>
            </w:r>
          </w:p>
        </w:tc>
      </w:tr>
      <w:tr w:rsidR="006C2DBA" w:rsidRPr="00C1694A" w:rsidTr="00D23898">
        <w:trPr>
          <w:trHeight w:val="276"/>
        </w:trPr>
        <w:tc>
          <w:tcPr>
            <w:tcW w:w="465" w:type="pct"/>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Total Costs to Other Parties</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$888,598</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$888,598</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$888,598</w:t>
            </w:r>
          </w:p>
        </w:tc>
        <w:tc>
          <w:tcPr>
            <w:tcW w:w="504"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$888,598</w:t>
            </w:r>
          </w:p>
        </w:tc>
        <w:tc>
          <w:tcPr>
            <w:tcW w:w="503"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$888,598</w:t>
            </w:r>
          </w:p>
        </w:tc>
        <w:tc>
          <w:tcPr>
            <w:tcW w:w="504"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$1,119,660</w:t>
            </w:r>
          </w:p>
        </w:tc>
        <w:tc>
          <w:tcPr>
            <w:tcW w:w="503"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$1,119,660</w:t>
            </w:r>
          </w:p>
        </w:tc>
        <w:tc>
          <w:tcPr>
            <w:tcW w:w="504"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$1,119,660</w:t>
            </w:r>
          </w:p>
        </w:tc>
        <w:tc>
          <w:tcPr>
            <w:tcW w:w="504"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$1,350,409</w:t>
            </w:r>
          </w:p>
        </w:tc>
      </w:tr>
    </w:tbl>
    <w:p w:rsidR="006C2DBA" w:rsidRPr="00C1694A" w:rsidRDefault="006C2DBA" w:rsidP="00331A7B">
      <w:pPr>
        <w:spacing w:after="0" w:line="480" w:lineRule="auto"/>
        <w:rPr>
          <w:rFonts w:ascii="Times New Roman" w:hAnsi="Times New Roman" w:cs="Times New Roman"/>
          <w:sz w:val="18"/>
          <w:szCs w:val="18"/>
        </w:rPr>
      </w:pPr>
    </w:p>
    <w:p w:rsidR="006C2DBA" w:rsidRPr="00C1694A" w:rsidRDefault="006C2DBA" w:rsidP="00D722F2">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Participation in State Longitudinal Data Systems</w:t>
      </w:r>
    </w:p>
    <w:p w:rsidR="006C2DBA" w:rsidRPr="00C1694A" w:rsidRDefault="006C2DBA" w:rsidP="00D722F2">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rule includes a new requirement in §1302.53 that programs should participate in State longitudinal data systems if they can participate and benefit in a similar fashion to other early childhood programs.  As a result of the conditions for participation to be required, we estimate costs associated with both management staff time spent determining whether they should participate in State longitudinal data systems and qualified staff (such as a data analyst or the Education Manager) time spent preparing program data to be shared with the State.  We also estimate a cost to States associated with integrating Head Start data into the state system.   While we acknowledge that the cost of maintaining State longitudinal data systems can be costly to States, there is no evidence to suggest that States have passed these costs on to programs that contribute their data to the system.  In this estimate, we have not estimated costs to Head Start programs associated with any fee for participation.  If States began to pass these maintenance costs on to participating programs the costs presented below would represent an underestimate of the actual costs to Head Start programs and an equal-magnitude overestimate of the costs to other parties.  </w:t>
      </w:r>
    </w:p>
    <w:p w:rsidR="006C2DBA" w:rsidRPr="00C1694A" w:rsidRDefault="006C2DBA" w:rsidP="00D722F2">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In order to calculate the costs associated with each program determining whether the to participate in State longitudinal data systems, we assumed four hours of assessment time for the entire management team, using a cumulative hourly wage of $124.13 for management staff for all 2,039 programs.  This resulted in a cost of $1,012,404.  We then applied the proportion of management salaries paid for with Head Start funds (67.9 percent) to estimate the total cost borne by Head Start and the costs borne by other parties for this provision.  We estimate the total cost to Head Start to be $683,636 and the cost to other parties to be $328,768.   </w:t>
      </w:r>
    </w:p>
    <w:p w:rsidR="006C2DBA" w:rsidRPr="00C1694A" w:rsidRDefault="006C2DBA" w:rsidP="00D722F2">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Then to estimate the cost of program participation in State longitudinal data systems, we first assumed that staff with qualifications and a salaries equivalent to the Education Manager, who may or may not be the Education Manager (whose hourly wage is a total of $24.16, $17.27 of which is borne by Head Start and $6.89 of which is borne by other parties) in programs participating in State longitudinal data systems would spend 40 hours (or one full week) preparing program data to be shared with the State.  This calculation results in an estimated cost borne by Head Start of $690.97 per program and an estimated cost borne by other parties of $275.42 per program.  Then, to estimate the cost per year, we had to make assumptions about what percent of programs would participate.  Given the costly nature of maintaining State longitudinal data systems for States, and the scarcity of grant funds to support these activities, we have assumed only a small proportion of programs will be in States who have longitudinal data systems that meet the conditions described in §1302.53 the first year this requirement is in place. Further, we assume only modest growth in the proportion of programs in such States over time.  Therefore, we assumed that 10% of programs would participate in the first year this requirement is in place (2017/2018), 20% would participate five years after the requirement is in place (2022/2023) and that by 2025/2026 30% of programs would participate.  To estimate the cost in each year, we multiplied the number of programs participating (204 in 2017/2018, 408 in 2022/2023, and 612 in 2025/2026).  This results in costs borne by Head Start of $140,957 in 2017/2018, $281,914 in 2022/2023, and $422,871 in 2025/2026; and costs borne by other parties of $56,186 in 2017/2018, $112,371 in 2022/2023, and $168,557 in 2025/2026.</w:t>
      </w:r>
    </w:p>
    <w:p w:rsidR="006C2DBA" w:rsidRPr="00C1694A" w:rsidRDefault="006C2DBA" w:rsidP="00D722F2">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Then, we further assume additional costs borne by other parties, in costs to the State associated with integrating Head Start data into the state system.  In order to estimate these costs, we assumed 4 hours of administrative staff time using the average hourly wage for administrative assistants from the Bureau of Labor Statistics 2015 data ($17.55) for a cost of $70.20 per program participating in State longitudinal data systems.  We then applied this cost per program to the number of programs participating in each year as described above to find the cost borne by States to be $14.314 in 2017/2018, $28,628 in 2022/2023, and $42,941 in 2025/2026.</w:t>
      </w:r>
    </w:p>
    <w:p w:rsidR="006C2DBA" w:rsidRPr="00C1694A" w:rsidRDefault="006C2DBA" w:rsidP="00D722F2">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In sum, the total costs associated with meeting this requirement which are borne by Head Start programs are $824,593 in 2017/2018, $965,550 in 2022/2023, and $1,106,507 in 2025/2026. Finally, the total costs associated with meeting this requirement which are borne by other parties are $399,268 in 2017/2018, $469,767 in 2022/2023, and $540,267 in 2025/2026.</w:t>
      </w:r>
    </w:p>
    <w:p w:rsidR="006C2DBA" w:rsidRPr="00C1694A" w:rsidRDefault="006C2DBA">
      <w:pPr>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66"/>
        <w:gridCol w:w="82"/>
        <w:gridCol w:w="542"/>
        <w:gridCol w:w="628"/>
        <w:gridCol w:w="722"/>
        <w:gridCol w:w="272"/>
        <w:gridCol w:w="898"/>
        <w:gridCol w:w="88"/>
        <w:gridCol w:w="904"/>
        <w:gridCol w:w="714"/>
        <w:gridCol w:w="274"/>
        <w:gridCol w:w="992"/>
        <w:gridCol w:w="534"/>
        <w:gridCol w:w="456"/>
        <w:gridCol w:w="1004"/>
      </w:tblGrid>
      <w:tr w:rsidR="006C2DBA" w:rsidRPr="00C1694A" w:rsidTr="00D722F2">
        <w:trPr>
          <w:trHeight w:val="223"/>
        </w:trPr>
        <w:tc>
          <w:tcPr>
            <w:tcW w:w="5000" w:type="pct"/>
            <w:gridSpan w:val="15"/>
          </w:tcPr>
          <w:p w:rsidR="006C2DBA" w:rsidRPr="00C1694A" w:rsidRDefault="006C2DBA" w:rsidP="00D722F2">
            <w:pPr>
              <w:spacing w:after="0" w:line="240" w:lineRule="auto"/>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Participation in State longitudinal data systems: Costs Borne by Head Start and by Other Parties</w:t>
            </w:r>
          </w:p>
        </w:tc>
      </w:tr>
      <w:tr w:rsidR="006C2DBA" w:rsidRPr="00C1694A" w:rsidTr="00D722F2">
        <w:trPr>
          <w:trHeight w:val="511"/>
        </w:trPr>
        <w:tc>
          <w:tcPr>
            <w:tcW w:w="1091" w:type="pct"/>
            <w:gridSpan w:val="3"/>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p>
        </w:tc>
        <w:tc>
          <w:tcPr>
            <w:tcW w:w="705"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 xml:space="preserve"> Cost of Staff Time Per Program </w:t>
            </w:r>
          </w:p>
        </w:tc>
        <w:tc>
          <w:tcPr>
            <w:tcW w:w="657" w:type="pct"/>
            <w:gridSpan w:val="3"/>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 xml:space="preserve">Number of Programs </w:t>
            </w:r>
          </w:p>
        </w:tc>
        <w:tc>
          <w:tcPr>
            <w:tcW w:w="845"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Total Estimated Cost</w:t>
            </w:r>
          </w:p>
        </w:tc>
        <w:tc>
          <w:tcPr>
            <w:tcW w:w="940" w:type="pct"/>
            <w:gridSpan w:val="3"/>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Costs Borne by Head Start (67.9%)</w:t>
            </w:r>
          </w:p>
        </w:tc>
        <w:tc>
          <w:tcPr>
            <w:tcW w:w="762"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Costs Borne by Other Parties</w:t>
            </w:r>
          </w:p>
        </w:tc>
      </w:tr>
      <w:tr w:rsidR="006C2DBA" w:rsidRPr="00C1694A" w:rsidTr="00D722F2">
        <w:trPr>
          <w:trHeight w:val="276"/>
        </w:trPr>
        <w:tc>
          <w:tcPr>
            <w:tcW w:w="1091" w:type="pct"/>
            <w:gridSpan w:val="3"/>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Determining Participation</w:t>
            </w:r>
          </w:p>
        </w:tc>
        <w:tc>
          <w:tcPr>
            <w:tcW w:w="705" w:type="pct"/>
            <w:gridSpan w:val="2"/>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$496.52 </w:t>
            </w:r>
          </w:p>
        </w:tc>
        <w:tc>
          <w:tcPr>
            <w:tcW w:w="657" w:type="pct"/>
            <w:gridSpan w:val="3"/>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2,039 </w:t>
            </w:r>
          </w:p>
        </w:tc>
        <w:tc>
          <w:tcPr>
            <w:tcW w:w="845" w:type="pct"/>
            <w:gridSpan w:val="2"/>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$1,012,404 </w:t>
            </w:r>
          </w:p>
        </w:tc>
        <w:tc>
          <w:tcPr>
            <w:tcW w:w="940" w:type="pct"/>
            <w:gridSpan w:val="3"/>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$683,636 </w:t>
            </w:r>
          </w:p>
        </w:tc>
        <w:tc>
          <w:tcPr>
            <w:tcW w:w="762" w:type="pct"/>
            <w:gridSpan w:val="2"/>
            <w:shd w:val="clear" w:color="auto" w:fill="auto"/>
            <w:noWrap/>
            <w:vAlign w:val="bottom"/>
            <w:hideMark/>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 $328,768 </w:t>
            </w:r>
          </w:p>
        </w:tc>
      </w:tr>
      <w:tr w:rsidR="006C2DBA" w:rsidRPr="00C1694A" w:rsidTr="00D722F2">
        <w:trPr>
          <w:trHeight w:val="223"/>
        </w:trPr>
        <w:tc>
          <w:tcPr>
            <w:tcW w:w="5000" w:type="pct"/>
            <w:gridSpan w:val="15"/>
          </w:tcPr>
          <w:p w:rsidR="006C2DBA" w:rsidRPr="00C1694A" w:rsidRDefault="006C2DBA" w:rsidP="00D722F2">
            <w:pPr>
              <w:spacing w:after="0" w:line="240" w:lineRule="auto"/>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Participation in State longitudinal data systems: Costs Borne by Head Start and by Other Parties</w:t>
            </w:r>
          </w:p>
        </w:tc>
      </w:tr>
      <w:tr w:rsidR="006C2DBA" w:rsidRPr="00C1694A" w:rsidTr="00D722F2">
        <w:trPr>
          <w:trHeight w:val="673"/>
        </w:trPr>
        <w:tc>
          <w:tcPr>
            <w:tcW w:w="765" w:type="pct"/>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p>
        </w:tc>
        <w:tc>
          <w:tcPr>
            <w:tcW w:w="654" w:type="pct"/>
            <w:gridSpan w:val="3"/>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 xml:space="preserve"> Cost of Staff Time Per Program </w:t>
            </w:r>
          </w:p>
        </w:tc>
        <w:tc>
          <w:tcPr>
            <w:tcW w:w="519" w:type="pct"/>
            <w:gridSpan w:val="2"/>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 xml:space="preserve">Number of Programs </w:t>
            </w:r>
          </w:p>
        </w:tc>
        <w:tc>
          <w:tcPr>
            <w:tcW w:w="987" w:type="pct"/>
            <w:gridSpan w:val="3"/>
            <w:shd w:val="clear" w:color="auto" w:fill="auto"/>
            <w:vAlign w:val="bottom"/>
            <w:hideMark/>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Estimated Cost for 10% of Programs</w:t>
            </w:r>
          </w:p>
        </w:tc>
        <w:tc>
          <w:tcPr>
            <w:tcW w:w="1034" w:type="pct"/>
            <w:gridSpan w:val="3"/>
            <w:vAlign w:val="bottom"/>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Estimated Cost for 20% of Programs</w:t>
            </w:r>
          </w:p>
        </w:tc>
        <w:tc>
          <w:tcPr>
            <w:tcW w:w="1041" w:type="pct"/>
            <w:gridSpan w:val="3"/>
            <w:vAlign w:val="bottom"/>
          </w:tcPr>
          <w:p w:rsidR="006C2DBA" w:rsidRPr="00C1694A" w:rsidRDefault="006C2DBA" w:rsidP="00D722F2">
            <w:pPr>
              <w:spacing w:after="0" w:line="240" w:lineRule="auto"/>
              <w:jc w:val="center"/>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Estimated Cost for 30% of Programs</w:t>
            </w:r>
          </w:p>
        </w:tc>
      </w:tr>
      <w:tr w:rsidR="006C2DBA" w:rsidRPr="00C1694A" w:rsidTr="00D722F2">
        <w:trPr>
          <w:trHeight w:val="276"/>
        </w:trPr>
        <w:tc>
          <w:tcPr>
            <w:tcW w:w="1938" w:type="pct"/>
            <w:gridSpan w:val="6"/>
          </w:tcPr>
          <w:p w:rsidR="006C2DBA" w:rsidRPr="00C1694A" w:rsidRDefault="006C2DBA" w:rsidP="00D722F2">
            <w:pPr>
              <w:spacing w:after="0" w:line="240" w:lineRule="auto"/>
              <w:jc w:val="right"/>
              <w:rPr>
                <w:rFonts w:ascii="Times New Roman" w:eastAsia="Times New Roman" w:hAnsi="Times New Roman" w:cs="Times New Roman"/>
                <w:sz w:val="18"/>
                <w:szCs w:val="18"/>
              </w:rPr>
            </w:pPr>
          </w:p>
        </w:tc>
        <w:tc>
          <w:tcPr>
            <w:tcW w:w="469"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Head Start</w:t>
            </w:r>
          </w:p>
        </w:tc>
        <w:tc>
          <w:tcPr>
            <w:tcW w:w="518" w:type="pct"/>
            <w:gridSpan w:val="2"/>
            <w:shd w:val="clear" w:color="auto" w:fill="auto"/>
            <w:vAlign w:val="bottom"/>
          </w:tcPr>
          <w:p w:rsidR="006C2DBA" w:rsidRPr="00C1694A" w:rsidRDefault="006C2DBA" w:rsidP="00D722F2">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Other Parties</w:t>
            </w:r>
          </w:p>
        </w:tc>
        <w:tc>
          <w:tcPr>
            <w:tcW w:w="516" w:type="pct"/>
            <w:gridSpan w:val="2"/>
            <w:vAlign w:val="bottom"/>
          </w:tcPr>
          <w:p w:rsidR="006C2DBA" w:rsidRPr="00C1694A" w:rsidRDefault="006C2DBA" w:rsidP="00D722F2">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Head Start</w:t>
            </w:r>
          </w:p>
        </w:tc>
        <w:tc>
          <w:tcPr>
            <w:tcW w:w="518" w:type="pct"/>
            <w:vAlign w:val="bottom"/>
          </w:tcPr>
          <w:p w:rsidR="006C2DBA" w:rsidRPr="00C1694A" w:rsidRDefault="006C2DBA" w:rsidP="00D722F2">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Other Parties</w:t>
            </w:r>
          </w:p>
        </w:tc>
        <w:tc>
          <w:tcPr>
            <w:tcW w:w="517" w:type="pct"/>
            <w:gridSpan w:val="2"/>
            <w:vAlign w:val="bottom"/>
          </w:tcPr>
          <w:p w:rsidR="006C2DBA" w:rsidRPr="00C1694A" w:rsidRDefault="006C2DBA" w:rsidP="00D722F2">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Head Start</w:t>
            </w:r>
          </w:p>
        </w:tc>
        <w:tc>
          <w:tcPr>
            <w:tcW w:w="524" w:type="pct"/>
            <w:vAlign w:val="bottom"/>
          </w:tcPr>
          <w:p w:rsidR="006C2DBA" w:rsidRPr="00C1694A" w:rsidRDefault="006C2DBA" w:rsidP="00D722F2">
            <w:pPr>
              <w:spacing w:after="0" w:line="240" w:lineRule="auto"/>
              <w:jc w:val="center"/>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 Other Parties</w:t>
            </w:r>
          </w:p>
        </w:tc>
      </w:tr>
      <w:tr w:rsidR="006C2DBA" w:rsidRPr="00C1694A" w:rsidTr="00D722F2">
        <w:trPr>
          <w:trHeight w:val="276"/>
        </w:trPr>
        <w:tc>
          <w:tcPr>
            <w:tcW w:w="808" w:type="pct"/>
            <w:gridSpan w:val="2"/>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HS Management Staff for Participating Programs</w:t>
            </w:r>
          </w:p>
        </w:tc>
        <w:tc>
          <w:tcPr>
            <w:tcW w:w="611" w:type="pct"/>
            <w:gridSpan w:val="2"/>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$690.97</w:t>
            </w:r>
          </w:p>
        </w:tc>
        <w:tc>
          <w:tcPr>
            <w:tcW w:w="519" w:type="pct"/>
            <w:gridSpan w:val="2"/>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2,039 </w:t>
            </w:r>
          </w:p>
        </w:tc>
        <w:tc>
          <w:tcPr>
            <w:tcW w:w="469"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$140.957</w:t>
            </w:r>
          </w:p>
        </w:tc>
        <w:tc>
          <w:tcPr>
            <w:tcW w:w="518" w:type="pct"/>
            <w:gridSpan w:val="2"/>
            <w:shd w:val="clear" w:color="auto" w:fill="auto"/>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$56,186</w:t>
            </w:r>
          </w:p>
        </w:tc>
        <w:tc>
          <w:tcPr>
            <w:tcW w:w="516" w:type="pct"/>
            <w:gridSpan w:val="2"/>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$281,914</w:t>
            </w:r>
          </w:p>
        </w:tc>
        <w:tc>
          <w:tcPr>
            <w:tcW w:w="518" w:type="pct"/>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$112,371</w:t>
            </w:r>
          </w:p>
        </w:tc>
        <w:tc>
          <w:tcPr>
            <w:tcW w:w="517" w:type="pct"/>
            <w:gridSpan w:val="2"/>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$422,871</w:t>
            </w:r>
          </w:p>
        </w:tc>
        <w:tc>
          <w:tcPr>
            <w:tcW w:w="524" w:type="pct"/>
            <w:vAlign w:val="bottom"/>
          </w:tcPr>
          <w:p w:rsidR="006C2DBA" w:rsidRPr="00C1694A" w:rsidRDefault="006C2DBA">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$168,557</w:t>
            </w:r>
          </w:p>
        </w:tc>
      </w:tr>
      <w:tr w:rsidR="006C2DBA" w:rsidRPr="00C1694A" w:rsidTr="00D722F2">
        <w:trPr>
          <w:trHeight w:val="276"/>
        </w:trPr>
        <w:tc>
          <w:tcPr>
            <w:tcW w:w="808" w:type="pct"/>
            <w:gridSpan w:val="2"/>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State Administrative Staff</w:t>
            </w:r>
          </w:p>
        </w:tc>
        <w:tc>
          <w:tcPr>
            <w:tcW w:w="611" w:type="pct"/>
            <w:gridSpan w:val="2"/>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$70.20</w:t>
            </w:r>
          </w:p>
        </w:tc>
        <w:tc>
          <w:tcPr>
            <w:tcW w:w="519" w:type="pct"/>
            <w:gridSpan w:val="2"/>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 xml:space="preserve">2,039 </w:t>
            </w:r>
          </w:p>
        </w:tc>
        <w:tc>
          <w:tcPr>
            <w:tcW w:w="469"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n/a</w:t>
            </w:r>
          </w:p>
        </w:tc>
        <w:tc>
          <w:tcPr>
            <w:tcW w:w="518" w:type="pct"/>
            <w:gridSpan w:val="2"/>
            <w:shd w:val="clear" w:color="auto" w:fill="auto"/>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$14,314</w:t>
            </w:r>
          </w:p>
        </w:tc>
        <w:tc>
          <w:tcPr>
            <w:tcW w:w="516" w:type="pct"/>
            <w:gridSpan w:val="2"/>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n/a</w:t>
            </w:r>
          </w:p>
        </w:tc>
        <w:tc>
          <w:tcPr>
            <w:tcW w:w="518" w:type="pct"/>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$28,628</w:t>
            </w:r>
          </w:p>
        </w:tc>
        <w:tc>
          <w:tcPr>
            <w:tcW w:w="517" w:type="pct"/>
            <w:gridSpan w:val="2"/>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n/a</w:t>
            </w:r>
          </w:p>
        </w:tc>
        <w:tc>
          <w:tcPr>
            <w:tcW w:w="524" w:type="pct"/>
            <w:vAlign w:val="bottom"/>
          </w:tcPr>
          <w:p w:rsidR="006C2DBA" w:rsidRPr="00C1694A" w:rsidRDefault="006C2DBA" w:rsidP="00D722F2">
            <w:pPr>
              <w:spacing w:after="0" w:line="240" w:lineRule="auto"/>
              <w:jc w:val="right"/>
              <w:rPr>
                <w:rFonts w:ascii="Times New Roman" w:eastAsia="Times New Roman" w:hAnsi="Times New Roman" w:cs="Times New Roman"/>
                <w:sz w:val="18"/>
                <w:szCs w:val="18"/>
              </w:rPr>
            </w:pPr>
            <w:r w:rsidRPr="00C1694A">
              <w:rPr>
                <w:rFonts w:ascii="Times New Roman" w:eastAsia="Times New Roman" w:hAnsi="Times New Roman" w:cs="Times New Roman"/>
                <w:sz w:val="18"/>
                <w:szCs w:val="18"/>
              </w:rPr>
              <w:t>$42,941</w:t>
            </w:r>
          </w:p>
        </w:tc>
      </w:tr>
    </w:tbl>
    <w:p w:rsidR="006C2DBA" w:rsidRPr="00C1694A" w:rsidRDefault="006C2DBA" w:rsidP="00D722F2">
      <w:pPr>
        <w:spacing w:after="0" w:line="480" w:lineRule="auto"/>
        <w:rPr>
          <w:rFonts w:ascii="Times New Roman" w:hAnsi="Times New Roman" w:cs="Times New Roman"/>
          <w:sz w:val="18"/>
          <w:szCs w:val="18"/>
        </w:rPr>
      </w:pPr>
    </w:p>
    <w:tbl>
      <w:tblPr>
        <w:tblW w:w="51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7"/>
        <w:gridCol w:w="990"/>
        <w:gridCol w:w="991"/>
        <w:gridCol w:w="991"/>
        <w:gridCol w:w="991"/>
        <w:gridCol w:w="989"/>
        <w:gridCol w:w="991"/>
        <w:gridCol w:w="989"/>
        <w:gridCol w:w="991"/>
        <w:gridCol w:w="999"/>
      </w:tblGrid>
      <w:tr w:rsidR="006C2DBA" w:rsidRPr="00C1694A" w:rsidTr="00D722F2">
        <w:trPr>
          <w:trHeight w:val="223"/>
        </w:trPr>
        <w:tc>
          <w:tcPr>
            <w:tcW w:w="5000" w:type="pct"/>
            <w:gridSpan w:val="10"/>
          </w:tcPr>
          <w:p w:rsidR="006C2DBA" w:rsidRPr="00C1694A" w:rsidRDefault="006C2DBA" w:rsidP="00D722F2">
            <w:pPr>
              <w:spacing w:after="0" w:line="240" w:lineRule="auto"/>
              <w:rPr>
                <w:rFonts w:ascii="Times New Roman" w:eastAsia="Times New Roman" w:hAnsi="Times New Roman" w:cs="Times New Roman"/>
                <w:b/>
                <w:bCs/>
                <w:sz w:val="18"/>
                <w:szCs w:val="18"/>
              </w:rPr>
            </w:pPr>
            <w:r w:rsidRPr="00C1694A">
              <w:rPr>
                <w:rFonts w:ascii="Times New Roman" w:eastAsia="Times New Roman" w:hAnsi="Times New Roman" w:cs="Times New Roman"/>
                <w:b/>
                <w:bCs/>
                <w:sz w:val="18"/>
                <w:szCs w:val="18"/>
              </w:rPr>
              <w:t>Participation in State longitudinal data systems: Costs Borne by Head Start and by Other Parties</w:t>
            </w:r>
          </w:p>
        </w:tc>
      </w:tr>
      <w:tr w:rsidR="006C2DBA" w:rsidRPr="00C1694A" w:rsidTr="00D722F2">
        <w:trPr>
          <w:trHeight w:val="276"/>
        </w:trPr>
        <w:tc>
          <w:tcPr>
            <w:tcW w:w="462" w:type="pct"/>
          </w:tcPr>
          <w:p w:rsidR="006C2DBA" w:rsidRPr="00C1694A" w:rsidRDefault="006C2DBA" w:rsidP="00D722F2">
            <w:pPr>
              <w:spacing w:after="0" w:line="240" w:lineRule="auto"/>
              <w:jc w:val="right"/>
              <w:rPr>
                <w:rFonts w:ascii="Times New Roman" w:eastAsia="Times New Roman" w:hAnsi="Times New Roman" w:cs="Times New Roman"/>
                <w:b/>
                <w:sz w:val="18"/>
                <w:szCs w:val="18"/>
              </w:rPr>
            </w:pPr>
          </w:p>
        </w:tc>
        <w:tc>
          <w:tcPr>
            <w:tcW w:w="504"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2</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2017-2018</w:t>
            </w:r>
          </w:p>
        </w:tc>
        <w:tc>
          <w:tcPr>
            <w:tcW w:w="504"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3</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2018-2019</w:t>
            </w:r>
          </w:p>
        </w:tc>
        <w:tc>
          <w:tcPr>
            <w:tcW w:w="504" w:type="pct"/>
            <w:shd w:val="clear" w:color="auto" w:fill="auto"/>
            <w:noWrap/>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4</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2019-2020</w:t>
            </w:r>
          </w:p>
        </w:tc>
        <w:tc>
          <w:tcPr>
            <w:tcW w:w="504"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5</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2020-2021</w:t>
            </w:r>
          </w:p>
        </w:tc>
        <w:tc>
          <w:tcPr>
            <w:tcW w:w="503"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6</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2021-2022</w:t>
            </w:r>
          </w:p>
        </w:tc>
        <w:tc>
          <w:tcPr>
            <w:tcW w:w="504"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7</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2022-2023</w:t>
            </w:r>
          </w:p>
        </w:tc>
        <w:tc>
          <w:tcPr>
            <w:tcW w:w="503"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8</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2023-2024</w:t>
            </w:r>
          </w:p>
        </w:tc>
        <w:tc>
          <w:tcPr>
            <w:tcW w:w="504"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9</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2024-2025</w:t>
            </w:r>
          </w:p>
        </w:tc>
        <w:tc>
          <w:tcPr>
            <w:tcW w:w="507" w:type="pct"/>
            <w:vAlign w:val="bottom"/>
          </w:tcPr>
          <w:p w:rsidR="006C2DBA" w:rsidRPr="00C1694A" w:rsidRDefault="006C2DBA" w:rsidP="00D722F2">
            <w:pPr>
              <w:spacing w:after="0" w:line="240" w:lineRule="auto"/>
              <w:jc w:val="center"/>
              <w:rPr>
                <w:rFonts w:ascii="Times New Roman" w:eastAsia="Times New Roman" w:hAnsi="Times New Roman" w:cs="Times New Roman"/>
                <w:b/>
                <w:bCs/>
                <w:sz w:val="16"/>
                <w:szCs w:val="16"/>
              </w:rPr>
            </w:pPr>
            <w:r w:rsidRPr="00C1694A">
              <w:rPr>
                <w:rFonts w:ascii="Times New Roman" w:eastAsia="Times New Roman" w:hAnsi="Times New Roman" w:cs="Times New Roman"/>
                <w:b/>
                <w:bCs/>
                <w:sz w:val="16"/>
                <w:szCs w:val="16"/>
              </w:rPr>
              <w:t>Year 10</w:t>
            </w:r>
          </w:p>
          <w:p w:rsidR="006C2DBA" w:rsidRPr="00C1694A" w:rsidRDefault="006C2DBA" w:rsidP="00D722F2">
            <w:pPr>
              <w:spacing w:after="0" w:line="240" w:lineRule="auto"/>
              <w:jc w:val="center"/>
              <w:rPr>
                <w:rFonts w:ascii="Times New Roman" w:eastAsia="Times New Roman" w:hAnsi="Times New Roman" w:cs="Times New Roman"/>
                <w:sz w:val="18"/>
                <w:szCs w:val="18"/>
              </w:rPr>
            </w:pPr>
            <w:r w:rsidRPr="00C1694A">
              <w:rPr>
                <w:rFonts w:ascii="Times New Roman" w:eastAsia="Times New Roman" w:hAnsi="Times New Roman" w:cs="Times New Roman"/>
                <w:b/>
                <w:bCs/>
                <w:sz w:val="16"/>
                <w:szCs w:val="16"/>
              </w:rPr>
              <w:t>2025-2026</w:t>
            </w:r>
          </w:p>
        </w:tc>
      </w:tr>
      <w:tr w:rsidR="006C2DBA" w:rsidRPr="00C1694A" w:rsidTr="00D23898">
        <w:trPr>
          <w:trHeight w:val="276"/>
        </w:trPr>
        <w:tc>
          <w:tcPr>
            <w:tcW w:w="462" w:type="pct"/>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Total Costs to Head Start</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$824,593</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$824,593</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$824,593</w:t>
            </w:r>
          </w:p>
        </w:tc>
        <w:tc>
          <w:tcPr>
            <w:tcW w:w="504"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$824,593</w:t>
            </w:r>
          </w:p>
        </w:tc>
        <w:tc>
          <w:tcPr>
            <w:tcW w:w="503"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$824,593</w:t>
            </w:r>
          </w:p>
        </w:tc>
        <w:tc>
          <w:tcPr>
            <w:tcW w:w="504"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$965,550</w:t>
            </w:r>
          </w:p>
        </w:tc>
        <w:tc>
          <w:tcPr>
            <w:tcW w:w="503"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$965,550</w:t>
            </w:r>
          </w:p>
        </w:tc>
        <w:tc>
          <w:tcPr>
            <w:tcW w:w="504"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$965,550</w:t>
            </w:r>
          </w:p>
        </w:tc>
        <w:tc>
          <w:tcPr>
            <w:tcW w:w="507"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$1,106,507</w:t>
            </w:r>
          </w:p>
        </w:tc>
      </w:tr>
      <w:tr w:rsidR="006C2DBA" w:rsidRPr="00C1694A" w:rsidTr="00D23898">
        <w:trPr>
          <w:trHeight w:val="276"/>
        </w:trPr>
        <w:tc>
          <w:tcPr>
            <w:tcW w:w="462" w:type="pct"/>
          </w:tcPr>
          <w:p w:rsidR="006C2DBA" w:rsidRPr="00C1694A" w:rsidRDefault="006C2DBA" w:rsidP="00D722F2">
            <w:pPr>
              <w:spacing w:after="0" w:line="240" w:lineRule="auto"/>
              <w:jc w:val="right"/>
              <w:rPr>
                <w:rFonts w:ascii="Times New Roman" w:eastAsia="Times New Roman" w:hAnsi="Times New Roman" w:cs="Times New Roman"/>
                <w:b/>
                <w:sz w:val="18"/>
                <w:szCs w:val="18"/>
              </w:rPr>
            </w:pPr>
            <w:r w:rsidRPr="00C1694A">
              <w:rPr>
                <w:rFonts w:ascii="Times New Roman" w:eastAsia="Times New Roman" w:hAnsi="Times New Roman" w:cs="Times New Roman"/>
                <w:b/>
                <w:sz w:val="18"/>
                <w:szCs w:val="18"/>
              </w:rPr>
              <w:t>Total Costs to Other Parties</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$399,268</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$399,268</w:t>
            </w:r>
          </w:p>
        </w:tc>
        <w:tc>
          <w:tcPr>
            <w:tcW w:w="504" w:type="pct"/>
            <w:shd w:val="clear" w:color="auto" w:fill="auto"/>
            <w:noWrap/>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$399,268</w:t>
            </w:r>
          </w:p>
        </w:tc>
        <w:tc>
          <w:tcPr>
            <w:tcW w:w="504"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$399,268</w:t>
            </w:r>
          </w:p>
        </w:tc>
        <w:tc>
          <w:tcPr>
            <w:tcW w:w="503" w:type="pct"/>
            <w:vAlign w:val="bottom"/>
          </w:tcPr>
          <w:p w:rsidR="006C2DBA" w:rsidRPr="00C1694A" w:rsidRDefault="006C2DBA" w:rsidP="00D722F2">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$399,268</w:t>
            </w:r>
          </w:p>
        </w:tc>
        <w:tc>
          <w:tcPr>
            <w:tcW w:w="504"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$469,767</w:t>
            </w:r>
          </w:p>
        </w:tc>
        <w:tc>
          <w:tcPr>
            <w:tcW w:w="503"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$469,767</w:t>
            </w:r>
          </w:p>
        </w:tc>
        <w:tc>
          <w:tcPr>
            <w:tcW w:w="504"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$469,767</w:t>
            </w:r>
          </w:p>
        </w:tc>
        <w:tc>
          <w:tcPr>
            <w:tcW w:w="507" w:type="pct"/>
            <w:vAlign w:val="bottom"/>
          </w:tcPr>
          <w:p w:rsidR="006C2DBA" w:rsidRPr="00C1694A" w:rsidRDefault="006C2DBA">
            <w:pPr>
              <w:spacing w:after="0" w:line="240" w:lineRule="auto"/>
              <w:jc w:val="right"/>
              <w:rPr>
                <w:rFonts w:ascii="Times New Roman" w:eastAsia="Times New Roman" w:hAnsi="Times New Roman" w:cs="Times New Roman"/>
                <w:sz w:val="16"/>
                <w:szCs w:val="16"/>
              </w:rPr>
            </w:pPr>
            <w:r w:rsidRPr="00C1694A">
              <w:rPr>
                <w:rFonts w:ascii="Times New Roman" w:eastAsia="Times New Roman" w:hAnsi="Times New Roman" w:cs="Times New Roman"/>
                <w:sz w:val="16"/>
                <w:szCs w:val="16"/>
              </w:rPr>
              <w:t>$540,267</w:t>
            </w:r>
          </w:p>
        </w:tc>
      </w:tr>
    </w:tbl>
    <w:p w:rsidR="006C2DBA" w:rsidRPr="00C1694A" w:rsidRDefault="006C2DBA" w:rsidP="00D722F2">
      <w:pPr>
        <w:spacing w:after="0" w:line="480" w:lineRule="auto"/>
        <w:rPr>
          <w:rFonts w:ascii="Times New Roman" w:hAnsi="Times New Roman" w:cs="Times New Roman"/>
          <w:sz w:val="18"/>
          <w:szCs w:val="18"/>
        </w:rPr>
      </w:pPr>
    </w:p>
    <w:p w:rsidR="006C2DBA" w:rsidRPr="00C1694A" w:rsidRDefault="006C2DBA" w:rsidP="00331A7B">
      <w:pPr>
        <w:rPr>
          <w:rFonts w:ascii="Times New Roman" w:hAnsi="Times New Roman" w:cs="Times New Roman"/>
          <w:sz w:val="24"/>
          <w:szCs w:val="24"/>
          <w:u w:val="single"/>
        </w:rPr>
      </w:pPr>
      <w:r w:rsidRPr="00C1694A">
        <w:rPr>
          <w:rFonts w:ascii="Times New Roman" w:hAnsi="Times New Roman" w:cs="Times New Roman"/>
          <w:sz w:val="24"/>
          <w:szCs w:val="24"/>
          <w:u w:val="single"/>
        </w:rPr>
        <w:t xml:space="preserve">Implementation of Changes in the Program Performance Standards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This rule includes numerous changes to Head Start’s Program Performance Standards.  As a result, we have included provisions in §1302.103 that require programs to develop a program-wide approach to prepare for and implement these changes, in order to ensure their effectiveness.  In order to estimate the cost associated with these provisions, we estimated the costs associated with Head Start staff time by calculating the average hourly wage of the entire management team (for the director, education manager, health services manager, family services manager, and disabilities coordinator combined), and assumed 40 hours of the entire management team’s time to develop the approach ($4,965).  Note, this is likely an overestimate because many programs do not have discrete managers for each service type.  Using this method we estimate the total cost of this provision at $10,123,635.   We then applied the average proportion of management salaries paid for with Head Start funds (67.9 percent) to estimate the total cost borne by Head Start ($6,873,948) and the total cost borne by other parties ($3,249,687) for planning.  </w:t>
      </w:r>
    </w:p>
    <w:p w:rsidR="006C2DB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Further, we expect there will be costs associated with printing and distribution of hardcopies of the standards to every grantee.  We estimate the cost of printing and distribution will be $75,000, based on the cost associated with printing and distributing the new </w:t>
      </w:r>
      <w:r w:rsidRPr="00C1694A">
        <w:rPr>
          <w:rFonts w:ascii="Times New Roman" w:hAnsi="Times New Roman" w:cs="Times New Roman"/>
          <w:sz w:val="24"/>
          <w:szCs w:val="24"/>
          <w:u w:val="single"/>
        </w:rPr>
        <w:t>Head Start Early Learning Outcomes Framework: Birth to Five</w:t>
      </w:r>
      <w:r w:rsidRPr="00C1694A">
        <w:rPr>
          <w:rFonts w:ascii="Times New Roman" w:hAnsi="Times New Roman" w:cs="Times New Roman"/>
          <w:sz w:val="24"/>
          <w:szCs w:val="24"/>
        </w:rPr>
        <w:t xml:space="preserve">, which was similar in length and was distributed to the same entities at a cost of $75,000. Including this cost, the total estimated cost of implementation planning is $10,198,635, the cost borne by Head Start is $6,948,948 and the cost borne by other parties is $3,249,687. We then divided the cost borne by Head Start and the cost borne by other parties in half, because we believe implementation planning will be spread across two years. Therefore, these costs will be realized in years one and two only.  </w:t>
      </w:r>
    </w:p>
    <w:p w:rsidR="006C2DBA" w:rsidRPr="00C1694A" w:rsidRDefault="006C2DBA" w:rsidP="00331A7B">
      <w:pPr>
        <w:spacing w:after="0" w:line="480" w:lineRule="auto"/>
        <w:rPr>
          <w:rFonts w:ascii="Times New Roman" w:hAnsi="Times New Roman" w:cs="Times New Roman"/>
          <w:sz w:val="24"/>
          <w:szCs w:val="24"/>
        </w:rPr>
      </w:pPr>
    </w:p>
    <w:tbl>
      <w:tblPr>
        <w:tblStyle w:val="TableGrid"/>
        <w:tblW w:w="9648" w:type="dxa"/>
        <w:tblLayout w:type="fixed"/>
        <w:tblLook w:val="04A0" w:firstRow="1" w:lastRow="0" w:firstColumn="1" w:lastColumn="0" w:noHBand="0" w:noVBand="1"/>
      </w:tblPr>
      <w:tblGrid>
        <w:gridCol w:w="1350"/>
        <w:gridCol w:w="1368"/>
        <w:gridCol w:w="1080"/>
        <w:gridCol w:w="1080"/>
        <w:gridCol w:w="1260"/>
        <w:gridCol w:w="1170"/>
        <w:gridCol w:w="1170"/>
        <w:gridCol w:w="1170"/>
      </w:tblGrid>
      <w:tr w:rsidR="006C2DBA" w:rsidRPr="00C1694A" w:rsidTr="00D23898">
        <w:tc>
          <w:tcPr>
            <w:tcW w:w="9648" w:type="dxa"/>
            <w:gridSpan w:val="8"/>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Implementation Planning: Costs Borne by Head Start and by Other Parties</w:t>
            </w:r>
          </w:p>
        </w:tc>
      </w:tr>
      <w:tr w:rsidR="006C2DBA" w:rsidRPr="00C1694A" w:rsidTr="00D23898">
        <w:tc>
          <w:tcPr>
            <w:tcW w:w="1350" w:type="dxa"/>
          </w:tcPr>
          <w:p w:rsidR="006C2DBA" w:rsidRPr="00C1694A" w:rsidRDefault="006C2DBA" w:rsidP="00DC5146">
            <w:pPr>
              <w:jc w:val="center"/>
              <w:rPr>
                <w:rFonts w:ascii="Times New Roman" w:hAnsi="Times New Roman" w:cs="Times New Roman"/>
                <w:b/>
                <w:sz w:val="20"/>
                <w:szCs w:val="20"/>
              </w:rPr>
            </w:pPr>
          </w:p>
        </w:tc>
        <w:tc>
          <w:tcPr>
            <w:tcW w:w="1368"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Hourly Rate of Management Team</w:t>
            </w:r>
          </w:p>
        </w:tc>
        <w:tc>
          <w:tcPr>
            <w:tcW w:w="108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 xml:space="preserve">Cost 40 of Hours </w:t>
            </w:r>
          </w:p>
        </w:tc>
        <w:tc>
          <w:tcPr>
            <w:tcW w:w="108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Number of Programs</w:t>
            </w:r>
          </w:p>
        </w:tc>
        <w:tc>
          <w:tcPr>
            <w:tcW w:w="126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Estimated Cost</w:t>
            </w:r>
          </w:p>
        </w:tc>
        <w:tc>
          <w:tcPr>
            <w:tcW w:w="117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Estimated Cost per Year</w:t>
            </w:r>
          </w:p>
        </w:tc>
        <w:tc>
          <w:tcPr>
            <w:tcW w:w="117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Annual Costs Borne by Head Start</w:t>
            </w:r>
          </w:p>
        </w:tc>
        <w:tc>
          <w:tcPr>
            <w:tcW w:w="117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Annual Costs Borne by Other Parties</w:t>
            </w:r>
          </w:p>
        </w:tc>
      </w:tr>
      <w:tr w:rsidR="006C2DBA" w:rsidRPr="00C1694A" w:rsidTr="00D23898">
        <w:tc>
          <w:tcPr>
            <w:tcW w:w="1350" w:type="dxa"/>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Management Time</w:t>
            </w:r>
          </w:p>
        </w:tc>
        <w:tc>
          <w:tcPr>
            <w:tcW w:w="1368"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$124.13</w:t>
            </w:r>
          </w:p>
        </w:tc>
        <w:tc>
          <w:tcPr>
            <w:tcW w:w="108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$4,965</w:t>
            </w:r>
          </w:p>
        </w:tc>
        <w:tc>
          <w:tcPr>
            <w:tcW w:w="108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2,039</w:t>
            </w:r>
          </w:p>
        </w:tc>
        <w:tc>
          <w:tcPr>
            <w:tcW w:w="126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$10,123,635</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$5,061,818</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$3,436,974</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$1,624,843</w:t>
            </w:r>
          </w:p>
        </w:tc>
      </w:tr>
      <w:tr w:rsidR="006C2DBA" w:rsidRPr="00C1694A" w:rsidTr="00D23898">
        <w:tc>
          <w:tcPr>
            <w:tcW w:w="1350" w:type="dxa"/>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Printing and Distribution</w:t>
            </w:r>
          </w:p>
        </w:tc>
        <w:tc>
          <w:tcPr>
            <w:tcW w:w="1368"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w:t>
            </w:r>
          </w:p>
        </w:tc>
        <w:tc>
          <w:tcPr>
            <w:tcW w:w="108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w:t>
            </w:r>
          </w:p>
        </w:tc>
        <w:tc>
          <w:tcPr>
            <w:tcW w:w="108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w:t>
            </w:r>
          </w:p>
        </w:tc>
        <w:tc>
          <w:tcPr>
            <w:tcW w:w="126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$75,000</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$32,500</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$32,500</w:t>
            </w:r>
          </w:p>
        </w:tc>
        <w:tc>
          <w:tcPr>
            <w:tcW w:w="117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$0</w:t>
            </w:r>
          </w:p>
        </w:tc>
      </w:tr>
      <w:tr w:rsidR="006C2DBA" w:rsidRPr="00C1694A" w:rsidTr="00D23898">
        <w:tc>
          <w:tcPr>
            <w:tcW w:w="4878" w:type="dxa"/>
            <w:gridSpan w:val="4"/>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Total</w:t>
            </w:r>
          </w:p>
        </w:tc>
        <w:tc>
          <w:tcPr>
            <w:tcW w:w="1260"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$10,198,635</w:t>
            </w:r>
          </w:p>
        </w:tc>
        <w:tc>
          <w:tcPr>
            <w:tcW w:w="1170"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$5,099,318</w:t>
            </w:r>
          </w:p>
        </w:tc>
        <w:tc>
          <w:tcPr>
            <w:tcW w:w="1170"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$3,474,474</w:t>
            </w:r>
          </w:p>
        </w:tc>
        <w:tc>
          <w:tcPr>
            <w:tcW w:w="1170" w:type="dxa"/>
            <w:vAlign w:val="bottom"/>
          </w:tcPr>
          <w:p w:rsidR="006C2DBA" w:rsidRPr="00C1694A" w:rsidRDefault="006C2DBA" w:rsidP="00DC5146">
            <w:pPr>
              <w:jc w:val="right"/>
              <w:rPr>
                <w:rFonts w:ascii="Times New Roman" w:hAnsi="Times New Roman" w:cs="Times New Roman"/>
                <w:b/>
                <w:sz w:val="20"/>
                <w:szCs w:val="20"/>
              </w:rPr>
            </w:pPr>
            <w:r w:rsidRPr="00C1694A">
              <w:rPr>
                <w:rFonts w:ascii="Times New Roman" w:hAnsi="Times New Roman" w:cs="Times New Roman"/>
                <w:b/>
                <w:sz w:val="20"/>
                <w:szCs w:val="20"/>
              </w:rPr>
              <w:t>$1,624,843</w:t>
            </w:r>
          </w:p>
        </w:tc>
      </w:tr>
    </w:tbl>
    <w:p w:rsidR="006C2DBA" w:rsidRPr="00C1694A" w:rsidRDefault="006C2DBA" w:rsidP="00331A7B">
      <w:pPr>
        <w:spacing w:after="0" w:line="480" w:lineRule="auto"/>
        <w:rPr>
          <w:rFonts w:ascii="Times New Roman" w:hAnsi="Times New Roman" w:cs="Times New Roman"/>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3. Benefits Analysis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Overall, the policies included in this final rule are designed to strengthen Head Start quality, improve child outcomes, and increase the return on taxpayer dollars.  As discussed in more detail in the preamble for this final rule, these policies will improve teaching practices, through implementation of content-rich curriculum, effective use of assessment data, and strong professional development.  These improvements are central to our effort to ensure every child in Head Start receives high quality early learning experiences that will build the skills they need to succeed in school and beyond.  In order to maximize the effectiveness of Head Start and yield a high rate of return on investment, we believe it is essential to pair these improvements to the early learning experiences provided by Head Start with increases in program duration.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this section, as part of our full regulatory analysis, we describe our expectation that this rule will result in a greater return on the federal investment in Head Start and outline our rationale.  To do so, we first consider long-standing economic analysis of the return on investment through benefits to society of high quality early education and summarize the research linking the most costly provisions—extending program duration—to the expectation for increased return on investment. Then, we describe the expected effect of the final rule on society by exploring the benefits of the quality and duration improvements on children enrolled in Head Start and their parents and the potential opportunity costs for children who might not have access to Head Start in the future, as well as other unquantified benefits.  Further, we discuss the implications of both Congressional and Secretarial actions on the costs and benefits of this rule to society as a whole.  Finally, we provide estimates of additional federal funding needed for overtime, adjusted for cost of living increases, to support the full implementation of this rule and we estimate the potential slot loss and education staff job loss that may arise from this rule if the service duration policies described in part 1302</w:t>
      </w:r>
      <w:r w:rsidR="006B3FF7">
        <w:rPr>
          <w:rFonts w:ascii="Times New Roman" w:hAnsi="Times New Roman" w:cs="Times New Roman"/>
          <w:sz w:val="24"/>
          <w:szCs w:val="24"/>
        </w:rPr>
        <w:t>,</w:t>
      </w:r>
      <w:r w:rsidRPr="00C1694A">
        <w:rPr>
          <w:rFonts w:ascii="Times New Roman" w:hAnsi="Times New Roman" w:cs="Times New Roman"/>
          <w:sz w:val="24"/>
          <w:szCs w:val="24"/>
        </w:rPr>
        <w:t xml:space="preserve"> subpart B</w:t>
      </w:r>
      <w:r w:rsidR="006B3FF7">
        <w:rPr>
          <w:rFonts w:ascii="Times New Roman" w:hAnsi="Times New Roman" w:cs="Times New Roman"/>
          <w:sz w:val="24"/>
          <w:szCs w:val="24"/>
        </w:rPr>
        <w:t>,</w:t>
      </w:r>
      <w:r w:rsidRPr="00C1694A">
        <w:rPr>
          <w:rFonts w:ascii="Times New Roman" w:hAnsi="Times New Roman" w:cs="Times New Roman"/>
          <w:sz w:val="24"/>
          <w:szCs w:val="24"/>
        </w:rPr>
        <w:t xml:space="preserve"> are fully implemented without adequate additional funds.</w:t>
      </w:r>
    </w:p>
    <w:p w:rsidR="006C2DBA" w:rsidRPr="00C1694A" w:rsidRDefault="006C2DBA" w:rsidP="00331A7B">
      <w:pPr>
        <w:spacing w:after="0" w:line="480" w:lineRule="auto"/>
        <w:rPr>
          <w:rFonts w:ascii="Times New Roman" w:hAnsi="Times New Roman" w:cs="Times New Roman"/>
          <w:b/>
          <w:sz w:val="24"/>
          <w:szCs w:val="24"/>
          <w:u w:val="single"/>
        </w:rPr>
      </w:pPr>
    </w:p>
    <w:p w:rsidR="006C2DBA" w:rsidRPr="00C1694A" w:rsidRDefault="006C2DBA" w:rsidP="00331A7B">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Return on Investment in Early Childhood</w:t>
      </w:r>
    </w:p>
    <w:p w:rsidR="006C2DBA" w:rsidRPr="00C1694A" w:rsidRDefault="006C2DBA" w:rsidP="00331A7B">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There is no question that high-quality early learning programs yield significant benefits to children and society.</w:t>
      </w:r>
      <w:r w:rsidRPr="00C1694A">
        <w:rPr>
          <w:rStyle w:val="FootnoteReference"/>
          <w:rFonts w:ascii="Times New Roman" w:hAnsi="Times New Roman" w:cs="Times New Roman"/>
          <w:sz w:val="24"/>
          <w:szCs w:val="24"/>
        </w:rPr>
        <w:footnoteReference w:id="179"/>
      </w:r>
      <w:r w:rsidRPr="00C1694A">
        <w:rPr>
          <w:rFonts w:ascii="Times New Roman" w:hAnsi="Times New Roman" w:cs="Times New Roman"/>
          <w:sz w:val="24"/>
          <w:szCs w:val="24"/>
        </w:rPr>
        <w:t xml:space="preserve">  Early learning programs provide a unique opportunity to intervene and support children’s development during a period in which learning and growth is at its most rapid.</w:t>
      </w:r>
      <w:r w:rsidRPr="00C1694A">
        <w:rPr>
          <w:rStyle w:val="FootnoteReference"/>
          <w:rFonts w:ascii="Times New Roman" w:hAnsi="Times New Roman" w:cs="Times New Roman"/>
          <w:sz w:val="24"/>
          <w:szCs w:val="24"/>
        </w:rPr>
        <w:t xml:space="preserve"> </w:t>
      </w:r>
      <w:r w:rsidRPr="00C1694A">
        <w:rPr>
          <w:rStyle w:val="FootnoteReference"/>
          <w:rFonts w:ascii="Times New Roman" w:hAnsi="Times New Roman" w:cs="Times New Roman"/>
          <w:sz w:val="24"/>
          <w:szCs w:val="24"/>
        </w:rPr>
        <w:footnoteReference w:id="18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8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82"/>
      </w:r>
      <w:r w:rsidRPr="00C1694A">
        <w:rPr>
          <w:rFonts w:ascii="Times New Roman" w:hAnsi="Times New Roman" w:cs="Times New Roman"/>
          <w:sz w:val="24"/>
          <w:szCs w:val="24"/>
        </w:rPr>
        <w:t xml:space="preserve"> Early learning programs have short and long term effects on children’s math, reading and behavior skills, can reduce grade retention, teen pregnancy, and the need for special education services, and in the long-term can increase lifetime earnings and reduce crime.</w:t>
      </w:r>
      <w:r w:rsidRPr="00C1694A">
        <w:rPr>
          <w:rStyle w:val="FootnoteReference"/>
          <w:rFonts w:ascii="Times New Roman" w:hAnsi="Times New Roman" w:cs="Times New Roman"/>
          <w:sz w:val="24"/>
          <w:szCs w:val="24"/>
        </w:rPr>
        <w:footnoteReference w:id="18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84"/>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85"/>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86"/>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87"/>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8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8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9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9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92"/>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9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94"/>
      </w:r>
      <w:r w:rsidRPr="00C1694A">
        <w:rPr>
          <w:rFonts w:ascii="Times New Roman" w:hAnsi="Times New Roman" w:cs="Times New Roman"/>
          <w:sz w:val="24"/>
          <w:szCs w:val="24"/>
        </w:rPr>
        <w:t xml:space="preserve">  Numerous evaluations of both small-scale and large-scale early education programs demonstrate that the benefits to children and our society outweigh the financial costs of funding these programs.  Studies examining the return on investment for early learning programs find a range of levels for positive returns.  For example, the Perry Preschool project, a two-year early learning intervention for children from low-income families, netted approximately 7-10 dollars back for every dollar spent on the program, with a baseline estimate of $8.60.</w:t>
      </w:r>
      <w:r w:rsidRPr="00C1694A">
        <w:rPr>
          <w:rStyle w:val="FootnoteReference"/>
          <w:rFonts w:ascii="Times New Roman" w:hAnsi="Times New Roman" w:cs="Times New Roman"/>
          <w:sz w:val="24"/>
          <w:szCs w:val="24"/>
        </w:rPr>
        <w:footnoteReference w:id="195"/>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196"/>
      </w:r>
      <w:r w:rsidRPr="00C1694A">
        <w:rPr>
          <w:rFonts w:ascii="Times New Roman" w:hAnsi="Times New Roman" w:cs="Times New Roman"/>
          <w:sz w:val="24"/>
          <w:szCs w:val="24"/>
        </w:rPr>
        <w:t xml:space="preserve">  Most of these financial benefits came from later reductions in crime.  Evaluations of the Chicago Child-Parent Center program (CPC) also show benefits from medium and long-term positive effects. When CPC participants reach age 21, analyses demonstrates that one and a half years of CPC preschool participation yielded a return for society of $7.10.  In comparison to preschool children who did not participate in CPC, the </w:t>
      </w:r>
      <w:r w:rsidRPr="00C1694A">
        <w:rPr>
          <w:rFonts w:ascii="Times New Roman" w:hAnsi="Times New Roman" w:cs="Times New Roman"/>
          <w:sz w:val="24"/>
          <w:szCs w:val="24"/>
          <w:shd w:val="clear" w:color="auto" w:fill="FFFFFF"/>
        </w:rPr>
        <w:t>preschool participants had lower rates of special education placement and grade retention and a higher rate of high school completion.  They also had lower rates of juvenile arrests and lower arrest rates for a violent offense.</w:t>
      </w:r>
      <w:r w:rsidRPr="00C1694A">
        <w:rPr>
          <w:rStyle w:val="FootnoteReference"/>
          <w:rFonts w:ascii="Times New Roman" w:hAnsi="Times New Roman" w:cs="Times New Roman"/>
          <w:sz w:val="24"/>
          <w:szCs w:val="24"/>
          <w:shd w:val="clear" w:color="auto" w:fill="FFFFFF"/>
        </w:rPr>
        <w:footnoteReference w:id="197"/>
      </w:r>
      <w:r w:rsidRPr="00C1694A">
        <w:rPr>
          <w:rFonts w:ascii="Times New Roman" w:hAnsi="Times New Roman" w:cs="Times New Roman"/>
          <w:sz w:val="24"/>
          <w:szCs w:val="24"/>
          <w:shd w:val="clear" w:color="auto" w:fill="FFFFFF"/>
        </w:rPr>
        <w:t xml:space="preserve">  </w:t>
      </w:r>
      <w:r w:rsidRPr="00C1694A">
        <w:rPr>
          <w:rFonts w:ascii="Times New Roman" w:hAnsi="Times New Roman" w:cs="Times New Roman"/>
          <w:sz w:val="24"/>
          <w:szCs w:val="24"/>
        </w:rPr>
        <w:t>A recent analysis by some of the country’s premier child development and early intervention experts conclude universal pre-kindergarten returns $3-5 in benefits for every dollar spent.</w:t>
      </w:r>
      <w:r w:rsidRPr="00C1694A">
        <w:rPr>
          <w:rStyle w:val="FootnoteReference"/>
          <w:rFonts w:ascii="Times New Roman" w:hAnsi="Times New Roman" w:cs="Times New Roman"/>
          <w:sz w:val="24"/>
          <w:szCs w:val="24"/>
        </w:rPr>
        <w:footnoteReference w:id="198"/>
      </w:r>
      <w:r w:rsidRPr="00C1694A">
        <w:rPr>
          <w:rFonts w:ascii="Times New Roman" w:hAnsi="Times New Roman" w:cs="Times New Roman"/>
          <w:sz w:val="24"/>
          <w:u w:val="single"/>
        </w:rPr>
        <w:t xml:space="preserve"> </w:t>
      </w:r>
      <w:r w:rsidRPr="00C1694A">
        <w:rPr>
          <w:rFonts w:ascii="Times New Roman" w:hAnsi="Times New Roman" w:cs="Times New Roman"/>
          <w:sz w:val="24"/>
          <w:szCs w:val="24"/>
        </w:rPr>
        <w:t>Nobel Prize winning economist James Heckman concludes that educational interventions in the first five years of life show much greater benefits than later interventions.</w:t>
      </w:r>
      <w:r w:rsidRPr="00C1694A">
        <w:rPr>
          <w:rStyle w:val="FootnoteReference"/>
          <w:rFonts w:ascii="Times New Roman" w:hAnsi="Times New Roman" w:cs="Times New Roman"/>
          <w:sz w:val="24"/>
          <w:szCs w:val="24"/>
        </w:rPr>
        <w:footnoteReference w:id="199"/>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Taken together, this research suggests that participation in early learning programs can help support optimal child development, particularly for children from low-income families, with benefits for society lasting well into adulthood.  However, early learning programs must be sufficiently high quality to reap these benefits.    The congressionally mandated, randomized control trial study of Head Start’s impact did not show lasting effects on the outcomes measured beyond the end of the Head Start program years.</w:t>
      </w:r>
      <w:r w:rsidRPr="00C1694A">
        <w:rPr>
          <w:rStyle w:val="FootnoteReference"/>
          <w:rFonts w:ascii="Times New Roman" w:hAnsi="Times New Roman" w:cs="Times New Roman"/>
          <w:sz w:val="24"/>
          <w:szCs w:val="24"/>
        </w:rPr>
        <w:footnoteReference w:id="200"/>
      </w:r>
      <w:r w:rsidRPr="00C1694A">
        <w:rPr>
          <w:rFonts w:ascii="Times New Roman" w:hAnsi="Times New Roman" w:cs="Times New Roman"/>
          <w:sz w:val="24"/>
          <w:szCs w:val="24"/>
        </w:rPr>
        <w:t xml:space="preserve">  However, recent reanalysis of data from the Head Start Impact Study suggests that those programs that were high-quality had greater effects on children, providing further confidence in the benefits of participation in high-quality Head Start programs.</w:t>
      </w:r>
      <w:r w:rsidRPr="00C1694A">
        <w:rPr>
          <w:rStyle w:val="FootnoteReference"/>
          <w:rFonts w:ascii="Times New Roman" w:hAnsi="Times New Roman" w:cs="Times New Roman"/>
          <w:sz w:val="24"/>
          <w:szCs w:val="24"/>
        </w:rPr>
        <w:footnoteReference w:id="201"/>
      </w:r>
      <w:r w:rsidRPr="00C1694A">
        <w:rPr>
          <w:rFonts w:ascii="Times New Roman" w:hAnsi="Times New Roman" w:cs="Times New Roman"/>
          <w:sz w:val="24"/>
          <w:szCs w:val="24"/>
        </w:rPr>
        <w:t xml:space="preserve">  In addition, based on monitoring data, including </w:t>
      </w:r>
      <w:r w:rsidR="005F3C0D">
        <w:rPr>
          <w:rFonts w:ascii="Times New Roman" w:hAnsi="Times New Roman" w:cs="Times New Roman"/>
          <w:sz w:val="24"/>
          <w:szCs w:val="24"/>
        </w:rPr>
        <w:t>Classroom Assessment Scoring System</w:t>
      </w:r>
      <w:r w:rsidR="005F3C0D" w:rsidRPr="00C1694A">
        <w:rPr>
          <w:rFonts w:ascii="Times New Roman" w:hAnsi="Times New Roman" w:cs="Times New Roman"/>
          <w:sz w:val="24"/>
          <w:szCs w:val="24"/>
        </w:rPr>
        <w:t xml:space="preserve"> </w:t>
      </w:r>
      <w:r w:rsidR="005F3C0D">
        <w:rPr>
          <w:rFonts w:ascii="Times New Roman" w:hAnsi="Times New Roman" w:cs="Times New Roman"/>
          <w:sz w:val="24"/>
          <w:szCs w:val="24"/>
        </w:rPr>
        <w:t>(</w:t>
      </w:r>
      <w:r w:rsidRPr="00C1694A">
        <w:rPr>
          <w:rFonts w:ascii="Times New Roman" w:hAnsi="Times New Roman" w:cs="Times New Roman"/>
          <w:sz w:val="24"/>
          <w:szCs w:val="24"/>
        </w:rPr>
        <w:t>CLASS</w:t>
      </w:r>
      <w:r w:rsidR="005F3C0D">
        <w:rPr>
          <w:rFonts w:ascii="Times New Roman" w:hAnsi="Times New Roman" w:cs="Times New Roman"/>
          <w:sz w:val="24"/>
          <w:szCs w:val="24"/>
        </w:rPr>
        <w:t>)</w:t>
      </w:r>
      <w:r w:rsidRPr="00C1694A">
        <w:rPr>
          <w:rFonts w:ascii="Times New Roman" w:hAnsi="Times New Roman" w:cs="Times New Roman"/>
          <w:sz w:val="24"/>
          <w:szCs w:val="24"/>
        </w:rPr>
        <w:t>, and findings from FACES and the Head Start Impact Study, we also know that there is significant variance in quality among Head Start programs.</w:t>
      </w:r>
      <w:r w:rsidRPr="00C1694A">
        <w:rPr>
          <w:rStyle w:val="FootnoteReference"/>
          <w:rFonts w:ascii="Times New Roman" w:hAnsi="Times New Roman" w:cs="Times New Roman"/>
          <w:sz w:val="24"/>
          <w:szCs w:val="24"/>
        </w:rPr>
        <w:footnoteReference w:id="202"/>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0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04"/>
      </w:r>
      <w:r w:rsidRPr="00C1694A">
        <w:rPr>
          <w:rFonts w:ascii="Times New Roman" w:hAnsi="Times New Roman" w:cs="Times New Roman"/>
          <w:sz w:val="24"/>
          <w:szCs w:val="24"/>
          <w:vertAlign w:val="superscript"/>
        </w:rPr>
        <w:t xml:space="preserve"> </w:t>
      </w:r>
      <w:r w:rsidRPr="00C1694A">
        <w:rPr>
          <w:rFonts w:ascii="Times New Roman" w:hAnsi="Times New Roman" w:cs="Times New Roman"/>
          <w:sz w:val="24"/>
          <w:szCs w:val="24"/>
        </w:rPr>
        <w:t>Further, longer program duration may allow more Head</w:t>
      </w:r>
      <w:r w:rsidRPr="00C1694A">
        <w:rPr>
          <w:rFonts w:ascii="Times New Roman" w:hAnsi="Times New Roman" w:cs="Times New Roman"/>
          <w:sz w:val="24"/>
          <w:szCs w:val="24"/>
          <w:vertAlign w:val="superscript"/>
        </w:rPr>
        <w:t xml:space="preserve"> </w:t>
      </w:r>
      <w:r w:rsidRPr="00C1694A">
        <w:rPr>
          <w:rFonts w:ascii="Times New Roman" w:hAnsi="Times New Roman" w:cs="Times New Roman"/>
          <w:sz w:val="24"/>
          <w:szCs w:val="24"/>
        </w:rPr>
        <w:t>Start parents to work, which would have benefits to Head Start children and to society.</w:t>
      </w:r>
      <w:r w:rsidRPr="00C1694A">
        <w:rPr>
          <w:rStyle w:val="FootnoteReference"/>
          <w:rFonts w:ascii="Times New Roman" w:hAnsi="Times New Roman" w:cs="Times New Roman"/>
          <w:sz w:val="24"/>
          <w:szCs w:val="24"/>
        </w:rPr>
        <w:footnoteReference w:id="205"/>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06"/>
      </w:r>
      <w:r w:rsidRPr="00C1694A">
        <w:rPr>
          <w:rFonts w:ascii="Times New Roman" w:hAnsi="Times New Roman" w:cs="Times New Roman"/>
          <w:sz w:val="24"/>
          <w:szCs w:val="24"/>
        </w:rPr>
        <w:t xml:space="preserve"> In order for Head Start to achieve its mission to be an effective tool in supporting children’s success in kindergarten and beyond, and for society to reap the full benefits of this investment, every Head Start program is providing high quality services that will promote strong and lasting child outcomes.   </w:t>
      </w:r>
    </w:p>
    <w:p w:rsidR="006C2DBA" w:rsidRPr="00C1694A" w:rsidRDefault="006C2DBA" w:rsidP="00331A7B">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Review of Research on Early Education Duration</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The Secretary’s Advisory Committee recommended Head Start look to “optimize dosage,” and our new requirements will ensure Head Start programs become more aligned with state pre-kindergarten programs that have shown strong effects over time.</w:t>
      </w:r>
      <w:r w:rsidRPr="00C1694A">
        <w:rPr>
          <w:rStyle w:val="FootnoteReference"/>
          <w:rFonts w:ascii="Times New Roman" w:hAnsi="Times New Roman" w:cs="Times New Roman"/>
          <w:sz w:val="24"/>
          <w:szCs w:val="24"/>
        </w:rPr>
        <w:footnoteReference w:id="207"/>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08"/>
      </w:r>
      <w:r w:rsidRPr="00C1694A">
        <w:rPr>
          <w:rFonts w:ascii="Times New Roman" w:hAnsi="Times New Roman" w:cs="Times New Roman"/>
          <w:sz w:val="24"/>
          <w:szCs w:val="24"/>
        </w:rPr>
        <w:t xml:space="preserve">  For example, North Carolina pre-kindergarten, which is offered to lower income families and operates 6.5 hours per day and 180 days per year, demonstrates strong effects.  Children who attend the program make gains in language, literacy, math, general knowledge and social skills.  At the end of 3</w:t>
      </w:r>
      <w:r w:rsidRPr="00C1694A">
        <w:rPr>
          <w:rFonts w:ascii="Times New Roman" w:hAnsi="Times New Roman" w:cs="Times New Roman"/>
          <w:sz w:val="24"/>
          <w:szCs w:val="24"/>
          <w:vertAlign w:val="superscript"/>
        </w:rPr>
        <w:t>rd</w:t>
      </w:r>
      <w:r w:rsidRPr="00C1694A">
        <w:rPr>
          <w:rFonts w:ascii="Times New Roman" w:hAnsi="Times New Roman" w:cs="Times New Roman"/>
          <w:sz w:val="24"/>
          <w:szCs w:val="24"/>
        </w:rPr>
        <w:t xml:space="preserve"> grade, children from low-income families who had attended state pre-kindergarten scored higher on math assessments than children from low income families who did not attend.  Moreover, children who are dual language learners make gains at even faster rates than other children.</w:t>
      </w:r>
      <w:r w:rsidRPr="00C1694A">
        <w:rPr>
          <w:rStyle w:val="FootnoteReference"/>
          <w:rFonts w:ascii="Times New Roman" w:hAnsi="Times New Roman" w:cs="Times New Roman"/>
          <w:sz w:val="24"/>
          <w:szCs w:val="24"/>
        </w:rPr>
        <w:footnoteReference w:id="209"/>
      </w:r>
      <w:r w:rsidRPr="00C1694A">
        <w:rPr>
          <w:rFonts w:ascii="Times New Roman" w:hAnsi="Times New Roman" w:cs="Times New Roman"/>
          <w:sz w:val="24"/>
          <w:szCs w:val="24"/>
        </w:rPr>
        <w:t xml:space="preserve">  New Jersey’s state pre-kindergarten, which operates between 6-10 hours per day and 180-245 days per year shows significant impacts for child learning.  Children who attend New Jersey pre-kindergarten show improvements in language, print awareness, and math at kindergarten entry, 1</w:t>
      </w:r>
      <w:r w:rsidRPr="00C1694A">
        <w:rPr>
          <w:rFonts w:ascii="Times New Roman" w:hAnsi="Times New Roman" w:cs="Times New Roman"/>
          <w:sz w:val="24"/>
          <w:szCs w:val="24"/>
          <w:vertAlign w:val="superscript"/>
        </w:rPr>
        <w:t>st</w:t>
      </w:r>
      <w:r w:rsidRPr="00C1694A">
        <w:rPr>
          <w:rFonts w:ascii="Times New Roman" w:hAnsi="Times New Roman" w:cs="Times New Roman"/>
          <w:sz w:val="24"/>
          <w:szCs w:val="24"/>
        </w:rPr>
        <w:t xml:space="preserve"> grade, and 2</w:t>
      </w:r>
      <w:r w:rsidRPr="00C1694A">
        <w:rPr>
          <w:rFonts w:ascii="Times New Roman" w:hAnsi="Times New Roman" w:cs="Times New Roman"/>
          <w:sz w:val="24"/>
          <w:szCs w:val="24"/>
          <w:vertAlign w:val="superscript"/>
        </w:rPr>
        <w:t>nd</w:t>
      </w:r>
      <w:r w:rsidRPr="00C1694A">
        <w:rPr>
          <w:rFonts w:ascii="Times New Roman" w:hAnsi="Times New Roman" w:cs="Times New Roman"/>
          <w:sz w:val="24"/>
          <w:szCs w:val="24"/>
        </w:rPr>
        <w:t xml:space="preserve"> grade.  Gains still exist in language arts, literacy, math, and science at 4</w:t>
      </w:r>
      <w:r w:rsidRPr="00C1694A">
        <w:rPr>
          <w:rFonts w:ascii="Times New Roman" w:hAnsi="Times New Roman" w:cs="Times New Roman"/>
          <w:sz w:val="24"/>
          <w:szCs w:val="24"/>
          <w:vertAlign w:val="superscript"/>
        </w:rPr>
        <w:t>th</w:t>
      </w:r>
      <w:r w:rsidRPr="00C1694A">
        <w:rPr>
          <w:rFonts w:ascii="Times New Roman" w:hAnsi="Times New Roman" w:cs="Times New Roman"/>
          <w:sz w:val="24"/>
          <w:szCs w:val="24"/>
        </w:rPr>
        <w:t xml:space="preserve"> and 5</w:t>
      </w:r>
      <w:r w:rsidRPr="00C1694A">
        <w:rPr>
          <w:rFonts w:ascii="Times New Roman" w:hAnsi="Times New Roman" w:cs="Times New Roman"/>
          <w:sz w:val="24"/>
          <w:szCs w:val="24"/>
          <w:vertAlign w:val="superscript"/>
        </w:rPr>
        <w:t>th</w:t>
      </w:r>
      <w:r w:rsidRPr="00C1694A">
        <w:rPr>
          <w:rFonts w:ascii="Times New Roman" w:hAnsi="Times New Roman" w:cs="Times New Roman"/>
          <w:sz w:val="24"/>
          <w:szCs w:val="24"/>
        </w:rPr>
        <w:t xml:space="preserve"> grade.  They also show a 40 percent decrease in grade retention and a 31 percent decrease in special education placement.</w:t>
      </w:r>
      <w:r w:rsidRPr="00C1694A">
        <w:rPr>
          <w:rStyle w:val="FootnoteReference"/>
          <w:rFonts w:ascii="Times New Roman" w:hAnsi="Times New Roman" w:cs="Times New Roman"/>
          <w:sz w:val="24"/>
          <w:szCs w:val="24"/>
        </w:rPr>
        <w:footnoteReference w:id="210"/>
      </w:r>
      <w:r w:rsidRPr="00C1694A">
        <w:rPr>
          <w:rFonts w:ascii="Times New Roman" w:hAnsi="Times New Roman" w:cs="Times New Roman"/>
          <w:sz w:val="24"/>
          <w:szCs w:val="24"/>
        </w:rPr>
        <w:t xml:space="preserve">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Other states with service duration consistent with our minimum annual hours find strong results for children.  For example, Georgia pre-kindergarten, which operates 6.5 hours per day and typically runs 180 days per year, finds medium to large effects on children’s language, literacy, and math skills at kindergarten entry.</w:t>
      </w:r>
      <w:r w:rsidRPr="00C1694A">
        <w:rPr>
          <w:rStyle w:val="FootnoteReference"/>
          <w:rFonts w:ascii="Times New Roman" w:hAnsi="Times New Roman" w:cs="Times New Roman"/>
          <w:sz w:val="24"/>
          <w:szCs w:val="24"/>
        </w:rPr>
        <w:footnoteReference w:id="211"/>
      </w:r>
      <w:r w:rsidRPr="00C1694A">
        <w:rPr>
          <w:rFonts w:ascii="Times New Roman" w:hAnsi="Times New Roman" w:cs="Times New Roman"/>
          <w:sz w:val="24"/>
          <w:szCs w:val="24"/>
        </w:rPr>
        <w:t xml:space="preserve">  Tulsa pre-kindergarten also shows strong effects for children in language and math skills. This program operates 180 days per year and is mainly a full-day program for low-income children.  There is some evidence that full-day attendance in Tulsa supports better outcomes for low income and minority children.</w:t>
      </w:r>
      <w:r w:rsidRPr="00C1694A">
        <w:rPr>
          <w:rStyle w:val="FootnoteReference"/>
          <w:rFonts w:ascii="Times New Roman" w:hAnsi="Times New Roman" w:cs="Times New Roman"/>
          <w:sz w:val="24"/>
          <w:szCs w:val="24"/>
        </w:rPr>
        <w:footnoteReference w:id="212"/>
      </w:r>
      <w:r w:rsidRPr="00C1694A">
        <w:rPr>
          <w:rFonts w:ascii="Times New Roman" w:hAnsi="Times New Roman" w:cs="Times New Roman"/>
          <w:sz w:val="24"/>
          <w:szCs w:val="24"/>
        </w:rPr>
        <w:t xml:space="preserve">  Boston pre-kindergarten, which also operates for a full school day and school year, demonstrates large effects on children’s language and math skills.</w:t>
      </w:r>
      <w:r w:rsidRPr="00C1694A">
        <w:rPr>
          <w:rStyle w:val="FootnoteReference"/>
          <w:rFonts w:ascii="Times New Roman" w:hAnsi="Times New Roman" w:cs="Times New Roman"/>
          <w:sz w:val="24"/>
          <w:szCs w:val="24"/>
        </w:rPr>
        <w:footnoteReference w:id="213"/>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Only a small amount of research with young children has been able to isolate the impact of service duration on child learning, but what does exist links increasing the length of the program day and program year to improved children’s outcomes.  For example, a randomized control study in which one group of children attended pre-kindergarten for 8 hours per day for 45 weeks and another group of children attended the same program for 2.5-3 hours per day for 41 weeks found that by the spring of kindergarten, the children who had attended full-day pre-kindergarten had improved almost twice as much on vocabulary and math skills compared to the children who attended half day.</w:t>
      </w:r>
      <w:r w:rsidRPr="00C1694A">
        <w:rPr>
          <w:rStyle w:val="FootnoteReference"/>
          <w:rFonts w:ascii="Times New Roman" w:hAnsi="Times New Roman" w:cs="Times New Roman"/>
          <w:sz w:val="24"/>
          <w:szCs w:val="24"/>
        </w:rPr>
        <w:footnoteReference w:id="214"/>
      </w:r>
      <w:r w:rsidRPr="00C1694A">
        <w:rPr>
          <w:rFonts w:ascii="Times New Roman" w:hAnsi="Times New Roman" w:cs="Times New Roman"/>
          <w:sz w:val="24"/>
          <w:szCs w:val="24"/>
        </w:rPr>
        <w:t xml:space="preserve">  Research with children in child care settings found 30 hours of participation each week to be necessary for low and middle income children to see stronger learning outcomes.</w:t>
      </w:r>
      <w:r w:rsidRPr="00C1694A">
        <w:rPr>
          <w:rStyle w:val="FootnoteReference"/>
          <w:rFonts w:ascii="Times New Roman" w:hAnsi="Times New Roman" w:cs="Times New Roman"/>
          <w:sz w:val="24"/>
          <w:szCs w:val="24"/>
        </w:rPr>
        <w:footnoteReference w:id="215"/>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Moreover, research on effective teaching practices for children at risk of school difficulties also support the need for full-day operation.  A meta-analysis of pre-kindergarten programs found that those that focused on intentional teaching and small group and one-to-one interactions had larger impacts on child outcomes.</w:t>
      </w:r>
      <w:r w:rsidRPr="00C1694A">
        <w:rPr>
          <w:rStyle w:val="FootnoteReference"/>
          <w:rFonts w:ascii="Times New Roman" w:hAnsi="Times New Roman" w:cs="Times New Roman"/>
          <w:sz w:val="24"/>
          <w:szCs w:val="24"/>
        </w:rPr>
        <w:footnoteReference w:id="216"/>
      </w:r>
      <w:r w:rsidRPr="00C1694A">
        <w:rPr>
          <w:rFonts w:ascii="Times New Roman" w:hAnsi="Times New Roman" w:cs="Times New Roman"/>
          <w:sz w:val="24"/>
          <w:szCs w:val="24"/>
        </w:rPr>
        <w:t xml:space="preserve">  It is very difficult for a half-day program to provide sufficient time for teachers to conduct learning activities and intentional instruction in small group and one-on-one interactions in the areas of skill development experts believe are important to later school success.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Researchers believe meaningful skill development in language, literacy, and math requires intentional, frequent, and specific methods of instruction and teacher-child interactions.  These types of interactions are often complex, require a variety of types of interactions and intensities, and for many children in Head Start, need to be conducted in small groups to allow sufficient individualized scaffolding and skill development.</w:t>
      </w:r>
      <w:r w:rsidRPr="00C1694A">
        <w:rPr>
          <w:rStyle w:val="FootnoteReference"/>
          <w:rFonts w:ascii="Times New Roman" w:hAnsi="Times New Roman" w:cs="Times New Roman"/>
          <w:sz w:val="24"/>
          <w:szCs w:val="24"/>
        </w:rPr>
        <w:footnoteReference w:id="217"/>
      </w:r>
      <w:r w:rsidRPr="00C1694A">
        <w:rPr>
          <w:rFonts w:ascii="Times New Roman" w:hAnsi="Times New Roman" w:cs="Times New Roman"/>
          <w:sz w:val="24"/>
          <w:szCs w:val="24"/>
        </w:rPr>
        <w:t xml:space="preserve"> Experts believe math curriculum and instruction must support development of broad and deep mathematical thinking and knowledge, including development of abstract thought and reasoning.</w:t>
      </w:r>
      <w:r w:rsidRPr="00C1694A">
        <w:rPr>
          <w:rStyle w:val="FootnoteReference"/>
          <w:rFonts w:ascii="Times New Roman" w:hAnsi="Times New Roman" w:cs="Times New Roman"/>
          <w:sz w:val="24"/>
          <w:szCs w:val="24"/>
        </w:rPr>
        <w:t xml:space="preserve"> </w:t>
      </w:r>
      <w:r w:rsidRPr="00C1694A">
        <w:rPr>
          <w:rStyle w:val="FootnoteReference"/>
          <w:rFonts w:ascii="Times New Roman" w:hAnsi="Times New Roman" w:cs="Times New Roman"/>
          <w:sz w:val="24"/>
          <w:szCs w:val="24"/>
        </w:rPr>
        <w:footnoteReference w:id="218"/>
      </w:r>
      <w:r w:rsidRPr="00C1694A">
        <w:rPr>
          <w:rFonts w:ascii="Times New Roman" w:hAnsi="Times New Roman" w:cs="Times New Roman"/>
          <w:sz w:val="24"/>
          <w:szCs w:val="24"/>
        </w:rPr>
        <w:t xml:space="preserve"> Targeted instruction and small group activities are teaching practices that are particularly important to include for supporting the learning of children who are behind.</w:t>
      </w:r>
      <w:r w:rsidRPr="00C1694A">
        <w:rPr>
          <w:rStyle w:val="FootnoteReference"/>
          <w:rFonts w:ascii="Times New Roman" w:hAnsi="Times New Roman" w:cs="Times New Roman"/>
          <w:sz w:val="24"/>
          <w:szCs w:val="24"/>
        </w:rPr>
        <w:footnoteReference w:id="21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20"/>
      </w:r>
      <w:r w:rsidRPr="00C1694A">
        <w:rPr>
          <w:rFonts w:ascii="Times New Roman" w:hAnsi="Times New Roman" w:cs="Times New Roman"/>
          <w:sz w:val="24"/>
          <w:szCs w:val="24"/>
        </w:rPr>
        <w:t xml:space="preserve"> Language and literacy experts believe teachers must take an active role in supporting language and literacy development for children at risk of reading difficulties.  That requires systematic and explicit instruction to foster vocabulary breadth and depth.  Research with toddlers and preschool age children also finds that greater exposure to rich vocabulary enrichment allows for better scaffolding that can lead to improved language and literacy.</w:t>
      </w:r>
      <w:r w:rsidRPr="00C1694A">
        <w:rPr>
          <w:rStyle w:val="FootnoteReference"/>
          <w:rFonts w:ascii="Times New Roman" w:hAnsi="Times New Roman" w:cs="Times New Roman"/>
          <w:sz w:val="24"/>
          <w:szCs w:val="24"/>
        </w:rPr>
        <w:footnoteReference w:id="22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22"/>
      </w:r>
      <w:r w:rsidRPr="00C1694A">
        <w:rPr>
          <w:rFonts w:ascii="Times New Roman" w:hAnsi="Times New Roman" w:cs="Times New Roman"/>
          <w:sz w:val="24"/>
          <w:szCs w:val="24"/>
        </w:rPr>
        <w:t xml:space="preserve">  As such, experts recommend in addition to integration into group learning and free play, language and literacy instruction should be explicitly structured and sequenced in 15-20 minutes small group session at least three times per week.</w:t>
      </w:r>
      <w:r w:rsidRPr="00C1694A">
        <w:rPr>
          <w:rStyle w:val="FootnoteReference"/>
          <w:rFonts w:ascii="Times New Roman" w:hAnsi="Times New Roman" w:cs="Times New Roman"/>
          <w:sz w:val="24"/>
          <w:szCs w:val="24"/>
        </w:rPr>
        <w:footnoteReference w:id="223"/>
      </w:r>
      <w:r w:rsidRPr="00C1694A">
        <w:rPr>
          <w:rFonts w:ascii="Times New Roman" w:hAnsi="Times New Roman" w:cs="Times New Roman"/>
          <w:sz w:val="24"/>
          <w:szCs w:val="24"/>
        </w:rPr>
        <w:t xml:space="preserve">  Math experts have similar time estimates for supporting adequate high quality learning experiences.</w:t>
      </w:r>
      <w:r w:rsidRPr="00C1694A">
        <w:rPr>
          <w:rStyle w:val="FootnoteReference"/>
          <w:rFonts w:ascii="Times New Roman" w:hAnsi="Times New Roman" w:cs="Times New Roman"/>
          <w:sz w:val="24"/>
          <w:szCs w:val="24"/>
        </w:rPr>
        <w:footnoteReference w:id="224"/>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25"/>
      </w:r>
      <w:r w:rsidRPr="00C1694A">
        <w:rPr>
          <w:rFonts w:ascii="Times New Roman" w:hAnsi="Times New Roman" w:cs="Times New Roman"/>
          <w:sz w:val="24"/>
          <w:szCs w:val="24"/>
        </w:rPr>
        <w:t xml:space="preserve">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Research on summer learning loss demonstrates the importance of extending the minimum days of operation in Head Start.  Research on reading skills found high-income students gained skills over summer break, middle-income students maintained their skill level, and children from lower income families lost skills.</w:t>
      </w:r>
      <w:r w:rsidRPr="00C1694A">
        <w:rPr>
          <w:rStyle w:val="FootnoteReference"/>
          <w:rFonts w:ascii="Times New Roman" w:hAnsi="Times New Roman" w:cs="Times New Roman"/>
          <w:sz w:val="24"/>
          <w:szCs w:val="24"/>
        </w:rPr>
        <w:footnoteReference w:id="226"/>
      </w:r>
      <w:r w:rsidRPr="00C1694A">
        <w:rPr>
          <w:rFonts w:ascii="Times New Roman" w:hAnsi="Times New Roman" w:cs="Times New Roman"/>
          <w:sz w:val="24"/>
          <w:szCs w:val="24"/>
        </w:rPr>
        <w:t xml:space="preserve">  Experts conclude the average student loses one month worth of skills and development over the summer break.</w:t>
      </w:r>
      <w:r w:rsidRPr="00C1694A">
        <w:rPr>
          <w:rStyle w:val="FootnoteReference"/>
          <w:rFonts w:ascii="Times New Roman" w:hAnsi="Times New Roman" w:cs="Times New Roman"/>
          <w:sz w:val="24"/>
          <w:szCs w:val="24"/>
        </w:rPr>
        <w:footnoteReference w:id="227"/>
      </w:r>
      <w:r w:rsidRPr="00C1694A">
        <w:rPr>
          <w:rFonts w:ascii="Times New Roman" w:hAnsi="Times New Roman" w:cs="Times New Roman"/>
          <w:sz w:val="24"/>
          <w:szCs w:val="24"/>
        </w:rPr>
        <w:t xml:space="preserve">  The amount of learning loss is even greater for children from low income families who may not have as much access to educational resources and experiences during the summer and who are already behind their more advantaged peers and need extra time to learn skills and strengthen development.</w:t>
      </w:r>
      <w:r w:rsidRPr="00C1694A">
        <w:rPr>
          <w:rStyle w:val="FootnoteReference"/>
          <w:rFonts w:ascii="Times New Roman" w:hAnsi="Times New Roman" w:cs="Times New Roman"/>
          <w:sz w:val="24"/>
          <w:szCs w:val="24"/>
        </w:rPr>
        <w:footnoteReference w:id="22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2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3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3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32"/>
      </w:r>
      <w:r w:rsidRPr="00C1694A">
        <w:rPr>
          <w:rFonts w:ascii="Times New Roman" w:hAnsi="Times New Roman" w:cs="Times New Roman"/>
          <w:sz w:val="24"/>
          <w:szCs w:val="24"/>
        </w:rPr>
        <w:t xml:space="preserve"> This pattern is also true for the youngest children in elementary school.  Analysis of the ECLS finds that children from families with higher incomes learn more over the summer between kindergarten and 1</w:t>
      </w:r>
      <w:r w:rsidRPr="00C1694A">
        <w:rPr>
          <w:rFonts w:ascii="Times New Roman" w:hAnsi="Times New Roman" w:cs="Times New Roman"/>
          <w:sz w:val="24"/>
          <w:szCs w:val="24"/>
          <w:vertAlign w:val="superscript"/>
        </w:rPr>
        <w:t>st</w:t>
      </w:r>
      <w:r w:rsidRPr="00C1694A">
        <w:rPr>
          <w:rFonts w:ascii="Times New Roman" w:hAnsi="Times New Roman" w:cs="Times New Roman"/>
          <w:sz w:val="24"/>
          <w:szCs w:val="24"/>
        </w:rPr>
        <w:t xml:space="preserve"> grade than do children from families with lower incomes.</w:t>
      </w:r>
      <w:r w:rsidRPr="00C1694A">
        <w:rPr>
          <w:rStyle w:val="FootnoteReference"/>
          <w:rFonts w:ascii="Times New Roman" w:hAnsi="Times New Roman" w:cs="Times New Roman"/>
          <w:sz w:val="24"/>
          <w:szCs w:val="24"/>
        </w:rPr>
        <w:footnoteReference w:id="233"/>
      </w:r>
      <w:r w:rsidRPr="00C1694A">
        <w:rPr>
          <w:rFonts w:ascii="Times New Roman" w:hAnsi="Times New Roman" w:cs="Times New Roman"/>
          <w:sz w:val="24"/>
          <w:szCs w:val="24"/>
        </w:rPr>
        <w:t xml:space="preserve"> In fact, researchers believe the effects of summer learning loss for children from low-income families is cumulative and that the disparity in summer gains and losses over the first four summers of elementary school is greater than the differential between children from high and low income families at school entry.</w:t>
      </w:r>
      <w:r w:rsidRPr="00C1694A">
        <w:rPr>
          <w:rStyle w:val="FootnoteReference"/>
          <w:rFonts w:ascii="Times New Roman" w:hAnsi="Times New Roman" w:cs="Times New Roman"/>
          <w:sz w:val="24"/>
          <w:szCs w:val="24"/>
        </w:rPr>
        <w:footnoteReference w:id="234"/>
      </w:r>
      <w:r w:rsidRPr="00C1694A">
        <w:rPr>
          <w:rFonts w:ascii="Times New Roman" w:hAnsi="Times New Roman" w:cs="Times New Roman"/>
          <w:sz w:val="24"/>
          <w:szCs w:val="24"/>
        </w:rPr>
        <w:t xml:space="preserve">  Experts also conclude summer learning loss in elementary school predicts poor academic achievement in high school.</w:t>
      </w:r>
      <w:r w:rsidRPr="00C1694A">
        <w:rPr>
          <w:rStyle w:val="FootnoteReference"/>
          <w:rFonts w:ascii="Times New Roman" w:hAnsi="Times New Roman" w:cs="Times New Roman"/>
          <w:sz w:val="24"/>
          <w:szCs w:val="24"/>
        </w:rPr>
        <w:footnoteReference w:id="235"/>
      </w:r>
      <w:r w:rsidRPr="00C1694A">
        <w:rPr>
          <w:rFonts w:ascii="Times New Roman" w:hAnsi="Times New Roman" w:cs="Times New Roman"/>
          <w:sz w:val="24"/>
          <w:szCs w:val="24"/>
        </w:rPr>
        <w:t xml:space="preserve">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Research on attendance also finds exposure to additional learning time is important for skill development.</w:t>
      </w:r>
      <w:r w:rsidRPr="00C1694A">
        <w:rPr>
          <w:rStyle w:val="FootnoteReference"/>
          <w:rFonts w:ascii="Times New Roman" w:hAnsi="Times New Roman" w:cs="Times New Roman"/>
          <w:sz w:val="24"/>
          <w:szCs w:val="24"/>
        </w:rPr>
        <w:footnoteReference w:id="236"/>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37"/>
      </w:r>
      <w:r w:rsidRPr="00C1694A">
        <w:rPr>
          <w:rFonts w:ascii="Times New Roman" w:hAnsi="Times New Roman" w:cs="Times New Roman"/>
          <w:sz w:val="24"/>
          <w:szCs w:val="24"/>
        </w:rPr>
        <w:t xml:space="preserve">  Research with elementary school children has shown an increase in school attendance predicted improved reading scores.</w:t>
      </w:r>
      <w:r w:rsidRPr="00C1694A">
        <w:rPr>
          <w:rStyle w:val="FootnoteReference"/>
          <w:rFonts w:ascii="Times New Roman" w:hAnsi="Times New Roman" w:cs="Times New Roman"/>
          <w:sz w:val="24"/>
          <w:szCs w:val="24"/>
        </w:rPr>
        <w:footnoteReference w:id="238"/>
      </w:r>
      <w:r w:rsidRPr="00C1694A">
        <w:rPr>
          <w:rFonts w:ascii="Times New Roman" w:hAnsi="Times New Roman" w:cs="Times New Roman"/>
          <w:sz w:val="24"/>
          <w:szCs w:val="24"/>
        </w:rPr>
        <w:t xml:space="preserve">  A recent study of preschool attendance in Chicago found that even when accounting for children’s skill level at the beginning of preschool, attendance predicted better academic outcomes at the end of preschool and beyond and that attendance was most beneficial for children starting preschool with the lowest skills.  Children who missed more preschool had lower math, letter recognition, and social-emotional skills and were also rated as lower on work habits by their teachers.</w:t>
      </w:r>
      <w:r w:rsidRPr="00C1694A">
        <w:rPr>
          <w:rStyle w:val="FootnoteReference"/>
          <w:rFonts w:ascii="Times New Roman" w:hAnsi="Times New Roman" w:cs="Times New Roman"/>
          <w:sz w:val="24"/>
          <w:szCs w:val="24"/>
        </w:rPr>
        <w:footnoteReference w:id="239"/>
      </w:r>
      <w:r w:rsidRPr="00C1694A">
        <w:rPr>
          <w:rFonts w:ascii="Times New Roman" w:hAnsi="Times New Roman" w:cs="Times New Roman"/>
          <w:sz w:val="24"/>
          <w:szCs w:val="24"/>
        </w:rPr>
        <w:t xml:space="preserve">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sum, providing high-quality early education is not a simple task.  Standards must be high to create learning environments that allow teachers to facilitate effective early learning experiences and support must be provided that continuously builds teachers’ skills and knowledge.  Taken together this research clearly indicates previous Head Start minimums for program operations are inadequate to achieve the results researchers and economists have shown are possible.  Although the evidence does not point to a particular threshold for the length of the day or length of the year that is necessary to ensure positive child outcomes, the research is clear that children will benefit from more exposure to early learning experiences than our previous minimums provide. </w:t>
      </w:r>
    </w:p>
    <w:p w:rsidR="006C2DBA" w:rsidRPr="00C1694A" w:rsidRDefault="006C2DBA" w:rsidP="00331A7B">
      <w:pPr>
        <w:spacing w:after="0" w:line="480" w:lineRule="auto"/>
        <w:rPr>
          <w:rFonts w:ascii="Times New Roman" w:hAnsi="Times New Roman" w:cs="Times New Roman"/>
          <w:b/>
          <w:sz w:val="24"/>
          <w:szCs w:val="24"/>
          <w:u w:val="single"/>
        </w:rPr>
      </w:pPr>
    </w:p>
    <w:p w:rsidR="006C2DBA" w:rsidRPr="00C1694A" w:rsidRDefault="006C2DBA" w:rsidP="00331A7B">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Costs and Benefits to Society</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It is our expectation that this rule will be implemented with sufficient funds to avoid slot loss resulting from costs associated with this rule.  In FY 2016, Congress appropriated $294 million specifically to increase service duration</w:t>
      </w:r>
      <w:r>
        <w:rPr>
          <w:rFonts w:ascii="Times New Roman" w:hAnsi="Times New Roman" w:cs="Times New Roman"/>
          <w:sz w:val="24"/>
          <w:szCs w:val="24"/>
        </w:rPr>
        <w:t xml:space="preserve"> for Early Head Start and Head Start programs, which cover some of the costs of the duration requirements in this final rule</w:t>
      </w:r>
      <w:r w:rsidRPr="00C1694A">
        <w:rPr>
          <w:rFonts w:ascii="Times New Roman" w:hAnsi="Times New Roman" w:cs="Times New Roman"/>
          <w:sz w:val="24"/>
          <w:szCs w:val="24"/>
        </w:rPr>
        <w:t xml:space="preserve">.  The President’s FY 2017 Budget includes a request for an additional $292 million.  Collectively these funds would allow all programs to increase service duration so that at least 50 percent of their Head Start center-based slots and 100 percent of their Early Head Start center-based slots would meet the respective new minimums of 1,020 and 1,380 annual hours by August 1, 2018, as required in this rule.  Congress would need to appropriate additional funds to support the full implementation of the Head Start center-based service duration requirement by February 1, 2020, the date by which the Secretary will decide whether to lower the percentage of slots required to increase duration based on an assessment of the availability of sufficient appropriations to mitigate substantial slot loss.  If fully funded, this rule would result in a significant increase in the quality of Head Start and the associated benefits of Head Start participation for all children.  </w:t>
      </w:r>
      <w:r w:rsidRPr="00C1694A">
        <w:rPr>
          <w:rFonts w:ascii="Times New Roman" w:hAnsi="Times New Roman" w:cs="Times New Roman"/>
          <w:bCs/>
          <w:sz w:val="24"/>
          <w:szCs w:val="24"/>
        </w:rPr>
        <w:t xml:space="preserve">Ample research, also discussed above, demonstrates the potential for early education programs to produce large returns on investment to society through benefits associated with </w:t>
      </w:r>
      <w:r w:rsidRPr="00C1694A">
        <w:rPr>
          <w:rFonts w:ascii="Times New Roman" w:hAnsi="Times New Roman" w:cs="Times New Roman"/>
          <w:sz w:val="24"/>
          <w:szCs w:val="24"/>
        </w:rPr>
        <w:t>short and long term effects on children’s math, reading and behavior skills; reduced grade retention, teen pregnancy, need for special education services, crime, and delinquency; and increased lifetime earnings.</w:t>
      </w:r>
      <w:r w:rsidRPr="00C1694A">
        <w:rPr>
          <w:rStyle w:val="FootnoteReference"/>
          <w:rFonts w:ascii="Times New Roman" w:hAnsi="Times New Roman" w:cs="Times New Roman"/>
          <w:sz w:val="24"/>
          <w:szCs w:val="24"/>
        </w:rPr>
        <w:footnoteReference w:id="24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2"/>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4"/>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5"/>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6"/>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7"/>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4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5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51"/>
      </w:r>
      <w:r w:rsidRPr="00C1694A">
        <w:rPr>
          <w:rFonts w:ascii="Times New Roman" w:hAnsi="Times New Roman" w:cs="Times New Roman"/>
          <w:sz w:val="24"/>
          <w:szCs w:val="24"/>
        </w:rPr>
        <w:t xml:space="preserve">  This research, coupled with research indicating the importance of adequate duration in early learning programs, would suggest that extending program duration and increasing program quality will result in additional benefits for any child enrolled in a Head Start program that does not already meet or exceed the bar set for program quality in this rule.  The relative size of these additional benefits will likely vary from program to program and it is not possible for this analysis to quantify the precise benefit.  Additionally, if the rule is fully implemented with adequate funding, there may be benefits associated with additional teacher jobs, higher staff salaries, and increased support for parental work.  Finally, this rule increases clarity of Head Start requirements which should lead to greater compliance, which should in turn, result in improved child safety and stronger child and family outcomes. However, it is also not possible for this analysis to quantify these benefits.</w:t>
      </w:r>
    </w:p>
    <w:p w:rsidR="006C2DBA" w:rsidRPr="00C1694A" w:rsidRDefault="006C2DBA" w:rsidP="00331A7B">
      <w:pPr>
        <w:pStyle w:val="ListParagraph"/>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If the Secretary exercises this authority, the final rule would result in a smaller benefit to society than the fully funded rule, because fewer children would benefit from greater exposure to high-quality early learning experiences. However, if the Secretary does not exercise this authority, this rule could result in a decrease of as many as </w:t>
      </w:r>
      <w:r>
        <w:rPr>
          <w:rFonts w:ascii="Times New Roman" w:hAnsi="Times New Roman" w:cs="Times New Roman"/>
          <w:sz w:val="24"/>
          <w:szCs w:val="24"/>
        </w:rPr>
        <w:t>123</w:t>
      </w:r>
      <w:r w:rsidRPr="00C1694A">
        <w:rPr>
          <w:rFonts w:ascii="Times New Roman" w:hAnsi="Times New Roman" w:cs="Times New Roman"/>
          <w:sz w:val="24"/>
          <w:szCs w:val="24"/>
        </w:rPr>
        <w:t>,000 slots, depending upon appropriations and whether programs are able to absorb any costs of the rule within their current operating budgets.  This slot loss has costs to society because fewer children will have access to Head Start in the future; although these costs have been estimated in preceding portions of this regulatory impact analysis, the quantification does not account for the relative size of these potential costs, which likely vary from program to program and from child to child (perhaps most notably in the form of diminishing returns to Head Start exposure).  Additionally, if the rule is fully implemented without adequate funding, there may be costs associated with job loss, however it is not possible for this analysis to quantify them.</w:t>
      </w:r>
    </w:p>
    <w:p w:rsidR="006C2DBA" w:rsidRPr="00C1694A" w:rsidRDefault="006C2DBA" w:rsidP="00331A7B">
      <w:pPr>
        <w:pStyle w:val="ListParagraph"/>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Further, this cost to society may be mitigated by the availability of other early learning programs, given findings from the Head Start Impact Study that indicate a wide range of early childhood education utilization among children who do not have access to Head Start.</w:t>
      </w:r>
      <w:r w:rsidRPr="00C1694A">
        <w:rPr>
          <w:rStyle w:val="FootnoteReference"/>
          <w:rFonts w:ascii="Times New Roman" w:hAnsi="Times New Roman" w:cs="Times New Roman"/>
          <w:sz w:val="24"/>
          <w:szCs w:val="24"/>
        </w:rPr>
        <w:footnoteReference w:id="252"/>
      </w:r>
      <w:r w:rsidRPr="00C1694A">
        <w:rPr>
          <w:rFonts w:ascii="Times New Roman" w:hAnsi="Times New Roman" w:cs="Times New Roman"/>
          <w:sz w:val="24"/>
          <w:szCs w:val="24"/>
        </w:rPr>
        <w:t xml:space="preserve"> In this case, determining how the loss of slots impacts society depends on how benefits differ between Head Start and the alternative early childhood education programs.  Among children whose future Head Start slots are eliminated, children who enroll in alternative early childhood education programs of similar quality would not experience a loss of benefits, while children who enroll in programs of lower quality or no program at all would experience lost benefits.   To be sure, quality and affordable early learning programs for poor families are limited and there is significant unmet need.  A reduction in Head Start slots may is unlikely to not be fully absorbed by other programs given that other early learning programs are not universally available to all children and these programs only currently serve a fraction of the eligible population. The total benefit to society of the rule would depend upon the relative size of the benefits to children who receive greater exposure to high-quality early learning experiences compared to the lost benefits for children who no longer have access to Head Start. </w:t>
      </w:r>
    </w:p>
    <w:p w:rsidR="006C2DBA" w:rsidRPr="00C1694A" w:rsidRDefault="006C2DBA" w:rsidP="00DC5146">
      <w:pPr>
        <w:spacing w:after="0" w:line="480" w:lineRule="auto"/>
        <w:rPr>
          <w:rFonts w:ascii="Times New Roman" w:hAnsi="Times New Roman" w:cs="Times New Roman"/>
          <w:b/>
          <w:bCs/>
          <w:sz w:val="24"/>
          <w:szCs w:val="24"/>
          <w:u w:val="single"/>
        </w:rPr>
      </w:pPr>
      <w:r w:rsidRPr="00C1694A">
        <w:rPr>
          <w:rFonts w:ascii="Times New Roman" w:hAnsi="Times New Roman" w:cs="Times New Roman"/>
          <w:sz w:val="24"/>
          <w:szCs w:val="24"/>
        </w:rPr>
        <w:tab/>
        <w:t xml:space="preserve">Continuing to operate under widely varying minimums for program duration, in the face of the mounting evidence provided here, limits Head Start’s overall effectiveness and undermines Head Start’s mission.  This rule is designed to ensure every child in Head Start receives the highest quality program. The requirements to extend program duration are inextricably linked to reaping the full range of benefits that researchers and economists have demonstrated are possible.  </w:t>
      </w: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b/>
          <w:sz w:val="24"/>
          <w:szCs w:val="24"/>
          <w:u w:val="single"/>
        </w:rPr>
        <w:t>Implications of Congressional and Secretarial Actions</w:t>
      </w:r>
    </w:p>
    <w:p w:rsidR="006C2DBA" w:rsidRPr="00C1694A" w:rsidRDefault="006C2DBA" w:rsidP="00DC5146">
      <w:pPr>
        <w:pStyle w:val="ListParagraph"/>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The costs of this rule vary over the next ten years of implementation based upon compliance dates and staff turnover.    In FY 2016, Congress appropriated $294 million to pay for programs to increase service duration.  As a result</w:t>
      </w:r>
      <w:r>
        <w:rPr>
          <w:rFonts w:ascii="Times New Roman" w:hAnsi="Times New Roman" w:cs="Times New Roman"/>
          <w:sz w:val="24"/>
          <w:szCs w:val="24"/>
        </w:rPr>
        <w:t xml:space="preserve"> and as explained throughout this analysis</w:t>
      </w:r>
      <w:r w:rsidRPr="00C1694A">
        <w:rPr>
          <w:rFonts w:ascii="Times New Roman" w:hAnsi="Times New Roman" w:cs="Times New Roman"/>
          <w:sz w:val="24"/>
          <w:szCs w:val="24"/>
        </w:rPr>
        <w:t>, the costs associated with increasing the service duration requirements in this rule are reduced.  Further, the President’s FY 2017 Budget requests an additional $292 million to further support quality improvements.  If Congress provides additional resources in FY 2017 and beyond, the costs associated with this rule would be borne, in part or whole, by the federal government rather than by Head Start programs. In this scenario, there may not be any slot loss associated with the requirements in this rule.  Rather, the full additional potential benefits of higher quality services would be realized for all children who attend Head Start.</w:t>
      </w:r>
    </w:p>
    <w:p w:rsidR="006C2DBA" w:rsidRPr="00C1694A" w:rsidRDefault="006C2DBA" w:rsidP="00202212">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the table below, we have estimated the amounts Congress would need to appropriate in order to support the full implementation of the requirements to increase Head Start center-based program duration.  Note that we have assumed Early Head Start center-based duration will be fully funded using the FY</w:t>
      </w:r>
      <w:r>
        <w:rPr>
          <w:rFonts w:ascii="Times New Roman" w:hAnsi="Times New Roman" w:cs="Times New Roman"/>
          <w:sz w:val="24"/>
          <w:szCs w:val="24"/>
        </w:rPr>
        <w:t xml:space="preserve"> </w:t>
      </w:r>
      <w:r w:rsidRPr="00C1694A">
        <w:rPr>
          <w:rFonts w:ascii="Times New Roman" w:hAnsi="Times New Roman" w:cs="Times New Roman"/>
          <w:sz w:val="24"/>
          <w:szCs w:val="24"/>
        </w:rPr>
        <w:t xml:space="preserve">2016 appropriation for expansion of program duration. In order to capture the full cost of the Head Start center-based requirements over time, we have adjusted the necessary funding levels to account for cost of living increases as forecasted in the OMB Economic Assumptions for MSR.  As the table demonstrates, in order to fully support the requirements to increase program duration, Congress would need to appropriate $264 million </w:t>
      </w:r>
      <w:r>
        <w:rPr>
          <w:rFonts w:ascii="Times New Roman" w:hAnsi="Times New Roman" w:cs="Times New Roman"/>
          <w:sz w:val="24"/>
          <w:szCs w:val="24"/>
        </w:rPr>
        <w:t xml:space="preserve">in </w:t>
      </w:r>
      <w:r w:rsidRPr="00C1694A">
        <w:rPr>
          <w:rFonts w:ascii="Times New Roman" w:hAnsi="Times New Roman" w:cs="Times New Roman"/>
          <w:sz w:val="24"/>
          <w:szCs w:val="24"/>
        </w:rPr>
        <w:t>FY</w:t>
      </w:r>
      <w:r>
        <w:rPr>
          <w:rFonts w:ascii="Times New Roman" w:hAnsi="Times New Roman" w:cs="Times New Roman"/>
          <w:sz w:val="24"/>
          <w:szCs w:val="24"/>
        </w:rPr>
        <w:t xml:space="preserve"> </w:t>
      </w:r>
      <w:r w:rsidRPr="00C1694A">
        <w:rPr>
          <w:rFonts w:ascii="Times New Roman" w:hAnsi="Times New Roman" w:cs="Times New Roman"/>
          <w:sz w:val="24"/>
          <w:szCs w:val="24"/>
        </w:rPr>
        <w:t>2018</w:t>
      </w:r>
      <w:r>
        <w:rPr>
          <w:rFonts w:ascii="Times New Roman" w:hAnsi="Times New Roman" w:cs="Times New Roman"/>
          <w:sz w:val="24"/>
          <w:szCs w:val="24"/>
        </w:rPr>
        <w:t xml:space="preserve"> or earlier</w:t>
      </w:r>
      <w:r w:rsidRPr="00C1694A">
        <w:rPr>
          <w:rFonts w:ascii="Times New Roman" w:hAnsi="Times New Roman" w:cs="Times New Roman"/>
          <w:sz w:val="24"/>
          <w:szCs w:val="24"/>
        </w:rPr>
        <w:t xml:space="preserve"> to support the 50% requirement and an additional $711 million </w:t>
      </w:r>
      <w:r>
        <w:rPr>
          <w:rFonts w:ascii="Times New Roman" w:hAnsi="Times New Roman" w:cs="Times New Roman"/>
          <w:sz w:val="24"/>
          <w:szCs w:val="24"/>
        </w:rPr>
        <w:t>in FY</w:t>
      </w:r>
      <w:r w:rsidRPr="00C1694A">
        <w:rPr>
          <w:rFonts w:ascii="Times New Roman" w:hAnsi="Times New Roman" w:cs="Times New Roman"/>
          <w:sz w:val="24"/>
          <w:szCs w:val="24"/>
        </w:rPr>
        <w:t xml:space="preserve"> 2020</w:t>
      </w:r>
      <w:r>
        <w:rPr>
          <w:rFonts w:ascii="Times New Roman" w:hAnsi="Times New Roman" w:cs="Times New Roman"/>
          <w:sz w:val="24"/>
          <w:szCs w:val="24"/>
        </w:rPr>
        <w:t xml:space="preserve"> or earlier</w:t>
      </w:r>
      <w:r w:rsidRPr="00C1694A">
        <w:rPr>
          <w:rFonts w:ascii="Times New Roman" w:hAnsi="Times New Roman" w:cs="Times New Roman"/>
          <w:sz w:val="24"/>
          <w:szCs w:val="24"/>
        </w:rPr>
        <w:t xml:space="preserve"> to support the 100% requirement.  </w:t>
      </w:r>
    </w:p>
    <w:tbl>
      <w:tblPr>
        <w:tblStyle w:val="TableGrid"/>
        <w:tblW w:w="0" w:type="auto"/>
        <w:tblLayout w:type="fixed"/>
        <w:tblLook w:val="04A0" w:firstRow="1" w:lastRow="0" w:firstColumn="1" w:lastColumn="0" w:noHBand="0" w:noVBand="1"/>
      </w:tblPr>
      <w:tblGrid>
        <w:gridCol w:w="1458"/>
        <w:gridCol w:w="1260"/>
        <w:gridCol w:w="1170"/>
        <w:gridCol w:w="1260"/>
        <w:gridCol w:w="1350"/>
        <w:gridCol w:w="1281"/>
        <w:gridCol w:w="1797"/>
      </w:tblGrid>
      <w:tr w:rsidR="006C2DBA" w:rsidRPr="00416FA8" w:rsidTr="007259C9">
        <w:tc>
          <w:tcPr>
            <w:tcW w:w="1458" w:type="dxa"/>
          </w:tcPr>
          <w:p w:rsidR="006C2DBA" w:rsidRPr="00416FA8" w:rsidRDefault="006C2DBA" w:rsidP="00202212">
            <w:pPr>
              <w:pStyle w:val="ListParagraph"/>
              <w:ind w:left="0"/>
              <w:jc w:val="center"/>
              <w:rPr>
                <w:rFonts w:ascii="Times New Roman" w:hAnsi="Times New Roman" w:cs="Times New Roman"/>
                <w:b/>
                <w:sz w:val="16"/>
                <w:szCs w:val="16"/>
              </w:rPr>
            </w:pPr>
          </w:p>
        </w:tc>
        <w:tc>
          <w:tcPr>
            <w:tcW w:w="1260" w:type="dxa"/>
            <w:vAlign w:val="bottom"/>
          </w:tcPr>
          <w:p w:rsidR="006C2DBA" w:rsidRPr="00416FA8" w:rsidRDefault="006C2DBA" w:rsidP="00202212">
            <w:pPr>
              <w:pStyle w:val="ListParagraph"/>
              <w:ind w:left="0"/>
              <w:jc w:val="center"/>
              <w:rPr>
                <w:rFonts w:ascii="Times New Roman" w:hAnsi="Times New Roman" w:cs="Times New Roman"/>
                <w:b/>
                <w:sz w:val="16"/>
                <w:szCs w:val="16"/>
              </w:rPr>
            </w:pPr>
            <w:r w:rsidRPr="00416FA8">
              <w:rPr>
                <w:rFonts w:ascii="Times New Roman" w:hAnsi="Times New Roman" w:cs="Times New Roman"/>
                <w:b/>
                <w:sz w:val="16"/>
                <w:szCs w:val="16"/>
              </w:rPr>
              <w:t>Appropriation Year</w:t>
            </w:r>
          </w:p>
        </w:tc>
        <w:tc>
          <w:tcPr>
            <w:tcW w:w="1170" w:type="dxa"/>
            <w:vAlign w:val="bottom"/>
          </w:tcPr>
          <w:p w:rsidR="006C2DBA" w:rsidRPr="00416FA8" w:rsidRDefault="006C2DBA" w:rsidP="00202212">
            <w:pPr>
              <w:pStyle w:val="ListParagraph"/>
              <w:ind w:left="0"/>
              <w:jc w:val="center"/>
              <w:rPr>
                <w:rFonts w:ascii="Times New Roman" w:hAnsi="Times New Roman" w:cs="Times New Roman"/>
                <w:b/>
                <w:sz w:val="16"/>
                <w:szCs w:val="16"/>
              </w:rPr>
            </w:pPr>
            <w:r w:rsidRPr="00416FA8">
              <w:rPr>
                <w:rFonts w:ascii="Times New Roman" w:hAnsi="Times New Roman" w:cs="Times New Roman"/>
                <w:b/>
                <w:sz w:val="16"/>
                <w:szCs w:val="16"/>
              </w:rPr>
              <w:t>Effective Date</w:t>
            </w:r>
          </w:p>
        </w:tc>
        <w:tc>
          <w:tcPr>
            <w:tcW w:w="1260" w:type="dxa"/>
            <w:vAlign w:val="bottom"/>
          </w:tcPr>
          <w:p w:rsidR="006C2DBA" w:rsidRPr="00416FA8" w:rsidRDefault="006C2DBA" w:rsidP="00202212">
            <w:pPr>
              <w:pStyle w:val="ListParagraph"/>
              <w:ind w:left="0"/>
              <w:jc w:val="center"/>
              <w:rPr>
                <w:rFonts w:ascii="Times New Roman" w:hAnsi="Times New Roman" w:cs="Times New Roman"/>
                <w:b/>
                <w:sz w:val="16"/>
                <w:szCs w:val="16"/>
              </w:rPr>
            </w:pPr>
            <w:r w:rsidRPr="00416FA8">
              <w:rPr>
                <w:rFonts w:ascii="Times New Roman" w:hAnsi="Times New Roman" w:cs="Times New Roman"/>
                <w:b/>
                <w:sz w:val="16"/>
                <w:szCs w:val="16"/>
              </w:rPr>
              <w:t>Secretarial Determination Date</w:t>
            </w:r>
          </w:p>
        </w:tc>
        <w:tc>
          <w:tcPr>
            <w:tcW w:w="1350" w:type="dxa"/>
            <w:vAlign w:val="bottom"/>
          </w:tcPr>
          <w:p w:rsidR="006C2DBA" w:rsidRPr="00416FA8" w:rsidRDefault="006C2DBA" w:rsidP="007259C9">
            <w:pPr>
              <w:pStyle w:val="ListParagraph"/>
              <w:ind w:left="0"/>
              <w:jc w:val="center"/>
              <w:rPr>
                <w:rFonts w:ascii="Times New Roman" w:hAnsi="Times New Roman" w:cs="Times New Roman"/>
                <w:b/>
                <w:sz w:val="16"/>
                <w:szCs w:val="16"/>
              </w:rPr>
            </w:pPr>
            <w:r w:rsidRPr="00416FA8">
              <w:rPr>
                <w:rFonts w:ascii="Times New Roman" w:hAnsi="Times New Roman" w:cs="Times New Roman"/>
                <w:b/>
                <w:sz w:val="16"/>
                <w:szCs w:val="16"/>
              </w:rPr>
              <w:t>Cost</w:t>
            </w:r>
            <w:r>
              <w:rPr>
                <w:rFonts w:ascii="Times New Roman" w:hAnsi="Times New Roman" w:cs="Times New Roman"/>
                <w:b/>
                <w:sz w:val="16"/>
                <w:szCs w:val="16"/>
              </w:rPr>
              <w:t xml:space="preserve"> of Policy</w:t>
            </w:r>
            <w:r w:rsidR="00227880">
              <w:rPr>
                <w:rFonts w:ascii="Times New Roman" w:hAnsi="Times New Roman" w:cs="Times New Roman"/>
                <w:b/>
                <w:sz w:val="16"/>
                <w:szCs w:val="16"/>
              </w:rPr>
              <w:t xml:space="preserve"> </w:t>
            </w:r>
            <w:r>
              <w:rPr>
                <w:rFonts w:ascii="Times New Roman" w:hAnsi="Times New Roman" w:cs="Times New Roman"/>
                <w:b/>
                <w:sz w:val="16"/>
                <w:szCs w:val="16"/>
              </w:rPr>
              <w:t>(less the FY16 Appropriation), before Adjustment for COLAs</w:t>
            </w:r>
          </w:p>
        </w:tc>
        <w:tc>
          <w:tcPr>
            <w:tcW w:w="1281" w:type="dxa"/>
            <w:vAlign w:val="bottom"/>
          </w:tcPr>
          <w:p w:rsidR="006C2DBA" w:rsidRPr="00416FA8" w:rsidRDefault="006C2DBA" w:rsidP="007259C9">
            <w:pPr>
              <w:pStyle w:val="ListParagraph"/>
              <w:ind w:left="0"/>
              <w:jc w:val="center"/>
              <w:rPr>
                <w:rFonts w:ascii="Times New Roman" w:hAnsi="Times New Roman" w:cs="Times New Roman"/>
                <w:b/>
                <w:sz w:val="16"/>
                <w:szCs w:val="16"/>
              </w:rPr>
            </w:pPr>
            <w:r w:rsidRPr="00416FA8">
              <w:rPr>
                <w:rFonts w:ascii="Times New Roman" w:hAnsi="Times New Roman" w:cs="Times New Roman"/>
                <w:b/>
                <w:sz w:val="16"/>
                <w:szCs w:val="16"/>
              </w:rPr>
              <w:t>Appropriation Needed, Adjusted for COLAs (In addition</w:t>
            </w:r>
            <w:r>
              <w:rPr>
                <w:rFonts w:ascii="Times New Roman" w:hAnsi="Times New Roman" w:cs="Times New Roman"/>
                <w:b/>
                <w:sz w:val="16"/>
                <w:szCs w:val="16"/>
              </w:rPr>
              <w:t xml:space="preserve"> to</w:t>
            </w:r>
            <w:r w:rsidRPr="00416FA8">
              <w:rPr>
                <w:rFonts w:ascii="Times New Roman" w:hAnsi="Times New Roman" w:cs="Times New Roman"/>
                <w:b/>
                <w:sz w:val="16"/>
                <w:szCs w:val="16"/>
              </w:rPr>
              <w:t xml:space="preserve"> </w:t>
            </w:r>
            <w:r>
              <w:rPr>
                <w:rFonts w:ascii="Times New Roman" w:hAnsi="Times New Roman" w:cs="Times New Roman"/>
                <w:b/>
                <w:sz w:val="16"/>
                <w:szCs w:val="16"/>
              </w:rPr>
              <w:t>FY16 Appropriation</w:t>
            </w:r>
            <w:r w:rsidRPr="00416FA8">
              <w:rPr>
                <w:rFonts w:ascii="Times New Roman" w:hAnsi="Times New Roman" w:cs="Times New Roman"/>
                <w:b/>
                <w:sz w:val="16"/>
                <w:szCs w:val="16"/>
              </w:rPr>
              <w:t>)</w:t>
            </w:r>
          </w:p>
        </w:tc>
        <w:tc>
          <w:tcPr>
            <w:tcW w:w="1797" w:type="dxa"/>
            <w:vAlign w:val="bottom"/>
          </w:tcPr>
          <w:p w:rsidR="006C2DBA" w:rsidRPr="00416FA8" w:rsidRDefault="006C2DBA" w:rsidP="007259C9">
            <w:pPr>
              <w:pStyle w:val="ListParagraph"/>
              <w:ind w:left="0"/>
              <w:jc w:val="center"/>
              <w:rPr>
                <w:rFonts w:ascii="Times New Roman" w:hAnsi="Times New Roman" w:cs="Times New Roman"/>
                <w:b/>
                <w:sz w:val="16"/>
                <w:szCs w:val="16"/>
              </w:rPr>
            </w:pPr>
            <w:r w:rsidRPr="00416FA8">
              <w:rPr>
                <w:rFonts w:ascii="Times New Roman" w:hAnsi="Times New Roman" w:cs="Times New Roman"/>
                <w:b/>
                <w:sz w:val="16"/>
                <w:szCs w:val="16"/>
              </w:rPr>
              <w:t xml:space="preserve">Additional Appropriation, Adjusted for COLAs (if $264 received </w:t>
            </w:r>
            <w:r>
              <w:rPr>
                <w:rFonts w:ascii="Times New Roman" w:hAnsi="Times New Roman" w:cs="Times New Roman"/>
                <w:b/>
                <w:sz w:val="16"/>
                <w:szCs w:val="16"/>
              </w:rPr>
              <w:t>by</w:t>
            </w:r>
            <w:r w:rsidRPr="00416FA8">
              <w:rPr>
                <w:rFonts w:ascii="Times New Roman" w:hAnsi="Times New Roman" w:cs="Times New Roman"/>
                <w:b/>
                <w:sz w:val="16"/>
                <w:szCs w:val="16"/>
              </w:rPr>
              <w:t xml:space="preserve"> FY2018)</w:t>
            </w:r>
          </w:p>
        </w:tc>
      </w:tr>
      <w:tr w:rsidR="006C2DBA" w:rsidRPr="00DB0091" w:rsidTr="007259C9">
        <w:tc>
          <w:tcPr>
            <w:tcW w:w="1458" w:type="dxa"/>
          </w:tcPr>
          <w:p w:rsidR="006C2DBA" w:rsidRPr="00416FA8" w:rsidRDefault="006C2DBA" w:rsidP="00202212">
            <w:pPr>
              <w:pStyle w:val="ListParagraph"/>
              <w:ind w:left="0"/>
              <w:jc w:val="right"/>
              <w:rPr>
                <w:rFonts w:ascii="Times New Roman" w:hAnsi="Times New Roman" w:cs="Times New Roman"/>
                <w:b/>
                <w:sz w:val="16"/>
                <w:szCs w:val="16"/>
              </w:rPr>
            </w:pPr>
            <w:r w:rsidRPr="00416FA8">
              <w:rPr>
                <w:rFonts w:ascii="Times New Roman" w:hAnsi="Times New Roman" w:cs="Times New Roman"/>
                <w:b/>
                <w:sz w:val="16"/>
                <w:szCs w:val="16"/>
              </w:rPr>
              <w:t>50% Requirement for HS CB programs</w:t>
            </w:r>
          </w:p>
        </w:tc>
        <w:tc>
          <w:tcPr>
            <w:tcW w:w="1260" w:type="dxa"/>
            <w:vAlign w:val="center"/>
          </w:tcPr>
          <w:p w:rsidR="006C2DBA" w:rsidRPr="00416FA8" w:rsidRDefault="006C2DBA" w:rsidP="00202212">
            <w:pPr>
              <w:pStyle w:val="ListParagraph"/>
              <w:ind w:left="0"/>
              <w:jc w:val="right"/>
              <w:rPr>
                <w:rFonts w:ascii="Times New Roman" w:hAnsi="Times New Roman" w:cs="Times New Roman"/>
                <w:sz w:val="16"/>
                <w:szCs w:val="16"/>
              </w:rPr>
            </w:pPr>
            <w:r w:rsidRPr="00416FA8">
              <w:rPr>
                <w:rFonts w:ascii="Times New Roman" w:hAnsi="Times New Roman" w:cs="Times New Roman"/>
                <w:sz w:val="16"/>
                <w:szCs w:val="16"/>
              </w:rPr>
              <w:t xml:space="preserve">Fiscal Year 2018 </w:t>
            </w:r>
          </w:p>
        </w:tc>
        <w:tc>
          <w:tcPr>
            <w:tcW w:w="1170" w:type="dxa"/>
            <w:vAlign w:val="center"/>
          </w:tcPr>
          <w:p w:rsidR="006C2DBA" w:rsidRPr="00416FA8" w:rsidRDefault="006C2DBA" w:rsidP="00202212">
            <w:pPr>
              <w:pStyle w:val="ListParagraph"/>
              <w:ind w:left="0"/>
              <w:jc w:val="right"/>
              <w:rPr>
                <w:rFonts w:ascii="Times New Roman" w:hAnsi="Times New Roman" w:cs="Times New Roman"/>
                <w:sz w:val="16"/>
                <w:szCs w:val="16"/>
              </w:rPr>
            </w:pPr>
            <w:r w:rsidRPr="00416FA8">
              <w:rPr>
                <w:rFonts w:ascii="Times New Roman" w:hAnsi="Times New Roman" w:cs="Times New Roman"/>
                <w:sz w:val="16"/>
                <w:szCs w:val="16"/>
              </w:rPr>
              <w:t>August 1, 2019</w:t>
            </w:r>
          </w:p>
        </w:tc>
        <w:tc>
          <w:tcPr>
            <w:tcW w:w="1260" w:type="dxa"/>
            <w:vAlign w:val="center"/>
          </w:tcPr>
          <w:p w:rsidR="006C2DBA" w:rsidRPr="00416FA8" w:rsidRDefault="006C2DBA" w:rsidP="00202212">
            <w:pPr>
              <w:pStyle w:val="ListParagraph"/>
              <w:ind w:left="0"/>
              <w:jc w:val="right"/>
              <w:rPr>
                <w:rFonts w:ascii="Times New Roman" w:hAnsi="Times New Roman" w:cs="Times New Roman"/>
                <w:sz w:val="16"/>
                <w:szCs w:val="16"/>
              </w:rPr>
            </w:pPr>
            <w:r w:rsidRPr="00416FA8">
              <w:rPr>
                <w:rFonts w:ascii="Times New Roman" w:hAnsi="Times New Roman" w:cs="Times New Roman"/>
                <w:sz w:val="16"/>
                <w:szCs w:val="16"/>
              </w:rPr>
              <w:t>February 1, 2018</w:t>
            </w:r>
          </w:p>
        </w:tc>
        <w:tc>
          <w:tcPr>
            <w:tcW w:w="1350" w:type="dxa"/>
            <w:vAlign w:val="center"/>
          </w:tcPr>
          <w:p w:rsidR="006C2DBA" w:rsidRPr="00416FA8" w:rsidRDefault="006C2DBA" w:rsidP="007259C9">
            <w:pPr>
              <w:pStyle w:val="ListParagraph"/>
              <w:ind w:left="0"/>
              <w:jc w:val="center"/>
              <w:rPr>
                <w:rFonts w:ascii="Times New Roman" w:hAnsi="Times New Roman" w:cs="Times New Roman"/>
                <w:sz w:val="16"/>
                <w:szCs w:val="16"/>
              </w:rPr>
            </w:pPr>
            <w:r>
              <w:rPr>
                <w:rFonts w:ascii="Times New Roman" w:hAnsi="Times New Roman" w:cs="Times New Roman"/>
                <w:sz w:val="16"/>
                <w:szCs w:val="16"/>
              </w:rPr>
              <w:t>$245 million</w:t>
            </w:r>
          </w:p>
        </w:tc>
        <w:tc>
          <w:tcPr>
            <w:tcW w:w="1281" w:type="dxa"/>
            <w:vAlign w:val="center"/>
          </w:tcPr>
          <w:p w:rsidR="006C2DBA" w:rsidRPr="00AD4B17" w:rsidRDefault="006C2DBA" w:rsidP="00202212">
            <w:pPr>
              <w:pStyle w:val="ListParagraph"/>
              <w:ind w:left="0"/>
              <w:jc w:val="right"/>
              <w:rPr>
                <w:rFonts w:ascii="Times New Roman" w:hAnsi="Times New Roman" w:cs="Times New Roman"/>
                <w:sz w:val="16"/>
                <w:szCs w:val="16"/>
              </w:rPr>
            </w:pPr>
            <w:r w:rsidRPr="00AD4B17">
              <w:rPr>
                <w:rFonts w:ascii="Times New Roman" w:hAnsi="Times New Roman" w:cs="Times New Roman"/>
                <w:sz w:val="16"/>
                <w:szCs w:val="16"/>
              </w:rPr>
              <w:t>$264 million</w:t>
            </w:r>
          </w:p>
        </w:tc>
        <w:tc>
          <w:tcPr>
            <w:tcW w:w="1797" w:type="dxa"/>
            <w:vAlign w:val="center"/>
          </w:tcPr>
          <w:p w:rsidR="006C2DBA" w:rsidRPr="00416FA8" w:rsidRDefault="006C2DBA" w:rsidP="00202212">
            <w:pPr>
              <w:pStyle w:val="ListParagraph"/>
              <w:ind w:left="0"/>
              <w:jc w:val="right"/>
              <w:rPr>
                <w:rFonts w:ascii="Times New Roman" w:hAnsi="Times New Roman" w:cs="Times New Roman"/>
                <w:sz w:val="16"/>
                <w:szCs w:val="16"/>
              </w:rPr>
            </w:pPr>
            <w:r w:rsidRPr="00416FA8">
              <w:rPr>
                <w:rFonts w:ascii="Times New Roman" w:hAnsi="Times New Roman" w:cs="Times New Roman"/>
                <w:sz w:val="16"/>
                <w:szCs w:val="16"/>
              </w:rPr>
              <w:t>-</w:t>
            </w:r>
          </w:p>
        </w:tc>
      </w:tr>
      <w:tr w:rsidR="006C2DBA" w:rsidRPr="00DB0091" w:rsidTr="007259C9">
        <w:tc>
          <w:tcPr>
            <w:tcW w:w="1458" w:type="dxa"/>
          </w:tcPr>
          <w:p w:rsidR="006C2DBA" w:rsidRPr="00416FA8" w:rsidRDefault="006C2DBA" w:rsidP="00202212">
            <w:pPr>
              <w:pStyle w:val="ListParagraph"/>
              <w:ind w:left="0"/>
              <w:jc w:val="right"/>
              <w:rPr>
                <w:rFonts w:ascii="Times New Roman" w:hAnsi="Times New Roman" w:cs="Times New Roman"/>
                <w:b/>
                <w:sz w:val="16"/>
                <w:szCs w:val="16"/>
              </w:rPr>
            </w:pPr>
            <w:r w:rsidRPr="00416FA8">
              <w:rPr>
                <w:rFonts w:ascii="Times New Roman" w:hAnsi="Times New Roman" w:cs="Times New Roman"/>
                <w:b/>
                <w:sz w:val="16"/>
                <w:szCs w:val="16"/>
              </w:rPr>
              <w:t>100% Requirement for HS CB programs</w:t>
            </w:r>
          </w:p>
        </w:tc>
        <w:tc>
          <w:tcPr>
            <w:tcW w:w="1260" w:type="dxa"/>
            <w:vAlign w:val="center"/>
          </w:tcPr>
          <w:p w:rsidR="006C2DBA" w:rsidRPr="00416FA8" w:rsidRDefault="006C2DBA" w:rsidP="00202212">
            <w:pPr>
              <w:pStyle w:val="ListParagraph"/>
              <w:ind w:left="0"/>
              <w:jc w:val="right"/>
              <w:rPr>
                <w:rFonts w:ascii="Times New Roman" w:hAnsi="Times New Roman" w:cs="Times New Roman"/>
                <w:sz w:val="16"/>
                <w:szCs w:val="16"/>
              </w:rPr>
            </w:pPr>
            <w:r w:rsidRPr="00416FA8">
              <w:rPr>
                <w:rFonts w:ascii="Times New Roman" w:hAnsi="Times New Roman" w:cs="Times New Roman"/>
                <w:sz w:val="16"/>
                <w:szCs w:val="16"/>
              </w:rPr>
              <w:t xml:space="preserve">Fiscal Year 2020 </w:t>
            </w:r>
          </w:p>
        </w:tc>
        <w:tc>
          <w:tcPr>
            <w:tcW w:w="1170" w:type="dxa"/>
            <w:vAlign w:val="center"/>
          </w:tcPr>
          <w:p w:rsidR="006C2DBA" w:rsidRPr="00416FA8" w:rsidRDefault="006C2DBA" w:rsidP="00202212">
            <w:pPr>
              <w:pStyle w:val="ListParagraph"/>
              <w:ind w:left="0"/>
              <w:jc w:val="right"/>
              <w:rPr>
                <w:rFonts w:ascii="Times New Roman" w:hAnsi="Times New Roman" w:cs="Times New Roman"/>
                <w:sz w:val="16"/>
                <w:szCs w:val="16"/>
              </w:rPr>
            </w:pPr>
            <w:r w:rsidRPr="00416FA8">
              <w:rPr>
                <w:rFonts w:ascii="Times New Roman" w:hAnsi="Times New Roman" w:cs="Times New Roman"/>
                <w:sz w:val="16"/>
                <w:szCs w:val="16"/>
              </w:rPr>
              <w:t>August 1, 2021</w:t>
            </w:r>
          </w:p>
        </w:tc>
        <w:tc>
          <w:tcPr>
            <w:tcW w:w="1260" w:type="dxa"/>
            <w:vAlign w:val="center"/>
          </w:tcPr>
          <w:p w:rsidR="006C2DBA" w:rsidRPr="00416FA8" w:rsidRDefault="006C2DBA" w:rsidP="00202212">
            <w:pPr>
              <w:pStyle w:val="ListParagraph"/>
              <w:ind w:left="0"/>
              <w:jc w:val="right"/>
              <w:rPr>
                <w:rFonts w:ascii="Times New Roman" w:hAnsi="Times New Roman" w:cs="Times New Roman"/>
                <w:sz w:val="16"/>
                <w:szCs w:val="16"/>
              </w:rPr>
            </w:pPr>
            <w:r w:rsidRPr="00416FA8">
              <w:rPr>
                <w:rFonts w:ascii="Times New Roman" w:hAnsi="Times New Roman" w:cs="Times New Roman"/>
                <w:sz w:val="16"/>
                <w:szCs w:val="16"/>
              </w:rPr>
              <w:t>February 1, 2020</w:t>
            </w:r>
          </w:p>
        </w:tc>
        <w:tc>
          <w:tcPr>
            <w:tcW w:w="1350" w:type="dxa"/>
            <w:vAlign w:val="center"/>
          </w:tcPr>
          <w:p w:rsidR="006C2DBA" w:rsidRPr="00416FA8" w:rsidRDefault="006C2DBA" w:rsidP="007259C9">
            <w:pPr>
              <w:pStyle w:val="ListParagraph"/>
              <w:ind w:left="0"/>
              <w:jc w:val="center"/>
              <w:rPr>
                <w:rFonts w:ascii="Times New Roman" w:hAnsi="Times New Roman" w:cs="Times New Roman"/>
                <w:sz w:val="16"/>
                <w:szCs w:val="16"/>
              </w:rPr>
            </w:pPr>
            <w:r>
              <w:rPr>
                <w:rFonts w:ascii="Times New Roman" w:hAnsi="Times New Roman" w:cs="Times New Roman"/>
                <w:sz w:val="16"/>
                <w:szCs w:val="16"/>
              </w:rPr>
              <w:t>$866 million</w:t>
            </w:r>
          </w:p>
        </w:tc>
        <w:tc>
          <w:tcPr>
            <w:tcW w:w="1281" w:type="dxa"/>
            <w:vAlign w:val="center"/>
          </w:tcPr>
          <w:p w:rsidR="006C2DBA" w:rsidRPr="00AD4B17" w:rsidRDefault="006C2DBA" w:rsidP="00202212">
            <w:pPr>
              <w:pStyle w:val="ListParagraph"/>
              <w:ind w:left="0"/>
              <w:jc w:val="right"/>
              <w:rPr>
                <w:rFonts w:ascii="Times New Roman" w:hAnsi="Times New Roman" w:cs="Times New Roman"/>
                <w:sz w:val="16"/>
                <w:szCs w:val="16"/>
              </w:rPr>
            </w:pPr>
            <w:r w:rsidRPr="00AD4B17">
              <w:rPr>
                <w:rFonts w:ascii="Times New Roman" w:hAnsi="Times New Roman" w:cs="Times New Roman"/>
                <w:sz w:val="16"/>
                <w:szCs w:val="16"/>
              </w:rPr>
              <w:t>$975 million</w:t>
            </w:r>
          </w:p>
        </w:tc>
        <w:tc>
          <w:tcPr>
            <w:tcW w:w="1797" w:type="dxa"/>
            <w:vAlign w:val="center"/>
          </w:tcPr>
          <w:p w:rsidR="006C2DBA" w:rsidRPr="00416FA8" w:rsidRDefault="006C2DBA" w:rsidP="00202212">
            <w:pPr>
              <w:pStyle w:val="ListParagraph"/>
              <w:ind w:left="0"/>
              <w:jc w:val="right"/>
              <w:rPr>
                <w:rFonts w:ascii="Times New Roman" w:hAnsi="Times New Roman" w:cs="Times New Roman"/>
                <w:sz w:val="16"/>
                <w:szCs w:val="16"/>
              </w:rPr>
            </w:pPr>
            <w:r w:rsidRPr="00416FA8">
              <w:rPr>
                <w:rFonts w:ascii="Times New Roman" w:hAnsi="Times New Roman" w:cs="Times New Roman"/>
                <w:sz w:val="16"/>
                <w:szCs w:val="16"/>
              </w:rPr>
              <w:t>$711 million</w:t>
            </w:r>
          </w:p>
        </w:tc>
      </w:tr>
    </w:tbl>
    <w:p w:rsidR="006C2DBA" w:rsidRPr="00C1694A" w:rsidRDefault="006C2DBA" w:rsidP="00DC5146">
      <w:pPr>
        <w:pStyle w:val="ListParagraph"/>
        <w:spacing w:after="0" w:line="480" w:lineRule="auto"/>
        <w:ind w:left="0" w:firstLine="720"/>
        <w:rPr>
          <w:rFonts w:ascii="Times New Roman" w:hAnsi="Times New Roman" w:cs="Times New Roman"/>
          <w:sz w:val="24"/>
          <w:szCs w:val="24"/>
        </w:rPr>
      </w:pP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If Congress does not appropriate adequate funds, §1302.21(c)(3) of the final rule gives the Secretary the authority to reduce the requirements for service duration based on an assessment of what available funds can support.  In this scenario, as in the scenario where adequate funds are appropriated, there would be no slot or teacher job loss associated with the duration requirements in this rule. </w:t>
      </w:r>
    </w:p>
    <w:p w:rsidR="006C2DBA" w:rsidRPr="00C1694A" w:rsidRDefault="006C2DBA" w:rsidP="00D722F2">
      <w:pPr>
        <w:pStyle w:val="CommentText"/>
        <w:spacing w:after="0" w:line="480" w:lineRule="auto"/>
        <w:ind w:left="0"/>
        <w:rPr>
          <w:rFonts w:ascii="Times New Roman" w:hAnsi="Times New Roman" w:cs="Times New Roman"/>
        </w:rPr>
      </w:pPr>
      <w:r w:rsidRPr="00C1694A">
        <w:rPr>
          <w:rFonts w:ascii="Times New Roman" w:hAnsi="Times New Roman" w:cs="Times New Roman"/>
          <w:sz w:val="24"/>
        </w:rPr>
        <w:tab/>
        <w:t>However, if the Secretary does not exercise this authority, th</w:t>
      </w:r>
      <w:r>
        <w:rPr>
          <w:rFonts w:ascii="Times New Roman" w:hAnsi="Times New Roman" w:cs="Times New Roman"/>
          <w:sz w:val="24"/>
        </w:rPr>
        <w:t>e duration requirements in th</w:t>
      </w:r>
      <w:r w:rsidRPr="00C1694A">
        <w:rPr>
          <w:rFonts w:ascii="Times New Roman" w:hAnsi="Times New Roman" w:cs="Times New Roman"/>
          <w:sz w:val="24"/>
        </w:rPr>
        <w:t xml:space="preserve">is rule could result in a decrease of as many as </w:t>
      </w:r>
      <w:r w:rsidRPr="00C1694A">
        <w:rPr>
          <w:rFonts w:ascii="Times New Roman" w:hAnsi="Times New Roman" w:cs="Times New Roman"/>
          <w:sz w:val="24"/>
          <w:szCs w:val="24"/>
        </w:rPr>
        <w:t xml:space="preserve">107,762 slots </w:t>
      </w:r>
      <w:r w:rsidRPr="00C1694A">
        <w:rPr>
          <w:rFonts w:ascii="Times New Roman" w:hAnsi="Times New Roman" w:cs="Times New Roman"/>
          <w:sz w:val="24"/>
        </w:rPr>
        <w:t xml:space="preserve">slots (full estimate described below), depending upon appropriations and whether programs are able to absorb any costs of the rule within their current operating budgets.  This slot loss has costs to society because fewer children will have access to Head Start in the future.  The total benefit to society of the rule would depend upon the relative size of the benefits to children who receive greater exposure to high-quality early learning experiences compared to the lost benefits for children who no longer have access to Head Start. Both Congressional and Secretarial decisions have important implications for the number of children served by the program and the characteristics of the program.   </w:t>
      </w:r>
    </w:p>
    <w:p w:rsidR="006C2DBA" w:rsidRPr="00C1694A" w:rsidRDefault="006C2DBA" w:rsidP="00DC5146">
      <w:pPr>
        <w:pStyle w:val="ListParagraph"/>
        <w:spacing w:after="0" w:line="480" w:lineRule="auto"/>
        <w:ind w:left="0" w:firstLine="720"/>
        <w:rPr>
          <w:rFonts w:ascii="Times New Roman" w:hAnsi="Times New Roman" w:cs="Times New Roman"/>
        </w:rPr>
      </w:pPr>
      <w:r w:rsidRPr="00C1694A">
        <w:rPr>
          <w:rFonts w:ascii="Times New Roman" w:hAnsi="Times New Roman" w:cs="Times New Roman"/>
          <w:sz w:val="24"/>
          <w:szCs w:val="24"/>
        </w:rPr>
        <w:t xml:space="preserve">Although we are unable to quantify the associated costs and benefits that would arise from these implementation scenarios, it is important to keep these factors in mind as we consider both the societal costs and savings and the cost-benefit analysis of this final rule.  </w:t>
      </w:r>
    </w:p>
    <w:p w:rsidR="006C2DBA" w:rsidRPr="00C1694A" w:rsidRDefault="006C2DBA" w:rsidP="00331A7B">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Potential Slot Loss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order to estimate slot loss as programs adjust their budgets in the absence of additional funding, we first determined the proportion of current funded enrollment that are Head Start slots (83.8 percent) and Early Head Start slots (16.2 percent), respectively. We then applied this proportion to the total monetary cost associated with this rule, in each out-year, in FY 2016 dollars, and divided the cost that would be borne in Head Start slots by the average cost per slot for Head Start in FY 2015 ($8,035) and the cost that will be borne in Early Head Start by the average cost per slot for Early Head Start in FY 2015 ($12,189), which is inclusive of the cost per child for Early Head Start-Child Care Partnerships.  We use FY 2015 average costs because it is the most recent year for which we have final data.  In this case, we did not inflate the Head Start cost per child to incorporate teacher salary increases or additional service hours because we believe the current cost per child is the best indicator for the number of slots programs would need to cut to absorb new costs. We also assumed that the additional $294 million appropriated in FY 2016 will fully fund Early Head Start duration ($30,878,060) and support some proportion of all Head Start grantees slots serving children for 1,020 hours.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Without additional funding, the net costs of this rule borne by Head Start, if fully implemented could be associated with a reduction in slots (number of children served) of as many as </w:t>
      </w:r>
      <w:r w:rsidRPr="00C1694A">
        <w:rPr>
          <w:rFonts w:ascii="Times New Roman" w:eastAsia="Times New Roman" w:hAnsi="Times New Roman" w:cs="Times New Roman"/>
          <w:bCs/>
          <w:sz w:val="24"/>
          <w:szCs w:val="24"/>
        </w:rPr>
        <w:t>123,614</w:t>
      </w:r>
      <w:r w:rsidRPr="00C1694A">
        <w:rPr>
          <w:rFonts w:ascii="Times New Roman" w:eastAsia="Times New Roman" w:hAnsi="Times New Roman" w:cs="Times New Roman"/>
          <w:b/>
          <w:bCs/>
          <w:sz w:val="20"/>
          <w:szCs w:val="20"/>
        </w:rPr>
        <w:t xml:space="preserve"> </w:t>
      </w:r>
      <w:r w:rsidRPr="00C1694A">
        <w:rPr>
          <w:rFonts w:ascii="Times New Roman" w:hAnsi="Times New Roman" w:cs="Times New Roman"/>
          <w:sz w:val="24"/>
          <w:szCs w:val="24"/>
        </w:rPr>
        <w:t xml:space="preserve">by year ten.  However, it is important to note that we believe these are overestimates of the actual potential slot loss, because many of the costs estimated in this section, aside from the increases in duration, represent changes in how programs will use existing funds rather than additional new costs that would result in slot loss.  As stated earlier, this slot loss would not occur if the Secretary exercises discretion provided in the rule to reduce the duration requirements or if sufficient appropriations are provided by Congress to support the policy. This would also be an overestimate if Congress appropriates additional funds to support the full implementation of this rule or if the Secretary exercises the authority to reduce the service duration requirements.  </w:t>
      </w:r>
    </w:p>
    <w:p w:rsidR="006C2DB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The table below describes the share of costs in years one through ten borne by Head Start and Early Head Start programs and the potential slot loss associated with those costs in each year.  Costs vary by year based upon effective dates of individual provisions and whether those costs are one-time or ongoing.  </w:t>
      </w:r>
    </w:p>
    <w:p w:rsidR="006C2DBA" w:rsidRDefault="006C2DBA">
      <w:pPr>
        <w:rPr>
          <w:rFonts w:ascii="Times New Roman" w:hAnsi="Times New Roman" w:cs="Times New Roman"/>
          <w:sz w:val="24"/>
          <w:szCs w:val="24"/>
        </w:rPr>
      </w:pPr>
      <w:r>
        <w:rPr>
          <w:rFonts w:ascii="Times New Roman" w:hAnsi="Times New Roman" w:cs="Times New Roman"/>
          <w:sz w:val="24"/>
          <w:szCs w:val="24"/>
        </w:rPr>
        <w:br w:type="page"/>
      </w:r>
    </w:p>
    <w:tbl>
      <w:tblPr>
        <w:tblW w:w="99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350"/>
        <w:gridCol w:w="1440"/>
        <w:gridCol w:w="1350"/>
        <w:gridCol w:w="1620"/>
        <w:gridCol w:w="1620"/>
      </w:tblGrid>
      <w:tr w:rsidR="006C2DBA" w:rsidRPr="00C1694A" w:rsidTr="00D23898">
        <w:trPr>
          <w:trHeight w:val="296"/>
        </w:trPr>
        <w:tc>
          <w:tcPr>
            <w:tcW w:w="9990" w:type="dxa"/>
            <w:gridSpan w:val="6"/>
            <w:shd w:val="clear" w:color="000000" w:fill="FFFFFF"/>
            <w:vAlign w:val="bottom"/>
          </w:tcPr>
          <w:p w:rsidR="006C2DBA" w:rsidRPr="00C1694A" w:rsidRDefault="006C2DBA" w:rsidP="00DC5146">
            <w:pPr>
              <w:spacing w:after="0" w:line="240" w:lineRule="auto"/>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 xml:space="preserve">Potential Slot Loss (If Congress does not appropriate sufficient funding </w:t>
            </w:r>
            <w:r>
              <w:rPr>
                <w:rFonts w:ascii="Times New Roman" w:eastAsia="Times New Roman" w:hAnsi="Times New Roman" w:cs="Times New Roman"/>
                <w:b/>
                <w:bCs/>
                <w:sz w:val="20"/>
                <w:szCs w:val="20"/>
              </w:rPr>
              <w:t xml:space="preserve">in future years </w:t>
            </w:r>
            <w:r w:rsidRPr="00C1694A">
              <w:rPr>
                <w:rFonts w:ascii="Times New Roman" w:eastAsia="Times New Roman" w:hAnsi="Times New Roman" w:cs="Times New Roman"/>
                <w:b/>
                <w:bCs/>
                <w:sz w:val="20"/>
                <w:szCs w:val="20"/>
              </w:rPr>
              <w:t>and the Secretary does not use the discretion provided in the Final Rule to lower the duration requirements)</w:t>
            </w:r>
          </w:p>
        </w:tc>
      </w:tr>
      <w:tr w:rsidR="006C2DBA" w:rsidRPr="00C1694A" w:rsidTr="00DC5146">
        <w:trPr>
          <w:trHeight w:val="557"/>
        </w:trPr>
        <w:tc>
          <w:tcPr>
            <w:tcW w:w="2610" w:type="dxa"/>
            <w:shd w:val="clear" w:color="000000" w:fill="FFFFFF"/>
            <w:vAlign w:val="bottom"/>
            <w:hideMark/>
          </w:tcPr>
          <w:p w:rsidR="006C2DBA" w:rsidRPr="00C1694A" w:rsidRDefault="006C2DBA" w:rsidP="00DC5146">
            <w:pPr>
              <w:spacing w:after="0" w:line="240" w:lineRule="auto"/>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w:t>
            </w:r>
          </w:p>
        </w:tc>
        <w:tc>
          <w:tcPr>
            <w:tcW w:w="1350" w:type="dxa"/>
            <w:shd w:val="clear" w:color="000000" w:fill="FFFFFF"/>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1 2016/2017</w:t>
            </w:r>
            <w:r>
              <w:rPr>
                <w:rFonts w:ascii="Times New Roman" w:eastAsia="Times New Roman" w:hAnsi="Times New Roman" w:cs="Times New Roman"/>
                <w:b/>
                <w:bCs/>
                <w:sz w:val="20"/>
                <w:szCs w:val="20"/>
              </w:rPr>
              <w:t>*</w:t>
            </w:r>
          </w:p>
        </w:tc>
        <w:tc>
          <w:tcPr>
            <w:tcW w:w="1440" w:type="dxa"/>
            <w:shd w:val="clear" w:color="000000" w:fill="FFFFFF"/>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2 2017/2018</w:t>
            </w:r>
            <w:r>
              <w:rPr>
                <w:rFonts w:ascii="Times New Roman" w:eastAsia="Times New Roman" w:hAnsi="Times New Roman" w:cs="Times New Roman"/>
                <w:b/>
                <w:bCs/>
                <w:sz w:val="20"/>
                <w:szCs w:val="20"/>
              </w:rPr>
              <w:t>*</w:t>
            </w:r>
          </w:p>
        </w:tc>
        <w:tc>
          <w:tcPr>
            <w:tcW w:w="1350" w:type="dxa"/>
            <w:shd w:val="clear" w:color="000000" w:fill="FFFFFF"/>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3 2018/2019</w:t>
            </w:r>
            <w:r>
              <w:rPr>
                <w:rFonts w:ascii="Times New Roman" w:eastAsia="Times New Roman" w:hAnsi="Times New Roman" w:cs="Times New Roman"/>
                <w:b/>
                <w:bCs/>
                <w:sz w:val="20"/>
                <w:szCs w:val="20"/>
              </w:rPr>
              <w:t>*</w:t>
            </w:r>
          </w:p>
        </w:tc>
        <w:tc>
          <w:tcPr>
            <w:tcW w:w="1620" w:type="dxa"/>
            <w:shd w:val="clear" w:color="000000" w:fill="FFFFFF"/>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4 2019/2020</w:t>
            </w:r>
            <w:r>
              <w:rPr>
                <w:rFonts w:ascii="Times New Roman" w:eastAsia="Times New Roman" w:hAnsi="Times New Roman" w:cs="Times New Roman"/>
                <w:b/>
                <w:bCs/>
                <w:sz w:val="20"/>
                <w:szCs w:val="20"/>
              </w:rPr>
              <w:t>*</w:t>
            </w:r>
          </w:p>
        </w:tc>
        <w:tc>
          <w:tcPr>
            <w:tcW w:w="1620" w:type="dxa"/>
            <w:shd w:val="clear" w:color="000000" w:fill="FFFFFF"/>
            <w:vAlign w:val="bottom"/>
            <w:hideMark/>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5 2020/2021</w:t>
            </w:r>
            <w:r>
              <w:rPr>
                <w:rFonts w:ascii="Times New Roman" w:eastAsia="Times New Roman" w:hAnsi="Times New Roman" w:cs="Times New Roman"/>
                <w:b/>
                <w:bCs/>
                <w:sz w:val="20"/>
                <w:szCs w:val="20"/>
              </w:rPr>
              <w:t>*</w:t>
            </w:r>
          </w:p>
        </w:tc>
      </w:tr>
      <w:tr w:rsidR="006C2DBA" w:rsidRPr="00C1694A" w:rsidTr="00D23898">
        <w:trPr>
          <w:trHeight w:val="152"/>
        </w:trPr>
        <w:tc>
          <w:tcPr>
            <w:tcW w:w="9990" w:type="dxa"/>
            <w:gridSpan w:val="6"/>
            <w:shd w:val="clear" w:color="auto" w:fill="auto"/>
            <w:vAlign w:val="bottom"/>
            <w:hideMark/>
          </w:tcPr>
          <w:p w:rsidR="006C2DBA" w:rsidRPr="00C1694A" w:rsidRDefault="006C2DBA" w:rsidP="00B609C0">
            <w:pPr>
              <w:spacing w:after="0" w:line="240" w:lineRule="auto"/>
              <w:rPr>
                <w:rFonts w:ascii="Times New Roman" w:eastAsia="Times New Roman" w:hAnsi="Times New Roman" w:cs="Times New Roman"/>
                <w:sz w:val="20"/>
                <w:szCs w:val="20"/>
              </w:rPr>
            </w:pPr>
            <w:r w:rsidRPr="00C1694A">
              <w:rPr>
                <w:rFonts w:ascii="Times New Roman" w:eastAsia="Times New Roman" w:hAnsi="Times New Roman" w:cs="Times New Roman"/>
                <w:b/>
                <w:sz w:val="20"/>
                <w:szCs w:val="20"/>
              </w:rPr>
              <w:t>Share of Costs</w:t>
            </w:r>
            <w:r>
              <w:rPr>
                <w:rFonts w:ascii="Times New Roman" w:eastAsia="Times New Roman" w:hAnsi="Times New Roman" w:cs="Times New Roman"/>
                <w:b/>
                <w:sz w:val="20"/>
                <w:szCs w:val="20"/>
              </w:rPr>
              <w:t xml:space="preserve">,  </w:t>
            </w:r>
            <w:r>
              <w:rPr>
                <w:rFonts w:ascii="Times New Roman" w:eastAsia="Times New Roman" w:hAnsi="Times New Roman" w:cs="Times New Roman"/>
                <w:b/>
                <w:i/>
                <w:sz w:val="20"/>
                <w:szCs w:val="20"/>
              </w:rPr>
              <w:t>Including</w:t>
            </w:r>
            <w:r>
              <w:rPr>
                <w:rFonts w:ascii="Times New Roman" w:eastAsia="Times New Roman" w:hAnsi="Times New Roman" w:cs="Times New Roman"/>
                <w:b/>
                <w:sz w:val="20"/>
                <w:szCs w:val="20"/>
              </w:rPr>
              <w:t xml:space="preserve"> </w:t>
            </w:r>
            <w:r>
              <w:rPr>
                <w:rFonts w:ascii="Times New Roman" w:eastAsia="Times New Roman" w:hAnsi="Times New Roman" w:cs="Times New Roman"/>
                <w:b/>
                <w:i/>
                <w:sz w:val="20"/>
                <w:szCs w:val="20"/>
              </w:rPr>
              <w:t xml:space="preserve">FY 2016 Funding Appropriated for Duration Increases </w:t>
            </w:r>
          </w:p>
        </w:tc>
      </w:tr>
      <w:tr w:rsidR="006C2DBA" w:rsidRPr="00C1694A" w:rsidTr="00DC5146">
        <w:trPr>
          <w:trHeight w:val="269"/>
        </w:trPr>
        <w:tc>
          <w:tcPr>
            <w:tcW w:w="2610" w:type="dxa"/>
            <w:shd w:val="clear" w:color="000000" w:fill="FFFFFF"/>
            <w:vAlign w:val="bottom"/>
            <w:hideMark/>
          </w:tcPr>
          <w:p w:rsidR="006C2DBA" w:rsidRPr="00C1694A" w:rsidRDefault="006C2DBA" w:rsidP="00DC5146">
            <w:pPr>
              <w:spacing w:after="0" w:line="240" w:lineRule="auto"/>
              <w:jc w:val="right"/>
              <w:rPr>
                <w:rFonts w:ascii="Times New Roman" w:eastAsia="Times New Roman" w:hAnsi="Times New Roman" w:cs="Times New Roman"/>
                <w:i/>
                <w:sz w:val="20"/>
                <w:szCs w:val="20"/>
              </w:rPr>
            </w:pPr>
            <w:r w:rsidRPr="00C1694A">
              <w:rPr>
                <w:rFonts w:ascii="Times New Roman" w:eastAsia="Times New Roman" w:hAnsi="Times New Roman" w:cs="Times New Roman"/>
                <w:i/>
                <w:sz w:val="20"/>
                <w:szCs w:val="20"/>
              </w:rPr>
              <w:t>HS</w:t>
            </w:r>
          </w:p>
        </w:tc>
        <w:tc>
          <w:tcPr>
            <w:tcW w:w="1350" w:type="dxa"/>
            <w:shd w:val="clear" w:color="auto" w:fill="auto"/>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$0</w:t>
            </w:r>
          </w:p>
        </w:tc>
        <w:tc>
          <w:tcPr>
            <w:tcW w:w="1440" w:type="dxa"/>
            <w:shd w:val="clear" w:color="000000" w:fill="FFFFFF"/>
            <w:vAlign w:val="bottom"/>
            <w:hideMark/>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$105,964,210</w:t>
            </w:r>
          </w:p>
        </w:tc>
        <w:tc>
          <w:tcPr>
            <w:tcW w:w="1350" w:type="dxa"/>
            <w:shd w:val="clear" w:color="auto" w:fill="auto"/>
            <w:vAlign w:val="bottom"/>
            <w:hideMark/>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$188,593,130</w:t>
            </w:r>
          </w:p>
        </w:tc>
        <w:tc>
          <w:tcPr>
            <w:tcW w:w="1620" w:type="dxa"/>
            <w:shd w:val="clear" w:color="auto" w:fill="auto"/>
            <w:vAlign w:val="bottom"/>
            <w:hideMark/>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$350,403,218</w:t>
            </w:r>
          </w:p>
        </w:tc>
        <w:tc>
          <w:tcPr>
            <w:tcW w:w="1620" w:type="dxa"/>
            <w:shd w:val="clear" w:color="auto" w:fill="auto"/>
            <w:vAlign w:val="bottom"/>
            <w:hideMark/>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$455,190,660</w:t>
            </w:r>
          </w:p>
        </w:tc>
      </w:tr>
      <w:tr w:rsidR="006C2DBA" w:rsidRPr="00C1694A" w:rsidTr="00D23898">
        <w:trPr>
          <w:trHeight w:val="260"/>
        </w:trPr>
        <w:tc>
          <w:tcPr>
            <w:tcW w:w="2610" w:type="dxa"/>
            <w:shd w:val="clear" w:color="000000" w:fill="FFFFFF"/>
            <w:vAlign w:val="bottom"/>
            <w:hideMark/>
          </w:tcPr>
          <w:p w:rsidR="006C2DBA" w:rsidRPr="00C1694A" w:rsidRDefault="006C2DBA" w:rsidP="00DC5146">
            <w:pPr>
              <w:spacing w:after="0" w:line="240" w:lineRule="auto"/>
              <w:jc w:val="right"/>
              <w:rPr>
                <w:rFonts w:ascii="Times New Roman" w:eastAsia="Times New Roman" w:hAnsi="Times New Roman" w:cs="Times New Roman"/>
                <w:i/>
                <w:sz w:val="20"/>
                <w:szCs w:val="20"/>
              </w:rPr>
            </w:pPr>
            <w:r w:rsidRPr="00C1694A">
              <w:rPr>
                <w:rFonts w:ascii="Times New Roman" w:eastAsia="Times New Roman" w:hAnsi="Times New Roman" w:cs="Times New Roman"/>
                <w:i/>
                <w:sz w:val="20"/>
                <w:szCs w:val="20"/>
              </w:rPr>
              <w:t>EHS</w:t>
            </w:r>
          </w:p>
        </w:tc>
        <w:tc>
          <w:tcPr>
            <w:tcW w:w="1350" w:type="dxa"/>
            <w:shd w:val="clear" w:color="auto" w:fill="auto"/>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$0</w:t>
            </w:r>
          </w:p>
        </w:tc>
        <w:tc>
          <w:tcPr>
            <w:tcW w:w="1440" w:type="dxa"/>
            <w:shd w:val="clear" w:color="auto" w:fill="auto"/>
            <w:vAlign w:val="bottom"/>
            <w:hideMark/>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$28,673,236</w:t>
            </w:r>
          </w:p>
        </w:tc>
        <w:tc>
          <w:tcPr>
            <w:tcW w:w="1350" w:type="dxa"/>
            <w:shd w:val="clear" w:color="auto" w:fill="auto"/>
            <w:vAlign w:val="bottom"/>
            <w:hideMark/>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$44,646,846</w:t>
            </w:r>
          </w:p>
        </w:tc>
        <w:tc>
          <w:tcPr>
            <w:tcW w:w="1620" w:type="dxa"/>
            <w:shd w:val="clear" w:color="auto" w:fill="auto"/>
            <w:vAlign w:val="bottom"/>
            <w:hideMark/>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$28,503,144</w:t>
            </w:r>
          </w:p>
        </w:tc>
        <w:tc>
          <w:tcPr>
            <w:tcW w:w="1620" w:type="dxa"/>
            <w:shd w:val="clear" w:color="auto" w:fill="auto"/>
            <w:vAlign w:val="bottom"/>
            <w:hideMark/>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$48,760,382</w:t>
            </w:r>
          </w:p>
        </w:tc>
      </w:tr>
      <w:tr w:rsidR="006C2DBA" w:rsidRPr="00C1694A" w:rsidTr="00D23898">
        <w:trPr>
          <w:trHeight w:val="285"/>
        </w:trPr>
        <w:tc>
          <w:tcPr>
            <w:tcW w:w="9990" w:type="dxa"/>
            <w:gridSpan w:val="6"/>
            <w:shd w:val="clear" w:color="auto" w:fill="auto"/>
            <w:vAlign w:val="bottom"/>
            <w:hideMark/>
          </w:tcPr>
          <w:p w:rsidR="006C2DBA" w:rsidRPr="00C1694A" w:rsidRDefault="006C2DBA" w:rsidP="00DC5146">
            <w:pPr>
              <w:spacing w:after="0" w:line="240" w:lineRule="auto"/>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Potential Slot Loss</w:t>
            </w:r>
          </w:p>
        </w:tc>
      </w:tr>
      <w:tr w:rsidR="006C2DBA" w:rsidRPr="00C1694A" w:rsidTr="00202212">
        <w:trPr>
          <w:trHeight w:val="278"/>
        </w:trPr>
        <w:tc>
          <w:tcPr>
            <w:tcW w:w="2610" w:type="dxa"/>
            <w:shd w:val="clear" w:color="auto" w:fill="auto"/>
            <w:vAlign w:val="bottom"/>
            <w:hideMark/>
          </w:tcPr>
          <w:p w:rsidR="006C2DBA" w:rsidRPr="00C1694A" w:rsidRDefault="006C2DBA" w:rsidP="00DC5146">
            <w:pPr>
              <w:spacing w:after="0" w:line="240" w:lineRule="auto"/>
              <w:jc w:val="right"/>
              <w:rPr>
                <w:rFonts w:ascii="Times New Roman" w:eastAsia="Times New Roman" w:hAnsi="Times New Roman" w:cs="Times New Roman"/>
                <w:i/>
                <w:sz w:val="20"/>
                <w:szCs w:val="20"/>
              </w:rPr>
            </w:pPr>
            <w:r w:rsidRPr="00C1694A">
              <w:rPr>
                <w:rFonts w:ascii="Times New Roman" w:eastAsia="Times New Roman" w:hAnsi="Times New Roman" w:cs="Times New Roman"/>
                <w:i/>
                <w:sz w:val="20"/>
                <w:szCs w:val="20"/>
              </w:rPr>
              <w:t>HS</w:t>
            </w:r>
          </w:p>
        </w:tc>
        <w:tc>
          <w:tcPr>
            <w:tcW w:w="1350" w:type="dxa"/>
            <w:shd w:val="clear" w:color="auto" w:fill="auto"/>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0</w:t>
            </w:r>
          </w:p>
        </w:tc>
        <w:tc>
          <w:tcPr>
            <w:tcW w:w="144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13,188</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23,471</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43,610</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56,651</w:t>
            </w:r>
          </w:p>
        </w:tc>
      </w:tr>
      <w:tr w:rsidR="006C2DBA" w:rsidRPr="00C1694A" w:rsidTr="00202212">
        <w:trPr>
          <w:trHeight w:val="251"/>
        </w:trPr>
        <w:tc>
          <w:tcPr>
            <w:tcW w:w="2610" w:type="dxa"/>
            <w:shd w:val="clear" w:color="auto" w:fill="auto"/>
            <w:vAlign w:val="bottom"/>
            <w:hideMark/>
          </w:tcPr>
          <w:p w:rsidR="006C2DBA" w:rsidRPr="00C1694A" w:rsidRDefault="006C2DBA" w:rsidP="00DC5146">
            <w:pPr>
              <w:spacing w:after="0" w:line="240" w:lineRule="auto"/>
              <w:jc w:val="right"/>
              <w:rPr>
                <w:rFonts w:ascii="Times New Roman" w:eastAsia="Times New Roman" w:hAnsi="Times New Roman" w:cs="Times New Roman"/>
                <w:i/>
                <w:sz w:val="20"/>
                <w:szCs w:val="20"/>
              </w:rPr>
            </w:pPr>
            <w:r w:rsidRPr="00C1694A">
              <w:rPr>
                <w:rFonts w:ascii="Times New Roman" w:eastAsia="Times New Roman" w:hAnsi="Times New Roman" w:cs="Times New Roman"/>
                <w:i/>
                <w:sz w:val="20"/>
                <w:szCs w:val="20"/>
              </w:rPr>
              <w:t>EHS</w:t>
            </w:r>
          </w:p>
        </w:tc>
        <w:tc>
          <w:tcPr>
            <w:tcW w:w="1350" w:type="dxa"/>
            <w:shd w:val="clear" w:color="auto" w:fill="auto"/>
            <w:vAlign w:val="bottom"/>
            <w:hideMark/>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0</w:t>
            </w:r>
          </w:p>
        </w:tc>
        <w:tc>
          <w:tcPr>
            <w:tcW w:w="144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2,352</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3,663</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2,338</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4,000</w:t>
            </w:r>
          </w:p>
        </w:tc>
      </w:tr>
      <w:tr w:rsidR="006C2DBA" w:rsidRPr="00C1694A" w:rsidTr="00202212">
        <w:trPr>
          <w:trHeight w:val="251"/>
        </w:trPr>
        <w:tc>
          <w:tcPr>
            <w:tcW w:w="2610" w:type="dxa"/>
            <w:shd w:val="clear" w:color="auto" w:fill="auto"/>
            <w:vAlign w:val="bottom"/>
            <w:hideMark/>
          </w:tcPr>
          <w:p w:rsidR="006C2DBA" w:rsidRPr="00C1694A" w:rsidRDefault="006C2DBA" w:rsidP="00DC5146">
            <w:pPr>
              <w:spacing w:after="0" w:line="240" w:lineRule="auto"/>
              <w:jc w:val="right"/>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Total</w:t>
            </w:r>
          </w:p>
        </w:tc>
        <w:tc>
          <w:tcPr>
            <w:tcW w:w="1350" w:type="dxa"/>
            <w:shd w:val="clear" w:color="auto" w:fill="auto"/>
            <w:vAlign w:val="bottom"/>
            <w:hideMark/>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0</w:t>
            </w:r>
          </w:p>
        </w:tc>
        <w:tc>
          <w:tcPr>
            <w:tcW w:w="144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15,540</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27,134</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45,948</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60,651</w:t>
            </w:r>
          </w:p>
        </w:tc>
      </w:tr>
      <w:tr w:rsidR="006C2DBA" w:rsidRPr="00C1694A" w:rsidTr="00D23898">
        <w:trPr>
          <w:trHeight w:val="170"/>
        </w:trPr>
        <w:tc>
          <w:tcPr>
            <w:tcW w:w="261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bCs/>
                <w:sz w:val="20"/>
                <w:szCs w:val="20"/>
              </w:rPr>
            </w:pPr>
            <w:r w:rsidRPr="00C1694A">
              <w:rPr>
                <w:rFonts w:ascii="Times New Roman" w:eastAsia="Times New Roman" w:hAnsi="Times New Roman" w:cs="Times New Roman"/>
                <w:sz w:val="20"/>
                <w:szCs w:val="20"/>
              </w:rPr>
              <w:t> </w:t>
            </w:r>
          </w:p>
        </w:tc>
        <w:tc>
          <w:tcPr>
            <w:tcW w:w="1350" w:type="dxa"/>
            <w:shd w:val="clear" w:color="auto" w:fill="auto"/>
            <w:vAlign w:val="bottom"/>
          </w:tcPr>
          <w:p w:rsidR="006C2DBA" w:rsidRPr="00C1694A" w:rsidRDefault="006C2DBA" w:rsidP="00DC5146">
            <w:pPr>
              <w:spacing w:after="0" w:line="240" w:lineRule="auto"/>
              <w:jc w:val="center"/>
              <w:rPr>
                <w:rFonts w:ascii="Times New Roman" w:eastAsia="Times New Roman" w:hAnsi="Times New Roman" w:cs="Times New Roman"/>
                <w:b/>
                <w:sz w:val="20"/>
                <w:szCs w:val="20"/>
              </w:rPr>
            </w:pPr>
            <w:r w:rsidRPr="00C1694A">
              <w:rPr>
                <w:rFonts w:ascii="Times New Roman" w:eastAsia="Times New Roman" w:hAnsi="Times New Roman" w:cs="Times New Roman"/>
                <w:b/>
                <w:bCs/>
                <w:sz w:val="20"/>
                <w:szCs w:val="20"/>
              </w:rPr>
              <w:t>Year 6 2021/2022</w:t>
            </w:r>
            <w:r>
              <w:rPr>
                <w:rFonts w:ascii="Times New Roman" w:eastAsia="Times New Roman" w:hAnsi="Times New Roman" w:cs="Times New Roman"/>
                <w:b/>
                <w:bCs/>
                <w:sz w:val="20"/>
                <w:szCs w:val="20"/>
              </w:rPr>
              <w:t>*</w:t>
            </w:r>
          </w:p>
        </w:tc>
        <w:tc>
          <w:tcPr>
            <w:tcW w:w="1440" w:type="dxa"/>
            <w:shd w:val="clear" w:color="auto" w:fill="auto"/>
            <w:vAlign w:val="bottom"/>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7 2022/2023</w:t>
            </w:r>
            <w:r>
              <w:rPr>
                <w:rFonts w:ascii="Times New Roman" w:eastAsia="Times New Roman" w:hAnsi="Times New Roman" w:cs="Times New Roman"/>
                <w:b/>
                <w:bCs/>
                <w:sz w:val="20"/>
                <w:szCs w:val="20"/>
              </w:rPr>
              <w:t>*</w:t>
            </w:r>
          </w:p>
        </w:tc>
        <w:tc>
          <w:tcPr>
            <w:tcW w:w="1350" w:type="dxa"/>
            <w:shd w:val="clear" w:color="auto" w:fill="auto"/>
            <w:vAlign w:val="bottom"/>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8 2023/2024</w:t>
            </w:r>
            <w:r>
              <w:rPr>
                <w:rFonts w:ascii="Times New Roman" w:eastAsia="Times New Roman" w:hAnsi="Times New Roman" w:cs="Times New Roman"/>
                <w:b/>
                <w:bCs/>
                <w:sz w:val="20"/>
                <w:szCs w:val="20"/>
              </w:rPr>
              <w:t>*</w:t>
            </w:r>
          </w:p>
        </w:tc>
        <w:tc>
          <w:tcPr>
            <w:tcW w:w="1620" w:type="dxa"/>
            <w:shd w:val="clear" w:color="auto" w:fill="auto"/>
            <w:vAlign w:val="bottom"/>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9 2024/2025</w:t>
            </w:r>
            <w:r>
              <w:rPr>
                <w:rFonts w:ascii="Times New Roman" w:eastAsia="Times New Roman" w:hAnsi="Times New Roman" w:cs="Times New Roman"/>
                <w:b/>
                <w:bCs/>
                <w:sz w:val="20"/>
                <w:szCs w:val="20"/>
              </w:rPr>
              <w:t>*</w:t>
            </w:r>
          </w:p>
        </w:tc>
        <w:tc>
          <w:tcPr>
            <w:tcW w:w="1620" w:type="dxa"/>
            <w:shd w:val="clear" w:color="auto" w:fill="auto"/>
            <w:vAlign w:val="bottom"/>
          </w:tcPr>
          <w:p w:rsidR="006C2DBA" w:rsidRPr="00C1694A" w:rsidRDefault="006C2DBA" w:rsidP="00DC5146">
            <w:pPr>
              <w:spacing w:after="0" w:line="240" w:lineRule="auto"/>
              <w:jc w:val="center"/>
              <w:rPr>
                <w:rFonts w:ascii="Times New Roman" w:eastAsia="Times New Roman" w:hAnsi="Times New Roman" w:cs="Times New Roman"/>
                <w:b/>
                <w:bCs/>
                <w:sz w:val="20"/>
                <w:szCs w:val="20"/>
              </w:rPr>
            </w:pPr>
            <w:r w:rsidRPr="00C1694A">
              <w:rPr>
                <w:rFonts w:ascii="Times New Roman" w:eastAsia="Times New Roman" w:hAnsi="Times New Roman" w:cs="Times New Roman"/>
                <w:b/>
                <w:bCs/>
                <w:sz w:val="20"/>
                <w:szCs w:val="20"/>
              </w:rPr>
              <w:t>Year 10 2025/2026</w:t>
            </w:r>
            <w:r>
              <w:rPr>
                <w:rFonts w:ascii="Times New Roman" w:eastAsia="Times New Roman" w:hAnsi="Times New Roman" w:cs="Times New Roman"/>
                <w:b/>
                <w:bCs/>
                <w:sz w:val="20"/>
                <w:szCs w:val="20"/>
              </w:rPr>
              <w:t>*</w:t>
            </w:r>
          </w:p>
        </w:tc>
      </w:tr>
      <w:tr w:rsidR="006C2DBA" w:rsidRPr="00C1694A" w:rsidTr="00D23898">
        <w:trPr>
          <w:trHeight w:val="170"/>
        </w:trPr>
        <w:tc>
          <w:tcPr>
            <w:tcW w:w="9990" w:type="dxa"/>
            <w:gridSpan w:val="6"/>
            <w:shd w:val="clear" w:color="auto" w:fill="auto"/>
            <w:vAlign w:val="bottom"/>
          </w:tcPr>
          <w:p w:rsidR="006C2DBA" w:rsidRPr="00C1694A" w:rsidRDefault="006C2DBA" w:rsidP="00DC5146">
            <w:pPr>
              <w:spacing w:after="0" w:line="240" w:lineRule="auto"/>
              <w:rPr>
                <w:rFonts w:ascii="Times New Roman" w:eastAsia="Times New Roman" w:hAnsi="Times New Roman" w:cs="Times New Roman"/>
                <w:sz w:val="20"/>
                <w:szCs w:val="20"/>
              </w:rPr>
            </w:pPr>
            <w:r w:rsidRPr="00C1694A">
              <w:rPr>
                <w:rFonts w:ascii="Times New Roman" w:eastAsia="Times New Roman" w:hAnsi="Times New Roman" w:cs="Times New Roman"/>
                <w:b/>
                <w:sz w:val="20"/>
                <w:szCs w:val="20"/>
              </w:rPr>
              <w:t>Share of Costs</w:t>
            </w:r>
            <w:r>
              <w:rPr>
                <w:rFonts w:ascii="Times New Roman" w:eastAsia="Times New Roman" w:hAnsi="Times New Roman" w:cs="Times New Roman"/>
                <w:b/>
                <w:sz w:val="20"/>
                <w:szCs w:val="20"/>
              </w:rPr>
              <w:t xml:space="preserve"> </w:t>
            </w:r>
            <w:r>
              <w:rPr>
                <w:rFonts w:ascii="Times New Roman" w:eastAsia="Times New Roman" w:hAnsi="Times New Roman" w:cs="Times New Roman"/>
                <w:b/>
                <w:i/>
                <w:sz w:val="20"/>
                <w:szCs w:val="20"/>
              </w:rPr>
              <w:t>Including</w:t>
            </w:r>
            <w:r>
              <w:rPr>
                <w:rFonts w:ascii="Times New Roman" w:eastAsia="Times New Roman" w:hAnsi="Times New Roman" w:cs="Times New Roman"/>
                <w:b/>
                <w:sz w:val="20"/>
                <w:szCs w:val="20"/>
              </w:rPr>
              <w:t xml:space="preserve"> </w:t>
            </w:r>
            <w:r>
              <w:rPr>
                <w:rFonts w:ascii="Times New Roman" w:eastAsia="Times New Roman" w:hAnsi="Times New Roman" w:cs="Times New Roman"/>
                <w:b/>
                <w:i/>
                <w:sz w:val="20"/>
                <w:szCs w:val="20"/>
              </w:rPr>
              <w:t>FY 2016 Funding Appropriated for Duration Increases</w:t>
            </w:r>
          </w:p>
        </w:tc>
      </w:tr>
      <w:tr w:rsidR="006C2DBA" w:rsidRPr="00C1694A" w:rsidTr="00D23898">
        <w:trPr>
          <w:trHeight w:val="170"/>
        </w:trPr>
        <w:tc>
          <w:tcPr>
            <w:tcW w:w="261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i/>
                <w:sz w:val="20"/>
                <w:szCs w:val="20"/>
              </w:rPr>
              <w:t>HS</w:t>
            </w:r>
          </w:p>
        </w:tc>
        <w:tc>
          <w:tcPr>
            <w:tcW w:w="135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$971,741,327</w:t>
            </w:r>
          </w:p>
        </w:tc>
        <w:tc>
          <w:tcPr>
            <w:tcW w:w="144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$972,486,346</w:t>
            </w:r>
          </w:p>
        </w:tc>
        <w:tc>
          <w:tcPr>
            <w:tcW w:w="135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$973,835,238</w:t>
            </w:r>
          </w:p>
        </w:tc>
        <w:tc>
          <w:tcPr>
            <w:tcW w:w="162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b/>
                <w:bCs/>
                <w:sz w:val="20"/>
                <w:szCs w:val="20"/>
              </w:rPr>
            </w:pPr>
            <w:r w:rsidRPr="00C1694A">
              <w:rPr>
                <w:rFonts w:ascii="Times New Roman" w:eastAsia="Times New Roman" w:hAnsi="Times New Roman" w:cs="Times New Roman"/>
                <w:sz w:val="20"/>
                <w:szCs w:val="20"/>
              </w:rPr>
              <w:t xml:space="preserve"> $974,263,621</w:t>
            </w:r>
          </w:p>
        </w:tc>
        <w:tc>
          <w:tcPr>
            <w:tcW w:w="162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b/>
                <w:bCs/>
                <w:sz w:val="20"/>
                <w:szCs w:val="20"/>
              </w:rPr>
            </w:pPr>
            <w:r w:rsidRPr="00C1694A">
              <w:rPr>
                <w:rFonts w:ascii="Times New Roman" w:eastAsia="Times New Roman" w:hAnsi="Times New Roman" w:cs="Times New Roman"/>
                <w:sz w:val="20"/>
                <w:szCs w:val="20"/>
              </w:rPr>
              <w:t xml:space="preserve"> $974,050,651</w:t>
            </w:r>
          </w:p>
        </w:tc>
      </w:tr>
      <w:tr w:rsidR="006C2DBA" w:rsidRPr="00C1694A" w:rsidTr="00D23898">
        <w:trPr>
          <w:trHeight w:val="170"/>
        </w:trPr>
        <w:tc>
          <w:tcPr>
            <w:tcW w:w="261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i/>
                <w:sz w:val="20"/>
                <w:szCs w:val="20"/>
              </w:rPr>
            </w:pPr>
            <w:r w:rsidRPr="00C1694A">
              <w:rPr>
                <w:rFonts w:ascii="Times New Roman" w:eastAsia="Times New Roman" w:hAnsi="Times New Roman" w:cs="Times New Roman"/>
                <w:i/>
                <w:sz w:val="20"/>
                <w:szCs w:val="20"/>
              </w:rPr>
              <w:t>EHS</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$28,655,562</w:t>
            </w:r>
          </w:p>
        </w:tc>
        <w:tc>
          <w:tcPr>
            <w:tcW w:w="144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$28,799,587</w:t>
            </w:r>
          </w:p>
        </w:tc>
        <w:tc>
          <w:tcPr>
            <w:tcW w:w="135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$29,060,351</w:t>
            </w:r>
          </w:p>
        </w:tc>
        <w:tc>
          <w:tcPr>
            <w:tcW w:w="162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$29,143,165 </w:t>
            </w:r>
          </w:p>
        </w:tc>
        <w:tc>
          <w:tcPr>
            <w:tcW w:w="1620" w:type="dxa"/>
            <w:shd w:val="clear" w:color="auto" w:fill="auto"/>
            <w:vAlign w:val="bottom"/>
          </w:tcPr>
          <w:p w:rsidR="006C2DBA" w:rsidRPr="00C1694A" w:rsidRDefault="006C2DBA" w:rsidP="00202212">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 xml:space="preserve"> $29,101,994</w:t>
            </w:r>
          </w:p>
        </w:tc>
      </w:tr>
      <w:tr w:rsidR="006C2DBA" w:rsidRPr="00C1694A" w:rsidTr="00D23898">
        <w:trPr>
          <w:trHeight w:val="170"/>
        </w:trPr>
        <w:tc>
          <w:tcPr>
            <w:tcW w:w="9990" w:type="dxa"/>
            <w:gridSpan w:val="6"/>
            <w:shd w:val="clear" w:color="auto" w:fill="auto"/>
            <w:vAlign w:val="bottom"/>
          </w:tcPr>
          <w:p w:rsidR="006C2DBA" w:rsidRPr="00C1694A" w:rsidRDefault="006C2DBA" w:rsidP="00DC5146">
            <w:pPr>
              <w:spacing w:after="0" w:line="240" w:lineRule="auto"/>
              <w:rPr>
                <w:rFonts w:ascii="Times New Roman" w:eastAsia="Times New Roman" w:hAnsi="Times New Roman" w:cs="Times New Roman"/>
                <w:sz w:val="20"/>
                <w:szCs w:val="20"/>
              </w:rPr>
            </w:pPr>
            <w:r w:rsidRPr="00C1694A">
              <w:rPr>
                <w:rFonts w:ascii="Times New Roman" w:eastAsia="Times New Roman" w:hAnsi="Times New Roman" w:cs="Times New Roman"/>
                <w:b/>
                <w:sz w:val="20"/>
                <w:szCs w:val="20"/>
              </w:rPr>
              <w:t>Potential Slot Loss</w:t>
            </w:r>
          </w:p>
        </w:tc>
      </w:tr>
      <w:tr w:rsidR="006C2DBA" w:rsidRPr="00C1694A" w:rsidTr="00D23898">
        <w:trPr>
          <w:trHeight w:val="170"/>
        </w:trPr>
        <w:tc>
          <w:tcPr>
            <w:tcW w:w="261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i/>
                <w:sz w:val="20"/>
                <w:szCs w:val="20"/>
              </w:rPr>
              <w:t>HS</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120,939</w:t>
            </w:r>
          </w:p>
        </w:tc>
        <w:tc>
          <w:tcPr>
            <w:tcW w:w="144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121,031</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121,199</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121,252</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121,226</w:t>
            </w:r>
          </w:p>
        </w:tc>
      </w:tr>
      <w:tr w:rsidR="006C2DBA" w:rsidRPr="00C1694A" w:rsidTr="00D23898">
        <w:trPr>
          <w:trHeight w:val="170"/>
        </w:trPr>
        <w:tc>
          <w:tcPr>
            <w:tcW w:w="261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i/>
                <w:sz w:val="20"/>
                <w:szCs w:val="20"/>
              </w:rPr>
            </w:pPr>
            <w:r w:rsidRPr="00C1694A">
              <w:rPr>
                <w:rFonts w:ascii="Times New Roman" w:eastAsia="Times New Roman" w:hAnsi="Times New Roman" w:cs="Times New Roman"/>
                <w:i/>
                <w:sz w:val="20"/>
                <w:szCs w:val="20"/>
              </w:rPr>
              <w:t>EHS</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2,351</w:t>
            </w:r>
          </w:p>
        </w:tc>
        <w:tc>
          <w:tcPr>
            <w:tcW w:w="144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2,363</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2,384</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2,391</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sz w:val="20"/>
                <w:szCs w:val="20"/>
              </w:rPr>
            </w:pPr>
            <w:r w:rsidRPr="00C1694A">
              <w:rPr>
                <w:rFonts w:ascii="Times New Roman" w:eastAsia="Times New Roman" w:hAnsi="Times New Roman" w:cs="Times New Roman"/>
                <w:sz w:val="20"/>
                <w:szCs w:val="20"/>
              </w:rPr>
              <w:t>2,388</w:t>
            </w:r>
          </w:p>
        </w:tc>
      </w:tr>
      <w:tr w:rsidR="006C2DBA" w:rsidRPr="00C1694A" w:rsidTr="00D23898">
        <w:trPr>
          <w:trHeight w:val="170"/>
        </w:trPr>
        <w:tc>
          <w:tcPr>
            <w:tcW w:w="261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i/>
                <w:sz w:val="20"/>
                <w:szCs w:val="20"/>
              </w:rPr>
            </w:pPr>
            <w:r w:rsidRPr="00C1694A">
              <w:rPr>
                <w:rFonts w:ascii="Times New Roman" w:eastAsia="Times New Roman" w:hAnsi="Times New Roman" w:cs="Times New Roman"/>
                <w:b/>
                <w:bCs/>
                <w:sz w:val="20"/>
                <w:szCs w:val="20"/>
              </w:rPr>
              <w:t>Total</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123,289</w:t>
            </w:r>
          </w:p>
        </w:tc>
        <w:tc>
          <w:tcPr>
            <w:tcW w:w="144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123,394</w:t>
            </w:r>
          </w:p>
        </w:tc>
        <w:tc>
          <w:tcPr>
            <w:tcW w:w="135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123,583</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123,643</w:t>
            </w:r>
          </w:p>
        </w:tc>
        <w:tc>
          <w:tcPr>
            <w:tcW w:w="1620" w:type="dxa"/>
            <w:shd w:val="clear" w:color="auto" w:fill="auto"/>
            <w:vAlign w:val="bottom"/>
          </w:tcPr>
          <w:p w:rsidR="006C2DBA" w:rsidRPr="00C1694A" w:rsidRDefault="006C2DBA" w:rsidP="00DC5146">
            <w:pPr>
              <w:spacing w:after="0" w:line="240" w:lineRule="auto"/>
              <w:jc w:val="right"/>
              <w:rPr>
                <w:rFonts w:ascii="Times New Roman" w:eastAsia="Times New Roman" w:hAnsi="Times New Roman" w:cs="Times New Roman"/>
                <w:b/>
                <w:sz w:val="20"/>
                <w:szCs w:val="20"/>
              </w:rPr>
            </w:pPr>
            <w:r w:rsidRPr="00C1694A">
              <w:rPr>
                <w:rFonts w:ascii="Times New Roman" w:eastAsia="Times New Roman" w:hAnsi="Times New Roman" w:cs="Times New Roman"/>
                <w:b/>
                <w:sz w:val="20"/>
                <w:szCs w:val="20"/>
              </w:rPr>
              <w:t>123,614</w:t>
            </w:r>
          </w:p>
        </w:tc>
      </w:tr>
    </w:tbl>
    <w:p w:rsidR="006C2DBA" w:rsidRPr="001A5CB8" w:rsidRDefault="006C2DBA" w:rsidP="007259C9">
      <w:pPr>
        <w:spacing w:after="0" w:line="240" w:lineRule="auto"/>
        <w:rPr>
          <w:rFonts w:ascii="Times New Roman" w:hAnsi="Times New Roman" w:cs="Times New Roman"/>
          <w:sz w:val="16"/>
          <w:szCs w:val="16"/>
        </w:rPr>
      </w:pPr>
      <w:r w:rsidRPr="001A5CB8">
        <w:rPr>
          <w:rFonts w:ascii="Times New Roman" w:hAnsi="Times New Roman" w:cs="Times New Roman"/>
          <w:sz w:val="16"/>
          <w:szCs w:val="16"/>
        </w:rPr>
        <w:t xml:space="preserve">*Year ranges refer Head Start program years, which </w:t>
      </w:r>
      <w:r>
        <w:rPr>
          <w:rFonts w:ascii="Times New Roman" w:hAnsi="Times New Roman" w:cs="Times New Roman"/>
          <w:sz w:val="16"/>
          <w:szCs w:val="16"/>
        </w:rPr>
        <w:t>for</w:t>
      </w:r>
      <w:r w:rsidRPr="001A5CB8">
        <w:rPr>
          <w:rFonts w:ascii="Times New Roman" w:hAnsi="Times New Roman" w:cs="Times New Roman"/>
          <w:sz w:val="16"/>
          <w:szCs w:val="16"/>
        </w:rPr>
        <w:t xml:space="preserve"> these estimates, begin on August 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 xml:space="preserve"> of each year and end on or before July 31</w:t>
      </w:r>
      <w:r w:rsidRPr="001A5CB8">
        <w:rPr>
          <w:rFonts w:ascii="Times New Roman" w:hAnsi="Times New Roman" w:cs="Times New Roman"/>
          <w:sz w:val="16"/>
          <w:szCs w:val="16"/>
          <w:vertAlign w:val="superscript"/>
        </w:rPr>
        <w:t>st</w:t>
      </w:r>
      <w:r w:rsidRPr="001A5CB8">
        <w:rPr>
          <w:rFonts w:ascii="Times New Roman" w:hAnsi="Times New Roman" w:cs="Times New Roman"/>
          <w:sz w:val="16"/>
          <w:szCs w:val="16"/>
        </w:rPr>
        <w:t>.</w:t>
      </w:r>
    </w:p>
    <w:p w:rsidR="006C2DBA" w:rsidRPr="00302292" w:rsidRDefault="006C2DBA" w:rsidP="00331A7B">
      <w:pPr>
        <w:spacing w:after="0" w:line="240" w:lineRule="auto"/>
        <w:rPr>
          <w:rFonts w:ascii="Times New Roman" w:hAnsi="Times New Roman" w:cs="Times New Roman"/>
          <w:sz w:val="16"/>
          <w:szCs w:val="16"/>
        </w:rPr>
      </w:pPr>
      <w:r w:rsidRPr="00302292">
        <w:rPr>
          <w:rFonts w:ascii="Times New Roman" w:hAnsi="Times New Roman" w:cs="Times New Roman"/>
          <w:sz w:val="16"/>
          <w:szCs w:val="16"/>
        </w:rPr>
        <w:t>**The costs and slot loss estimates in this table take into account the $294 million appropriated for increased duration, and assume that this funding is applied beginning in Year 3 for Early Head Start and Year 4 for Head Start, when the initial duration requirement would be effective, and is maintained throughout the ten year window. This table also assumes that the share of HS and EHS slots is stable over time.</w:t>
      </w:r>
    </w:p>
    <w:p w:rsidR="006C2DBA" w:rsidRPr="00C1694A" w:rsidRDefault="006C2DBA" w:rsidP="00331A7B">
      <w:pPr>
        <w:spacing w:after="0" w:line="480" w:lineRule="auto"/>
        <w:ind w:firstLine="720"/>
        <w:rPr>
          <w:rFonts w:ascii="Times New Roman" w:hAnsi="Times New Roman" w:cs="Times New Roman"/>
          <w:sz w:val="24"/>
          <w:szCs w:val="24"/>
        </w:rPr>
      </w:pPr>
    </w:p>
    <w:p w:rsidR="006C2DBA" w:rsidRPr="00C1694A" w:rsidRDefault="006C2DBA" w:rsidP="00331A7B">
      <w:pPr>
        <w:spacing w:after="0" w:line="240" w:lineRule="auto"/>
        <w:rPr>
          <w:rFonts w:ascii="Times New Roman" w:hAnsi="Times New Roman" w:cs="Times New Roman"/>
          <w:b/>
          <w:sz w:val="24"/>
          <w:szCs w:val="24"/>
          <w:u w:val="single"/>
        </w:rPr>
      </w:pPr>
      <w:r w:rsidRPr="00C1694A">
        <w:rPr>
          <w:rFonts w:ascii="Times New Roman" w:hAnsi="Times New Roman" w:cs="Times New Roman"/>
          <w:b/>
          <w:sz w:val="24"/>
          <w:szCs w:val="24"/>
          <w:u w:val="single"/>
        </w:rPr>
        <w:t>Potential Education Staff Job Loss</w:t>
      </w:r>
    </w:p>
    <w:p w:rsidR="006C2DBA" w:rsidRPr="00C1694A" w:rsidRDefault="006C2DBA" w:rsidP="00331A7B">
      <w:pPr>
        <w:spacing w:after="0" w:line="240" w:lineRule="auto"/>
        <w:rPr>
          <w:rFonts w:ascii="Times New Roman" w:hAnsi="Times New Roman" w:cs="Times New Roman"/>
          <w:i/>
          <w:sz w:val="24"/>
          <w:szCs w:val="24"/>
          <w:u w:val="single"/>
        </w:rPr>
      </w:pP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order to estimate the total potential number of education staff jobs that may be lost if a slot reduction occurs as a result of full policy implementation without additional funding, we first reduced the costs of the rule borne by Head Start by the cost of eliminating the option for double sessions for Head Start and Early Head Start.  Double session programs typically have the same teacher operate a morning and afternoon session with different groups of children.  Therefore, we assume double session teachers would not lose their jobs, even if fewer children are served in those programs because they would teach one group of children for a longer session. We also assumed that the additional $294 million appropriated in FY 2016 will fully fund Early Head Start center-based duration increase (estimated at $30,878,060)</w:t>
      </w:r>
      <w:r>
        <w:rPr>
          <w:rFonts w:ascii="Times New Roman" w:hAnsi="Times New Roman" w:cs="Times New Roman"/>
          <w:sz w:val="24"/>
          <w:szCs w:val="24"/>
        </w:rPr>
        <w:t>.</w:t>
      </w:r>
      <w:r w:rsidRPr="00C1694A">
        <w:rPr>
          <w:rFonts w:ascii="Times New Roman" w:hAnsi="Times New Roman" w:cs="Times New Roman"/>
          <w:sz w:val="24"/>
          <w:szCs w:val="24"/>
        </w:rPr>
        <w:t xml:space="preserve"> To </w:t>
      </w:r>
      <w:r>
        <w:rPr>
          <w:rFonts w:ascii="Times New Roman" w:hAnsi="Times New Roman" w:cs="Times New Roman"/>
          <w:sz w:val="24"/>
          <w:szCs w:val="24"/>
        </w:rPr>
        <w:t>determine</w:t>
      </w:r>
      <w:r w:rsidRPr="00C1694A">
        <w:rPr>
          <w:rFonts w:ascii="Times New Roman" w:hAnsi="Times New Roman" w:cs="Times New Roman"/>
          <w:sz w:val="24"/>
          <w:szCs w:val="24"/>
        </w:rPr>
        <w:t xml:space="preserve"> the costs borne by Head Start (not including duration) that may be associated with education staff job loss for Early Head Start, we subtracted center-based duration costs from the total costs borne by Early Head Start programs ($59,980,054), which is $29,101,994.</w:t>
      </w:r>
    </w:p>
    <w:p w:rsidR="006C2DBA" w:rsidRPr="00C1694A" w:rsidRDefault="006C2DBA" w:rsidP="00331A7B">
      <w:pPr>
        <w:spacing w:after="0" w:line="480" w:lineRule="auto"/>
        <w:rPr>
          <w:rFonts w:ascii="Times New Roman" w:hAnsi="Times New Roman" w:cs="Times New Roman"/>
        </w:rPr>
      </w:pPr>
      <w:r w:rsidRPr="00C1694A">
        <w:rPr>
          <w:rFonts w:ascii="Times New Roman" w:hAnsi="Times New Roman" w:cs="Times New Roman"/>
          <w:sz w:val="24"/>
          <w:szCs w:val="24"/>
        </w:rPr>
        <w:tab/>
        <w:t>In order to estimate the education staff job loss for Head Start that would be associated with costs borne by Head Start programs, we assumed that an equal distribution of double session and non-double session Head Start center-based slots will be increased using supplemental duration funds out of the FY 2016 appropriation of $294</w:t>
      </w:r>
      <w:r>
        <w:rPr>
          <w:rFonts w:ascii="Times New Roman" w:hAnsi="Times New Roman" w:cs="Times New Roman"/>
          <w:sz w:val="24"/>
          <w:szCs w:val="24"/>
        </w:rPr>
        <w:t xml:space="preserve"> million</w:t>
      </w:r>
      <w:r w:rsidRPr="00C1694A">
        <w:rPr>
          <w:rFonts w:ascii="Times New Roman" w:hAnsi="Times New Roman" w:cs="Times New Roman"/>
          <w:sz w:val="24"/>
          <w:szCs w:val="24"/>
        </w:rPr>
        <w:t xml:space="preserve"> which will support all grantees providing 1,020 hours for at least one-third of their slots.  Based on this assumption, we divided the $263,121,940 appropriated in FY 2016 for duration (less the cost of the Early Head Start center-based duration increase) by two, which is $131,560,970. We then subtracted the $131,560,970 from the non-double session Head Start share of the total costs ($652,809,539) to find the cost of non-double session slots not supported by FY 2016 appropriations, which is $521,248,569.  Then, we divided the $521,248,569</w:t>
      </w:r>
      <w:r>
        <w:rPr>
          <w:rFonts w:ascii="Times New Roman" w:hAnsi="Times New Roman" w:cs="Times New Roman"/>
          <w:sz w:val="24"/>
          <w:szCs w:val="24"/>
        </w:rPr>
        <w:t xml:space="preserve"> </w:t>
      </w:r>
      <w:r w:rsidRPr="00C1694A">
        <w:rPr>
          <w:rFonts w:ascii="Times New Roman" w:hAnsi="Times New Roman" w:cs="Times New Roman"/>
          <w:sz w:val="24"/>
          <w:szCs w:val="24"/>
        </w:rPr>
        <w:t xml:space="preserve">for Head Start by the average cost per child for Head Start, or $8,035, and the non-duration costs for Early Head Start ($29,101,994) by the average cost per slot for Early Head Start, or $12,189, to find the number of slots in Head Start (64,872) and Early Head Start (2,388) associated with these costs.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Then, to account for education staff to child ratios and caseloads that differ by the program option and the age of the child, we applied current percentages from the Program Information Report (PIR) for the proportion of Head Start slots that are center-based, home-based, and other program options (including family child care, locally designed, and combination programs), which are 96 percent, 2.2 percent, and 1.8 percent respectively.  These proportions result in 62,277 Head Start center-based slots, 1,427 home-based, and 1,168 other program option slots, assuming programs would reduce center-based, home-based, and other program options proportionately in the face of insufficient funds.  Finally, we applied the proportion of three- versus four- year olds in Head Start from the PIR to find 27,679 three-year-old and 34,599 four-year old center-based slots.  </w:t>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We also applied the proportion of Early Head Start slots that are center-based, home-based/ pregnant women, and other program options (including family child care, locally designed, and combination programs), 47 percent, 48 percent, and 5 percent respectively, to calculate that there would be 1,122 Early Head Start center-based slots, 1,146 home-based/ pregnant women slots, and 119 other program option slots, assuming programs would reduce center-based, home-based/pregnant women, and other program options proportionately in the face of insufficient funds.  Finally, we applied the appropriate education staff to child ratios and caseloads for center-based program options by age, home-based, other program options to determine the total number of Head Start and Early Head Start education staff jobs that would potentially be lost.</w:t>
      </w:r>
      <w:r w:rsidRPr="00C1694A">
        <w:rPr>
          <w:rFonts w:ascii="Times New Roman" w:hAnsi="Times New Roman" w:cs="Times New Roman"/>
          <w:sz w:val="24"/>
          <w:szCs w:val="24"/>
        </w:rPr>
        <w:tab/>
      </w:r>
    </w:p>
    <w:p w:rsidR="006C2DBA" w:rsidRPr="00C1694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If fully implemented without additional funding, this rule could result in a reduction of as many as 7,372 education staff jobs by year ten. </w:t>
      </w:r>
    </w:p>
    <w:p w:rsidR="006C2DBA" w:rsidRPr="00C1694A" w:rsidRDefault="006C2DBA" w:rsidP="00331A7B">
      <w:pPr>
        <w:spacing w:after="0" w:line="480" w:lineRule="auto"/>
        <w:rPr>
          <w:rFonts w:ascii="Times New Roman" w:hAnsi="Times New Roman" w:cs="Times New Roman"/>
          <w:bCs/>
          <w:sz w:val="24"/>
          <w:szCs w:val="24"/>
          <w:u w:val="single"/>
        </w:rPr>
      </w:pPr>
      <w:r w:rsidRPr="00C1694A">
        <w:rPr>
          <w:rFonts w:ascii="Times New Roman" w:hAnsi="Times New Roman" w:cs="Times New Roman"/>
          <w:bCs/>
          <w:sz w:val="24"/>
          <w:szCs w:val="24"/>
          <w:u w:val="single"/>
        </w:rPr>
        <w:t>4. Accounting Statement – Table of Quantified Costs, and Transfers</w:t>
      </w:r>
    </w:p>
    <w:p w:rsidR="006C2DBA" w:rsidRPr="00C1694A" w:rsidRDefault="006C2DBA" w:rsidP="00331A7B">
      <w:pPr>
        <w:spacing w:after="0" w:line="480" w:lineRule="auto"/>
        <w:rPr>
          <w:rFonts w:ascii="Times New Roman" w:hAnsi="Times New Roman" w:cs="Times New Roman"/>
          <w:bCs/>
        </w:rPr>
      </w:pPr>
      <w:r w:rsidRPr="00C1694A">
        <w:rPr>
          <w:rFonts w:ascii="Times New Roman" w:hAnsi="Times New Roman" w:cs="Times New Roman"/>
          <w:b/>
          <w:bCs/>
          <w:sz w:val="24"/>
          <w:szCs w:val="24"/>
        </w:rPr>
        <w:tab/>
      </w:r>
      <w:r w:rsidRPr="00C1694A">
        <w:rPr>
          <w:rFonts w:ascii="Times New Roman" w:hAnsi="Times New Roman" w:cs="Times New Roman"/>
          <w:bCs/>
          <w:sz w:val="24"/>
          <w:szCs w:val="24"/>
        </w:rPr>
        <w:t>As required by the Office of Management and Budget (OMB) Circular A-4, we have prepared an accounting statement table showing the classification of the impacts associated with implementation of this final rule.</w:t>
      </w:r>
      <w:r w:rsidRPr="00C1694A">
        <w:rPr>
          <w:rFonts w:ascii="Times New Roman" w:hAnsi="Times New Roman" w:cs="Times New Roman"/>
          <w:bCs/>
        </w:rPr>
        <w:t xml:space="preserve"> </w:t>
      </w:r>
      <w:r w:rsidRPr="00C1694A">
        <w:rPr>
          <w:rFonts w:ascii="Times New Roman" w:hAnsi="Times New Roman" w:cs="Times New Roman"/>
          <w:bCs/>
          <w:sz w:val="24"/>
          <w:szCs w:val="24"/>
        </w:rPr>
        <w:t>We decided to use a 10-year window for this regulatory impact analysis.  As required by OMB, we discount costs at 3 percent and 7 percent and have included total present value as well as annualized value of these estimates in our analyses below.</w:t>
      </w:r>
    </w:p>
    <w:p w:rsidR="006C2DBA" w:rsidRDefault="006C2DBA" w:rsidP="00331A7B">
      <w:pPr>
        <w:spacing w:after="0" w:line="480" w:lineRule="auto"/>
        <w:ind w:firstLine="720"/>
        <w:rPr>
          <w:rFonts w:ascii="Times New Roman" w:hAnsi="Times New Roman" w:cs="Times New Roman"/>
          <w:b/>
          <w:sz w:val="20"/>
          <w:szCs w:val="20"/>
        </w:rPr>
      </w:pPr>
      <w:r w:rsidRPr="00C1694A">
        <w:rPr>
          <w:rFonts w:ascii="Times New Roman" w:hAnsi="Times New Roman" w:cs="Times New Roman"/>
          <w:bCs/>
          <w:sz w:val="24"/>
          <w:szCs w:val="24"/>
        </w:rPr>
        <w:t>We also include costs borne by other parties, opportunity costs and cost transfer, separate from costs borne by Head Start, here, because they impact the total cost to society of the rule.</w:t>
      </w:r>
      <w:r w:rsidRPr="00C1694A" w:rsidDel="00D935B7">
        <w:rPr>
          <w:rFonts w:ascii="Times New Roman" w:hAnsi="Times New Roman" w:cs="Times New Roman"/>
          <w:b/>
          <w:sz w:val="20"/>
          <w:szCs w:val="20"/>
        </w:rPr>
        <w:t xml:space="preserve"> </w:t>
      </w:r>
    </w:p>
    <w:tbl>
      <w:tblPr>
        <w:tblW w:w="969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680"/>
        <w:gridCol w:w="989"/>
        <w:gridCol w:w="901"/>
        <w:gridCol w:w="990"/>
        <w:gridCol w:w="1080"/>
        <w:gridCol w:w="1052"/>
      </w:tblGrid>
      <w:tr w:rsidR="006C2DBA" w:rsidRPr="005E6D43" w:rsidTr="007259C9">
        <w:trPr>
          <w:trHeight w:val="251"/>
        </w:trPr>
        <w:tc>
          <w:tcPr>
            <w:tcW w:w="9692" w:type="dxa"/>
            <w:gridSpan w:val="6"/>
            <w:shd w:val="clear" w:color="auto" w:fill="FFFFFF" w:themeFill="background1"/>
            <w:noWrap/>
            <w:vAlign w:val="bottom"/>
          </w:tcPr>
          <w:p w:rsidR="006C2DBA" w:rsidRPr="005E6D43" w:rsidRDefault="006C2DBA" w:rsidP="00DC5146">
            <w:pPr>
              <w:spacing w:after="0" w:line="240" w:lineRule="auto"/>
              <w:rPr>
                <w:rFonts w:ascii="Times New Roman" w:eastAsia="Times New Roman" w:hAnsi="Times New Roman" w:cs="Times New Roman"/>
                <w:b/>
                <w:bCs/>
                <w:sz w:val="16"/>
                <w:szCs w:val="16"/>
              </w:rPr>
            </w:pPr>
            <w:r>
              <w:rPr>
                <w:rFonts w:ascii="Times New Roman" w:hAnsi="Times New Roman" w:cs="Times New Roman"/>
                <w:b/>
                <w:sz w:val="20"/>
                <w:szCs w:val="20"/>
              </w:rPr>
              <w:br w:type="page"/>
            </w:r>
            <w:r w:rsidRPr="005E6D43">
              <w:rPr>
                <w:rFonts w:ascii="Times New Roman" w:eastAsia="Times New Roman" w:hAnsi="Times New Roman" w:cs="Times New Roman"/>
                <w:b/>
                <w:bCs/>
                <w:sz w:val="16"/>
                <w:szCs w:val="16"/>
              </w:rPr>
              <w:t>Summary of Costs and Discounting (in millions)</w:t>
            </w:r>
          </w:p>
        </w:tc>
      </w:tr>
      <w:tr w:rsidR="006C2DBA" w:rsidRPr="005E6D43" w:rsidTr="007259C9">
        <w:trPr>
          <w:trHeight w:val="480"/>
        </w:trPr>
        <w:tc>
          <w:tcPr>
            <w:tcW w:w="4680" w:type="dxa"/>
            <w:shd w:val="clear" w:color="auto" w:fill="FFFFFF" w:themeFill="background1"/>
            <w:noWrap/>
            <w:vAlign w:val="bottom"/>
            <w:hideMark/>
          </w:tcPr>
          <w:p w:rsidR="006C2DBA" w:rsidRPr="005E6D43" w:rsidRDefault="006C2DBA" w:rsidP="00DC5146">
            <w:pPr>
              <w:spacing w:after="0" w:line="240" w:lineRule="auto"/>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w:t>
            </w:r>
          </w:p>
        </w:tc>
        <w:tc>
          <w:tcPr>
            <w:tcW w:w="989" w:type="dxa"/>
            <w:shd w:val="clear" w:color="auto" w:fill="FFFFFF" w:themeFill="background1"/>
            <w:vAlign w:val="bottom"/>
            <w:hideMark/>
          </w:tcPr>
          <w:p w:rsidR="006C2DBA" w:rsidRPr="005E6D43" w:rsidRDefault="006C2DBA" w:rsidP="00DC5146">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1 2016/2017</w:t>
            </w:r>
          </w:p>
        </w:tc>
        <w:tc>
          <w:tcPr>
            <w:tcW w:w="901" w:type="dxa"/>
            <w:shd w:val="clear" w:color="auto" w:fill="FFFFFF" w:themeFill="background1"/>
            <w:vAlign w:val="bottom"/>
            <w:hideMark/>
          </w:tcPr>
          <w:p w:rsidR="006C2DBA" w:rsidRPr="005E6D43" w:rsidRDefault="006C2DBA" w:rsidP="00DC5146">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2  2017/2018</w:t>
            </w:r>
          </w:p>
        </w:tc>
        <w:tc>
          <w:tcPr>
            <w:tcW w:w="990" w:type="dxa"/>
            <w:shd w:val="clear" w:color="auto" w:fill="FFFFFF" w:themeFill="background1"/>
            <w:vAlign w:val="bottom"/>
            <w:hideMark/>
          </w:tcPr>
          <w:p w:rsidR="006C2DBA" w:rsidRPr="005E6D43" w:rsidRDefault="006C2DBA" w:rsidP="00DC5146">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 Year 3 2018/2019</w:t>
            </w:r>
          </w:p>
        </w:tc>
        <w:tc>
          <w:tcPr>
            <w:tcW w:w="1080" w:type="dxa"/>
            <w:shd w:val="clear" w:color="auto" w:fill="FFFFFF" w:themeFill="background1"/>
            <w:vAlign w:val="bottom"/>
            <w:hideMark/>
          </w:tcPr>
          <w:p w:rsidR="006C2DBA" w:rsidRPr="005E6D43" w:rsidRDefault="006C2DBA" w:rsidP="00DC5146">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4 2019/2020</w:t>
            </w:r>
          </w:p>
        </w:tc>
        <w:tc>
          <w:tcPr>
            <w:tcW w:w="1052" w:type="dxa"/>
            <w:shd w:val="clear" w:color="auto" w:fill="FFFFFF" w:themeFill="background1"/>
            <w:vAlign w:val="bottom"/>
            <w:hideMark/>
          </w:tcPr>
          <w:p w:rsidR="006C2DBA" w:rsidRPr="005E6D43" w:rsidRDefault="006C2DBA" w:rsidP="00DC5146">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5 2020/2021</w:t>
            </w:r>
          </w:p>
        </w:tc>
      </w:tr>
      <w:tr w:rsidR="006C2DBA" w:rsidRPr="005E6D43" w:rsidTr="007259C9">
        <w:trPr>
          <w:trHeight w:val="240"/>
        </w:trPr>
        <w:tc>
          <w:tcPr>
            <w:tcW w:w="4680" w:type="dxa"/>
            <w:shd w:val="clear" w:color="auto" w:fill="FFFFFF" w:themeFill="background1"/>
            <w:noWrap/>
            <w:vAlign w:val="bottom"/>
            <w:hideMark/>
          </w:tcPr>
          <w:p w:rsidR="006C2DBA" w:rsidRPr="005E6D43" w:rsidRDefault="006C2DBA" w:rsidP="00B609C0">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Costs Borne by Head Start, </w:t>
            </w:r>
            <w:r w:rsidRPr="005E6D43">
              <w:rPr>
                <w:rFonts w:ascii="Times New Roman" w:eastAsia="Times New Roman" w:hAnsi="Times New Roman" w:cs="Times New Roman"/>
                <w:b/>
                <w:bCs/>
                <w:i/>
                <w:sz w:val="16"/>
                <w:szCs w:val="16"/>
              </w:rPr>
              <w:t xml:space="preserve">excluding duration funding appropriated beginning in FY 2016 </w:t>
            </w:r>
            <w:r w:rsidRPr="005E6D43">
              <w:rPr>
                <w:rFonts w:ascii="Times New Roman" w:eastAsia="Times New Roman" w:hAnsi="Times New Roman" w:cs="Times New Roman"/>
                <w:b/>
                <w:bCs/>
                <w:sz w:val="16"/>
                <w:szCs w:val="16"/>
              </w:rPr>
              <w:t xml:space="preserve"> </w:t>
            </w:r>
          </w:p>
        </w:tc>
        <w:tc>
          <w:tcPr>
            <w:tcW w:w="989"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$(46)</w:t>
            </w:r>
          </w:p>
        </w:tc>
        <w:tc>
          <w:tcPr>
            <w:tcW w:w="901"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$135</w:t>
            </w:r>
          </w:p>
        </w:tc>
        <w:tc>
          <w:tcPr>
            <w:tcW w:w="99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$264</w:t>
            </w:r>
          </w:p>
        </w:tc>
        <w:tc>
          <w:tcPr>
            <w:tcW w:w="108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$673</w:t>
            </w:r>
          </w:p>
        </w:tc>
        <w:tc>
          <w:tcPr>
            <w:tcW w:w="1052"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$798</w:t>
            </w:r>
          </w:p>
        </w:tc>
      </w:tr>
      <w:tr w:rsidR="006C2DBA" w:rsidRPr="005E6D43" w:rsidTr="007259C9">
        <w:trPr>
          <w:trHeight w:val="341"/>
        </w:trPr>
        <w:tc>
          <w:tcPr>
            <w:tcW w:w="4680" w:type="dxa"/>
            <w:shd w:val="clear" w:color="auto" w:fill="FFFFFF" w:themeFill="background1"/>
            <w:vAlign w:val="bottom"/>
          </w:tcPr>
          <w:p w:rsidR="006C2DBA" w:rsidRPr="005E6D43" w:rsidRDefault="006C2DBA" w:rsidP="00B609C0">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Net Costs Borne by Head Start, </w:t>
            </w:r>
            <w:r w:rsidRPr="005E6D43">
              <w:rPr>
                <w:rFonts w:ascii="Times New Roman" w:eastAsia="Times New Roman" w:hAnsi="Times New Roman" w:cs="Times New Roman"/>
                <w:b/>
                <w:bCs/>
                <w:i/>
                <w:sz w:val="16"/>
                <w:szCs w:val="16"/>
              </w:rPr>
              <w:t>including duration funding appropriated beginning in FY 2016</w:t>
            </w:r>
          </w:p>
        </w:tc>
        <w:tc>
          <w:tcPr>
            <w:tcW w:w="989"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$(46)</w:t>
            </w:r>
          </w:p>
        </w:tc>
        <w:tc>
          <w:tcPr>
            <w:tcW w:w="901"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$135</w:t>
            </w:r>
          </w:p>
        </w:tc>
        <w:tc>
          <w:tcPr>
            <w:tcW w:w="99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$264</w:t>
            </w:r>
          </w:p>
        </w:tc>
        <w:tc>
          <w:tcPr>
            <w:tcW w:w="108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$379</w:t>
            </w:r>
          </w:p>
        </w:tc>
        <w:tc>
          <w:tcPr>
            <w:tcW w:w="1052"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$504</w:t>
            </w:r>
          </w:p>
        </w:tc>
      </w:tr>
      <w:tr w:rsidR="006C2DBA" w:rsidRPr="005E6D43" w:rsidTr="007259C9">
        <w:trPr>
          <w:trHeight w:val="341"/>
        </w:trPr>
        <w:tc>
          <w:tcPr>
            <w:tcW w:w="4680" w:type="dxa"/>
            <w:shd w:val="clear" w:color="auto" w:fill="FFFFFF" w:themeFill="background1"/>
            <w:vAlign w:val="bottom"/>
          </w:tcPr>
          <w:p w:rsidR="006C2DBA" w:rsidRPr="005E6D43" w:rsidRDefault="006C2DBA" w:rsidP="00DC5146">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Costs Borne by Other Parties </w:t>
            </w:r>
          </w:p>
        </w:tc>
        <w:tc>
          <w:tcPr>
            <w:tcW w:w="989"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$42</w:t>
            </w:r>
          </w:p>
        </w:tc>
        <w:tc>
          <w:tcPr>
            <w:tcW w:w="901"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$45</w:t>
            </w:r>
          </w:p>
        </w:tc>
        <w:tc>
          <w:tcPr>
            <w:tcW w:w="99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$44</w:t>
            </w:r>
          </w:p>
        </w:tc>
        <w:tc>
          <w:tcPr>
            <w:tcW w:w="108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$44</w:t>
            </w:r>
          </w:p>
        </w:tc>
        <w:tc>
          <w:tcPr>
            <w:tcW w:w="1052"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$45</w:t>
            </w:r>
          </w:p>
        </w:tc>
      </w:tr>
      <w:tr w:rsidR="006C2DBA" w:rsidRPr="005E6D43" w:rsidTr="007259C9">
        <w:trPr>
          <w:trHeight w:val="341"/>
        </w:trPr>
        <w:tc>
          <w:tcPr>
            <w:tcW w:w="4680" w:type="dxa"/>
            <w:shd w:val="clear" w:color="auto" w:fill="FFFFFF" w:themeFill="background1"/>
            <w:vAlign w:val="bottom"/>
            <w:hideMark/>
          </w:tcPr>
          <w:p w:rsidR="006C2DBA" w:rsidRPr="005E6D43" w:rsidRDefault="006C2DBA" w:rsidP="00DC5146">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Opportunity Costs </w:t>
            </w:r>
          </w:p>
        </w:tc>
        <w:tc>
          <w:tcPr>
            <w:tcW w:w="989" w:type="dxa"/>
            <w:shd w:val="clear" w:color="auto" w:fill="FFFFFF" w:themeFill="background1"/>
            <w:noWrap/>
            <w:vAlign w:val="bottom"/>
          </w:tcPr>
          <w:p w:rsidR="006C2DBA" w:rsidRPr="005E6D43" w:rsidRDefault="006C2DBA" w:rsidP="00DC5146">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$0.5</w:t>
            </w:r>
          </w:p>
        </w:tc>
        <w:tc>
          <w:tcPr>
            <w:tcW w:w="901" w:type="dxa"/>
            <w:shd w:val="clear" w:color="auto" w:fill="FFFFFF" w:themeFill="background1"/>
            <w:noWrap/>
            <w:vAlign w:val="bottom"/>
          </w:tcPr>
          <w:p w:rsidR="006C2DBA" w:rsidRPr="005E6D43" w:rsidRDefault="006C2DBA" w:rsidP="00DC5146">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c>
          <w:tcPr>
            <w:tcW w:w="990" w:type="dxa"/>
            <w:shd w:val="clear" w:color="auto" w:fill="FFFFFF" w:themeFill="background1"/>
            <w:noWrap/>
            <w:vAlign w:val="bottom"/>
          </w:tcPr>
          <w:p w:rsidR="006C2DBA" w:rsidRPr="005E6D43" w:rsidRDefault="006C2DBA" w:rsidP="00DC5146">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c>
          <w:tcPr>
            <w:tcW w:w="1080" w:type="dxa"/>
            <w:shd w:val="clear" w:color="auto" w:fill="FFFFFF" w:themeFill="background1"/>
            <w:noWrap/>
            <w:vAlign w:val="bottom"/>
          </w:tcPr>
          <w:p w:rsidR="006C2DBA" w:rsidRPr="005E6D43" w:rsidRDefault="006C2DBA" w:rsidP="00DC5146">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c>
          <w:tcPr>
            <w:tcW w:w="1052" w:type="dxa"/>
            <w:shd w:val="clear" w:color="auto" w:fill="FFFFFF" w:themeFill="background1"/>
            <w:noWrap/>
            <w:vAlign w:val="bottom"/>
          </w:tcPr>
          <w:p w:rsidR="006C2DBA" w:rsidRPr="005E6D43" w:rsidRDefault="006C2DBA" w:rsidP="00DC5146">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r>
      <w:tr w:rsidR="006C2DBA" w:rsidRPr="005E6D43" w:rsidTr="007259C9">
        <w:trPr>
          <w:trHeight w:val="359"/>
        </w:trPr>
        <w:tc>
          <w:tcPr>
            <w:tcW w:w="4680" w:type="dxa"/>
            <w:shd w:val="clear" w:color="auto" w:fill="FFFFFF" w:themeFill="background1"/>
            <w:vAlign w:val="bottom"/>
            <w:hideMark/>
          </w:tcPr>
          <w:p w:rsidR="006C2DBA" w:rsidRPr="00302292" w:rsidRDefault="006C2DBA" w:rsidP="00DC5146">
            <w:pPr>
              <w:spacing w:after="0" w:line="240" w:lineRule="auto"/>
              <w:jc w:val="right"/>
              <w:rPr>
                <w:rFonts w:ascii="Times New Roman" w:eastAsia="Times New Roman" w:hAnsi="Times New Roman" w:cs="Times New Roman"/>
                <w:b/>
                <w:bCs/>
                <w:i/>
                <w:sz w:val="16"/>
                <w:szCs w:val="16"/>
              </w:rPr>
            </w:pPr>
            <w:r w:rsidRPr="005E6D43">
              <w:rPr>
                <w:rFonts w:ascii="Times New Roman" w:eastAsia="Times New Roman" w:hAnsi="Times New Roman" w:cs="Times New Roman"/>
                <w:b/>
                <w:bCs/>
                <w:sz w:val="16"/>
                <w:szCs w:val="16"/>
              </w:rPr>
              <w:t xml:space="preserve">Costs to Society (Undiscounted), </w:t>
            </w:r>
            <w:r w:rsidRPr="005E6D43">
              <w:rPr>
                <w:rFonts w:ascii="Times New Roman" w:eastAsia="Times New Roman" w:hAnsi="Times New Roman" w:cs="Times New Roman"/>
                <w:b/>
                <w:bCs/>
                <w:i/>
                <w:sz w:val="16"/>
                <w:szCs w:val="16"/>
              </w:rPr>
              <w:t>excluding duration funding appropriated beginning in FY 2016</w:t>
            </w:r>
          </w:p>
        </w:tc>
        <w:tc>
          <w:tcPr>
            <w:tcW w:w="989"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$(3)</w:t>
            </w:r>
          </w:p>
        </w:tc>
        <w:tc>
          <w:tcPr>
            <w:tcW w:w="901"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$183</w:t>
            </w:r>
          </w:p>
        </w:tc>
        <w:tc>
          <w:tcPr>
            <w:tcW w:w="99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$312</w:t>
            </w:r>
          </w:p>
        </w:tc>
        <w:tc>
          <w:tcPr>
            <w:tcW w:w="108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$721</w:t>
            </w:r>
          </w:p>
        </w:tc>
        <w:tc>
          <w:tcPr>
            <w:tcW w:w="1052"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$847</w:t>
            </w:r>
          </w:p>
        </w:tc>
      </w:tr>
      <w:tr w:rsidR="006C2DBA" w:rsidRPr="005E6D43" w:rsidTr="007259C9">
        <w:trPr>
          <w:trHeight w:val="341"/>
        </w:trPr>
        <w:tc>
          <w:tcPr>
            <w:tcW w:w="4680" w:type="dxa"/>
            <w:shd w:val="clear" w:color="auto" w:fill="FFFFFF" w:themeFill="background1"/>
            <w:noWrap/>
            <w:vAlign w:val="bottom"/>
            <w:hideMark/>
          </w:tcPr>
          <w:p w:rsidR="006C2DBA" w:rsidRPr="005E6D43" w:rsidRDefault="006C2DBA" w:rsidP="00DC5146">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3% Discount</w:t>
            </w:r>
          </w:p>
        </w:tc>
        <w:tc>
          <w:tcPr>
            <w:tcW w:w="989"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$(3)</w:t>
            </w:r>
          </w:p>
        </w:tc>
        <w:tc>
          <w:tcPr>
            <w:tcW w:w="901"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$178</w:t>
            </w:r>
          </w:p>
        </w:tc>
        <w:tc>
          <w:tcPr>
            <w:tcW w:w="99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$294</w:t>
            </w:r>
          </w:p>
        </w:tc>
        <w:tc>
          <w:tcPr>
            <w:tcW w:w="108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$660</w:t>
            </w:r>
          </w:p>
        </w:tc>
        <w:tc>
          <w:tcPr>
            <w:tcW w:w="1052"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$752</w:t>
            </w:r>
          </w:p>
        </w:tc>
      </w:tr>
      <w:tr w:rsidR="006C2DBA" w:rsidRPr="005E6D43" w:rsidTr="007259C9">
        <w:trPr>
          <w:trHeight w:val="240"/>
        </w:trPr>
        <w:tc>
          <w:tcPr>
            <w:tcW w:w="4680" w:type="dxa"/>
            <w:shd w:val="clear" w:color="auto" w:fill="FFFFFF" w:themeFill="background1"/>
            <w:noWrap/>
            <w:vAlign w:val="bottom"/>
            <w:hideMark/>
          </w:tcPr>
          <w:p w:rsidR="006C2DBA" w:rsidRPr="005E6D43" w:rsidRDefault="006C2DBA" w:rsidP="00DC5146">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7% Discount</w:t>
            </w:r>
          </w:p>
        </w:tc>
        <w:tc>
          <w:tcPr>
            <w:tcW w:w="989"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$(3)</w:t>
            </w:r>
          </w:p>
        </w:tc>
        <w:tc>
          <w:tcPr>
            <w:tcW w:w="901"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$171</w:t>
            </w:r>
          </w:p>
        </w:tc>
        <w:tc>
          <w:tcPr>
            <w:tcW w:w="99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$272</w:t>
            </w:r>
          </w:p>
        </w:tc>
        <w:tc>
          <w:tcPr>
            <w:tcW w:w="1080"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$589</w:t>
            </w:r>
          </w:p>
        </w:tc>
        <w:tc>
          <w:tcPr>
            <w:tcW w:w="1052" w:type="dxa"/>
            <w:shd w:val="clear" w:color="auto" w:fill="FFFFFF" w:themeFill="background1"/>
            <w:noWrap/>
            <w:vAlign w:val="bottom"/>
          </w:tcPr>
          <w:p w:rsidR="006C2DBA" w:rsidRPr="005E6D43" w:rsidRDefault="006C2DBA" w:rsidP="00202212">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$646</w:t>
            </w:r>
          </w:p>
        </w:tc>
      </w:tr>
      <w:tr w:rsidR="006C2DBA" w:rsidRPr="005E6D43" w:rsidTr="007259C9">
        <w:trPr>
          <w:trHeight w:val="480"/>
        </w:trPr>
        <w:tc>
          <w:tcPr>
            <w:tcW w:w="4680" w:type="dxa"/>
            <w:shd w:val="clear" w:color="auto" w:fill="FFFFFF" w:themeFill="background1"/>
            <w:noWrap/>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Costs to Society (Undiscounted), </w:t>
            </w:r>
            <w:r w:rsidRPr="005E6D43">
              <w:rPr>
                <w:rFonts w:ascii="Times New Roman" w:eastAsia="Times New Roman" w:hAnsi="Times New Roman" w:cs="Times New Roman"/>
                <w:b/>
                <w:bCs/>
                <w:i/>
                <w:sz w:val="16"/>
                <w:szCs w:val="16"/>
              </w:rPr>
              <w:t>including duration funding appropriated beginning in FY 2016</w:t>
            </w:r>
            <w:r w:rsidRPr="005E6D43">
              <w:rPr>
                <w:rFonts w:ascii="Times New Roman" w:eastAsia="Times New Roman" w:hAnsi="Times New Roman" w:cs="Times New Roman"/>
                <w:b/>
                <w:bCs/>
                <w:sz w:val="16"/>
                <w:szCs w:val="16"/>
              </w:rPr>
              <w:t xml:space="preserve"> </w:t>
            </w:r>
          </w:p>
        </w:tc>
        <w:tc>
          <w:tcPr>
            <w:tcW w:w="989"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$(3)</w:t>
            </w:r>
          </w:p>
        </w:tc>
        <w:tc>
          <w:tcPr>
            <w:tcW w:w="901"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$183</w:t>
            </w:r>
          </w:p>
        </w:tc>
        <w:tc>
          <w:tcPr>
            <w:tcW w:w="990"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$312</w:t>
            </w:r>
          </w:p>
        </w:tc>
        <w:tc>
          <w:tcPr>
            <w:tcW w:w="1080" w:type="dxa"/>
            <w:shd w:val="clear" w:color="auto" w:fill="FFFFFF" w:themeFill="background1"/>
            <w:vAlign w:val="bottom"/>
          </w:tcPr>
          <w:p w:rsidR="006C2DBA" w:rsidRPr="00302292" w:rsidRDefault="006C2DBA" w:rsidP="007259C9">
            <w:pPr>
              <w:spacing w:after="0" w:line="240" w:lineRule="auto"/>
              <w:jc w:val="right"/>
              <w:rPr>
                <w:rFonts w:ascii="Times New Roman" w:eastAsia="Times New Roman" w:hAnsi="Times New Roman" w:cs="Times New Roman"/>
                <w:bCs/>
                <w:sz w:val="16"/>
                <w:szCs w:val="16"/>
              </w:rPr>
            </w:pPr>
            <w:r w:rsidRPr="00302292">
              <w:rPr>
                <w:rFonts w:ascii="Times New Roman" w:eastAsia="Times New Roman" w:hAnsi="Times New Roman" w:cs="Times New Roman"/>
                <w:bCs/>
                <w:sz w:val="16"/>
                <w:szCs w:val="16"/>
              </w:rPr>
              <w:t>$427</w:t>
            </w:r>
          </w:p>
        </w:tc>
        <w:tc>
          <w:tcPr>
            <w:tcW w:w="1052" w:type="dxa"/>
            <w:shd w:val="clear" w:color="auto" w:fill="FFFFFF" w:themeFill="background1"/>
            <w:vAlign w:val="bottom"/>
          </w:tcPr>
          <w:p w:rsidR="006C2DBA" w:rsidRPr="00302292" w:rsidRDefault="006C2DBA" w:rsidP="007259C9">
            <w:pPr>
              <w:spacing w:after="0" w:line="240" w:lineRule="auto"/>
              <w:jc w:val="right"/>
              <w:rPr>
                <w:rFonts w:ascii="Times New Roman" w:eastAsia="Times New Roman" w:hAnsi="Times New Roman" w:cs="Times New Roman"/>
                <w:bCs/>
                <w:sz w:val="16"/>
                <w:szCs w:val="16"/>
              </w:rPr>
            </w:pPr>
            <w:r w:rsidRPr="00302292">
              <w:rPr>
                <w:rFonts w:ascii="Times New Roman" w:eastAsia="Times New Roman" w:hAnsi="Times New Roman" w:cs="Times New Roman"/>
                <w:bCs/>
                <w:sz w:val="16"/>
                <w:szCs w:val="16"/>
              </w:rPr>
              <w:t>$553</w:t>
            </w:r>
          </w:p>
        </w:tc>
      </w:tr>
      <w:tr w:rsidR="006C2DBA" w:rsidRPr="005E6D43" w:rsidTr="007259C9">
        <w:trPr>
          <w:trHeight w:val="269"/>
        </w:trPr>
        <w:tc>
          <w:tcPr>
            <w:tcW w:w="4680" w:type="dxa"/>
            <w:shd w:val="clear" w:color="auto" w:fill="FFFFFF" w:themeFill="background1"/>
            <w:noWrap/>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3% Discount</w:t>
            </w:r>
            <w:r w:rsidRPr="005E6D43">
              <w:rPr>
                <w:rFonts w:ascii="Times New Roman" w:eastAsia="Times New Roman" w:hAnsi="Times New Roman" w:cs="Times New Roman"/>
                <w:b/>
                <w:bCs/>
                <w:i/>
                <w:sz w:val="16"/>
                <w:szCs w:val="16"/>
              </w:rPr>
              <w:t xml:space="preserve"> </w:t>
            </w:r>
          </w:p>
        </w:tc>
        <w:tc>
          <w:tcPr>
            <w:tcW w:w="989"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$(3)</w:t>
            </w:r>
          </w:p>
        </w:tc>
        <w:tc>
          <w:tcPr>
            <w:tcW w:w="901"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$178</w:t>
            </w:r>
          </w:p>
        </w:tc>
        <w:tc>
          <w:tcPr>
            <w:tcW w:w="990"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$294</w:t>
            </w:r>
          </w:p>
        </w:tc>
        <w:tc>
          <w:tcPr>
            <w:tcW w:w="1080" w:type="dxa"/>
            <w:shd w:val="clear" w:color="auto" w:fill="FFFFFF" w:themeFill="background1"/>
            <w:vAlign w:val="bottom"/>
          </w:tcPr>
          <w:p w:rsidR="006C2DBA" w:rsidRPr="00DE064C" w:rsidRDefault="006C2DBA" w:rsidP="007259C9">
            <w:pPr>
              <w:spacing w:after="0" w:line="240" w:lineRule="auto"/>
              <w:jc w:val="right"/>
              <w:rPr>
                <w:rFonts w:ascii="Times New Roman" w:eastAsia="Times New Roman" w:hAnsi="Times New Roman" w:cs="Times New Roman"/>
                <w:bCs/>
                <w:sz w:val="16"/>
                <w:szCs w:val="16"/>
              </w:rPr>
            </w:pPr>
            <w:r w:rsidRPr="00DE064C">
              <w:rPr>
                <w:rFonts w:ascii="Times New Roman" w:eastAsia="Times New Roman" w:hAnsi="Times New Roman" w:cs="Times New Roman"/>
                <w:bCs/>
                <w:sz w:val="16"/>
                <w:szCs w:val="16"/>
              </w:rPr>
              <w:t>$391</w:t>
            </w:r>
          </w:p>
        </w:tc>
        <w:tc>
          <w:tcPr>
            <w:tcW w:w="1052" w:type="dxa"/>
            <w:shd w:val="clear" w:color="auto" w:fill="FFFFFF" w:themeFill="background1"/>
            <w:vAlign w:val="bottom"/>
          </w:tcPr>
          <w:p w:rsidR="006C2DBA" w:rsidRPr="00DE064C" w:rsidRDefault="006C2DBA" w:rsidP="007259C9">
            <w:pPr>
              <w:spacing w:after="0" w:line="240" w:lineRule="auto"/>
              <w:jc w:val="right"/>
              <w:rPr>
                <w:rFonts w:ascii="Times New Roman" w:eastAsia="Times New Roman" w:hAnsi="Times New Roman" w:cs="Times New Roman"/>
                <w:bCs/>
                <w:sz w:val="16"/>
                <w:szCs w:val="16"/>
              </w:rPr>
            </w:pPr>
            <w:r w:rsidRPr="00DE064C">
              <w:rPr>
                <w:rFonts w:ascii="Times New Roman" w:eastAsia="Times New Roman" w:hAnsi="Times New Roman" w:cs="Times New Roman"/>
                <w:bCs/>
                <w:sz w:val="16"/>
                <w:szCs w:val="16"/>
              </w:rPr>
              <w:t>$491</w:t>
            </w:r>
          </w:p>
        </w:tc>
      </w:tr>
      <w:tr w:rsidR="006C2DBA" w:rsidRPr="005E6D43" w:rsidTr="007259C9">
        <w:trPr>
          <w:trHeight w:val="269"/>
        </w:trPr>
        <w:tc>
          <w:tcPr>
            <w:tcW w:w="4680" w:type="dxa"/>
            <w:shd w:val="clear" w:color="auto" w:fill="FFFFFF" w:themeFill="background1"/>
            <w:noWrap/>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7% Discount</w:t>
            </w:r>
            <w:r w:rsidRPr="005E6D43">
              <w:rPr>
                <w:rFonts w:ascii="Times New Roman" w:eastAsia="Times New Roman" w:hAnsi="Times New Roman" w:cs="Times New Roman"/>
                <w:b/>
                <w:bCs/>
                <w:i/>
                <w:sz w:val="16"/>
                <w:szCs w:val="16"/>
              </w:rPr>
              <w:t xml:space="preserve"> </w:t>
            </w:r>
          </w:p>
        </w:tc>
        <w:tc>
          <w:tcPr>
            <w:tcW w:w="989"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$(3)</w:t>
            </w:r>
          </w:p>
        </w:tc>
        <w:tc>
          <w:tcPr>
            <w:tcW w:w="901"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$171</w:t>
            </w:r>
          </w:p>
        </w:tc>
        <w:tc>
          <w:tcPr>
            <w:tcW w:w="990" w:type="dxa"/>
            <w:shd w:val="clear" w:color="auto" w:fill="FFFFFF" w:themeFill="background1"/>
            <w:vAlign w:val="bottom"/>
          </w:tcPr>
          <w:p w:rsidR="006C2DBA" w:rsidRPr="005E6D43" w:rsidRDefault="006C2DBA" w:rsidP="007259C9">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sz w:val="16"/>
                <w:szCs w:val="16"/>
              </w:rPr>
              <w:t>$272</w:t>
            </w:r>
          </w:p>
        </w:tc>
        <w:tc>
          <w:tcPr>
            <w:tcW w:w="1080" w:type="dxa"/>
            <w:shd w:val="clear" w:color="auto" w:fill="FFFFFF" w:themeFill="background1"/>
            <w:vAlign w:val="bottom"/>
          </w:tcPr>
          <w:p w:rsidR="006C2DBA" w:rsidRPr="00DE064C" w:rsidRDefault="006C2DBA" w:rsidP="007259C9">
            <w:pPr>
              <w:spacing w:after="0" w:line="240" w:lineRule="auto"/>
              <w:jc w:val="right"/>
              <w:rPr>
                <w:rFonts w:ascii="Times New Roman" w:eastAsia="Times New Roman" w:hAnsi="Times New Roman" w:cs="Times New Roman"/>
                <w:bCs/>
                <w:sz w:val="16"/>
                <w:szCs w:val="16"/>
              </w:rPr>
            </w:pPr>
            <w:r w:rsidRPr="00DE064C">
              <w:rPr>
                <w:rFonts w:ascii="Times New Roman" w:eastAsia="Times New Roman" w:hAnsi="Times New Roman" w:cs="Times New Roman"/>
                <w:bCs/>
                <w:sz w:val="16"/>
                <w:szCs w:val="16"/>
              </w:rPr>
              <w:t>$349</w:t>
            </w:r>
          </w:p>
        </w:tc>
        <w:tc>
          <w:tcPr>
            <w:tcW w:w="1052" w:type="dxa"/>
            <w:shd w:val="clear" w:color="auto" w:fill="FFFFFF" w:themeFill="background1"/>
            <w:vAlign w:val="bottom"/>
          </w:tcPr>
          <w:p w:rsidR="006C2DBA" w:rsidRPr="00DE064C" w:rsidRDefault="006C2DBA" w:rsidP="007259C9">
            <w:pPr>
              <w:spacing w:after="0" w:line="240" w:lineRule="auto"/>
              <w:jc w:val="right"/>
              <w:rPr>
                <w:rFonts w:ascii="Times New Roman" w:eastAsia="Times New Roman" w:hAnsi="Times New Roman" w:cs="Times New Roman"/>
                <w:bCs/>
                <w:sz w:val="16"/>
                <w:szCs w:val="16"/>
              </w:rPr>
            </w:pPr>
            <w:r w:rsidRPr="00DE064C">
              <w:rPr>
                <w:rFonts w:ascii="Times New Roman" w:eastAsia="Times New Roman" w:hAnsi="Times New Roman" w:cs="Times New Roman"/>
                <w:bCs/>
                <w:sz w:val="16"/>
                <w:szCs w:val="16"/>
              </w:rPr>
              <w:t>$422</w:t>
            </w:r>
          </w:p>
        </w:tc>
      </w:tr>
      <w:tr w:rsidR="006C2DBA" w:rsidRPr="005E6D43" w:rsidTr="007259C9">
        <w:trPr>
          <w:trHeight w:val="480"/>
        </w:trPr>
        <w:tc>
          <w:tcPr>
            <w:tcW w:w="4680" w:type="dxa"/>
            <w:shd w:val="clear" w:color="auto" w:fill="FFFFFF" w:themeFill="background1"/>
            <w:noWrap/>
            <w:vAlign w:val="bottom"/>
            <w:hideMark/>
          </w:tcPr>
          <w:p w:rsidR="006C2DBA" w:rsidRPr="005E6D43" w:rsidRDefault="006C2DBA" w:rsidP="000D7A74">
            <w:pPr>
              <w:spacing w:after="0" w:line="240" w:lineRule="auto"/>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w:t>
            </w:r>
          </w:p>
        </w:tc>
        <w:tc>
          <w:tcPr>
            <w:tcW w:w="989" w:type="dxa"/>
            <w:shd w:val="clear" w:color="auto" w:fill="FFFFFF" w:themeFill="background1"/>
            <w:vAlign w:val="bottom"/>
            <w:hideMark/>
          </w:tcPr>
          <w:p w:rsidR="006C2DBA" w:rsidRPr="005E6D43" w:rsidRDefault="006C2DBA" w:rsidP="000D7A74">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6 2021/2022</w:t>
            </w:r>
          </w:p>
        </w:tc>
        <w:tc>
          <w:tcPr>
            <w:tcW w:w="901" w:type="dxa"/>
            <w:shd w:val="clear" w:color="auto" w:fill="FFFFFF" w:themeFill="background1"/>
            <w:vAlign w:val="bottom"/>
            <w:hideMark/>
          </w:tcPr>
          <w:p w:rsidR="006C2DBA" w:rsidRPr="005E6D43" w:rsidRDefault="006C2DBA" w:rsidP="000D7A74">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7  2022/2023</w:t>
            </w:r>
          </w:p>
        </w:tc>
        <w:tc>
          <w:tcPr>
            <w:tcW w:w="990" w:type="dxa"/>
            <w:shd w:val="clear" w:color="auto" w:fill="FFFFFF" w:themeFill="background1"/>
            <w:vAlign w:val="bottom"/>
            <w:hideMark/>
          </w:tcPr>
          <w:p w:rsidR="006C2DBA" w:rsidRPr="005E6D43" w:rsidRDefault="006C2DBA" w:rsidP="000D7A74">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8 2023/2024</w:t>
            </w:r>
          </w:p>
        </w:tc>
        <w:tc>
          <w:tcPr>
            <w:tcW w:w="1080" w:type="dxa"/>
            <w:shd w:val="clear" w:color="auto" w:fill="FFFFFF" w:themeFill="background1"/>
            <w:vAlign w:val="bottom"/>
            <w:hideMark/>
          </w:tcPr>
          <w:p w:rsidR="006C2DBA" w:rsidRPr="005E6D43" w:rsidRDefault="006C2DBA" w:rsidP="000D7A74">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9 2024/2025</w:t>
            </w:r>
          </w:p>
        </w:tc>
        <w:tc>
          <w:tcPr>
            <w:tcW w:w="1052" w:type="dxa"/>
            <w:shd w:val="clear" w:color="auto" w:fill="FFFFFF" w:themeFill="background1"/>
            <w:vAlign w:val="bottom"/>
            <w:hideMark/>
          </w:tcPr>
          <w:p w:rsidR="006C2DBA" w:rsidRPr="005E6D43" w:rsidRDefault="006C2DBA" w:rsidP="000D7A74">
            <w:pPr>
              <w:spacing w:after="0" w:line="240" w:lineRule="auto"/>
              <w:jc w:val="center"/>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Year 10 2025/2026</w:t>
            </w:r>
          </w:p>
        </w:tc>
      </w:tr>
      <w:tr w:rsidR="006C2DBA" w:rsidRPr="005E6D43" w:rsidTr="007259C9">
        <w:trPr>
          <w:trHeight w:val="240"/>
        </w:trPr>
        <w:tc>
          <w:tcPr>
            <w:tcW w:w="4680" w:type="dxa"/>
            <w:shd w:val="clear" w:color="auto" w:fill="FFFFFF" w:themeFill="background1"/>
            <w:noWrap/>
            <w:vAlign w:val="bottom"/>
            <w:hideMark/>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Costs Borne by Head Start, </w:t>
            </w:r>
            <w:r w:rsidRPr="005E6D43">
              <w:rPr>
                <w:rFonts w:ascii="Times New Roman" w:eastAsia="Times New Roman" w:hAnsi="Times New Roman" w:cs="Times New Roman"/>
                <w:b/>
                <w:bCs/>
                <w:i/>
                <w:sz w:val="16"/>
                <w:szCs w:val="16"/>
              </w:rPr>
              <w:t xml:space="preserve">excluding duration funding appropriated beginning in FY 2016 </w:t>
            </w:r>
            <w:r w:rsidRPr="005E6D43">
              <w:rPr>
                <w:rFonts w:ascii="Times New Roman" w:eastAsia="Times New Roman" w:hAnsi="Times New Roman" w:cs="Times New Roman"/>
                <w:b/>
                <w:bCs/>
                <w:sz w:val="16"/>
                <w:szCs w:val="16"/>
              </w:rPr>
              <w:t xml:space="preserve">  </w:t>
            </w:r>
          </w:p>
        </w:tc>
        <w:tc>
          <w:tcPr>
            <w:tcW w:w="989"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$1,294</w:t>
            </w:r>
          </w:p>
        </w:tc>
        <w:tc>
          <w:tcPr>
            <w:tcW w:w="901"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$1,295</w:t>
            </w:r>
          </w:p>
        </w:tc>
        <w:tc>
          <w:tcPr>
            <w:tcW w:w="99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$1,297</w:t>
            </w:r>
          </w:p>
        </w:tc>
        <w:tc>
          <w:tcPr>
            <w:tcW w:w="10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$1,297</w:t>
            </w:r>
          </w:p>
        </w:tc>
        <w:tc>
          <w:tcPr>
            <w:tcW w:w="1052"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$1,297</w:t>
            </w:r>
          </w:p>
        </w:tc>
      </w:tr>
      <w:tr w:rsidR="006C2DBA" w:rsidRPr="005E6D43" w:rsidTr="007259C9">
        <w:trPr>
          <w:trHeight w:val="332"/>
        </w:trPr>
        <w:tc>
          <w:tcPr>
            <w:tcW w:w="4680" w:type="dxa"/>
            <w:shd w:val="clear" w:color="auto" w:fill="FFFFFF" w:themeFill="background1"/>
            <w:vAlign w:val="bottom"/>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Net Costs Borne by Head Start, </w:t>
            </w:r>
            <w:r w:rsidRPr="005E6D43">
              <w:rPr>
                <w:rFonts w:ascii="Times New Roman" w:eastAsia="Times New Roman" w:hAnsi="Times New Roman" w:cs="Times New Roman"/>
                <w:b/>
                <w:bCs/>
                <w:i/>
                <w:sz w:val="16"/>
                <w:szCs w:val="16"/>
              </w:rPr>
              <w:t>including duration funding appropriated beginning in FY 2016</w:t>
            </w:r>
          </w:p>
        </w:tc>
        <w:tc>
          <w:tcPr>
            <w:tcW w:w="989"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$1,000</w:t>
            </w:r>
          </w:p>
        </w:tc>
        <w:tc>
          <w:tcPr>
            <w:tcW w:w="901"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$1,001</w:t>
            </w:r>
          </w:p>
        </w:tc>
        <w:tc>
          <w:tcPr>
            <w:tcW w:w="990" w:type="dxa"/>
            <w:shd w:val="clear" w:color="auto" w:fill="FFFFFF" w:themeFill="background1"/>
            <w:noWrap/>
            <w:vAlign w:val="bottom"/>
          </w:tcPr>
          <w:p w:rsidR="006C2DBA" w:rsidRPr="005E6D43"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$1,003</w:t>
            </w:r>
          </w:p>
        </w:tc>
        <w:tc>
          <w:tcPr>
            <w:tcW w:w="10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$1,003</w:t>
            </w:r>
          </w:p>
        </w:tc>
        <w:tc>
          <w:tcPr>
            <w:tcW w:w="1052"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$1,003</w:t>
            </w:r>
          </w:p>
        </w:tc>
      </w:tr>
      <w:tr w:rsidR="006C2DBA" w:rsidRPr="005E6D43" w:rsidTr="007259C9">
        <w:trPr>
          <w:trHeight w:val="332"/>
        </w:trPr>
        <w:tc>
          <w:tcPr>
            <w:tcW w:w="4680" w:type="dxa"/>
            <w:shd w:val="clear" w:color="auto" w:fill="FFFFFF" w:themeFill="background1"/>
            <w:vAlign w:val="bottom"/>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Costs Borne by Other Parties </w:t>
            </w:r>
          </w:p>
        </w:tc>
        <w:tc>
          <w:tcPr>
            <w:tcW w:w="989"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$45</w:t>
            </w:r>
          </w:p>
        </w:tc>
        <w:tc>
          <w:tcPr>
            <w:tcW w:w="901"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$46</w:t>
            </w:r>
          </w:p>
        </w:tc>
        <w:tc>
          <w:tcPr>
            <w:tcW w:w="99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$46</w:t>
            </w:r>
          </w:p>
        </w:tc>
        <w:tc>
          <w:tcPr>
            <w:tcW w:w="10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$47</w:t>
            </w:r>
          </w:p>
        </w:tc>
        <w:tc>
          <w:tcPr>
            <w:tcW w:w="1052"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$46</w:t>
            </w:r>
          </w:p>
        </w:tc>
      </w:tr>
      <w:tr w:rsidR="006C2DBA" w:rsidRPr="005E6D43" w:rsidTr="007259C9">
        <w:trPr>
          <w:trHeight w:val="332"/>
        </w:trPr>
        <w:tc>
          <w:tcPr>
            <w:tcW w:w="4680" w:type="dxa"/>
            <w:shd w:val="clear" w:color="auto" w:fill="FFFFFF" w:themeFill="background1"/>
            <w:vAlign w:val="bottom"/>
            <w:hideMark/>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Opportunity Costs</w:t>
            </w:r>
          </w:p>
        </w:tc>
        <w:tc>
          <w:tcPr>
            <w:tcW w:w="989"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c>
          <w:tcPr>
            <w:tcW w:w="901"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c>
          <w:tcPr>
            <w:tcW w:w="99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c>
          <w:tcPr>
            <w:tcW w:w="10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c>
          <w:tcPr>
            <w:tcW w:w="1052"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$4</w:t>
            </w:r>
          </w:p>
        </w:tc>
      </w:tr>
      <w:tr w:rsidR="006C2DBA" w:rsidRPr="005E6D43" w:rsidTr="007259C9">
        <w:trPr>
          <w:trHeight w:val="350"/>
        </w:trPr>
        <w:tc>
          <w:tcPr>
            <w:tcW w:w="4680" w:type="dxa"/>
            <w:shd w:val="clear" w:color="auto" w:fill="FFFFFF" w:themeFill="background1"/>
            <w:vAlign w:val="bottom"/>
            <w:hideMark/>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Cost to Society (Undiscounted), </w:t>
            </w:r>
            <w:r w:rsidRPr="005E6D43">
              <w:rPr>
                <w:rFonts w:ascii="Times New Roman" w:eastAsia="Times New Roman" w:hAnsi="Times New Roman" w:cs="Times New Roman"/>
                <w:b/>
                <w:bCs/>
                <w:i/>
                <w:sz w:val="16"/>
                <w:szCs w:val="16"/>
              </w:rPr>
              <w:t>excluding duration funding appropriated beginning in FY 2016</w:t>
            </w:r>
          </w:p>
        </w:tc>
        <w:tc>
          <w:tcPr>
            <w:tcW w:w="989"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$1,344</w:t>
            </w:r>
          </w:p>
        </w:tc>
        <w:tc>
          <w:tcPr>
            <w:tcW w:w="901"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$1,345</w:t>
            </w:r>
          </w:p>
        </w:tc>
        <w:tc>
          <w:tcPr>
            <w:tcW w:w="99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$1,347</w:t>
            </w:r>
          </w:p>
        </w:tc>
        <w:tc>
          <w:tcPr>
            <w:tcW w:w="10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$1,348</w:t>
            </w:r>
          </w:p>
        </w:tc>
        <w:tc>
          <w:tcPr>
            <w:tcW w:w="1052"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$1,348</w:t>
            </w:r>
          </w:p>
        </w:tc>
      </w:tr>
      <w:tr w:rsidR="006C2DBA" w:rsidRPr="005E6D43" w:rsidTr="007259C9">
        <w:trPr>
          <w:trHeight w:val="350"/>
        </w:trPr>
        <w:tc>
          <w:tcPr>
            <w:tcW w:w="4680" w:type="dxa"/>
            <w:shd w:val="clear" w:color="auto" w:fill="FFFFFF" w:themeFill="background1"/>
            <w:noWrap/>
            <w:vAlign w:val="bottom"/>
            <w:hideMark/>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3% Discount</w:t>
            </w:r>
          </w:p>
        </w:tc>
        <w:tc>
          <w:tcPr>
            <w:tcW w:w="989"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$1,159</w:t>
            </w:r>
          </w:p>
        </w:tc>
        <w:tc>
          <w:tcPr>
            <w:tcW w:w="901"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$1,126</w:t>
            </w:r>
          </w:p>
        </w:tc>
        <w:tc>
          <w:tcPr>
            <w:tcW w:w="99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$1,095</w:t>
            </w:r>
          </w:p>
        </w:tc>
        <w:tc>
          <w:tcPr>
            <w:tcW w:w="10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$1,064</w:t>
            </w:r>
          </w:p>
        </w:tc>
        <w:tc>
          <w:tcPr>
            <w:tcW w:w="1052"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$1,033</w:t>
            </w:r>
          </w:p>
        </w:tc>
      </w:tr>
      <w:tr w:rsidR="006C2DBA" w:rsidRPr="005E6D43" w:rsidTr="007259C9">
        <w:trPr>
          <w:trHeight w:val="240"/>
        </w:trPr>
        <w:tc>
          <w:tcPr>
            <w:tcW w:w="4680" w:type="dxa"/>
            <w:shd w:val="clear" w:color="auto" w:fill="FFFFFF" w:themeFill="background1"/>
            <w:noWrap/>
            <w:vAlign w:val="bottom"/>
            <w:hideMark/>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7% Discount</w:t>
            </w:r>
          </w:p>
        </w:tc>
        <w:tc>
          <w:tcPr>
            <w:tcW w:w="989"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$958</w:t>
            </w:r>
          </w:p>
        </w:tc>
        <w:tc>
          <w:tcPr>
            <w:tcW w:w="901"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$896</w:t>
            </w:r>
          </w:p>
        </w:tc>
        <w:tc>
          <w:tcPr>
            <w:tcW w:w="99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$839</w:t>
            </w:r>
          </w:p>
        </w:tc>
        <w:tc>
          <w:tcPr>
            <w:tcW w:w="10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$784</w:t>
            </w:r>
          </w:p>
        </w:tc>
        <w:tc>
          <w:tcPr>
            <w:tcW w:w="1052"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sidRPr="005E6D43">
              <w:rPr>
                <w:rFonts w:ascii="Times New Roman" w:eastAsia="Times New Roman" w:hAnsi="Times New Roman" w:cs="Times New Roman"/>
                <w:sz w:val="16"/>
                <w:szCs w:val="16"/>
              </w:rPr>
              <w:t>$733</w:t>
            </w:r>
          </w:p>
        </w:tc>
      </w:tr>
      <w:tr w:rsidR="006C2DBA" w:rsidRPr="005E6D43" w:rsidTr="007259C9">
        <w:trPr>
          <w:trHeight w:val="240"/>
        </w:trPr>
        <w:tc>
          <w:tcPr>
            <w:tcW w:w="46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 xml:space="preserve"> Costs to Society (Undiscounted), </w:t>
            </w:r>
            <w:r w:rsidRPr="005E6D43">
              <w:rPr>
                <w:rFonts w:ascii="Times New Roman" w:eastAsia="Times New Roman" w:hAnsi="Times New Roman" w:cs="Times New Roman"/>
                <w:b/>
                <w:bCs/>
                <w:i/>
                <w:sz w:val="16"/>
                <w:szCs w:val="16"/>
              </w:rPr>
              <w:t>including duration funding appropriated beginning in FY 2016</w:t>
            </w:r>
          </w:p>
        </w:tc>
        <w:tc>
          <w:tcPr>
            <w:tcW w:w="989"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$1,050</w:t>
            </w:r>
          </w:p>
        </w:tc>
        <w:tc>
          <w:tcPr>
            <w:tcW w:w="901"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$1,051</w:t>
            </w:r>
          </w:p>
        </w:tc>
        <w:tc>
          <w:tcPr>
            <w:tcW w:w="99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$1,053</w:t>
            </w:r>
          </w:p>
        </w:tc>
        <w:tc>
          <w:tcPr>
            <w:tcW w:w="10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$1,053</w:t>
            </w:r>
          </w:p>
        </w:tc>
        <w:tc>
          <w:tcPr>
            <w:tcW w:w="1052"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$1,053</w:t>
            </w:r>
          </w:p>
        </w:tc>
      </w:tr>
      <w:tr w:rsidR="006C2DBA" w:rsidRPr="005E6D43" w:rsidTr="007259C9">
        <w:trPr>
          <w:trHeight w:val="240"/>
        </w:trPr>
        <w:tc>
          <w:tcPr>
            <w:tcW w:w="46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3% Discount</w:t>
            </w:r>
          </w:p>
        </w:tc>
        <w:tc>
          <w:tcPr>
            <w:tcW w:w="989"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$905</w:t>
            </w:r>
          </w:p>
        </w:tc>
        <w:tc>
          <w:tcPr>
            <w:tcW w:w="901"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$880</w:t>
            </w:r>
          </w:p>
        </w:tc>
        <w:tc>
          <w:tcPr>
            <w:tcW w:w="990"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$856</w:t>
            </w:r>
          </w:p>
        </w:tc>
        <w:tc>
          <w:tcPr>
            <w:tcW w:w="1080"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$832</w:t>
            </w:r>
          </w:p>
        </w:tc>
        <w:tc>
          <w:tcPr>
            <w:tcW w:w="1052"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$808</w:t>
            </w:r>
          </w:p>
        </w:tc>
      </w:tr>
      <w:tr w:rsidR="006C2DBA" w:rsidRPr="005E6D43" w:rsidTr="007259C9">
        <w:trPr>
          <w:trHeight w:val="240"/>
        </w:trPr>
        <w:tc>
          <w:tcPr>
            <w:tcW w:w="4680" w:type="dxa"/>
            <w:shd w:val="clear" w:color="auto" w:fill="FFFFFF" w:themeFill="background1"/>
            <w:noWrap/>
            <w:vAlign w:val="bottom"/>
          </w:tcPr>
          <w:p w:rsidR="006C2DBA" w:rsidRPr="005E6D43" w:rsidRDefault="006C2DBA" w:rsidP="000D7A74">
            <w:pPr>
              <w:spacing w:after="0" w:line="240" w:lineRule="auto"/>
              <w:jc w:val="right"/>
              <w:rPr>
                <w:rFonts w:ascii="Times New Roman" w:eastAsia="Times New Roman" w:hAnsi="Times New Roman" w:cs="Times New Roman"/>
                <w:b/>
                <w:bCs/>
                <w:sz w:val="16"/>
                <w:szCs w:val="16"/>
              </w:rPr>
            </w:pPr>
            <w:r w:rsidRPr="005E6D43">
              <w:rPr>
                <w:rFonts w:ascii="Times New Roman" w:eastAsia="Times New Roman" w:hAnsi="Times New Roman" w:cs="Times New Roman"/>
                <w:b/>
                <w:bCs/>
                <w:sz w:val="16"/>
                <w:szCs w:val="16"/>
              </w:rPr>
              <w:t>7% Discount</w:t>
            </w:r>
          </w:p>
        </w:tc>
        <w:tc>
          <w:tcPr>
            <w:tcW w:w="989"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$748</w:t>
            </w:r>
          </w:p>
        </w:tc>
        <w:tc>
          <w:tcPr>
            <w:tcW w:w="901"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$700</w:t>
            </w:r>
          </w:p>
        </w:tc>
        <w:tc>
          <w:tcPr>
            <w:tcW w:w="990"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$656</w:t>
            </w:r>
          </w:p>
        </w:tc>
        <w:tc>
          <w:tcPr>
            <w:tcW w:w="1080"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$613</w:t>
            </w:r>
          </w:p>
        </w:tc>
        <w:tc>
          <w:tcPr>
            <w:tcW w:w="1052" w:type="dxa"/>
            <w:shd w:val="clear" w:color="auto" w:fill="FFFFFF" w:themeFill="background1"/>
            <w:noWrap/>
            <w:vAlign w:val="bottom"/>
          </w:tcPr>
          <w:p w:rsidR="006C2DBA" w:rsidRPr="00DE064C" w:rsidRDefault="006C2DBA" w:rsidP="007259C9">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$573</w:t>
            </w:r>
          </w:p>
        </w:tc>
      </w:tr>
    </w:tbl>
    <w:p w:rsidR="006C2DBA" w:rsidRPr="005E6D43" w:rsidRDefault="006C2DBA" w:rsidP="00AD4B17">
      <w:pPr>
        <w:spacing w:after="0" w:line="240" w:lineRule="auto"/>
        <w:rPr>
          <w:rFonts w:ascii="Times New Roman" w:hAnsi="Times New Roman" w:cs="Times New Roman"/>
          <w:sz w:val="16"/>
          <w:szCs w:val="16"/>
        </w:rPr>
      </w:pPr>
      <w:r w:rsidRPr="005E6D43">
        <w:rPr>
          <w:rFonts w:ascii="Times New Roman" w:hAnsi="Times New Roman" w:cs="Times New Roman"/>
          <w:sz w:val="16"/>
          <w:szCs w:val="16"/>
        </w:rPr>
        <w:t>*Year ranges refer Head Start program years, which for these estimates, begin on August 1</w:t>
      </w:r>
      <w:r w:rsidRPr="005E6D43">
        <w:rPr>
          <w:rFonts w:ascii="Times New Roman" w:hAnsi="Times New Roman" w:cs="Times New Roman"/>
          <w:sz w:val="16"/>
          <w:szCs w:val="16"/>
          <w:vertAlign w:val="superscript"/>
        </w:rPr>
        <w:t>st</w:t>
      </w:r>
      <w:r w:rsidRPr="005E6D43">
        <w:rPr>
          <w:rFonts w:ascii="Times New Roman" w:hAnsi="Times New Roman" w:cs="Times New Roman"/>
          <w:sz w:val="16"/>
          <w:szCs w:val="16"/>
        </w:rPr>
        <w:t xml:space="preserve"> of each year and end on or before July 31</w:t>
      </w:r>
      <w:r w:rsidRPr="005E6D43">
        <w:rPr>
          <w:rFonts w:ascii="Times New Roman" w:hAnsi="Times New Roman" w:cs="Times New Roman"/>
          <w:sz w:val="16"/>
          <w:szCs w:val="16"/>
          <w:vertAlign w:val="superscript"/>
        </w:rPr>
        <w:t>st</w:t>
      </w:r>
      <w:r w:rsidRPr="005E6D43">
        <w:rPr>
          <w:rFonts w:ascii="Times New Roman" w:hAnsi="Times New Roman" w:cs="Times New Roman"/>
          <w:sz w:val="16"/>
          <w:szCs w:val="16"/>
        </w:rPr>
        <w:t>.</w:t>
      </w:r>
    </w:p>
    <w:p w:rsidR="006C2DBA" w:rsidRPr="00AD4B17" w:rsidRDefault="006C2DBA" w:rsidP="007259C9">
      <w:pPr>
        <w:spacing w:after="0" w:line="240" w:lineRule="auto"/>
        <w:rPr>
          <w:rFonts w:ascii="Times New Roman" w:hAnsi="Times New Roman" w:cs="Times New Roman"/>
          <w:bCs/>
          <w:sz w:val="16"/>
          <w:szCs w:val="16"/>
        </w:rPr>
      </w:pPr>
      <w:r w:rsidRPr="00AD4B17">
        <w:rPr>
          <w:rFonts w:ascii="Times New Roman" w:hAnsi="Times New Roman" w:cs="Times New Roman"/>
          <w:bCs/>
          <w:sz w:val="16"/>
          <w:szCs w:val="16"/>
        </w:rPr>
        <w:t>**Note these costs do not include the potential lost benefits of children who may no longer have access to Head Start or the impact on children who attend other early education programs.</w:t>
      </w:r>
    </w:p>
    <w:p w:rsidR="006C2DBA" w:rsidRPr="00C1694A" w:rsidRDefault="006C2DBA" w:rsidP="00331A7B">
      <w:pPr>
        <w:spacing w:after="0" w:line="240" w:lineRule="auto"/>
        <w:rPr>
          <w:rFonts w:ascii="Times New Roman" w:hAnsi="Times New Roman" w:cs="Times New Roman"/>
          <w:bCs/>
          <w:sz w:val="20"/>
          <w:szCs w:val="20"/>
        </w:rPr>
      </w:pP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In total, we estimate the 10-year present value of the costs associated with new requirements in this final rule to be $7,358 million when discounted at 3 percent, and $5,886 million when discounted at 7 percent</w:t>
      </w:r>
      <w:r>
        <w:rPr>
          <w:rFonts w:ascii="Times New Roman" w:hAnsi="Times New Roman" w:cs="Times New Roman"/>
          <w:sz w:val="24"/>
          <w:szCs w:val="24"/>
        </w:rPr>
        <w:t xml:space="preserve"> before accounting for the $294 million in funding Congress has provided in FY 2016 to expand duration</w:t>
      </w:r>
      <w:r w:rsidRPr="00C1694A">
        <w:rPr>
          <w:rFonts w:ascii="Times New Roman" w:hAnsi="Times New Roman" w:cs="Times New Roman"/>
          <w:sz w:val="24"/>
          <w:szCs w:val="24"/>
        </w:rPr>
        <w:t>.  We estimate the annualized costs of new requirements in this final rule to be $838 million when discounted at 3 percent, and $783 million when discounted at 7 percent</w:t>
      </w:r>
      <w:r>
        <w:rPr>
          <w:rFonts w:ascii="Times New Roman" w:hAnsi="Times New Roman" w:cs="Times New Roman"/>
          <w:sz w:val="24"/>
          <w:szCs w:val="24"/>
        </w:rPr>
        <w:t xml:space="preserve"> before accounting for the $294 million in funding Congress has provided in FY 2016 to expand duration</w:t>
      </w:r>
      <w:r w:rsidRPr="00C1694A">
        <w:rPr>
          <w:rFonts w:ascii="Times New Roman" w:hAnsi="Times New Roman" w:cs="Times New Roman"/>
          <w:sz w:val="24"/>
          <w:szCs w:val="24"/>
        </w:rPr>
        <w:t>.</w:t>
      </w:r>
      <w:r>
        <w:rPr>
          <w:rFonts w:ascii="Times New Roman" w:hAnsi="Times New Roman" w:cs="Times New Roman"/>
          <w:sz w:val="24"/>
          <w:szCs w:val="24"/>
        </w:rPr>
        <w:t xml:space="preserve"> As noted, Congress appropriated $294 million in FY 2016 to increase the duration of Early Head Start and Head Start programs.  Thus, a substantial share of the costs in this rule will be absorbed by this funding. Accounting for the funding Congress has already provided in FY 2016 to increase duration, we estimate the 10-year present value of the costs to be $5,632 million when discounted at 3 percent, and $4,502 when discounted at 7 percent. The annualized costs of new requirements in this final rule, when taking into these amounts already appropriated for duration, would be $641 million when discounted at 3 percent and $599 million when discounted at 7 percent. </w:t>
      </w:r>
    </w:p>
    <w:tbl>
      <w:tblPr>
        <w:tblStyle w:val="TableGrid"/>
        <w:tblW w:w="9576" w:type="dxa"/>
        <w:tblLayout w:type="fixed"/>
        <w:tblLook w:val="04A0" w:firstRow="1" w:lastRow="0" w:firstColumn="1" w:lastColumn="0" w:noHBand="0" w:noVBand="1"/>
      </w:tblPr>
      <w:tblGrid>
        <w:gridCol w:w="4608"/>
        <w:gridCol w:w="1260"/>
        <w:gridCol w:w="1260"/>
        <w:gridCol w:w="1260"/>
        <w:gridCol w:w="1188"/>
      </w:tblGrid>
      <w:tr w:rsidR="006C2DBA" w:rsidRPr="00C1694A" w:rsidTr="00AD4B17">
        <w:tc>
          <w:tcPr>
            <w:tcW w:w="9576" w:type="dxa"/>
            <w:gridSpan w:val="5"/>
            <w:vAlign w:val="bottom"/>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Costs to Society Discounted and Annualized (in millions)</w:t>
            </w:r>
          </w:p>
        </w:tc>
      </w:tr>
      <w:tr w:rsidR="006C2DBA" w:rsidRPr="00C1694A" w:rsidTr="00AD4B17">
        <w:tc>
          <w:tcPr>
            <w:tcW w:w="4608" w:type="dxa"/>
            <w:vMerge w:val="restart"/>
          </w:tcPr>
          <w:p w:rsidR="006C2DBA" w:rsidRPr="00C1694A" w:rsidRDefault="006C2DBA" w:rsidP="00DC5146">
            <w:pPr>
              <w:rPr>
                <w:rFonts w:ascii="Times New Roman" w:hAnsi="Times New Roman" w:cs="Times New Roman"/>
                <w:bCs/>
                <w:sz w:val="20"/>
                <w:szCs w:val="20"/>
              </w:rPr>
            </w:pPr>
          </w:p>
        </w:tc>
        <w:tc>
          <w:tcPr>
            <w:tcW w:w="2520" w:type="dxa"/>
            <w:gridSpan w:val="2"/>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Annualized (Years 1-10)</w:t>
            </w:r>
          </w:p>
        </w:tc>
        <w:tc>
          <w:tcPr>
            <w:tcW w:w="2448" w:type="dxa"/>
            <w:gridSpan w:val="2"/>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10 Year Total</w:t>
            </w:r>
          </w:p>
        </w:tc>
      </w:tr>
      <w:tr w:rsidR="006C2DBA" w:rsidRPr="00C1694A" w:rsidTr="00AD4B17">
        <w:tc>
          <w:tcPr>
            <w:tcW w:w="4608" w:type="dxa"/>
            <w:vMerge/>
          </w:tcPr>
          <w:p w:rsidR="006C2DBA" w:rsidRPr="00C1694A" w:rsidRDefault="006C2DBA" w:rsidP="00DC5146">
            <w:pPr>
              <w:rPr>
                <w:rFonts w:ascii="Times New Roman" w:hAnsi="Times New Roman" w:cs="Times New Roman"/>
                <w:b/>
                <w:sz w:val="20"/>
                <w:szCs w:val="20"/>
              </w:rPr>
            </w:pPr>
          </w:p>
        </w:tc>
        <w:tc>
          <w:tcPr>
            <w:tcW w:w="126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Discounted 3%</w:t>
            </w:r>
          </w:p>
        </w:tc>
        <w:tc>
          <w:tcPr>
            <w:tcW w:w="126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Discounted 7%</w:t>
            </w:r>
          </w:p>
        </w:tc>
        <w:tc>
          <w:tcPr>
            <w:tcW w:w="1260"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Discounted 3%</w:t>
            </w:r>
          </w:p>
        </w:tc>
        <w:tc>
          <w:tcPr>
            <w:tcW w:w="1188"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Discounted 7%</w:t>
            </w:r>
          </w:p>
        </w:tc>
      </w:tr>
      <w:tr w:rsidR="006C2DBA" w:rsidRPr="00C1694A" w:rsidTr="00AD4B17">
        <w:tc>
          <w:tcPr>
            <w:tcW w:w="4608" w:type="dxa"/>
          </w:tcPr>
          <w:p w:rsidR="006C2DBA" w:rsidRPr="00AD4B17" w:rsidRDefault="006C2DBA" w:rsidP="00DC5146">
            <w:pPr>
              <w:rPr>
                <w:rFonts w:ascii="Times New Roman" w:hAnsi="Times New Roman" w:cs="Times New Roman"/>
                <w:b/>
                <w:i/>
                <w:sz w:val="20"/>
                <w:szCs w:val="20"/>
              </w:rPr>
            </w:pPr>
            <w:r w:rsidRPr="00C1694A">
              <w:rPr>
                <w:rFonts w:ascii="Times New Roman" w:hAnsi="Times New Roman" w:cs="Times New Roman"/>
                <w:b/>
                <w:sz w:val="20"/>
                <w:szCs w:val="20"/>
              </w:rPr>
              <w:t>Cost to Society</w:t>
            </w:r>
            <w:r>
              <w:rPr>
                <w:rFonts w:ascii="Times New Roman" w:hAnsi="Times New Roman" w:cs="Times New Roman"/>
                <w:b/>
                <w:sz w:val="20"/>
                <w:szCs w:val="20"/>
              </w:rPr>
              <w:t xml:space="preserve">, </w:t>
            </w:r>
            <w:r>
              <w:rPr>
                <w:rFonts w:ascii="Times New Roman" w:hAnsi="Times New Roman" w:cs="Times New Roman"/>
                <w:b/>
                <w:i/>
                <w:sz w:val="20"/>
                <w:szCs w:val="20"/>
              </w:rPr>
              <w:t>excluding duration funding appropriated beginning in FY 2016</w:t>
            </w:r>
          </w:p>
        </w:tc>
        <w:tc>
          <w:tcPr>
            <w:tcW w:w="1260" w:type="dxa"/>
          </w:tcPr>
          <w:p w:rsidR="006C2DBA" w:rsidRPr="00C1694A" w:rsidRDefault="006C2DBA" w:rsidP="00202212">
            <w:pPr>
              <w:jc w:val="center"/>
              <w:rPr>
                <w:rFonts w:ascii="Times New Roman" w:hAnsi="Times New Roman" w:cs="Times New Roman"/>
                <w:sz w:val="20"/>
                <w:szCs w:val="20"/>
              </w:rPr>
            </w:pPr>
            <w:r w:rsidRPr="00C1694A">
              <w:rPr>
                <w:rFonts w:ascii="Times New Roman" w:hAnsi="Times New Roman" w:cs="Times New Roman"/>
                <w:sz w:val="20"/>
                <w:szCs w:val="20"/>
              </w:rPr>
              <w:t>$838</w:t>
            </w:r>
          </w:p>
        </w:tc>
        <w:tc>
          <w:tcPr>
            <w:tcW w:w="1260" w:type="dxa"/>
          </w:tcPr>
          <w:p w:rsidR="006C2DBA" w:rsidRPr="00C1694A" w:rsidRDefault="006C2DBA" w:rsidP="00202212">
            <w:pPr>
              <w:jc w:val="center"/>
              <w:rPr>
                <w:rFonts w:ascii="Times New Roman" w:hAnsi="Times New Roman" w:cs="Times New Roman"/>
                <w:sz w:val="20"/>
                <w:szCs w:val="20"/>
              </w:rPr>
            </w:pPr>
            <w:r w:rsidRPr="00C1694A">
              <w:rPr>
                <w:rFonts w:ascii="Times New Roman" w:hAnsi="Times New Roman" w:cs="Times New Roman"/>
                <w:sz w:val="20"/>
                <w:szCs w:val="20"/>
              </w:rPr>
              <w:t>$783</w:t>
            </w:r>
          </w:p>
        </w:tc>
        <w:tc>
          <w:tcPr>
            <w:tcW w:w="1260" w:type="dxa"/>
          </w:tcPr>
          <w:p w:rsidR="006C2DBA" w:rsidRPr="00C1694A" w:rsidRDefault="006C2DBA" w:rsidP="00202212">
            <w:pPr>
              <w:jc w:val="center"/>
              <w:rPr>
                <w:rFonts w:ascii="Times New Roman" w:hAnsi="Times New Roman" w:cs="Times New Roman"/>
                <w:sz w:val="20"/>
                <w:szCs w:val="20"/>
              </w:rPr>
            </w:pPr>
            <w:r w:rsidRPr="00C1694A">
              <w:rPr>
                <w:rFonts w:ascii="Times New Roman" w:hAnsi="Times New Roman" w:cs="Times New Roman"/>
                <w:sz w:val="20"/>
                <w:szCs w:val="20"/>
              </w:rPr>
              <w:t>$7,358</w:t>
            </w:r>
          </w:p>
        </w:tc>
        <w:tc>
          <w:tcPr>
            <w:tcW w:w="1188" w:type="dxa"/>
          </w:tcPr>
          <w:p w:rsidR="006C2DBA" w:rsidRPr="00C1694A" w:rsidRDefault="006C2DBA" w:rsidP="00202212">
            <w:pPr>
              <w:jc w:val="center"/>
              <w:rPr>
                <w:rFonts w:ascii="Times New Roman" w:hAnsi="Times New Roman" w:cs="Times New Roman"/>
                <w:sz w:val="20"/>
                <w:szCs w:val="20"/>
              </w:rPr>
            </w:pPr>
            <w:r w:rsidRPr="00C1694A">
              <w:rPr>
                <w:rFonts w:ascii="Times New Roman" w:hAnsi="Times New Roman" w:cs="Times New Roman"/>
                <w:sz w:val="20"/>
                <w:szCs w:val="20"/>
              </w:rPr>
              <w:t>$5,886</w:t>
            </w:r>
          </w:p>
        </w:tc>
      </w:tr>
      <w:tr w:rsidR="006C2DBA" w:rsidRPr="00C1694A" w:rsidTr="00AD4B17">
        <w:tc>
          <w:tcPr>
            <w:tcW w:w="4608" w:type="dxa"/>
          </w:tcPr>
          <w:p w:rsidR="006C2DBA" w:rsidRPr="00AD4B17" w:rsidRDefault="006C2DBA" w:rsidP="005619BE">
            <w:pPr>
              <w:rPr>
                <w:rFonts w:ascii="Times New Roman" w:hAnsi="Times New Roman" w:cs="Times New Roman"/>
                <w:b/>
                <w:i/>
                <w:sz w:val="20"/>
                <w:szCs w:val="20"/>
              </w:rPr>
            </w:pPr>
            <w:r>
              <w:rPr>
                <w:rFonts w:ascii="Times New Roman" w:hAnsi="Times New Roman" w:cs="Times New Roman"/>
                <w:b/>
                <w:sz w:val="20"/>
                <w:szCs w:val="20"/>
              </w:rPr>
              <w:t xml:space="preserve">Cost to Society, </w:t>
            </w:r>
            <w:r>
              <w:rPr>
                <w:rFonts w:ascii="Times New Roman" w:hAnsi="Times New Roman" w:cs="Times New Roman"/>
                <w:b/>
                <w:i/>
                <w:sz w:val="20"/>
                <w:szCs w:val="20"/>
              </w:rPr>
              <w:t>including duration funding appropriated beginning in FY 2016</w:t>
            </w:r>
          </w:p>
        </w:tc>
        <w:tc>
          <w:tcPr>
            <w:tcW w:w="1260" w:type="dxa"/>
          </w:tcPr>
          <w:p w:rsidR="006C2DBA" w:rsidRPr="00C1694A" w:rsidRDefault="006C2DBA" w:rsidP="00202212">
            <w:pPr>
              <w:jc w:val="center"/>
              <w:rPr>
                <w:rFonts w:ascii="Times New Roman" w:hAnsi="Times New Roman" w:cs="Times New Roman"/>
                <w:sz w:val="20"/>
                <w:szCs w:val="20"/>
              </w:rPr>
            </w:pPr>
            <w:r>
              <w:rPr>
                <w:rFonts w:ascii="Times New Roman" w:hAnsi="Times New Roman" w:cs="Times New Roman"/>
                <w:sz w:val="20"/>
                <w:szCs w:val="20"/>
              </w:rPr>
              <w:t>$641</w:t>
            </w:r>
          </w:p>
        </w:tc>
        <w:tc>
          <w:tcPr>
            <w:tcW w:w="1260" w:type="dxa"/>
          </w:tcPr>
          <w:p w:rsidR="006C2DBA" w:rsidRPr="00C1694A" w:rsidRDefault="006C2DBA" w:rsidP="00202212">
            <w:pPr>
              <w:jc w:val="center"/>
              <w:rPr>
                <w:rFonts w:ascii="Times New Roman" w:hAnsi="Times New Roman" w:cs="Times New Roman"/>
                <w:sz w:val="20"/>
                <w:szCs w:val="20"/>
              </w:rPr>
            </w:pPr>
            <w:r>
              <w:rPr>
                <w:rFonts w:ascii="Times New Roman" w:hAnsi="Times New Roman" w:cs="Times New Roman"/>
                <w:sz w:val="20"/>
                <w:szCs w:val="20"/>
              </w:rPr>
              <w:t>$599</w:t>
            </w:r>
          </w:p>
        </w:tc>
        <w:tc>
          <w:tcPr>
            <w:tcW w:w="1260" w:type="dxa"/>
          </w:tcPr>
          <w:p w:rsidR="006C2DBA" w:rsidRPr="00C1694A" w:rsidRDefault="006C2DBA" w:rsidP="00202212">
            <w:pPr>
              <w:jc w:val="center"/>
              <w:rPr>
                <w:rFonts w:ascii="Times New Roman" w:hAnsi="Times New Roman" w:cs="Times New Roman"/>
                <w:sz w:val="20"/>
                <w:szCs w:val="20"/>
              </w:rPr>
            </w:pPr>
            <w:r>
              <w:rPr>
                <w:rFonts w:ascii="Times New Roman" w:hAnsi="Times New Roman" w:cs="Times New Roman"/>
                <w:sz w:val="20"/>
                <w:szCs w:val="20"/>
              </w:rPr>
              <w:t>$5,632</w:t>
            </w:r>
          </w:p>
        </w:tc>
        <w:tc>
          <w:tcPr>
            <w:tcW w:w="1188" w:type="dxa"/>
          </w:tcPr>
          <w:p w:rsidR="006C2DBA" w:rsidRPr="00C1694A" w:rsidRDefault="006C2DBA" w:rsidP="00202212">
            <w:pPr>
              <w:jc w:val="center"/>
              <w:rPr>
                <w:rFonts w:ascii="Times New Roman" w:hAnsi="Times New Roman" w:cs="Times New Roman"/>
                <w:sz w:val="20"/>
                <w:szCs w:val="20"/>
              </w:rPr>
            </w:pPr>
            <w:r>
              <w:rPr>
                <w:rFonts w:ascii="Times New Roman" w:hAnsi="Times New Roman" w:cs="Times New Roman"/>
                <w:sz w:val="20"/>
                <w:szCs w:val="20"/>
              </w:rPr>
              <w:t>$4,502</w:t>
            </w:r>
          </w:p>
        </w:tc>
      </w:tr>
    </w:tbl>
    <w:p w:rsidR="006C2DBA" w:rsidRPr="00C1694A" w:rsidRDefault="006C2DBA" w:rsidP="00331A7B">
      <w:pPr>
        <w:spacing w:after="0" w:line="480" w:lineRule="auto"/>
        <w:rPr>
          <w:rFonts w:ascii="Times New Roman" w:hAnsi="Times New Roman" w:cs="Times New Roman"/>
          <w:bCs/>
          <w:sz w:val="24"/>
          <w:szCs w:val="24"/>
        </w:rPr>
      </w:pPr>
    </w:p>
    <w:p w:rsidR="006C2DBA" w:rsidRPr="00C1694A" w:rsidRDefault="006C2DBA" w:rsidP="00331A7B">
      <w:pPr>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u w:val="single"/>
        </w:rPr>
        <w:t>5. Distributional effects</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As part of our regulatory analysis, we considered whether the final rule will disproportionately benefit or harm a particular subpopulation.  If adequate funds are not appropriated, the final rule has the potential to result in a reduction in the number of children being served by Head Start and an improvement in quality for the much larger group of low-income children who continue to participate.   We do not expect the children who may lose access to Head Start if the funding is not provided to be systematically different in terms of meaningful subpopulations from the children who will be receiving greater benefits from higher quality services.  We also acknowledge that if adequate funds are not appropriated, as many as 7,372 teachers, assistant teachers, and home visitors could no longer be employed.  Again, while these teachers would be economically harmed, the remaining </w:t>
      </w:r>
      <w:r>
        <w:rPr>
          <w:rFonts w:ascii="Times New Roman" w:hAnsi="Times New Roman" w:cs="Times New Roman"/>
          <w:sz w:val="24"/>
          <w:szCs w:val="24"/>
        </w:rPr>
        <w:t>110,933</w:t>
      </w:r>
      <w:r w:rsidRPr="00C1694A">
        <w:rPr>
          <w:rFonts w:ascii="Times New Roman" w:hAnsi="Times New Roman" w:cs="Times New Roman"/>
          <w:sz w:val="24"/>
          <w:szCs w:val="24"/>
        </w:rPr>
        <w:t xml:space="preserve"> teachers, assistant teachers, and home visitors whose employment is not terminated, should receive pay increases because of working longer hours and longer program years.  We do not expect the teachers who are no longer employed to be systematically different in terms of meaningful subpopulations from the teachers who will see increased pay because of this rule.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also considered whether there would be a differential impact of the final rule, specifically the requirements to increase duration, on either children or teachers based upon geographic location or tribal affiliation.  While we found significant variation at the state level with regard to the proportion of slots that provide 1,020 annual hours in Head Start and 1,380 annual hours in Early Head Start, there are no systematic differences based on the region of the country (e.g., North vs. South; Midwest vs. West, etc.).  Further, if the rule is fully implemented, some children in every state will benefit from increased duration.  We also found no systematic differences between tribal programs and non-tribal programs with regard to meeting the new minimums. </w:t>
      </w:r>
    </w:p>
    <w:p w:rsidR="006C2DBA" w:rsidRPr="00C1694A" w:rsidRDefault="006C2DBA" w:rsidP="00331A7B">
      <w:pPr>
        <w:rPr>
          <w:rFonts w:ascii="Times New Roman" w:hAnsi="Times New Roman" w:cs="Times New Roman"/>
          <w:sz w:val="24"/>
          <w:szCs w:val="24"/>
          <w:u w:val="single"/>
        </w:rPr>
      </w:pPr>
      <w:r w:rsidRPr="00C1694A">
        <w:rPr>
          <w:rFonts w:ascii="Times New Roman" w:hAnsi="Times New Roman" w:cs="Times New Roman"/>
          <w:sz w:val="24"/>
          <w:szCs w:val="24"/>
          <w:u w:val="single"/>
        </w:rPr>
        <w:t>6. Regulatory Alternatives</w:t>
      </w:r>
    </w:p>
    <w:p w:rsidR="006C2DBA" w:rsidRDefault="006C2DBA" w:rsidP="00331A7B">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 </w:t>
      </w:r>
      <w:r w:rsidRPr="00C1694A">
        <w:rPr>
          <w:rFonts w:ascii="Times New Roman" w:hAnsi="Times New Roman" w:cs="Times New Roman"/>
          <w:sz w:val="24"/>
          <w:szCs w:val="24"/>
        </w:rPr>
        <w:tab/>
        <w:t>As part of our full regulatory analysis, we have considered several regulatory alternatives, which we outline below.  Specifically, we have considered alternatives to the policy changes we have determined to be our largest cost-drivers: extension of Head Start center-based program duration and mentor coaching.  We consider alternatives to these policy changes by analyzing the effect of the net cost in dollars, slots, and education staff jobs of making no change to the existing rule, as well as other more costly policy changes. In fact, the requirements in this rule for Head Start center-based duration represent an alternative to the requirements proposed in the NPRM.    Justifications for the policies set by this rule are embedded throughout the discussion of comments received.  However, we do provide additional rationale for not opting to propose or finalize the more costly regulatory alternatives in this section.</w:t>
      </w:r>
    </w:p>
    <w:p w:rsidR="006C2DBA" w:rsidRPr="00C1694A" w:rsidRDefault="006C2DBA" w:rsidP="00331A7B">
      <w:pPr>
        <w:spacing w:after="0" w:line="480" w:lineRule="auto"/>
        <w:rPr>
          <w:rFonts w:ascii="Times New Roman" w:hAnsi="Times New Roman" w:cs="Times New Roman"/>
          <w:b/>
          <w:sz w:val="24"/>
          <w:szCs w:val="24"/>
        </w:rPr>
      </w:pPr>
    </w:p>
    <w:p w:rsidR="006C2DBA" w:rsidRPr="00C1694A" w:rsidRDefault="006C2DBA" w:rsidP="00331A7B">
      <w:pPr>
        <w:rPr>
          <w:rFonts w:ascii="Times New Roman" w:hAnsi="Times New Roman" w:cs="Times New Roman"/>
          <w:b/>
          <w:sz w:val="24"/>
          <w:szCs w:val="24"/>
          <w:u w:val="single"/>
        </w:rPr>
      </w:pPr>
      <w:r w:rsidRPr="00C1694A">
        <w:rPr>
          <w:rFonts w:ascii="Times New Roman" w:hAnsi="Times New Roman" w:cs="Times New Roman"/>
          <w:b/>
          <w:sz w:val="24"/>
          <w:szCs w:val="24"/>
          <w:u w:val="single"/>
        </w:rPr>
        <w:t>Extension of Head Start Center-based Program Duration</w:t>
      </w:r>
    </w:p>
    <w:p w:rsidR="006C2DBA" w:rsidRPr="00C1694A" w:rsidRDefault="006C2DBA" w:rsidP="00DC5146">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The rule requires Head Start center-based programs to provide a minimum of 1,020 annual hours for all children by August 1, 2021, but gives the Secretary authority to reduce this requirement to mitigate slot loss from the duration requirements in the event that Congress does not appropriate adequate funds to support the policy.  As described in great detail above, these requirements will increase the amount of instructional time in Head Start programs, which research suggests is critical to reaping the full benefits of the other quality improvements in the rule.</w:t>
      </w:r>
      <w:r w:rsidRPr="00C1694A">
        <w:rPr>
          <w:rStyle w:val="FootnoteReference"/>
          <w:rFonts w:ascii="Times New Roman" w:hAnsi="Times New Roman" w:cs="Times New Roman"/>
          <w:sz w:val="24"/>
          <w:szCs w:val="24"/>
        </w:rPr>
        <w:footnoteReference w:id="25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54"/>
      </w:r>
      <w:r w:rsidRPr="00C1694A">
        <w:rPr>
          <w:rFonts w:ascii="Times New Roman" w:hAnsi="Times New Roman" w:cs="Times New Roman"/>
          <w:sz w:val="24"/>
          <w:szCs w:val="24"/>
          <w:vertAlign w:val="superscript"/>
        </w:rPr>
        <w:t xml:space="preserve">  </w:t>
      </w:r>
      <w:r w:rsidRPr="00C1694A">
        <w:rPr>
          <w:rFonts w:ascii="Times New Roman" w:hAnsi="Times New Roman" w:cs="Times New Roman"/>
          <w:sz w:val="24"/>
          <w:szCs w:val="24"/>
        </w:rPr>
        <w:t xml:space="preserve">In our cost analysis, we estimated the cost of the Head Start center-based duration requirement, if fully implemented to be $1,128,990,485.  Once the expected proportion of the FY 2016 appropriation to increase program duration in Head Start is applied, the cost of these requirements is $865,868,544.  These requirements are associated with a potential loss of between 0 and 107,762 slots and between 0 and 5,475 education staff jobs, depending upon appropriations and Secretarial action.   As part of our full regulatory analysis, we considered three alternatives to this policy change.  </w:t>
      </w:r>
    </w:p>
    <w:p w:rsidR="006C2DBA" w:rsidRPr="00C1694A" w:rsidRDefault="006C2DBA" w:rsidP="00DC5146">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First, we considered the alternative of making no change to our previous minimums, thus eliminating the associated cost of $865,868,544.  Using the methodology enumerated above, making no change to this policy would be associated with up to 107,762 fewer slots lost and 5,475 fewer education staff no longer employed.  However, not making this change would also prevent the significant predicted increase in impacts on child outcomes we have described in the Benefits Analysis section.  We believe that strong child outcomes are best fostered through high-quality early education programs that provide at least a full school day and full school year of services and that children are best served if Head Start programs continue to move toward this goal and there is ample research that points to increased duration in achieving positive child outcomes.</w:t>
      </w:r>
      <w:r w:rsidRPr="00C1694A">
        <w:rPr>
          <w:rStyle w:val="FootnoteReference"/>
          <w:rFonts w:ascii="Times New Roman" w:hAnsi="Times New Roman" w:cs="Times New Roman"/>
          <w:sz w:val="24"/>
          <w:szCs w:val="24"/>
        </w:rPr>
        <w:t xml:space="preserve"> </w:t>
      </w:r>
      <w:r w:rsidRPr="00C1694A">
        <w:rPr>
          <w:rStyle w:val="FootnoteReference"/>
          <w:rFonts w:ascii="Times New Roman" w:hAnsi="Times New Roman" w:cs="Times New Roman"/>
          <w:sz w:val="24"/>
          <w:szCs w:val="24"/>
        </w:rPr>
        <w:footnoteReference w:id="255"/>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56"/>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57"/>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5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5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2"/>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4"/>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5"/>
      </w:r>
      <w:r w:rsidRPr="00C1694A">
        <w:rPr>
          <w:rFonts w:ascii="Times New Roman" w:hAnsi="Times New Roman" w:cs="Times New Roman"/>
          <w:sz w:val="24"/>
          <w:szCs w:val="24"/>
          <w:vertAlign w:val="superscript"/>
        </w:rPr>
        <w:t xml:space="preserve"> </w:t>
      </w:r>
      <w:r w:rsidRPr="00C1694A">
        <w:rPr>
          <w:rFonts w:ascii="Times New Roman" w:hAnsi="Times New Roman" w:cs="Times New Roman"/>
          <w:sz w:val="24"/>
          <w:szCs w:val="24"/>
        </w:rPr>
        <w:t>Therefore we have not included this alternative in the final rule.</w:t>
      </w:r>
    </w:p>
    <w:p w:rsidR="006C2DBA" w:rsidRPr="00C1694A" w:rsidRDefault="006C2DBA" w:rsidP="00331A7B">
      <w:pPr>
        <w:spacing w:after="0" w:line="480" w:lineRule="auto"/>
        <w:ind w:firstLine="720"/>
        <w:rPr>
          <w:rFonts w:ascii="Times New Roman" w:hAnsi="Times New Roman" w:cs="Times New Roman"/>
          <w:color w:val="000000"/>
        </w:rPr>
      </w:pPr>
      <w:r w:rsidRPr="00C1694A">
        <w:rPr>
          <w:rFonts w:ascii="Times New Roman" w:hAnsi="Times New Roman" w:cs="Times New Roman"/>
          <w:sz w:val="24"/>
          <w:szCs w:val="24"/>
        </w:rPr>
        <w:t>We also considered the alternative proposed in the NPRM to extend the minimum Head Start year to 180 days and the Head Start day to 6 hours.  Using the same method employed in our original cost analysis in the NPRM. We updated the original cost analysis by using 2015 data, inflating for missing GABI data, and inflating by 20% to</w:t>
      </w:r>
      <w:r w:rsidRPr="00C1694A">
        <w:rPr>
          <w:rFonts w:ascii="Times New Roman" w:hAnsi="Times New Roman" w:cs="Times New Roman"/>
          <w:sz w:val="20"/>
          <w:szCs w:val="20"/>
        </w:rPr>
        <w:t xml:space="preserve"> </w:t>
      </w:r>
      <w:r w:rsidRPr="00C1694A">
        <w:rPr>
          <w:rFonts w:ascii="Times New Roman" w:hAnsi="Times New Roman" w:cs="Times New Roman"/>
          <w:sz w:val="24"/>
          <w:szCs w:val="24"/>
        </w:rPr>
        <w:t>reflect changes made to the final rule cost estimate in response to comments that account for fringe benefits and remove the assumption that additional administrative costs will not be necessary to support increased duration).  These changes provide comparable estimates for weighing the potential impacts of regulatory alternatives.  Using this method, the total costs of this alternative (NPRM proposal) would be $ 1,308,629,691. Once the expected proportion of the FY 2016 appropriation to increase program duration in Head Start is applied, the cost of these requirements is $1,045,507,751.   These costs would result in a total of 130,119 slots lost and 10,392 education staff no longer employed as a result of this provision alone.  The additional associated costs of this alternative, compared to the requirements in the final rule, would be $179,639,207, which would result in as many as 22,357</w:t>
      </w:r>
      <w:r>
        <w:rPr>
          <w:rFonts w:ascii="Times New Roman" w:hAnsi="Times New Roman" w:cs="Times New Roman"/>
          <w:sz w:val="24"/>
          <w:szCs w:val="24"/>
        </w:rPr>
        <w:t xml:space="preserve"> </w:t>
      </w:r>
      <w:r w:rsidRPr="00C1694A">
        <w:rPr>
          <w:rFonts w:ascii="Times New Roman" w:hAnsi="Times New Roman" w:cs="Times New Roman"/>
          <w:sz w:val="24"/>
          <w:szCs w:val="24"/>
        </w:rPr>
        <w:t xml:space="preserve">additional slots lost and 4,917 additional education staff no longer employed.  </w:t>
      </w:r>
    </w:p>
    <w:p w:rsidR="006C2DBA" w:rsidRPr="00C1694A" w:rsidRDefault="006C2DBA" w:rsidP="00DC5146">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Again, research clearly demonstrates that strong child outcomes are best fostered through high-quality early education programs that provide at least a full school day and full school year of services, however, research does not specify a threshold for this effect.</w:t>
      </w:r>
      <w:r w:rsidRPr="00C1694A">
        <w:rPr>
          <w:rStyle w:val="FootnoteReference"/>
          <w:rFonts w:ascii="Times New Roman" w:hAnsi="Times New Roman" w:cs="Times New Roman"/>
          <w:sz w:val="24"/>
          <w:szCs w:val="24"/>
        </w:rPr>
        <w:footnoteReference w:id="266"/>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7"/>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69"/>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1"/>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2"/>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3"/>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4"/>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5"/>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6"/>
      </w:r>
      <w:r w:rsidRPr="00C1694A">
        <w:rPr>
          <w:rFonts w:ascii="Times New Roman" w:hAnsi="Times New Roman" w:cs="Times New Roman"/>
          <w:sz w:val="24"/>
          <w:szCs w:val="24"/>
        </w:rPr>
        <w:t xml:space="preserve"> Given this, we believe it is important to allow programs to design a variety of different schedules within the minimum requirements that meet the specific needs of their families, communities, and staff.  We believe the flexibility of the annual hours, rather than the specified hours per day and days per year of this regulatory alternative will allow programs to address many of the concerns that were raised in the comments, such as alignment of the summer break with the local education agency’s calendar, the availability of facilities, the continuation of partnerships, and state licensing requirements.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Finally, we considered the alternative of requiring Head Start center-based programs to provide a minimum of 1,020 annual hours for all children by August 1, 2021, but not giving the Secretary authority to reduce this requirement to mitigate slot loss in the event that adequate funds to support the policy are not appropriated. This policy would guarantee, in the event that Congress does not appropriate adequate funds to support the policy, at least some children would lose access to Head Start and some education staff would no longer be employed by Head Start. </w:t>
      </w:r>
    </w:p>
    <w:p w:rsidR="006C2DBA" w:rsidRPr="00C1694A" w:rsidRDefault="006C2DBA" w:rsidP="00DC5146">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However, the negative effects of implementing this model in such a way that could lead to significant reductions in the number of children and families served by Head Start programs, may outweigh the benefits.  Therefore, we specify an incremental timeline and process for grantees to shift their programs to provide at least a full school day and a full school year of services to all preschoolers in center-based settings, which will allow programs to extend their service duration models thoughtfully.  Further, we gave the Secretary the discretion to lower the required percentage of funded enrollment slots for which grantees must offer 1,020 annual hours of planned class operations to the percentage the Secretary estimates available appropriations can support.  This balances the important policy goal of providing all preschoolers with a full school day and a full school year of services in Head Start with the disruption and potential slot loss such a policy might create in the absence of sufficient funding in a way that this regulatory alternative would not.</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believe the policy set by this final rule represents a balance between empowering Head Start programs to ensure all Head Start children receive enough high quality early learning experiences to improve their outcomes, and ensuring as many children from low-income families as possible are served by Head Start. </w:t>
      </w:r>
    </w:p>
    <w:tbl>
      <w:tblPr>
        <w:tblStyle w:val="TableGrid"/>
        <w:tblW w:w="0" w:type="auto"/>
        <w:tblLayout w:type="fixed"/>
        <w:tblLook w:val="04A0" w:firstRow="1" w:lastRow="0" w:firstColumn="1" w:lastColumn="0" w:noHBand="0" w:noVBand="1"/>
      </w:tblPr>
      <w:tblGrid>
        <w:gridCol w:w="2178"/>
        <w:gridCol w:w="900"/>
        <w:gridCol w:w="1800"/>
        <w:gridCol w:w="2790"/>
        <w:gridCol w:w="1800"/>
      </w:tblGrid>
      <w:tr w:rsidR="006C2DBA" w:rsidRPr="00C1694A" w:rsidTr="00D722F2">
        <w:tc>
          <w:tcPr>
            <w:tcW w:w="9468" w:type="dxa"/>
            <w:gridSpan w:val="5"/>
            <w:vAlign w:val="bottom"/>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Regulatory Alternatives: Head Start Center-Based Duration</w:t>
            </w:r>
          </w:p>
        </w:tc>
      </w:tr>
      <w:tr w:rsidR="006C2DBA" w:rsidRPr="00C1694A" w:rsidTr="00D722F2">
        <w:tc>
          <w:tcPr>
            <w:tcW w:w="2178" w:type="dxa"/>
            <w:vAlign w:val="bottom"/>
          </w:tcPr>
          <w:p w:rsidR="006C2DBA" w:rsidRPr="00C1694A" w:rsidRDefault="006C2DBA" w:rsidP="00DC5146">
            <w:pPr>
              <w:jc w:val="center"/>
              <w:rPr>
                <w:rFonts w:ascii="Times New Roman" w:hAnsi="Times New Roman" w:cs="Times New Roman"/>
                <w:b/>
                <w:sz w:val="20"/>
                <w:szCs w:val="20"/>
              </w:rPr>
            </w:pPr>
          </w:p>
        </w:tc>
        <w:tc>
          <w:tcPr>
            <w:tcW w:w="90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Status quo</w:t>
            </w:r>
          </w:p>
        </w:tc>
        <w:tc>
          <w:tcPr>
            <w:tcW w:w="180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NPRM Proposal*</w:t>
            </w:r>
          </w:p>
        </w:tc>
        <w:tc>
          <w:tcPr>
            <w:tcW w:w="2790" w:type="dxa"/>
            <w:vAlign w:val="bottom"/>
          </w:tcPr>
          <w:p w:rsidR="006C2DBA" w:rsidRPr="00C1694A" w:rsidDel="0015524D"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100% to 1,020 for Head Start Center-based without Sec. authority</w:t>
            </w:r>
          </w:p>
        </w:tc>
        <w:tc>
          <w:tcPr>
            <w:tcW w:w="1800" w:type="dxa"/>
            <w:vAlign w:val="bottom"/>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Final Rule</w:t>
            </w:r>
          </w:p>
        </w:tc>
      </w:tr>
      <w:tr w:rsidR="006C2DBA" w:rsidRPr="00C1694A" w:rsidTr="00D722F2">
        <w:tc>
          <w:tcPr>
            <w:tcW w:w="2178" w:type="dxa"/>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Costs Borne by Head Start</w:t>
            </w:r>
            <w:r>
              <w:rPr>
                <w:rFonts w:ascii="Times New Roman" w:hAnsi="Times New Roman" w:cs="Times New Roman"/>
                <w:b/>
                <w:sz w:val="20"/>
                <w:szCs w:val="20"/>
              </w:rPr>
              <w:t>, excluding FY 2016 duration funding</w:t>
            </w:r>
          </w:p>
        </w:tc>
        <w:tc>
          <w:tcPr>
            <w:tcW w:w="90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0</w:t>
            </w:r>
          </w:p>
        </w:tc>
        <w:tc>
          <w:tcPr>
            <w:tcW w:w="180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$ 1,308,629,691</w:t>
            </w:r>
          </w:p>
        </w:tc>
        <w:tc>
          <w:tcPr>
            <w:tcW w:w="279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$1,128,990,485</w:t>
            </w:r>
          </w:p>
        </w:tc>
        <w:tc>
          <w:tcPr>
            <w:tcW w:w="180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$1,128,990,485</w:t>
            </w:r>
          </w:p>
        </w:tc>
      </w:tr>
      <w:tr w:rsidR="006C2DBA" w:rsidRPr="00C1694A" w:rsidTr="00D722F2">
        <w:tc>
          <w:tcPr>
            <w:tcW w:w="2178" w:type="dxa"/>
          </w:tcPr>
          <w:p w:rsidR="006C2DBA" w:rsidRPr="00C1694A" w:rsidRDefault="006C2DBA" w:rsidP="00880F71">
            <w:pPr>
              <w:rPr>
                <w:rFonts w:ascii="Times New Roman" w:hAnsi="Times New Roman" w:cs="Times New Roman"/>
                <w:b/>
                <w:sz w:val="20"/>
                <w:szCs w:val="20"/>
              </w:rPr>
            </w:pPr>
            <w:r w:rsidRPr="00C1694A">
              <w:rPr>
                <w:rFonts w:ascii="Times New Roman" w:hAnsi="Times New Roman" w:cs="Times New Roman"/>
                <w:b/>
                <w:sz w:val="20"/>
                <w:szCs w:val="20"/>
              </w:rPr>
              <w:t>Costs</w:t>
            </w:r>
            <w:r>
              <w:rPr>
                <w:rFonts w:ascii="Times New Roman" w:hAnsi="Times New Roman" w:cs="Times New Roman"/>
                <w:b/>
                <w:sz w:val="20"/>
                <w:szCs w:val="20"/>
              </w:rPr>
              <w:t xml:space="preserve"> Borne by Head Start,</w:t>
            </w:r>
            <w:r w:rsidRPr="00C1694A">
              <w:rPr>
                <w:rFonts w:ascii="Times New Roman" w:hAnsi="Times New Roman" w:cs="Times New Roman"/>
                <w:b/>
                <w:sz w:val="20"/>
                <w:szCs w:val="20"/>
              </w:rPr>
              <w:t xml:space="preserve"> </w:t>
            </w:r>
            <w:r>
              <w:rPr>
                <w:rFonts w:ascii="Times New Roman" w:hAnsi="Times New Roman" w:cs="Times New Roman"/>
                <w:b/>
                <w:sz w:val="20"/>
                <w:szCs w:val="20"/>
              </w:rPr>
              <w:t>including FY 2016</w:t>
            </w:r>
            <w:r w:rsidRPr="00C1694A">
              <w:rPr>
                <w:rFonts w:ascii="Times New Roman" w:hAnsi="Times New Roman" w:cs="Times New Roman"/>
                <w:b/>
                <w:sz w:val="20"/>
                <w:szCs w:val="20"/>
              </w:rPr>
              <w:t xml:space="preserve"> </w:t>
            </w:r>
            <w:r>
              <w:rPr>
                <w:rFonts w:ascii="Times New Roman" w:hAnsi="Times New Roman" w:cs="Times New Roman"/>
                <w:b/>
                <w:sz w:val="20"/>
                <w:szCs w:val="20"/>
              </w:rPr>
              <w:t>du</w:t>
            </w:r>
            <w:r w:rsidRPr="00C1694A">
              <w:rPr>
                <w:rFonts w:ascii="Times New Roman" w:hAnsi="Times New Roman" w:cs="Times New Roman"/>
                <w:b/>
                <w:sz w:val="20"/>
                <w:szCs w:val="20"/>
              </w:rPr>
              <w:t xml:space="preserve">ration </w:t>
            </w:r>
            <w:r>
              <w:rPr>
                <w:rFonts w:ascii="Times New Roman" w:hAnsi="Times New Roman" w:cs="Times New Roman"/>
                <w:b/>
                <w:sz w:val="20"/>
                <w:szCs w:val="20"/>
              </w:rPr>
              <w:t>f</w:t>
            </w:r>
            <w:r w:rsidRPr="00C1694A">
              <w:rPr>
                <w:rFonts w:ascii="Times New Roman" w:hAnsi="Times New Roman" w:cs="Times New Roman"/>
                <w:b/>
                <w:sz w:val="20"/>
                <w:szCs w:val="20"/>
              </w:rPr>
              <w:t>unding</w:t>
            </w:r>
          </w:p>
        </w:tc>
        <w:tc>
          <w:tcPr>
            <w:tcW w:w="900" w:type="dxa"/>
            <w:vAlign w:val="bottom"/>
          </w:tcPr>
          <w:p w:rsidR="006C2DBA" w:rsidRPr="00C1694A" w:rsidRDefault="006C2DBA" w:rsidP="00DC5146">
            <w:pPr>
              <w:jc w:val="right"/>
              <w:rPr>
                <w:rFonts w:ascii="Times New Roman" w:hAnsi="Times New Roman" w:cs="Times New Roman"/>
                <w:sz w:val="20"/>
                <w:szCs w:val="20"/>
              </w:rPr>
            </w:pPr>
          </w:p>
        </w:tc>
        <w:tc>
          <w:tcPr>
            <w:tcW w:w="180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$1,045,507,751</w:t>
            </w:r>
          </w:p>
        </w:tc>
        <w:tc>
          <w:tcPr>
            <w:tcW w:w="279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$865,868,544</w:t>
            </w:r>
          </w:p>
        </w:tc>
        <w:tc>
          <w:tcPr>
            <w:tcW w:w="180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$865,868,544</w:t>
            </w:r>
          </w:p>
        </w:tc>
      </w:tr>
      <w:tr w:rsidR="006C2DBA" w:rsidRPr="00C1694A" w:rsidTr="00D722F2">
        <w:tc>
          <w:tcPr>
            <w:tcW w:w="2178" w:type="dxa"/>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Slot Loss</w:t>
            </w:r>
          </w:p>
        </w:tc>
        <w:tc>
          <w:tcPr>
            <w:tcW w:w="90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0</w:t>
            </w:r>
          </w:p>
        </w:tc>
        <w:tc>
          <w:tcPr>
            <w:tcW w:w="180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130,119</w:t>
            </w:r>
          </w:p>
        </w:tc>
        <w:tc>
          <w:tcPr>
            <w:tcW w:w="279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107,762</w:t>
            </w:r>
          </w:p>
        </w:tc>
        <w:tc>
          <w:tcPr>
            <w:tcW w:w="180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0-107,762</w:t>
            </w:r>
          </w:p>
        </w:tc>
      </w:tr>
      <w:tr w:rsidR="006C2DBA" w:rsidRPr="00C1694A" w:rsidTr="00D722F2">
        <w:tc>
          <w:tcPr>
            <w:tcW w:w="2178" w:type="dxa"/>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Job Loss</w:t>
            </w:r>
          </w:p>
        </w:tc>
        <w:tc>
          <w:tcPr>
            <w:tcW w:w="90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0</w:t>
            </w:r>
          </w:p>
        </w:tc>
        <w:tc>
          <w:tcPr>
            <w:tcW w:w="180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10,392</w:t>
            </w:r>
          </w:p>
        </w:tc>
        <w:tc>
          <w:tcPr>
            <w:tcW w:w="2790" w:type="dxa"/>
            <w:vAlign w:val="bottom"/>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5,475</w:t>
            </w:r>
          </w:p>
        </w:tc>
        <w:tc>
          <w:tcPr>
            <w:tcW w:w="1800" w:type="dxa"/>
            <w:vAlign w:val="bottom"/>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0-5,475</w:t>
            </w:r>
          </w:p>
        </w:tc>
      </w:tr>
    </w:tbl>
    <w:p w:rsidR="006C2DBA" w:rsidRPr="004942F2" w:rsidRDefault="006C2DBA" w:rsidP="007259C9">
      <w:pPr>
        <w:spacing w:after="0" w:line="240" w:lineRule="auto"/>
        <w:rPr>
          <w:rFonts w:ascii="Times New Roman" w:hAnsi="Times New Roman" w:cs="Times New Roman"/>
          <w:sz w:val="18"/>
          <w:szCs w:val="18"/>
        </w:rPr>
      </w:pPr>
      <w:r w:rsidRPr="004942F2">
        <w:rPr>
          <w:rFonts w:ascii="Times New Roman" w:hAnsi="Times New Roman" w:cs="Times New Roman"/>
          <w:sz w:val="18"/>
          <w:szCs w:val="18"/>
        </w:rPr>
        <w:t>* Note the NPRM proposal cost estimate has been inflated to reflect changes made to the final rule cost estimate that account for fringe benefits and remove the assumption that additional administrative costs will not be necessary to support increased duration.</w:t>
      </w:r>
    </w:p>
    <w:p w:rsidR="006C2DBA" w:rsidRDefault="006C2DBA" w:rsidP="00331A7B">
      <w:pPr>
        <w:rPr>
          <w:rFonts w:ascii="Times New Roman" w:hAnsi="Times New Roman" w:cs="Times New Roman"/>
          <w:b/>
          <w:sz w:val="24"/>
          <w:szCs w:val="24"/>
          <w:u w:val="single"/>
        </w:rPr>
      </w:pPr>
    </w:p>
    <w:p w:rsidR="006C2DBA" w:rsidRPr="00C1694A" w:rsidRDefault="006C2DBA" w:rsidP="00331A7B">
      <w:pPr>
        <w:rPr>
          <w:rFonts w:ascii="Times New Roman" w:hAnsi="Times New Roman" w:cs="Times New Roman"/>
          <w:b/>
          <w:sz w:val="24"/>
          <w:szCs w:val="24"/>
          <w:u w:val="single"/>
        </w:rPr>
      </w:pPr>
      <w:r w:rsidRPr="00C1694A">
        <w:rPr>
          <w:rFonts w:ascii="Times New Roman" w:hAnsi="Times New Roman" w:cs="Times New Roman"/>
          <w:b/>
          <w:sz w:val="24"/>
          <w:szCs w:val="24"/>
          <w:u w:val="single"/>
        </w:rPr>
        <w:t>Mentor coaching</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this rule, </w:t>
      </w:r>
      <w:r w:rsidRPr="00C1694A">
        <w:rPr>
          <w:rFonts w:ascii="Times New Roman" w:hAnsi="Times New Roman" w:cs="Times New Roman"/>
          <w:sz w:val="24"/>
        </w:rPr>
        <w:t xml:space="preserve">we require programs to have a system of professional development in place that includes an intensive coaching strategy.  </w:t>
      </w:r>
      <w:r w:rsidRPr="00C1694A">
        <w:rPr>
          <w:rFonts w:ascii="Times New Roman" w:hAnsi="Times New Roman" w:cs="Times New Roman"/>
          <w:sz w:val="24"/>
          <w:szCs w:val="24"/>
        </w:rPr>
        <w:t xml:space="preserve">As with our other largest cost drivers, as part of our full regulatory analysis, we considered two alternatives to this policy change.  Specifically, we considered the alternative of not requiring mentor coaches for any teaching staff, thus eliminating the associated cost of $141,978,651.  This alternative would be associated with 16,694 fewer slots potentially lost and 1,902 fewer educations staff potentially no longer employed.  However, a growing body of research demonstrates the effectiveness of intensive professional development for improving teacher practices in early care and education settings </w:t>
      </w:r>
      <w:r w:rsidRPr="00C1694A">
        <w:rPr>
          <w:rStyle w:val="FootnoteReference"/>
          <w:rFonts w:ascii="Times New Roman" w:hAnsi="Times New Roman" w:cs="Times New Roman"/>
          <w:sz w:val="24"/>
          <w:szCs w:val="24"/>
        </w:rPr>
        <w:footnoteReference w:id="277"/>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8"/>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79"/>
      </w:r>
      <w:r w:rsidRPr="00C1694A">
        <w:rPr>
          <w:rFonts w:ascii="Times New Roman" w:hAnsi="Times New Roman" w:cs="Times New Roman"/>
          <w:sz w:val="24"/>
          <w:szCs w:val="24"/>
        </w:rPr>
        <w:t xml:space="preserve"> and that such strategies support improved teacher practice in the classroom and an increase in classroom quality.</w:t>
      </w:r>
      <w:r w:rsidRPr="00C1694A">
        <w:rPr>
          <w:rStyle w:val="FootnoteReference"/>
          <w:rFonts w:ascii="Times New Roman" w:hAnsi="Times New Roman" w:cs="Times New Roman"/>
          <w:sz w:val="24"/>
          <w:szCs w:val="24"/>
        </w:rPr>
        <w:footnoteReference w:id="280"/>
      </w:r>
      <w:r w:rsidRPr="00C1694A">
        <w:rPr>
          <w:rFonts w:ascii="Times New Roman" w:hAnsi="Times New Roman" w:cs="Times New Roman"/>
          <w:sz w:val="24"/>
          <w:szCs w:val="24"/>
          <w:vertAlign w:val="superscript"/>
        </w:rPr>
        <w:t>,</w:t>
      </w:r>
      <w:r w:rsidRPr="00C1694A">
        <w:rPr>
          <w:rStyle w:val="FootnoteReference"/>
          <w:rFonts w:ascii="Times New Roman" w:hAnsi="Times New Roman" w:cs="Times New Roman"/>
          <w:sz w:val="24"/>
          <w:szCs w:val="24"/>
        </w:rPr>
        <w:footnoteReference w:id="281"/>
      </w:r>
      <w:r w:rsidRPr="00C1694A">
        <w:rPr>
          <w:rFonts w:ascii="Times New Roman" w:hAnsi="Times New Roman" w:cs="Times New Roman"/>
          <w:sz w:val="24"/>
          <w:szCs w:val="24"/>
        </w:rPr>
        <w:t xml:space="preserve">  This alternative would not allow children to reap the benefits of higher quality early learning programs, through improved teaching practices.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also considered the alternative of requiring mentor coaches for all teaching staff, rather than allowing programs to allocate mentor coaches to the teachers who need intensive professional development, most (an estimated one-third of all teaching staff).  Using the same method employed in our original cost analysis, the additional associated costs of this alternative would be $425,935,952 total or $283,957,301 more than our final policy, which would result in 50,083 total or 33,389 additional slots potentially lost and 5,707 total or 3,805 additional education staff potentially no longer employed.  As described in previous sections, we strongly believe that more intensive, focused professional development is critical to improving teaching quality and thereby increasing impacts on child outcomes.  However, we believe it would be inefficient to mandate that every teacher receive intensive individualized coaching when local professional development needs may need to be met.  </w:t>
      </w:r>
    </w:p>
    <w:p w:rsidR="006C2DBA" w:rsidRPr="00C1694A" w:rsidRDefault="006C2DBA" w:rsidP="00331A7B">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Our requirement will achieve our goal of improving teacher practices by targeting teachers most in need of coaching to improve their teaching practices while still maintaining local flexibility for individualized professional development.  </w:t>
      </w:r>
    </w:p>
    <w:tbl>
      <w:tblPr>
        <w:tblStyle w:val="TableGrid"/>
        <w:tblW w:w="0" w:type="auto"/>
        <w:tblLook w:val="04A0" w:firstRow="1" w:lastRow="0" w:firstColumn="1" w:lastColumn="0" w:noHBand="0" w:noVBand="1"/>
      </w:tblPr>
      <w:tblGrid>
        <w:gridCol w:w="2628"/>
        <w:gridCol w:w="1715"/>
        <w:gridCol w:w="2353"/>
        <w:gridCol w:w="2353"/>
      </w:tblGrid>
      <w:tr w:rsidR="006C2DBA" w:rsidRPr="00C1694A" w:rsidTr="00D722F2">
        <w:tc>
          <w:tcPr>
            <w:tcW w:w="9049" w:type="dxa"/>
            <w:gridSpan w:val="4"/>
            <w:vAlign w:val="bottom"/>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Regulatory Alternatives: Mentor Coaching</w:t>
            </w:r>
          </w:p>
        </w:tc>
      </w:tr>
      <w:tr w:rsidR="006C2DBA" w:rsidRPr="00C1694A" w:rsidTr="00D722F2">
        <w:tc>
          <w:tcPr>
            <w:tcW w:w="2628" w:type="dxa"/>
          </w:tcPr>
          <w:p w:rsidR="006C2DBA" w:rsidRPr="00C1694A" w:rsidRDefault="006C2DBA" w:rsidP="00DC5146">
            <w:pPr>
              <w:jc w:val="center"/>
              <w:rPr>
                <w:rFonts w:ascii="Times New Roman" w:hAnsi="Times New Roman" w:cs="Times New Roman"/>
                <w:b/>
                <w:sz w:val="20"/>
                <w:szCs w:val="20"/>
              </w:rPr>
            </w:pPr>
          </w:p>
        </w:tc>
        <w:tc>
          <w:tcPr>
            <w:tcW w:w="1715"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Status quo</w:t>
            </w:r>
          </w:p>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(No coaching)</w:t>
            </w:r>
          </w:p>
        </w:tc>
        <w:tc>
          <w:tcPr>
            <w:tcW w:w="2353"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Coaching for all teachers</w:t>
            </w:r>
          </w:p>
        </w:tc>
        <w:tc>
          <w:tcPr>
            <w:tcW w:w="2353" w:type="dxa"/>
          </w:tcPr>
          <w:p w:rsidR="006C2DBA" w:rsidRPr="00C1694A" w:rsidRDefault="006C2DBA" w:rsidP="00DC5146">
            <w:pPr>
              <w:jc w:val="center"/>
              <w:rPr>
                <w:rFonts w:ascii="Times New Roman" w:hAnsi="Times New Roman" w:cs="Times New Roman"/>
                <w:b/>
                <w:sz w:val="20"/>
                <w:szCs w:val="20"/>
              </w:rPr>
            </w:pPr>
            <w:r w:rsidRPr="00C1694A">
              <w:rPr>
                <w:rFonts w:ascii="Times New Roman" w:hAnsi="Times New Roman" w:cs="Times New Roman"/>
                <w:b/>
                <w:sz w:val="20"/>
                <w:szCs w:val="20"/>
              </w:rPr>
              <w:t>Final Rule (Coaching for one-third of teachers)</w:t>
            </w:r>
          </w:p>
        </w:tc>
      </w:tr>
      <w:tr w:rsidR="006C2DBA" w:rsidRPr="00C1694A" w:rsidTr="00D722F2">
        <w:tc>
          <w:tcPr>
            <w:tcW w:w="2628" w:type="dxa"/>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Cost</w:t>
            </w:r>
          </w:p>
        </w:tc>
        <w:tc>
          <w:tcPr>
            <w:tcW w:w="1715"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0</w:t>
            </w:r>
          </w:p>
        </w:tc>
        <w:tc>
          <w:tcPr>
            <w:tcW w:w="2353" w:type="dxa"/>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$425,935,952</w:t>
            </w:r>
          </w:p>
        </w:tc>
        <w:tc>
          <w:tcPr>
            <w:tcW w:w="2353" w:type="dxa"/>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$141,978,651</w:t>
            </w:r>
          </w:p>
        </w:tc>
      </w:tr>
      <w:tr w:rsidR="006C2DBA" w:rsidRPr="00C1694A" w:rsidTr="00D722F2">
        <w:tc>
          <w:tcPr>
            <w:tcW w:w="2628" w:type="dxa"/>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Potential slot loss</w:t>
            </w:r>
          </w:p>
        </w:tc>
        <w:tc>
          <w:tcPr>
            <w:tcW w:w="1715"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0</w:t>
            </w:r>
          </w:p>
        </w:tc>
        <w:tc>
          <w:tcPr>
            <w:tcW w:w="2353"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50,083</w:t>
            </w:r>
          </w:p>
        </w:tc>
        <w:tc>
          <w:tcPr>
            <w:tcW w:w="2353"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16,694</w:t>
            </w:r>
          </w:p>
        </w:tc>
      </w:tr>
      <w:tr w:rsidR="006C2DBA" w:rsidRPr="00C1694A" w:rsidTr="00D722F2">
        <w:tc>
          <w:tcPr>
            <w:tcW w:w="2628" w:type="dxa"/>
          </w:tcPr>
          <w:p w:rsidR="006C2DBA" w:rsidRPr="00C1694A" w:rsidRDefault="006C2DBA" w:rsidP="00DC5146">
            <w:pPr>
              <w:rPr>
                <w:rFonts w:ascii="Times New Roman" w:hAnsi="Times New Roman" w:cs="Times New Roman"/>
                <w:b/>
                <w:sz w:val="20"/>
                <w:szCs w:val="20"/>
              </w:rPr>
            </w:pPr>
            <w:r w:rsidRPr="00C1694A">
              <w:rPr>
                <w:rFonts w:ascii="Times New Roman" w:hAnsi="Times New Roman" w:cs="Times New Roman"/>
                <w:b/>
                <w:sz w:val="20"/>
                <w:szCs w:val="20"/>
              </w:rPr>
              <w:t>Potential job loss</w:t>
            </w:r>
          </w:p>
        </w:tc>
        <w:tc>
          <w:tcPr>
            <w:tcW w:w="1715"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0</w:t>
            </w:r>
          </w:p>
        </w:tc>
        <w:tc>
          <w:tcPr>
            <w:tcW w:w="2353" w:type="dxa"/>
          </w:tcPr>
          <w:p w:rsidR="006C2DBA" w:rsidRPr="00C1694A" w:rsidRDefault="006C2DBA" w:rsidP="00DC5146">
            <w:pPr>
              <w:jc w:val="right"/>
              <w:rPr>
                <w:rFonts w:ascii="Times New Roman" w:hAnsi="Times New Roman" w:cs="Times New Roman"/>
                <w:sz w:val="20"/>
                <w:szCs w:val="20"/>
              </w:rPr>
            </w:pPr>
            <w:r w:rsidRPr="00C1694A">
              <w:rPr>
                <w:rFonts w:ascii="Times New Roman" w:hAnsi="Times New Roman" w:cs="Times New Roman"/>
                <w:sz w:val="20"/>
                <w:szCs w:val="20"/>
              </w:rPr>
              <w:t>5,707</w:t>
            </w:r>
          </w:p>
        </w:tc>
        <w:tc>
          <w:tcPr>
            <w:tcW w:w="2353" w:type="dxa"/>
          </w:tcPr>
          <w:p w:rsidR="006C2DBA" w:rsidRPr="00C1694A" w:rsidRDefault="006C2DBA" w:rsidP="00202212">
            <w:pPr>
              <w:jc w:val="right"/>
              <w:rPr>
                <w:rFonts w:ascii="Times New Roman" w:hAnsi="Times New Roman" w:cs="Times New Roman"/>
                <w:sz w:val="20"/>
                <w:szCs w:val="20"/>
              </w:rPr>
            </w:pPr>
            <w:r w:rsidRPr="00C1694A">
              <w:rPr>
                <w:rFonts w:ascii="Times New Roman" w:hAnsi="Times New Roman" w:cs="Times New Roman"/>
                <w:sz w:val="20"/>
                <w:szCs w:val="20"/>
              </w:rPr>
              <w:t>1,902</w:t>
            </w:r>
          </w:p>
        </w:tc>
      </w:tr>
    </w:tbl>
    <w:p w:rsidR="009777E3" w:rsidRPr="00C1694A" w:rsidRDefault="009777E3" w:rsidP="00331A7B">
      <w:pPr>
        <w:pStyle w:val="ListParagraph"/>
        <w:spacing w:after="0" w:line="480" w:lineRule="auto"/>
        <w:ind w:left="1440"/>
        <w:rPr>
          <w:rFonts w:ascii="Times New Roman" w:eastAsia="Times New Roman" w:hAnsi="Times New Roman" w:cs="Times New Roman"/>
          <w:i/>
          <w:sz w:val="24"/>
          <w:szCs w:val="24"/>
        </w:rPr>
      </w:pPr>
    </w:p>
    <w:p w:rsidR="00A47742" w:rsidRPr="00001E53" w:rsidRDefault="00001E53" w:rsidP="00001E53">
      <w:pPr>
        <w:spacing w:after="0" w:line="480" w:lineRule="auto"/>
        <w:ind w:left="1440" w:hanging="360"/>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c.</w:t>
      </w:r>
      <w:r w:rsidRPr="00C1694A">
        <w:rPr>
          <w:rFonts w:ascii="Times New Roman" w:eastAsia="Times New Roman" w:hAnsi="Times New Roman" w:cs="Times New Roman"/>
          <w:sz w:val="24"/>
          <w:szCs w:val="24"/>
        </w:rPr>
        <w:tab/>
      </w:r>
      <w:r w:rsidR="00A47742" w:rsidRPr="00001E53">
        <w:rPr>
          <w:rFonts w:ascii="Times New Roman" w:eastAsia="Times New Roman" w:hAnsi="Times New Roman" w:cs="Times New Roman"/>
          <w:sz w:val="24"/>
          <w:szCs w:val="24"/>
          <w:u w:val="single"/>
        </w:rPr>
        <w:t>Unfunded Mandates Reform Act</w:t>
      </w:r>
    </w:p>
    <w:p w:rsidR="00A47742" w:rsidRPr="00C1694A" w:rsidRDefault="00A47742" w:rsidP="00A47742">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The Unfunded Mandates Reform Act (UMRA)</w:t>
      </w:r>
      <w:r w:rsidRPr="00C1694A">
        <w:rPr>
          <w:rStyle w:val="FootnoteReference"/>
          <w:rFonts w:ascii="Times New Roman" w:eastAsia="Times New Roman" w:hAnsi="Times New Roman" w:cs="Times New Roman"/>
          <w:sz w:val="24"/>
          <w:szCs w:val="24"/>
        </w:rPr>
        <w:footnoteReference w:id="282"/>
      </w:r>
      <w:r w:rsidRPr="00C1694A">
        <w:rPr>
          <w:rFonts w:ascii="Times New Roman" w:eastAsia="Times New Roman" w:hAnsi="Times New Roman" w:cs="Times New Roman"/>
          <w:sz w:val="24"/>
          <w:szCs w:val="24"/>
        </w:rPr>
        <w:t xml:space="preserve"> was enacted to avoid imposing unfunded federal mandates on state, local, and tribal governments, or on the private sector.  Most of UMRA’s provisions apply to proposed and final rules for which a general notice of proposed rulemaking was published, and that include a federal mandate that may result in expenditures by state, local, or tribal governments, in the aggregate, or by the private sector of $100 million or more </w:t>
      </w:r>
      <w:r w:rsidRPr="00C1694A">
        <w:rPr>
          <w:rFonts w:ascii="Times New Roman" w:hAnsi="Times New Roman" w:cs="Times New Roman"/>
          <w:sz w:val="24"/>
          <w:szCs w:val="24"/>
        </w:rPr>
        <w:t xml:space="preserve">(adjusted annually for inflation) </w:t>
      </w:r>
      <w:r w:rsidRPr="00C1694A">
        <w:rPr>
          <w:rFonts w:ascii="Times New Roman" w:eastAsia="Times New Roman" w:hAnsi="Times New Roman" w:cs="Times New Roman"/>
          <w:sz w:val="24"/>
          <w:szCs w:val="24"/>
        </w:rPr>
        <w:t>in any one year.</w:t>
      </w:r>
      <w:r w:rsidRPr="00C1694A">
        <w:rPr>
          <w:rFonts w:ascii="Times New Roman" w:hAnsi="Times New Roman" w:cs="Times New Roman"/>
          <w:sz w:val="24"/>
          <w:szCs w:val="24"/>
        </w:rPr>
        <w:t xml:space="preserve"> The current threshold after adjustment for inflation is $146 million, using the most current (2015) implicit price deflator for the gross domestic product. This final rule does not impose unfunded mandates on state, local, and tribal governments, or on the private sector.  </w:t>
      </w:r>
    </w:p>
    <w:p w:rsidR="00CA33B4" w:rsidRPr="00001E53" w:rsidRDefault="00001E53" w:rsidP="00001E53">
      <w:pPr>
        <w:spacing w:after="0" w:line="480" w:lineRule="auto"/>
        <w:ind w:left="1440" w:hanging="360"/>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d.</w:t>
      </w:r>
      <w:r w:rsidRPr="00C1694A">
        <w:rPr>
          <w:rFonts w:ascii="Times New Roman" w:eastAsia="Times New Roman" w:hAnsi="Times New Roman" w:cs="Times New Roman"/>
          <w:sz w:val="24"/>
          <w:szCs w:val="24"/>
        </w:rPr>
        <w:tab/>
      </w:r>
      <w:r w:rsidR="00CA33B4" w:rsidRPr="00001E53">
        <w:rPr>
          <w:rFonts w:ascii="Times New Roman" w:eastAsia="Times New Roman" w:hAnsi="Times New Roman" w:cs="Times New Roman"/>
          <w:sz w:val="24"/>
          <w:szCs w:val="24"/>
          <w:u w:val="single"/>
        </w:rPr>
        <w:t>Treasury and General Government Appropriations Act of 1999</w:t>
      </w:r>
    </w:p>
    <w:p w:rsidR="00CA33B4" w:rsidRPr="00C1694A" w:rsidRDefault="00CA33B4" w:rsidP="00331A7B">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Section 654 of the Treasury and General Government Appropriations Act of 1999 requires federal agencies to determine whether a policy or regulation may negatively affect family well-being.  If the agency determines a policy or regulation negatively affects family well-being, then the agency must prepare an impact assessment addressing seven criteria specified in the law.  This rule does not have any impact on the autonomy or integrity of the family as an institution. Accordingly, we concluded it was not necessary to prepare a family policymaking assessment.</w:t>
      </w:r>
      <w:r w:rsidRPr="00C1694A">
        <w:rPr>
          <w:rStyle w:val="FootnoteReference"/>
          <w:rFonts w:ascii="Times New Roman" w:hAnsi="Times New Roman" w:cs="Times New Roman"/>
          <w:sz w:val="24"/>
          <w:szCs w:val="24"/>
        </w:rPr>
        <w:footnoteReference w:id="283"/>
      </w:r>
    </w:p>
    <w:p w:rsidR="00CA33B4" w:rsidRPr="00001E53" w:rsidRDefault="00001E53" w:rsidP="00001E53">
      <w:pPr>
        <w:spacing w:after="0" w:line="480" w:lineRule="auto"/>
        <w:ind w:left="1440" w:hanging="360"/>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e.</w:t>
      </w:r>
      <w:r w:rsidRPr="00C1694A">
        <w:rPr>
          <w:rFonts w:ascii="Times New Roman" w:eastAsia="Times New Roman" w:hAnsi="Times New Roman" w:cs="Times New Roman"/>
          <w:sz w:val="24"/>
          <w:szCs w:val="24"/>
        </w:rPr>
        <w:tab/>
      </w:r>
      <w:r w:rsidR="00CA33B4" w:rsidRPr="00001E53">
        <w:rPr>
          <w:rFonts w:ascii="Times New Roman" w:eastAsia="Times New Roman" w:hAnsi="Times New Roman" w:cs="Times New Roman"/>
          <w:sz w:val="24"/>
          <w:szCs w:val="24"/>
          <w:u w:val="single"/>
        </w:rPr>
        <w:t>Federalism Assessment Executive Order 13132</w:t>
      </w:r>
    </w:p>
    <w:p w:rsidR="00CA33B4" w:rsidRPr="00C1694A" w:rsidRDefault="00CA33B4" w:rsidP="00331A7B">
      <w:pPr>
        <w:autoSpaceDE w:val="0"/>
        <w:autoSpaceDN w:val="0"/>
        <w:adjustRightInd w:val="0"/>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rPr>
        <w:t>Executive Order 13132 requires federal agencies to consult with state and local government officials if they develop regulatory policies with federalism implications.  Federalism is rooted in the belief that issues that are not national in scope or significance are most appropriately addressed by the level of government close to the people.  This final rule does not have substantial direct impact on the states, on the relationship between the federal government and the states, or on the distribution of power and responsibilities among the various levels of government.  Therefore, in accordance with section 6 of Executive Order 13132, it is determined that this final rule does not have sufficient federalism implications to warrant the preparation of a federalism summary impact statement.</w:t>
      </w:r>
    </w:p>
    <w:p w:rsidR="00CA33B4" w:rsidRPr="00001E53" w:rsidRDefault="00001E53" w:rsidP="00001E53">
      <w:pPr>
        <w:spacing w:after="0" w:line="480" w:lineRule="auto"/>
        <w:ind w:left="1440" w:hanging="360"/>
        <w:rPr>
          <w:rFonts w:ascii="Times New Roman" w:eastAsia="Times New Roman" w:hAnsi="Times New Roman" w:cs="Times New Roman"/>
          <w:sz w:val="24"/>
          <w:szCs w:val="24"/>
          <w:u w:val="single"/>
        </w:rPr>
      </w:pPr>
      <w:bookmarkStart w:id="0" w:name="_Toc386466722"/>
      <w:r w:rsidRPr="00C1694A">
        <w:rPr>
          <w:rFonts w:ascii="Times New Roman" w:eastAsia="Times New Roman" w:hAnsi="Times New Roman" w:cs="Times New Roman"/>
          <w:sz w:val="24"/>
          <w:szCs w:val="24"/>
        </w:rPr>
        <w:t>f.</w:t>
      </w:r>
      <w:r w:rsidRPr="00C1694A">
        <w:rPr>
          <w:rFonts w:ascii="Times New Roman" w:eastAsia="Times New Roman" w:hAnsi="Times New Roman" w:cs="Times New Roman"/>
          <w:sz w:val="24"/>
          <w:szCs w:val="24"/>
        </w:rPr>
        <w:tab/>
      </w:r>
      <w:r w:rsidR="00CA33B4" w:rsidRPr="00001E53">
        <w:rPr>
          <w:rFonts w:ascii="Times New Roman" w:eastAsia="Times New Roman" w:hAnsi="Times New Roman" w:cs="Times New Roman"/>
          <w:sz w:val="24"/>
          <w:szCs w:val="24"/>
          <w:u w:val="single"/>
        </w:rPr>
        <w:t>Congressional Review</w:t>
      </w:r>
      <w:bookmarkEnd w:id="0"/>
    </w:p>
    <w:p w:rsidR="00CA33B4" w:rsidRPr="00C1694A" w:rsidRDefault="00CA33B4" w:rsidP="00331A7B">
      <w:pPr>
        <w:spacing w:after="0" w:line="480" w:lineRule="auto"/>
        <w:ind w:firstLine="720"/>
        <w:rPr>
          <w:rFonts w:ascii="Times New Roman" w:eastAsia="Calibri" w:hAnsi="Times New Roman" w:cs="Times New Roman"/>
          <w:i/>
          <w:sz w:val="24"/>
          <w:szCs w:val="24"/>
        </w:rPr>
      </w:pPr>
      <w:r w:rsidRPr="00C1694A">
        <w:rPr>
          <w:rFonts w:ascii="Times New Roman" w:hAnsi="Times New Roman" w:cs="Times New Roman"/>
          <w:sz w:val="24"/>
          <w:szCs w:val="24"/>
        </w:rPr>
        <w:t>The Congressional Review Act (CRA) allows Congress to review “major” rules issued by federal agencies before the rules take effect.</w:t>
      </w:r>
      <w:r w:rsidRPr="00C1694A">
        <w:rPr>
          <w:rStyle w:val="FootnoteReference"/>
          <w:rFonts w:ascii="Times New Roman" w:hAnsi="Times New Roman" w:cs="Times New Roman"/>
          <w:sz w:val="24"/>
          <w:szCs w:val="24"/>
        </w:rPr>
        <w:footnoteReference w:id="284"/>
      </w:r>
      <w:r w:rsidRPr="00C1694A">
        <w:rPr>
          <w:rFonts w:ascii="Times New Roman" w:hAnsi="Times New Roman" w:cs="Times New Roman"/>
          <w:sz w:val="24"/>
          <w:szCs w:val="24"/>
        </w:rPr>
        <w:t xml:space="preserve">  </w:t>
      </w:r>
      <w:r w:rsidRPr="00C1694A">
        <w:rPr>
          <w:rFonts w:ascii="Times New Roman" w:eastAsiaTheme="minorHAnsi" w:hAnsi="Times New Roman" w:cs="Times New Roman"/>
          <w:sz w:val="24"/>
          <w:szCs w:val="24"/>
        </w:rPr>
        <w:t>The CRA defines a major rule as one that has resulted or is likely to result in (1) an annual effect on the economy of $100 million or more; (2) a major increase in costs or prices for consumers, individual industries, federal, state or local government agencies, or geographic regions; or (3) significant adverse effects on competition, employment, investment, productivity, or innovation, or on the ability of United States-based enterprises to compete with foreign-based enterprises in domestic and export markets.</w:t>
      </w:r>
      <w:r w:rsidRPr="00C1694A">
        <w:rPr>
          <w:rStyle w:val="FootnoteReference"/>
          <w:rFonts w:ascii="Times New Roman" w:eastAsiaTheme="minorHAnsi" w:hAnsi="Times New Roman" w:cs="Times New Roman"/>
          <w:sz w:val="24"/>
          <w:szCs w:val="24"/>
        </w:rPr>
        <w:footnoteReference w:id="285"/>
      </w:r>
      <w:r w:rsidRPr="00C1694A">
        <w:rPr>
          <w:rFonts w:ascii="Times New Roman" w:eastAsiaTheme="minorHAnsi" w:hAnsi="Times New Roman" w:cs="Times New Roman"/>
          <w:sz w:val="24"/>
          <w:szCs w:val="24"/>
        </w:rPr>
        <w:t xml:space="preserve">  This regulation is a major rule because it will likely result in an annual effect of more than $100 million on the economy.  </w:t>
      </w:r>
    </w:p>
    <w:p w:rsidR="00CA33B4" w:rsidRPr="00C1694A" w:rsidRDefault="00001E53" w:rsidP="00001E53">
      <w:pPr>
        <w:spacing w:after="0" w:line="480" w:lineRule="auto"/>
        <w:ind w:left="1440" w:hanging="360"/>
        <w:contextualSpacing/>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g.</w:t>
      </w:r>
      <w:r w:rsidRPr="00C1694A">
        <w:rPr>
          <w:rFonts w:ascii="Times New Roman" w:eastAsia="Times New Roman" w:hAnsi="Times New Roman" w:cs="Times New Roman"/>
          <w:sz w:val="24"/>
          <w:szCs w:val="24"/>
        </w:rPr>
        <w:tab/>
      </w:r>
      <w:r w:rsidR="00CA33B4" w:rsidRPr="00C1694A">
        <w:rPr>
          <w:rFonts w:ascii="Times New Roman" w:eastAsia="Times New Roman" w:hAnsi="Times New Roman" w:cs="Times New Roman"/>
          <w:sz w:val="24"/>
          <w:szCs w:val="24"/>
          <w:u w:val="single"/>
        </w:rPr>
        <w:t>Paperwork Reduction Act of 1995</w:t>
      </w:r>
    </w:p>
    <w:p w:rsidR="00CA33B4" w:rsidRPr="00C1694A" w:rsidRDefault="00CA33B4" w:rsidP="00EE457E">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The Paperwork Reduction Act of 1995 (PRA), P.L. 104-13, minimizes government imposed burden on the public.  In keeping with the notion that government information is a valuable asset, it also is intended to improve the practical utility, quality, and clarity of information collected, maintained, and disclosed.</w:t>
      </w:r>
    </w:p>
    <w:p w:rsidR="00CA33B4" w:rsidRPr="00C1694A" w:rsidRDefault="00CA33B4" w:rsidP="00EE457E">
      <w:pPr>
        <w:spacing w:after="0" w:line="480" w:lineRule="auto"/>
        <w:ind w:firstLine="720"/>
        <w:rPr>
          <w:rFonts w:ascii="Times New Roman" w:eastAsia="Calibri" w:hAnsi="Times New Roman" w:cs="Times New Roman"/>
          <w:sz w:val="24"/>
          <w:szCs w:val="24"/>
        </w:rPr>
      </w:pPr>
      <w:r w:rsidRPr="00C1694A">
        <w:rPr>
          <w:rFonts w:ascii="Times New Roman" w:hAnsi="Times New Roman" w:cs="Times New Roman"/>
          <w:sz w:val="24"/>
          <w:szCs w:val="24"/>
        </w:rPr>
        <w:t xml:space="preserve">Regulations at 5 CFR </w:t>
      </w:r>
      <w:r w:rsidR="008F18A4">
        <w:rPr>
          <w:rFonts w:ascii="Times New Roman" w:hAnsi="Times New Roman" w:cs="Times New Roman"/>
          <w:sz w:val="24"/>
          <w:szCs w:val="24"/>
        </w:rPr>
        <w:t>p</w:t>
      </w:r>
      <w:r w:rsidRPr="00C1694A">
        <w:rPr>
          <w:rFonts w:ascii="Times New Roman" w:hAnsi="Times New Roman" w:cs="Times New Roman"/>
          <w:sz w:val="24"/>
          <w:szCs w:val="24"/>
        </w:rPr>
        <w:t xml:space="preserve">art 1320 implemented the provisions of the PRA and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1320.3 of this part</w:t>
      </w:r>
      <w:r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 xml:space="preserve">defines a “collection of information,” “information,” and “burden.”  A “collection of information” is broadly defined and includes any requirement or request for persons to collect, maintain, or publicly disclose information.  “Information” is defined in </w:t>
      </w:r>
      <w:r w:rsidRPr="00C1694A">
        <w:rPr>
          <w:rFonts w:ascii="Times New Roman" w:eastAsia="Calibri" w:hAnsi="Times New Roman" w:cs="Times New Roman"/>
          <w:sz w:val="24"/>
          <w:szCs w:val="24"/>
        </w:rPr>
        <w:t>as any statement or estimate of fact or opinion, regardless of form or format, whether numerical, graphic, or narrative form, and whether oral or maintained on paper, electronic or other media.  “Burden” means the total time, effort, or financial resources expended by persons to collect, maintain, or disclose information.  Burden includes actions for the purposes of information request such as reviewing instructions, acquiring and using technology and systems, adjusting the existing ways to comply with any previously applicable instructions and requirements, completing and reviewing the collection of information, and transmitting the information.  The PRA only counts as burden the net additional burden needed to comply with information request.  Time, effort, and resources to collect information that would be incurred by persons in the normal course of their activities are excluded from the burden.</w:t>
      </w:r>
    </w:p>
    <w:p w:rsidR="00CA33B4" w:rsidRPr="00C1694A" w:rsidRDefault="00CA33B4" w:rsidP="00EE457E">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Section 1320.11(f) of </w:t>
      </w:r>
      <w:r w:rsidRPr="00C1694A">
        <w:rPr>
          <w:rFonts w:ascii="Times New Roman" w:hAnsi="Times New Roman" w:cs="Times New Roman"/>
          <w:sz w:val="24"/>
          <w:szCs w:val="24"/>
        </w:rPr>
        <w:t>5 CFR part 1320</w:t>
      </w:r>
      <w:r w:rsidRPr="00C1694A">
        <w:rPr>
          <w:rFonts w:ascii="Times New Roman" w:eastAsia="Calibri" w:hAnsi="Times New Roman" w:cs="Times New Roman"/>
          <w:sz w:val="24"/>
          <w:szCs w:val="24"/>
        </w:rPr>
        <w:t xml:space="preserve"> requires an agency to explain in the final rule how information collections proposed in an NPRM respond to any comments received or the reasons such comments were rejected.  We did not receive any comments directly related to information collections we proposed in the NPRM.  Therefore, we did not make any changes here.  </w:t>
      </w:r>
    </w:p>
    <w:p w:rsidR="00CA33B4" w:rsidRPr="00C1694A" w:rsidRDefault="00CA33B4" w:rsidP="00EE457E">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Below, we describe information collections and their burden estimates:</w:t>
      </w:r>
      <w:r w:rsidRPr="00C1694A">
        <w:rPr>
          <w:rFonts w:ascii="Times New Roman" w:hAnsi="Times New Roman" w:cs="Times New Roman"/>
          <w:sz w:val="24"/>
          <w:szCs w:val="24"/>
        </w:rPr>
        <w:t xml:space="preserve"> </w:t>
      </w:r>
    </w:p>
    <w:p w:rsidR="00CA33B4" w:rsidRPr="00C1694A" w:rsidRDefault="00CA33B4" w:rsidP="00EE457E">
      <w:pPr>
        <w:spacing w:line="480" w:lineRule="auto"/>
        <w:ind w:firstLine="720"/>
        <w:rPr>
          <w:rFonts w:ascii="Times New Roman" w:hAnsi="Times New Roman" w:cs="Times New Roman"/>
          <w:sz w:val="24"/>
          <w:szCs w:val="24"/>
          <w:u w:val="single"/>
        </w:rPr>
      </w:pPr>
      <w:r w:rsidRPr="00C1694A">
        <w:rPr>
          <w:rFonts w:ascii="Times New Roman" w:eastAsia="Calibri" w:hAnsi="Times New Roman" w:cs="Times New Roman"/>
          <w:sz w:val="24"/>
          <w:szCs w:val="24"/>
          <w:u w:val="single"/>
        </w:rPr>
        <w:t xml:space="preserve">Title: </w:t>
      </w:r>
      <w:r w:rsidRPr="00C1694A">
        <w:rPr>
          <w:rFonts w:ascii="Times New Roman" w:hAnsi="Times New Roman" w:cs="Times New Roman"/>
          <w:sz w:val="24"/>
          <w:szCs w:val="24"/>
          <w:u w:val="single"/>
        </w:rPr>
        <w:t>Head Start Grants Administration</w:t>
      </w:r>
    </w:p>
    <w:p w:rsidR="00CA33B4" w:rsidRPr="00C1694A" w:rsidRDefault="00CA33B4" w:rsidP="00EE457E">
      <w:pPr>
        <w:spacing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u w:val="single"/>
        </w:rPr>
        <w:t>Description:</w:t>
      </w:r>
      <w:r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 xml:space="preserve">We require information collections related to the protection for the privacy of child records.  We require programs to collect parents’ written consent before they disclose personally identifiable information from a child’s records.  We require programs to notify parents annually of their rights described in §§1303.20 through 1303.24 and of applicable definitions in </w:t>
      </w:r>
      <w:r w:rsidR="008F18A4">
        <w:rPr>
          <w:rFonts w:ascii="Times New Roman" w:hAnsi="Times New Roman" w:cs="Times New Roman"/>
          <w:sz w:val="24"/>
          <w:szCs w:val="24"/>
        </w:rPr>
        <w:t xml:space="preserve">part </w:t>
      </w:r>
      <w:r w:rsidRPr="00C1694A">
        <w:rPr>
          <w:rFonts w:ascii="Times New Roman" w:hAnsi="Times New Roman" w:cs="Times New Roman"/>
          <w:sz w:val="24"/>
          <w:szCs w:val="24"/>
        </w:rPr>
        <w:t>1305.  We also require programs to maintain, with each child record, information on all individuals, agencies, or organizations that have obtained access to personal identifiable information from child records.</w:t>
      </w:r>
    </w:p>
    <w:p w:rsidR="00CA33B4" w:rsidRPr="00C1694A" w:rsidRDefault="00CA33B4" w:rsidP="00EE457E">
      <w:pPr>
        <w:spacing w:line="480" w:lineRule="auto"/>
        <w:ind w:firstLine="720"/>
        <w:rPr>
          <w:rFonts w:ascii="Times New Roman" w:hAnsi="Times New Roman" w:cs="Times New Roman"/>
          <w:sz w:val="24"/>
          <w:szCs w:val="24"/>
          <w:u w:val="single"/>
        </w:rPr>
      </w:pPr>
      <w:r w:rsidRPr="00C1694A">
        <w:rPr>
          <w:rFonts w:ascii="Times New Roman" w:eastAsia="Calibri" w:hAnsi="Times New Roman" w:cs="Times New Roman"/>
          <w:sz w:val="24"/>
          <w:szCs w:val="24"/>
          <w:u w:val="single"/>
        </w:rPr>
        <w:t xml:space="preserve">Title: </w:t>
      </w:r>
      <w:r w:rsidRPr="00C1694A">
        <w:rPr>
          <w:rFonts w:ascii="Times New Roman" w:hAnsi="Times New Roman" w:cs="Times New Roman"/>
          <w:sz w:val="24"/>
          <w:szCs w:val="24"/>
          <w:u w:val="single"/>
        </w:rPr>
        <w:t>Head Start Performance Standards</w:t>
      </w:r>
    </w:p>
    <w:p w:rsidR="00CA33B4" w:rsidRPr="00C1694A" w:rsidRDefault="00CA33B4" w:rsidP="00EE457E">
      <w:pPr>
        <w:spacing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u w:val="single"/>
        </w:rPr>
        <w:t>Description:</w:t>
      </w:r>
      <w:r w:rsidRPr="00C1694A">
        <w:rPr>
          <w:rFonts w:ascii="Times New Roman" w:eastAsia="Calibri" w:hAnsi="Times New Roman" w:cs="Times New Roman"/>
          <w:i/>
          <w:sz w:val="24"/>
          <w:szCs w:val="24"/>
        </w:rPr>
        <w:t xml:space="preserve">  </w:t>
      </w:r>
      <w:r w:rsidRPr="00C1694A">
        <w:rPr>
          <w:rFonts w:ascii="Times New Roman" w:eastAsia="Calibri" w:hAnsi="Times New Roman" w:cs="Times New Roman"/>
          <w:sz w:val="24"/>
          <w:szCs w:val="24"/>
        </w:rPr>
        <w:t xml:space="preserve">We require a new information collection to codify best practice in assessing dual language learners.  Specifically, we require programs to administer language assessments to dual language learners in both English and their home language, either directly or through interpreters.  </w:t>
      </w:r>
    </w:p>
    <w:p w:rsidR="00CA33B4" w:rsidRPr="00C1694A" w:rsidRDefault="00CA33B4" w:rsidP="00EE457E">
      <w:pPr>
        <w:spacing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We also strengthen background check procedures to require state/tribal or federal criminal background checks, as well as clearance through available child abuse and neglect and sex offender registries.  This requirement is consistent with the Office of Child Care’s requirement to minimize burden on programs that operate with both Head Start and Child Care Development Funds. This increases the record-keeping burden related to criminal record checks. </w:t>
      </w:r>
    </w:p>
    <w:p w:rsidR="00CA33B4" w:rsidRPr="00C1694A" w:rsidRDefault="00CA33B4" w:rsidP="00EE457E">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u w:val="single"/>
        </w:rPr>
        <w:t>Description of Respondents and Burden Estimate:</w:t>
      </w:r>
      <w:r w:rsidRPr="00C1694A">
        <w:rPr>
          <w:rFonts w:ascii="Times New Roman" w:eastAsia="Calibri" w:hAnsi="Times New Roman" w:cs="Times New Roman"/>
          <w:sz w:val="24"/>
          <w:szCs w:val="24"/>
        </w:rPr>
        <w:t xml:space="preserve"> The total annual burden hours estimated is 1,019,473 hours.  For some items, we calculated burden hours for individual children and families, for other items, we calculated burden hours for staff.  </w:t>
      </w:r>
    </w:p>
    <w:p w:rsidR="00CA33B4" w:rsidRPr="00C1694A" w:rsidRDefault="00CA33B4" w:rsidP="00EE457E">
      <w:pPr>
        <w:spacing w:after="0" w:line="480" w:lineRule="auto"/>
        <w:ind w:firstLine="720"/>
        <w:rPr>
          <w:rFonts w:ascii="Times New Roman" w:eastAsia="Calibri" w:hAnsi="Times New Roman" w:cs="Times New Roman"/>
        </w:rPr>
      </w:pPr>
      <w:r w:rsidRPr="00C1694A">
        <w:rPr>
          <w:rFonts w:ascii="Times New Roman" w:eastAsia="Calibri" w:hAnsi="Times New Roman" w:cs="Times New Roman"/>
          <w:sz w:val="24"/>
          <w:szCs w:val="24"/>
        </w:rPr>
        <w:t>The table below lists burden hour estimates and indicates our bases for these estimations.  See the Regulatory Impact Analysis section for cost estimations.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5"/>
        <w:gridCol w:w="992"/>
        <w:gridCol w:w="1503"/>
        <w:gridCol w:w="1680"/>
        <w:gridCol w:w="1462"/>
        <w:gridCol w:w="1288"/>
      </w:tblGrid>
      <w:tr w:rsidR="00CA33B4" w:rsidRPr="00C1694A" w:rsidTr="00EE457E">
        <w:trPr>
          <w:trHeight w:val="574"/>
          <w:jc w:val="center"/>
        </w:trPr>
        <w:tc>
          <w:tcPr>
            <w:tcW w:w="0" w:type="auto"/>
            <w:shd w:val="clear" w:color="auto" w:fill="E0E0E0"/>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rPr>
            </w:pPr>
            <w:r w:rsidRPr="00C1694A">
              <w:rPr>
                <w:rFonts w:ascii="Times New Roman" w:hAnsi="Times New Roman" w:cs="Times New Roman"/>
                <w:b/>
                <w:bCs/>
                <w:sz w:val="20"/>
                <w:szCs w:val="20"/>
              </w:rPr>
              <w:t>Information Collection</w:t>
            </w:r>
          </w:p>
        </w:tc>
        <w:tc>
          <w:tcPr>
            <w:tcW w:w="0" w:type="auto"/>
            <w:shd w:val="clear" w:color="auto" w:fill="E0E0E0"/>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C1694A">
              <w:rPr>
                <w:rFonts w:ascii="Times New Roman" w:hAnsi="Times New Roman" w:cs="Times New Roman"/>
                <w:b/>
                <w:bCs/>
                <w:sz w:val="20"/>
                <w:szCs w:val="20"/>
              </w:rPr>
              <w:t>OMB Control Number</w:t>
            </w:r>
          </w:p>
        </w:tc>
        <w:tc>
          <w:tcPr>
            <w:tcW w:w="0" w:type="auto"/>
            <w:shd w:val="clear" w:color="auto" w:fill="E0E0E0"/>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rPr>
            </w:pPr>
            <w:r w:rsidRPr="00C1694A">
              <w:rPr>
                <w:rFonts w:ascii="Times New Roman" w:hAnsi="Times New Roman" w:cs="Times New Roman"/>
                <w:b/>
                <w:bCs/>
                <w:sz w:val="20"/>
                <w:szCs w:val="20"/>
              </w:rPr>
              <w:t>No. of Respondents</w:t>
            </w:r>
          </w:p>
        </w:tc>
        <w:tc>
          <w:tcPr>
            <w:tcW w:w="0" w:type="auto"/>
            <w:shd w:val="clear" w:color="auto" w:fill="E0E0E0"/>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rPr>
            </w:pPr>
            <w:r w:rsidRPr="00C1694A">
              <w:rPr>
                <w:rFonts w:ascii="Times New Roman" w:hAnsi="Times New Roman" w:cs="Times New Roman"/>
                <w:b/>
                <w:bCs/>
                <w:sz w:val="20"/>
                <w:szCs w:val="20"/>
              </w:rPr>
              <w:t>No. of Responses per Respondent</w:t>
            </w:r>
          </w:p>
        </w:tc>
        <w:tc>
          <w:tcPr>
            <w:tcW w:w="0" w:type="auto"/>
            <w:shd w:val="clear" w:color="auto" w:fill="E0E0E0"/>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0"/>
                <w:szCs w:val="20"/>
              </w:rPr>
            </w:pPr>
            <w:r w:rsidRPr="00C1694A">
              <w:rPr>
                <w:rFonts w:ascii="Times New Roman" w:hAnsi="Times New Roman" w:cs="Times New Roman"/>
                <w:b/>
                <w:bCs/>
                <w:sz w:val="20"/>
                <w:szCs w:val="20"/>
              </w:rPr>
              <w:t>Average Burden per Response</w:t>
            </w:r>
          </w:p>
        </w:tc>
        <w:tc>
          <w:tcPr>
            <w:tcW w:w="0" w:type="auto"/>
            <w:shd w:val="clear" w:color="auto" w:fill="E0E0E0"/>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C1694A">
              <w:rPr>
                <w:rFonts w:ascii="Times New Roman" w:hAnsi="Times New Roman" w:cs="Times New Roman"/>
                <w:b/>
                <w:bCs/>
                <w:sz w:val="20"/>
                <w:szCs w:val="20"/>
              </w:rPr>
              <w:t>Total Burden Hours</w:t>
            </w:r>
          </w:p>
        </w:tc>
      </w:tr>
      <w:tr w:rsidR="00CA33B4" w:rsidRPr="00C1694A" w:rsidTr="00D23898">
        <w:trPr>
          <w:trHeight w:val="265"/>
          <w:jc w:val="center"/>
        </w:trPr>
        <w:tc>
          <w:tcPr>
            <w:tcW w:w="0" w:type="auto"/>
            <w:shd w:val="clear" w:color="auto" w:fill="E0E0E0"/>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0"/>
                <w:szCs w:val="20"/>
              </w:rPr>
            </w:pPr>
          </w:p>
        </w:tc>
        <w:tc>
          <w:tcPr>
            <w:tcW w:w="0" w:type="auto"/>
            <w:gridSpan w:val="5"/>
            <w:shd w:val="clear" w:color="auto" w:fill="E0E0E0"/>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0"/>
                <w:szCs w:val="20"/>
              </w:rPr>
            </w:pPr>
            <w:r w:rsidRPr="00C1694A">
              <w:rPr>
                <w:rFonts w:ascii="Times New Roman" w:hAnsi="Times New Roman" w:cs="Times New Roman"/>
                <w:i/>
                <w:iCs/>
                <w:sz w:val="20"/>
                <w:szCs w:val="20"/>
              </w:rPr>
              <w:t>Annual Reporting Burden Estimates</w:t>
            </w:r>
          </w:p>
        </w:tc>
      </w:tr>
      <w:tr w:rsidR="00CA33B4" w:rsidRPr="00C1694A" w:rsidTr="00D23898">
        <w:trPr>
          <w:trHeight w:val="279"/>
          <w:jc w:val="center"/>
        </w:trPr>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r w:rsidRPr="00C1694A">
              <w:rPr>
                <w:rFonts w:ascii="Times New Roman" w:hAnsi="Times New Roman" w:cs="Times New Roman"/>
                <w:i/>
                <w:sz w:val="20"/>
                <w:szCs w:val="20"/>
              </w:rPr>
              <w:t>N/A</w:t>
            </w:r>
          </w:p>
        </w:tc>
        <w:tc>
          <w:tcPr>
            <w:tcW w:w="0" w:type="auto"/>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r w:rsidRPr="00C1694A">
              <w:rPr>
                <w:rFonts w:ascii="Times New Roman" w:hAnsi="Times New Roman" w:cs="Times New Roman"/>
                <w:i/>
                <w:sz w:val="20"/>
                <w:szCs w:val="20"/>
              </w:rPr>
              <w:t xml:space="preserve"> N/A</w:t>
            </w:r>
          </w:p>
        </w:tc>
        <w:tc>
          <w:tcPr>
            <w:tcW w:w="0" w:type="auto"/>
            <w:tcMar>
              <w:top w:w="30" w:type="dxa"/>
              <w:left w:w="150" w:type="dxa"/>
              <w:bottom w:w="30" w:type="dxa"/>
              <w:right w:w="150" w:type="dxa"/>
            </w:tcMa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N/A</w:t>
            </w:r>
          </w:p>
        </w:tc>
        <w:tc>
          <w:tcPr>
            <w:tcW w:w="0" w:type="auto"/>
            <w:tcMar>
              <w:top w:w="30" w:type="dxa"/>
              <w:left w:w="150" w:type="dxa"/>
              <w:bottom w:w="30" w:type="dxa"/>
              <w:right w:w="150" w:type="dxa"/>
            </w:tcMa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N/A</w:t>
            </w:r>
          </w:p>
        </w:tc>
        <w:tc>
          <w:tcPr>
            <w:tcW w:w="0" w:type="auto"/>
            <w:tcMar>
              <w:top w:w="30" w:type="dxa"/>
              <w:left w:w="150" w:type="dxa"/>
              <w:bottom w:w="30" w:type="dxa"/>
              <w:right w:w="150" w:type="dxa"/>
            </w:tcMa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N/A</w:t>
            </w:r>
          </w:p>
        </w:tc>
        <w:tc>
          <w:tcPr>
            <w:tcW w:w="0" w:type="auto"/>
            <w:tcMar>
              <w:top w:w="30" w:type="dxa"/>
              <w:left w:w="150" w:type="dxa"/>
              <w:bottom w:w="30" w:type="dxa"/>
              <w:right w:w="150" w:type="dxa"/>
            </w:tcMa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N/A</w:t>
            </w:r>
          </w:p>
        </w:tc>
      </w:tr>
      <w:tr w:rsidR="00CA33B4" w:rsidRPr="00C1694A" w:rsidTr="00D23898">
        <w:trPr>
          <w:trHeight w:val="265"/>
          <w:tblHeader/>
          <w:jc w:val="center"/>
        </w:trPr>
        <w:tc>
          <w:tcPr>
            <w:tcW w:w="0" w:type="auto"/>
            <w:shd w:val="clear" w:color="auto" w:fill="E0E0E0"/>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0"/>
                <w:szCs w:val="20"/>
              </w:rPr>
            </w:pPr>
          </w:p>
        </w:tc>
        <w:tc>
          <w:tcPr>
            <w:tcW w:w="0" w:type="auto"/>
            <w:gridSpan w:val="5"/>
            <w:shd w:val="clear" w:color="auto" w:fill="E0E0E0"/>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0"/>
                <w:szCs w:val="20"/>
              </w:rPr>
            </w:pPr>
            <w:r w:rsidRPr="00C1694A">
              <w:rPr>
                <w:rFonts w:ascii="Times New Roman" w:hAnsi="Times New Roman" w:cs="Times New Roman"/>
                <w:i/>
                <w:iCs/>
                <w:sz w:val="20"/>
                <w:szCs w:val="20"/>
              </w:rPr>
              <w:t>Annual Recording Keeping Burden Estimates</w:t>
            </w:r>
          </w:p>
        </w:tc>
      </w:tr>
      <w:tr w:rsidR="00CA33B4" w:rsidRPr="00C1694A" w:rsidTr="00D23898">
        <w:trPr>
          <w:trHeight w:val="279"/>
          <w:jc w:val="center"/>
        </w:trPr>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r w:rsidRPr="00C1694A">
              <w:rPr>
                <w:rFonts w:ascii="Times New Roman" w:hAnsi="Times New Roman" w:cs="Times New Roman"/>
                <w:i/>
                <w:sz w:val="20"/>
                <w:szCs w:val="20"/>
              </w:rPr>
              <w:t xml:space="preserve">Head Start Grants Administration – </w:t>
            </w:r>
          </w:p>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sz w:val="20"/>
                <w:szCs w:val="20"/>
              </w:rPr>
              <w:t>§ 1303.22, 1303.24 Parental Consent, Annual Notice, and Recordkeeping of PII Disclosure</w:t>
            </w:r>
          </w:p>
        </w:tc>
        <w:tc>
          <w:tcPr>
            <w:tcW w:w="0" w:type="auto"/>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5"/>
              <w:jc w:val="center"/>
              <w:rPr>
                <w:rFonts w:ascii="Times New Roman" w:hAnsi="Times New Roman" w:cs="Times New Roman"/>
                <w:sz w:val="20"/>
                <w:szCs w:val="20"/>
              </w:rPr>
            </w:pPr>
            <w:r w:rsidRPr="00C1694A">
              <w:rPr>
                <w:rFonts w:ascii="Times New Roman" w:hAnsi="Times New Roman" w:cs="Times New Roman"/>
                <w:sz w:val="20"/>
                <w:szCs w:val="20"/>
              </w:rPr>
              <w:t>0970-0423</w:t>
            </w:r>
          </w:p>
        </w:tc>
        <w:tc>
          <w:tcPr>
            <w:tcW w:w="0" w:type="auto"/>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5"/>
              <w:jc w:val="center"/>
              <w:rPr>
                <w:rFonts w:ascii="Times New Roman" w:hAnsi="Times New Roman" w:cs="Times New Roman"/>
                <w:sz w:val="20"/>
                <w:szCs w:val="20"/>
              </w:rPr>
            </w:pPr>
            <w:r w:rsidRPr="00C1694A">
              <w:rPr>
                <w:rFonts w:ascii="Times New Roman" w:hAnsi="Times New Roman" w:cs="Times New Roman"/>
                <w:sz w:val="20"/>
                <w:szCs w:val="20"/>
              </w:rPr>
              <w:t>988,923 (F)</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1</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20 minutes</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329,641</w:t>
            </w:r>
          </w:p>
        </w:tc>
      </w:tr>
      <w:tr w:rsidR="00CA33B4" w:rsidRPr="00C1694A" w:rsidTr="00D23898">
        <w:trPr>
          <w:trHeight w:val="279"/>
          <w:jc w:val="center"/>
        </w:trPr>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r w:rsidRPr="00C1694A">
              <w:rPr>
                <w:rFonts w:ascii="Times New Roman" w:hAnsi="Times New Roman" w:cs="Times New Roman"/>
                <w:i/>
                <w:sz w:val="20"/>
                <w:szCs w:val="20"/>
              </w:rPr>
              <w:t xml:space="preserve">Head Start Performance Standards – </w:t>
            </w:r>
          </w:p>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r w:rsidRPr="00C1694A">
              <w:rPr>
                <w:rFonts w:ascii="Times New Roman" w:hAnsi="Times New Roman" w:cs="Times New Roman"/>
                <w:sz w:val="20"/>
                <w:szCs w:val="20"/>
              </w:rPr>
              <w:t>§1302.33 Language Assessments of Dual Language Learners</w:t>
            </w:r>
          </w:p>
        </w:tc>
        <w:tc>
          <w:tcPr>
            <w:tcW w:w="0" w:type="auto"/>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0970-0148</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332,651 (C)</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1</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2 hours</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665,302</w:t>
            </w:r>
          </w:p>
        </w:tc>
      </w:tr>
      <w:tr w:rsidR="00CA33B4" w:rsidRPr="00C1694A" w:rsidTr="00D23898">
        <w:trPr>
          <w:trHeight w:val="279"/>
          <w:jc w:val="center"/>
        </w:trPr>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r w:rsidRPr="00C1694A">
              <w:rPr>
                <w:rFonts w:ascii="Times New Roman" w:hAnsi="Times New Roman" w:cs="Times New Roman"/>
                <w:i/>
                <w:sz w:val="20"/>
                <w:szCs w:val="20"/>
              </w:rPr>
              <w:t xml:space="preserve">Head Start Performance Standards – </w:t>
            </w:r>
          </w:p>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sz w:val="20"/>
                <w:szCs w:val="20"/>
              </w:rPr>
              <w:t>§1302.90 Background Checks</w:t>
            </w:r>
          </w:p>
        </w:tc>
        <w:tc>
          <w:tcPr>
            <w:tcW w:w="0" w:type="auto"/>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5"/>
              <w:jc w:val="center"/>
              <w:rPr>
                <w:rFonts w:ascii="Times New Roman" w:hAnsi="Times New Roman" w:cs="Times New Roman"/>
                <w:sz w:val="20"/>
                <w:szCs w:val="20"/>
              </w:rPr>
            </w:pPr>
            <w:r w:rsidRPr="00C1694A">
              <w:rPr>
                <w:rFonts w:ascii="Times New Roman" w:hAnsi="Times New Roman" w:cs="Times New Roman"/>
                <w:sz w:val="20"/>
                <w:szCs w:val="20"/>
              </w:rPr>
              <w:t>0970-0148</w:t>
            </w:r>
          </w:p>
        </w:tc>
        <w:tc>
          <w:tcPr>
            <w:tcW w:w="0" w:type="auto"/>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5"/>
              <w:jc w:val="center"/>
              <w:rPr>
                <w:rFonts w:ascii="Times New Roman" w:hAnsi="Times New Roman" w:cs="Times New Roman"/>
                <w:sz w:val="20"/>
                <w:szCs w:val="20"/>
              </w:rPr>
            </w:pPr>
            <w:r w:rsidRPr="00C1694A">
              <w:rPr>
                <w:rFonts w:ascii="Times New Roman" w:hAnsi="Times New Roman" w:cs="Times New Roman"/>
                <w:sz w:val="20"/>
                <w:szCs w:val="20"/>
              </w:rPr>
              <w:t>73,591 (S)</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1</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20 minutes</w:t>
            </w:r>
          </w:p>
        </w:tc>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24,530</w:t>
            </w:r>
          </w:p>
        </w:tc>
      </w:tr>
      <w:tr w:rsidR="00CA33B4" w:rsidRPr="00C1694A" w:rsidTr="00D23898">
        <w:trPr>
          <w:trHeight w:val="265"/>
          <w:tblHeader/>
          <w:jc w:val="center"/>
        </w:trPr>
        <w:tc>
          <w:tcPr>
            <w:tcW w:w="0" w:type="auto"/>
            <w:shd w:val="clear" w:color="auto" w:fill="E0E0E0"/>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0"/>
                <w:szCs w:val="20"/>
              </w:rPr>
            </w:pPr>
          </w:p>
        </w:tc>
        <w:tc>
          <w:tcPr>
            <w:tcW w:w="0" w:type="auto"/>
            <w:gridSpan w:val="5"/>
            <w:shd w:val="clear" w:color="auto" w:fill="E0E0E0"/>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0"/>
                <w:szCs w:val="20"/>
              </w:rPr>
            </w:pPr>
            <w:r w:rsidRPr="00C1694A">
              <w:rPr>
                <w:rFonts w:ascii="Times New Roman" w:hAnsi="Times New Roman" w:cs="Times New Roman"/>
                <w:i/>
                <w:iCs/>
                <w:sz w:val="20"/>
                <w:szCs w:val="20"/>
              </w:rPr>
              <w:t>Annual Third-Party Disclosure Burden Estimates</w:t>
            </w:r>
          </w:p>
        </w:tc>
      </w:tr>
      <w:tr w:rsidR="00CA33B4" w:rsidRPr="00C1694A" w:rsidTr="00D23898">
        <w:trPr>
          <w:trHeight w:val="279"/>
          <w:jc w:val="center"/>
        </w:trPr>
        <w:tc>
          <w:tcPr>
            <w:tcW w:w="0" w:type="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r w:rsidRPr="00C1694A">
              <w:rPr>
                <w:rFonts w:ascii="Times New Roman" w:hAnsi="Times New Roman" w:cs="Times New Roman"/>
                <w:i/>
                <w:sz w:val="20"/>
                <w:szCs w:val="20"/>
              </w:rPr>
              <w:t>N/A</w:t>
            </w:r>
          </w:p>
        </w:tc>
        <w:tc>
          <w:tcPr>
            <w:tcW w:w="0" w:type="auto"/>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r w:rsidRPr="00C1694A">
              <w:rPr>
                <w:rFonts w:ascii="Times New Roman" w:hAnsi="Times New Roman" w:cs="Times New Roman"/>
                <w:i/>
                <w:sz w:val="20"/>
                <w:szCs w:val="20"/>
              </w:rPr>
              <w:t xml:space="preserve"> N/A</w:t>
            </w:r>
          </w:p>
        </w:tc>
        <w:tc>
          <w:tcPr>
            <w:tcW w:w="0" w:type="auto"/>
            <w:tcMar>
              <w:top w:w="30" w:type="dxa"/>
              <w:left w:w="150" w:type="dxa"/>
              <w:bottom w:w="30" w:type="dxa"/>
              <w:right w:w="150" w:type="dxa"/>
            </w:tcMa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N/A</w:t>
            </w:r>
          </w:p>
        </w:tc>
        <w:tc>
          <w:tcPr>
            <w:tcW w:w="0" w:type="auto"/>
            <w:tcMar>
              <w:top w:w="30" w:type="dxa"/>
              <w:left w:w="150" w:type="dxa"/>
              <w:bottom w:w="30" w:type="dxa"/>
              <w:right w:w="150" w:type="dxa"/>
            </w:tcMa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N/A</w:t>
            </w:r>
          </w:p>
        </w:tc>
        <w:tc>
          <w:tcPr>
            <w:tcW w:w="0" w:type="auto"/>
            <w:tcMar>
              <w:top w:w="30" w:type="dxa"/>
              <w:left w:w="150" w:type="dxa"/>
              <w:bottom w:w="30" w:type="dxa"/>
              <w:right w:w="150" w:type="dxa"/>
            </w:tcMa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N/A</w:t>
            </w:r>
          </w:p>
        </w:tc>
        <w:tc>
          <w:tcPr>
            <w:tcW w:w="0" w:type="auto"/>
            <w:tcMar>
              <w:top w:w="30" w:type="dxa"/>
              <w:left w:w="150" w:type="dxa"/>
              <w:bottom w:w="30" w:type="dxa"/>
              <w:right w:w="150" w:type="dxa"/>
            </w:tcMa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N/A</w:t>
            </w:r>
          </w:p>
        </w:tc>
      </w:tr>
      <w:tr w:rsidR="00CA33B4" w:rsidRPr="00C1694A" w:rsidTr="00D23898">
        <w:trPr>
          <w:trHeight w:val="85"/>
          <w:jc w:val="center"/>
        </w:trPr>
        <w:tc>
          <w:tcPr>
            <w:tcW w:w="0" w:type="auto"/>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0"/>
                <w:szCs w:val="20"/>
              </w:rPr>
            </w:pPr>
          </w:p>
        </w:tc>
        <w:tc>
          <w:tcPr>
            <w:tcW w:w="0" w:type="auto"/>
            <w:gridSpan w:val="4"/>
            <w:shd w:val="clear" w:color="auto" w:fill="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C1694A">
              <w:rPr>
                <w:rFonts w:ascii="Times New Roman" w:hAnsi="Times New Roman" w:cs="Times New Roman"/>
                <w:i/>
                <w:sz w:val="20"/>
                <w:szCs w:val="20"/>
              </w:rPr>
              <w:t xml:space="preserve">          Total Burden Hours</w:t>
            </w:r>
          </w:p>
        </w:tc>
        <w:tc>
          <w:tcPr>
            <w:tcW w:w="0" w:type="auto"/>
            <w:shd w:val="clear" w:color="auto" w:fill="auto"/>
            <w:tcMar>
              <w:top w:w="30" w:type="dxa"/>
              <w:left w:w="150" w:type="dxa"/>
              <w:bottom w:w="30" w:type="dxa"/>
              <w:right w:w="150" w:type="dxa"/>
            </w:tcMar>
            <w:vAlign w:val="center"/>
          </w:tcPr>
          <w:p w:rsidR="00CA33B4" w:rsidRPr="00C1694A" w:rsidRDefault="00CA33B4" w:rsidP="00EE45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r w:rsidRPr="00C1694A">
              <w:rPr>
                <w:rFonts w:ascii="Times New Roman" w:hAnsi="Times New Roman" w:cs="Times New Roman"/>
                <w:sz w:val="20"/>
                <w:szCs w:val="20"/>
              </w:rPr>
              <w:t>1,019,473</w:t>
            </w:r>
          </w:p>
        </w:tc>
      </w:tr>
    </w:tbl>
    <w:p w:rsidR="00CA33B4" w:rsidRPr="00C1694A" w:rsidRDefault="00CA33B4" w:rsidP="00EE457E">
      <w:pPr>
        <w:spacing w:line="480" w:lineRule="auto"/>
        <w:rPr>
          <w:rFonts w:ascii="Times New Roman" w:eastAsia="Calibri" w:hAnsi="Times New Roman" w:cs="Times New Roman"/>
          <w:sz w:val="18"/>
        </w:rPr>
      </w:pPr>
      <w:r w:rsidRPr="00C1694A">
        <w:rPr>
          <w:rFonts w:ascii="Times New Roman" w:eastAsia="Calibri" w:hAnsi="Times New Roman" w:cs="Times New Roman"/>
          <w:sz w:val="18"/>
        </w:rPr>
        <w:t>Key:  C = Children, F = Families, S = Staff</w:t>
      </w:r>
    </w:p>
    <w:p w:rsidR="00CA33B4" w:rsidRPr="00C1694A" w:rsidRDefault="00CA33B4" w:rsidP="00EE457E">
      <w:pPr>
        <w:autoSpaceDE w:val="0"/>
        <w:autoSpaceDN w:val="0"/>
        <w:adjustRightInd w:val="0"/>
        <w:spacing w:line="480" w:lineRule="auto"/>
        <w:rPr>
          <w:rFonts w:ascii="Times New Roman" w:hAnsi="Times New Roman" w:cs="Times New Roman"/>
          <w:sz w:val="24"/>
          <w:szCs w:val="24"/>
        </w:rPr>
      </w:pPr>
      <w:r w:rsidRPr="00C1694A">
        <w:rPr>
          <w:rFonts w:ascii="Times New Roman" w:eastAsia="Calibri" w:hAnsi="Times New Roman" w:cs="Times New Roman"/>
        </w:rPr>
        <w:tab/>
      </w:r>
      <w:r w:rsidRPr="00C1694A">
        <w:rPr>
          <w:rFonts w:ascii="Times New Roman" w:hAnsi="Times New Roman" w:cs="Times New Roman"/>
          <w:sz w:val="24"/>
          <w:szCs w:val="24"/>
        </w:rPr>
        <w:t xml:space="preserve">For informational purposes, currently approved collections of information that will no longer be required are described below:  </w:t>
      </w:r>
    </w:p>
    <w:p w:rsidR="00CA33B4" w:rsidRPr="00001E53" w:rsidRDefault="00001E53" w:rsidP="00001E53">
      <w:pPr>
        <w:spacing w:after="0" w:line="480" w:lineRule="auto"/>
        <w:ind w:left="720" w:hanging="360"/>
        <w:rPr>
          <w:rFonts w:ascii="Times New Roman" w:eastAsia="Times New Roman" w:hAnsi="Times New Roman" w:cs="Times New Roman"/>
          <w:sz w:val="24"/>
          <w:szCs w:val="24"/>
        </w:rPr>
      </w:pPr>
      <w:r w:rsidRPr="00C1694A">
        <w:rPr>
          <w:rFonts w:ascii="Symbol" w:eastAsia="Times New Roman" w:hAnsi="Symbol" w:cs="Times New Roman"/>
          <w:sz w:val="24"/>
          <w:szCs w:val="24"/>
        </w:rPr>
        <w:t></w:t>
      </w:r>
      <w:r w:rsidRPr="00C1694A">
        <w:rPr>
          <w:rFonts w:ascii="Symbol" w:eastAsia="Times New Roman" w:hAnsi="Symbol" w:cs="Times New Roman"/>
          <w:sz w:val="24"/>
          <w:szCs w:val="24"/>
        </w:rPr>
        <w:tab/>
      </w:r>
      <w:r w:rsidR="00CA33B4" w:rsidRPr="00001E53">
        <w:rPr>
          <w:rFonts w:ascii="Times New Roman" w:eastAsia="Times New Roman" w:hAnsi="Times New Roman" w:cs="Times New Roman"/>
          <w:sz w:val="24"/>
          <w:szCs w:val="24"/>
          <w:u w:val="single"/>
        </w:rPr>
        <w:t>Head Start Grants Administration.</w:t>
      </w:r>
      <w:r w:rsidR="00CA33B4" w:rsidRPr="00001E53">
        <w:rPr>
          <w:rFonts w:ascii="Times New Roman" w:eastAsia="Times New Roman" w:hAnsi="Times New Roman" w:cs="Times New Roman"/>
          <w:i/>
          <w:sz w:val="24"/>
          <w:szCs w:val="24"/>
        </w:rPr>
        <w:t xml:space="preserve">  </w:t>
      </w:r>
      <w:r w:rsidR="00CA33B4" w:rsidRPr="00001E53">
        <w:rPr>
          <w:rFonts w:ascii="Times New Roman" w:eastAsia="Times New Roman" w:hAnsi="Times New Roman" w:cs="Times New Roman"/>
          <w:sz w:val="24"/>
          <w:szCs w:val="24"/>
        </w:rPr>
        <w:t>This rule removed certain requirements for grantee agencies including the submission of audits, accounting systems certifications, and provisions applicable to personnel management.</w:t>
      </w:r>
    </w:p>
    <w:p w:rsidR="00CA33B4" w:rsidRPr="00001E53" w:rsidRDefault="00001E53" w:rsidP="00001E53">
      <w:pPr>
        <w:spacing w:after="0" w:line="480" w:lineRule="auto"/>
        <w:ind w:left="720" w:hanging="360"/>
        <w:rPr>
          <w:rFonts w:ascii="Times New Roman" w:eastAsia="Times New Roman" w:hAnsi="Times New Roman" w:cs="Times New Roman"/>
          <w:sz w:val="24"/>
          <w:szCs w:val="24"/>
        </w:rPr>
      </w:pPr>
      <w:r w:rsidRPr="00C1694A">
        <w:rPr>
          <w:rFonts w:ascii="Symbol" w:eastAsia="Times New Roman" w:hAnsi="Symbol" w:cs="Times New Roman"/>
          <w:sz w:val="24"/>
          <w:szCs w:val="24"/>
        </w:rPr>
        <w:t></w:t>
      </w:r>
      <w:r w:rsidRPr="00C1694A">
        <w:rPr>
          <w:rFonts w:ascii="Symbol" w:eastAsia="Times New Roman" w:hAnsi="Symbol" w:cs="Times New Roman"/>
          <w:sz w:val="24"/>
          <w:szCs w:val="24"/>
        </w:rPr>
        <w:tab/>
      </w:r>
      <w:r w:rsidR="00CA33B4" w:rsidRPr="00001E53">
        <w:rPr>
          <w:rFonts w:ascii="Times New Roman" w:eastAsia="Times New Roman" w:hAnsi="Times New Roman" w:cs="Times New Roman"/>
          <w:sz w:val="24"/>
          <w:szCs w:val="24"/>
          <w:u w:val="single"/>
        </w:rPr>
        <w:t>Appeal Procedures for Head Start.  Grantees and Current or Prospective Delegate</w:t>
      </w:r>
      <w:r w:rsidR="00CA33B4" w:rsidRPr="00001E53">
        <w:rPr>
          <w:rFonts w:ascii="Times New Roman" w:eastAsia="Times New Roman" w:hAnsi="Times New Roman" w:cs="Times New Roman"/>
          <w:i/>
          <w:sz w:val="24"/>
          <w:szCs w:val="24"/>
        </w:rPr>
        <w:t xml:space="preserve"> </w:t>
      </w:r>
      <w:r w:rsidR="00CA33B4" w:rsidRPr="00001E53">
        <w:rPr>
          <w:rFonts w:ascii="Times New Roman" w:eastAsia="Times New Roman" w:hAnsi="Times New Roman" w:cs="Times New Roman"/>
          <w:sz w:val="24"/>
          <w:szCs w:val="24"/>
          <w:u w:val="single"/>
        </w:rPr>
        <w:t>Agencies</w:t>
      </w:r>
      <w:r w:rsidR="00CA33B4" w:rsidRPr="00001E53">
        <w:rPr>
          <w:rFonts w:ascii="Times New Roman" w:eastAsia="Times New Roman" w:hAnsi="Times New Roman" w:cs="Times New Roman"/>
          <w:i/>
          <w:sz w:val="24"/>
          <w:szCs w:val="24"/>
        </w:rPr>
        <w:t xml:space="preserve"> </w:t>
      </w:r>
      <w:r w:rsidR="00CA33B4" w:rsidRPr="00001E53">
        <w:rPr>
          <w:rFonts w:ascii="Times New Roman" w:eastAsia="Times New Roman" w:hAnsi="Times New Roman" w:cs="Times New Roman"/>
          <w:sz w:val="24"/>
          <w:szCs w:val="24"/>
        </w:rPr>
        <w:t>– This rule removed the appeal procedures by delegate agencies that came from denials or failure to act by grantees. It also removed the appeal procedures by a grantee of a suspension continuing for more than 30 days.</w:t>
      </w:r>
    </w:p>
    <w:p w:rsidR="00CA33B4" w:rsidRPr="00001E53" w:rsidRDefault="00001E53" w:rsidP="00001E53">
      <w:pPr>
        <w:spacing w:after="0" w:line="480" w:lineRule="auto"/>
        <w:ind w:left="720" w:hanging="360"/>
        <w:rPr>
          <w:rFonts w:ascii="Times New Roman" w:hAnsi="Times New Roman" w:cs="Times New Roman"/>
          <w:sz w:val="24"/>
          <w:szCs w:val="24"/>
        </w:rPr>
      </w:pPr>
      <w:r w:rsidRPr="00C1694A">
        <w:rPr>
          <w:rFonts w:ascii="Symbol" w:hAnsi="Symbol" w:cs="Times New Roman"/>
          <w:sz w:val="24"/>
          <w:szCs w:val="24"/>
        </w:rPr>
        <w:t></w:t>
      </w:r>
      <w:r w:rsidRPr="00C1694A">
        <w:rPr>
          <w:rFonts w:ascii="Symbol" w:hAnsi="Symbol" w:cs="Times New Roman"/>
          <w:sz w:val="24"/>
          <w:szCs w:val="24"/>
        </w:rPr>
        <w:tab/>
      </w:r>
      <w:r w:rsidR="00CA33B4" w:rsidRPr="00001E53">
        <w:rPr>
          <w:rFonts w:ascii="Times New Roman" w:eastAsia="Times New Roman" w:hAnsi="Times New Roman" w:cs="Times New Roman"/>
          <w:sz w:val="24"/>
          <w:szCs w:val="24"/>
          <w:u w:val="single"/>
        </w:rPr>
        <w:t>Head Start Program Performance Standards.</w:t>
      </w:r>
      <w:r w:rsidR="00CA33B4" w:rsidRPr="00001E53">
        <w:rPr>
          <w:rFonts w:ascii="Times New Roman" w:eastAsia="Times New Roman" w:hAnsi="Times New Roman" w:cs="Times New Roman"/>
          <w:i/>
          <w:sz w:val="24"/>
          <w:szCs w:val="24"/>
        </w:rPr>
        <w:t xml:space="preserve">  </w:t>
      </w:r>
      <w:r w:rsidR="00CA33B4" w:rsidRPr="00001E53">
        <w:rPr>
          <w:rFonts w:ascii="Times New Roman" w:eastAsia="Times New Roman" w:hAnsi="Times New Roman" w:cs="Times New Roman"/>
          <w:sz w:val="24"/>
          <w:szCs w:val="24"/>
        </w:rPr>
        <w:t xml:space="preserve">Numerous record-keeping requirements were removed which will result in a decrease in burden, i.e. documentation of the level of effort undertaken to establish community partnerships, written records of roles and responsibilities for each governing body members, the annual written and approval of plans for implementation services for each program area, provisions applicable to personnel management, and record-keeping and sharing of a set of community services and resources. </w:t>
      </w:r>
    </w:p>
    <w:p w:rsidR="00CA33B4" w:rsidRPr="00001E53" w:rsidRDefault="00001E53" w:rsidP="00001E53">
      <w:pPr>
        <w:spacing w:after="0" w:line="480" w:lineRule="auto"/>
        <w:ind w:left="720" w:hanging="360"/>
        <w:rPr>
          <w:rFonts w:ascii="Times New Roman" w:eastAsiaTheme="majorEastAsia" w:hAnsi="Times New Roman" w:cs="Times New Roman"/>
          <w:bCs/>
          <w:sz w:val="24"/>
          <w:szCs w:val="24"/>
        </w:rPr>
      </w:pPr>
      <w:r w:rsidRPr="00C1694A">
        <w:rPr>
          <w:rFonts w:ascii="Symbol" w:eastAsiaTheme="majorEastAsia" w:hAnsi="Symbol" w:cs="Times New Roman"/>
          <w:bCs/>
          <w:sz w:val="24"/>
          <w:szCs w:val="24"/>
        </w:rPr>
        <w:t></w:t>
      </w:r>
      <w:r w:rsidRPr="00C1694A">
        <w:rPr>
          <w:rFonts w:ascii="Symbol" w:eastAsiaTheme="majorEastAsia" w:hAnsi="Symbol" w:cs="Times New Roman"/>
          <w:bCs/>
          <w:sz w:val="24"/>
          <w:szCs w:val="24"/>
        </w:rPr>
        <w:tab/>
      </w:r>
      <w:r w:rsidR="00CA33B4" w:rsidRPr="00001E53">
        <w:rPr>
          <w:rFonts w:ascii="Times New Roman" w:eastAsia="Times New Roman" w:hAnsi="Times New Roman" w:cs="Times New Roman"/>
          <w:sz w:val="24"/>
          <w:szCs w:val="24"/>
          <w:u w:val="single"/>
        </w:rPr>
        <w:t>Purchase, Construction and Major Renovation of Head Start Facilities.</w:t>
      </w:r>
      <w:r w:rsidR="00CA33B4" w:rsidRPr="00001E53">
        <w:rPr>
          <w:rFonts w:ascii="Times New Roman" w:eastAsia="Times New Roman" w:hAnsi="Times New Roman" w:cs="Times New Roman"/>
          <w:i/>
          <w:sz w:val="24"/>
          <w:szCs w:val="24"/>
        </w:rPr>
        <w:t xml:space="preserve">  </w:t>
      </w:r>
      <w:r w:rsidR="00CA33B4" w:rsidRPr="00001E53">
        <w:rPr>
          <w:rFonts w:ascii="Times New Roman" w:eastAsia="Times New Roman" w:hAnsi="Times New Roman" w:cs="Times New Roman"/>
          <w:sz w:val="24"/>
          <w:szCs w:val="24"/>
        </w:rPr>
        <w:t xml:space="preserve">We removed </w:t>
      </w:r>
      <w:r w:rsidR="00CA33B4" w:rsidRPr="00001E53">
        <w:rPr>
          <w:rFonts w:ascii="Times New Roman" w:eastAsiaTheme="majorEastAsia" w:hAnsi="Times New Roman" w:cs="Times New Roman"/>
          <w:bCs/>
          <w:sz w:val="24"/>
          <w:szCs w:val="24"/>
        </w:rPr>
        <w:t>some requirements that involved collection of information that will result in a reduction in burden, including the submission of drawings and specifications, costs related to installation of modular unit, statement of procurement procedure for modular units, and obtaining an independent analysis of the cost comparison.</w:t>
      </w:r>
    </w:p>
    <w:p w:rsidR="00CA33B4" w:rsidRPr="00C1694A" w:rsidRDefault="00CA33B4" w:rsidP="004932C1">
      <w:pPr>
        <w:spacing w:line="480" w:lineRule="auto"/>
        <w:rPr>
          <w:rFonts w:ascii="Times New Roman" w:hAnsi="Times New Roman" w:cs="Times New Roman"/>
          <w:b/>
          <w:sz w:val="24"/>
          <w:szCs w:val="24"/>
        </w:rPr>
      </w:pPr>
    </w:p>
    <w:p w:rsidR="00CA33B4" w:rsidRPr="00C1694A" w:rsidRDefault="00CA33B4" w:rsidP="004932C1">
      <w:pPr>
        <w:spacing w:line="480" w:lineRule="auto"/>
        <w:rPr>
          <w:rFonts w:ascii="Times New Roman" w:hAnsi="Times New Roman" w:cs="Times New Roman"/>
          <w:b/>
          <w:sz w:val="24"/>
          <w:szCs w:val="24"/>
        </w:rPr>
      </w:pPr>
    </w:p>
    <w:p w:rsidR="00CA33B4" w:rsidRPr="00C1694A" w:rsidRDefault="00CA33B4" w:rsidP="004932C1">
      <w:pPr>
        <w:spacing w:line="480" w:lineRule="auto"/>
        <w:rPr>
          <w:rFonts w:ascii="Times New Roman" w:hAnsi="Times New Roman" w:cs="Times New Roman"/>
          <w:b/>
          <w:sz w:val="24"/>
          <w:szCs w:val="24"/>
        </w:rPr>
      </w:pPr>
      <w:r w:rsidRPr="00C1694A">
        <w:rPr>
          <w:rFonts w:ascii="Times New Roman" w:hAnsi="Times New Roman" w:cs="Times New Roman"/>
          <w:b/>
          <w:sz w:val="24"/>
          <w:szCs w:val="24"/>
        </w:rPr>
        <w:t>Tribal Consultation Statement</w:t>
      </w:r>
    </w:p>
    <w:p w:rsidR="00CA33B4" w:rsidRPr="00C1694A" w:rsidRDefault="00CA33B4" w:rsidP="004932C1">
      <w:pPr>
        <w:spacing w:line="480" w:lineRule="auto"/>
        <w:rPr>
          <w:rFonts w:ascii="Times New Roman" w:hAnsi="Times New Roman" w:cs="Times New Roman"/>
        </w:rPr>
      </w:pPr>
      <w:r w:rsidRPr="00C1694A">
        <w:rPr>
          <w:rFonts w:ascii="Times New Roman" w:hAnsi="Times New Roman" w:cs="Times New Roman"/>
          <w:sz w:val="24"/>
          <w:szCs w:val="24"/>
        </w:rPr>
        <w:t xml:space="preserve">The Office of Head Start conducts an average of 5 Tribal Consultations each year for those tribes operating Head Start and Early Head Start. The consultations are held in geographic areas across the country – Southwest, Northwest, Midwest (Northern and Southern), and Eastern. The consultations are often held in conjunction with other tribal meetings or conferences, to ensure the opportunity for most of the 150 tribes served through OHS to be able to attend, and voice their concerns and issues for their HS/EHS programs. A report is completed after each consultation, and then a final report is compiled and submitted to the Secretary at the end of the year, summarizing the consultations. For the past several years, the primary issues raised have been around Head Start requirements which are the subject of this regulation and ensuring tribes have sufficient funding to meet those requirements. Language and culture are also a primary topic, particularly Head Start supporting efforts to preserve and revitalize language within each tribe, which is specifically addressed in this final rule.  Teacher credentials, and, Monitoring, and fiscal issues were also common themes across the consultations, which have allowed us to gather valuable information that informed the development of this rule.  Through the notice and comment process we also received comments from tribal communities, including form the National Indian Head Start Directors Association which informed the development of this final rule.  </w:t>
      </w:r>
    </w:p>
    <w:p w:rsidR="00CA33B4" w:rsidRPr="00C1694A" w:rsidRDefault="00CA33B4">
      <w:pPr>
        <w:spacing w:after="0" w:line="480" w:lineRule="auto"/>
        <w:rPr>
          <w:rFonts w:ascii="Times New Roman" w:hAnsi="Times New Roman" w:cs="Times New Roman"/>
        </w:rPr>
      </w:pPr>
    </w:p>
    <w:p w:rsidR="00CA33B4" w:rsidRPr="00C1694A" w:rsidRDefault="00CA33B4">
      <w:pPr>
        <w:rPr>
          <w:rFonts w:ascii="Times New Roman" w:hAnsi="Times New Roman" w:cs="Times New Roman"/>
        </w:rPr>
      </w:pPr>
    </w:p>
    <w:p w:rsidR="004932C1" w:rsidRPr="00C1694A" w:rsidRDefault="004932C1">
      <w:pPr>
        <w:rPr>
          <w:rFonts w:ascii="Times New Roman" w:eastAsia="Times New Roman" w:hAnsi="Times New Roman" w:cs="Times New Roman"/>
          <w:b/>
          <w:sz w:val="24"/>
          <w:szCs w:val="24"/>
        </w:rPr>
      </w:pPr>
      <w:r w:rsidRPr="00C1694A">
        <w:rPr>
          <w:rFonts w:ascii="Times New Roman" w:hAnsi="Times New Roman" w:cs="Times New Roman"/>
          <w:b/>
        </w:rPr>
        <w:br w:type="page"/>
      </w:r>
    </w:p>
    <w:p w:rsidR="00C22773" w:rsidRPr="00C1694A" w:rsidRDefault="00C22773" w:rsidP="00C22773">
      <w:pPr>
        <w:pStyle w:val="NormalWeb"/>
        <w:spacing w:before="0" w:beforeAutospacing="0" w:after="0" w:afterAutospacing="0" w:line="480" w:lineRule="auto"/>
        <w:rPr>
          <w:b/>
        </w:rPr>
      </w:pPr>
      <w:r w:rsidRPr="00C1694A">
        <w:rPr>
          <w:b/>
        </w:rPr>
        <w:t>List of Subjects</w:t>
      </w:r>
    </w:p>
    <w:p w:rsidR="00D5256D" w:rsidRPr="00C1694A" w:rsidRDefault="00D5256D" w:rsidP="00AC521C">
      <w:pPr>
        <w:shd w:val="clear" w:color="auto" w:fill="FFFFFF"/>
        <w:spacing w:after="0" w:line="480" w:lineRule="auto"/>
        <w:rPr>
          <w:rFonts w:ascii="Times New Roman" w:hAnsi="Times New Roman" w:cs="Times New Roman"/>
          <w:sz w:val="24"/>
        </w:rPr>
      </w:pPr>
      <w:r w:rsidRPr="00C1694A">
        <w:rPr>
          <w:rFonts w:ascii="Times New Roman" w:hAnsi="Times New Roman" w:cs="Times New Roman"/>
          <w:b/>
          <w:sz w:val="24"/>
        </w:rPr>
        <w:t xml:space="preserve">45 CFR Part 1301 </w:t>
      </w:r>
    </w:p>
    <w:p w:rsidR="00D5256D" w:rsidRPr="00C1694A" w:rsidRDefault="00D5256D" w:rsidP="00AC521C">
      <w:pPr>
        <w:shd w:val="clear" w:color="auto" w:fill="FFFFFF"/>
        <w:spacing w:after="0" w:line="480" w:lineRule="auto"/>
        <w:ind w:left="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Education of disadvantaged</w:t>
      </w:r>
      <w:r w:rsidR="007259C9">
        <w:rPr>
          <w:rFonts w:ascii="Times New Roman" w:eastAsia="Times New Roman" w:hAnsi="Times New Roman" w:cs="Times New Roman"/>
          <w:sz w:val="24"/>
          <w:szCs w:val="24"/>
        </w:rPr>
        <w:t>.</w:t>
      </w:r>
    </w:p>
    <w:p w:rsidR="00D5256D" w:rsidRPr="00C1694A" w:rsidRDefault="00D5256D" w:rsidP="00D5256D">
      <w:pPr>
        <w:shd w:val="clear" w:color="auto" w:fill="FFFFFF"/>
        <w:spacing w:after="0" w:line="240" w:lineRule="auto"/>
        <w:ind w:left="720"/>
        <w:rPr>
          <w:rFonts w:ascii="Times New Roman" w:eastAsia="Times New Roman" w:hAnsi="Times New Roman" w:cs="Times New Roman"/>
          <w:sz w:val="24"/>
          <w:szCs w:val="24"/>
        </w:rPr>
      </w:pPr>
    </w:p>
    <w:p w:rsidR="00D5256D" w:rsidRPr="00C1694A" w:rsidRDefault="00D5256D" w:rsidP="00AC521C">
      <w:pPr>
        <w:shd w:val="clear" w:color="auto" w:fill="FFFFFF"/>
        <w:spacing w:after="0" w:line="480" w:lineRule="auto"/>
        <w:rPr>
          <w:rFonts w:ascii="Times New Roman" w:eastAsia="Times New Roman" w:hAnsi="Times New Roman" w:cs="Times New Roman"/>
          <w:b/>
          <w:bCs/>
          <w:sz w:val="24"/>
          <w:szCs w:val="24"/>
        </w:rPr>
      </w:pPr>
      <w:r w:rsidRPr="00C1694A">
        <w:rPr>
          <w:rFonts w:ascii="Times New Roman" w:eastAsia="Times New Roman" w:hAnsi="Times New Roman" w:cs="Times New Roman"/>
          <w:b/>
          <w:bCs/>
          <w:sz w:val="24"/>
          <w:szCs w:val="24"/>
        </w:rPr>
        <w:t>45 CFR Part 1302</w:t>
      </w:r>
    </w:p>
    <w:p w:rsidR="00D5256D" w:rsidRPr="00C1694A" w:rsidRDefault="00D5256D" w:rsidP="00AC521C">
      <w:pPr>
        <w:shd w:val="clear" w:color="auto" w:fill="FFFFFF"/>
        <w:spacing w:after="0" w:line="480" w:lineRule="auto"/>
        <w:ind w:left="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Education of disadvantaged</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Grant programs-social programs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Homeless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Immunization</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Migrant labor</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Individuals with disabilities</w:t>
      </w:r>
      <w:r w:rsidR="007259C9">
        <w:rPr>
          <w:rFonts w:ascii="Times New Roman" w:eastAsia="Times New Roman" w:hAnsi="Times New Roman" w:cs="Times New Roman"/>
          <w:sz w:val="24"/>
          <w:szCs w:val="24"/>
        </w:rPr>
        <w:t>,</w:t>
      </w:r>
      <w:r w:rsidR="004713C2">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Reporting and recordkeeping requirements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Indians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Health care</w:t>
      </w:r>
      <w:r w:rsidR="007259C9">
        <w:rPr>
          <w:rFonts w:ascii="Times New Roman" w:eastAsia="Times New Roman" w:hAnsi="Times New Roman" w:cs="Times New Roman"/>
          <w:sz w:val="24"/>
          <w:szCs w:val="24"/>
        </w:rPr>
        <w:t xml:space="preserve">, </w:t>
      </w:r>
      <w:r w:rsidR="008B15CA" w:rsidRPr="00C1694A">
        <w:rPr>
          <w:rFonts w:ascii="Times New Roman" w:eastAsia="Times New Roman" w:hAnsi="Times New Roman" w:cs="Times New Roman"/>
          <w:sz w:val="24"/>
          <w:szCs w:val="24"/>
        </w:rPr>
        <w:t xml:space="preserve">Oral </w:t>
      </w:r>
      <w:r w:rsidRPr="00C1694A">
        <w:rPr>
          <w:rFonts w:ascii="Times New Roman" w:eastAsia="Times New Roman" w:hAnsi="Times New Roman" w:cs="Times New Roman"/>
          <w:sz w:val="24"/>
          <w:szCs w:val="24"/>
        </w:rPr>
        <w:t>health</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Mental health programs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Nutrition</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Safety</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Maternal and child health</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Volunteers</w:t>
      </w:r>
      <w:r w:rsidR="007259C9">
        <w:rPr>
          <w:rFonts w:ascii="Times New Roman" w:eastAsia="Times New Roman" w:hAnsi="Times New Roman" w:cs="Times New Roman"/>
          <w:sz w:val="24"/>
          <w:szCs w:val="24"/>
        </w:rPr>
        <w:t>.</w:t>
      </w:r>
    </w:p>
    <w:p w:rsidR="00D5256D" w:rsidRPr="00C1694A" w:rsidRDefault="00D5256D" w:rsidP="00D5256D">
      <w:pPr>
        <w:shd w:val="clear" w:color="auto" w:fill="FFFFFF"/>
        <w:spacing w:after="0" w:line="240" w:lineRule="auto"/>
        <w:ind w:firstLine="720"/>
        <w:rPr>
          <w:rFonts w:ascii="Times New Roman" w:eastAsia="Times New Roman" w:hAnsi="Times New Roman" w:cs="Times New Roman"/>
          <w:sz w:val="24"/>
          <w:szCs w:val="24"/>
        </w:rPr>
      </w:pPr>
    </w:p>
    <w:p w:rsidR="00D5256D" w:rsidRPr="00C1694A" w:rsidRDefault="00D5256D" w:rsidP="00AC521C">
      <w:pPr>
        <w:shd w:val="clear" w:color="auto" w:fill="FFFFFF"/>
        <w:spacing w:after="0" w:line="480" w:lineRule="auto"/>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 xml:space="preserve">45 CFR </w:t>
      </w:r>
      <w:r w:rsidR="007259C9">
        <w:rPr>
          <w:rFonts w:ascii="Times New Roman" w:eastAsia="Times New Roman" w:hAnsi="Times New Roman" w:cs="Times New Roman"/>
          <w:b/>
          <w:sz w:val="24"/>
          <w:szCs w:val="24"/>
        </w:rPr>
        <w:t xml:space="preserve">Part </w:t>
      </w:r>
      <w:r w:rsidRPr="00C1694A">
        <w:rPr>
          <w:rFonts w:ascii="Times New Roman" w:eastAsia="Times New Roman" w:hAnsi="Times New Roman" w:cs="Times New Roman"/>
          <w:b/>
          <w:sz w:val="24"/>
          <w:szCs w:val="24"/>
        </w:rPr>
        <w:t>1303</w:t>
      </w:r>
    </w:p>
    <w:p w:rsidR="00D5256D" w:rsidRPr="00C1694A" w:rsidRDefault="00D5256D" w:rsidP="00AC521C">
      <w:pPr>
        <w:shd w:val="clear" w:color="auto" w:fill="FFFFFF"/>
        <w:spacing w:after="0" w:line="480" w:lineRule="auto"/>
        <w:ind w:left="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Administrative practice and procedure</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Education of disadvantaged</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Grant programs-social programs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Reporting and recordkeeping requirements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Privacy</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Real property</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acquisition</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Individuals with disabilities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Transportation</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Motor vehicles</w:t>
      </w:r>
      <w:r w:rsidR="007259C9">
        <w:rPr>
          <w:rFonts w:ascii="Times New Roman" w:eastAsia="Times New Roman" w:hAnsi="Times New Roman" w:cs="Times New Roman"/>
          <w:sz w:val="24"/>
          <w:szCs w:val="24"/>
        </w:rPr>
        <w:t>.</w:t>
      </w:r>
    </w:p>
    <w:p w:rsidR="00D5256D" w:rsidRPr="00C1694A" w:rsidRDefault="00D5256D" w:rsidP="00D5256D">
      <w:pPr>
        <w:shd w:val="clear" w:color="auto" w:fill="FFFFFF"/>
        <w:spacing w:after="0" w:line="240" w:lineRule="auto"/>
        <w:rPr>
          <w:rFonts w:ascii="Times New Roman" w:eastAsia="Times New Roman" w:hAnsi="Times New Roman" w:cs="Times New Roman"/>
          <w:b/>
          <w:bCs/>
          <w:sz w:val="24"/>
          <w:szCs w:val="24"/>
        </w:rPr>
      </w:pPr>
    </w:p>
    <w:p w:rsidR="00D5256D" w:rsidRPr="00C1694A" w:rsidRDefault="00D5256D" w:rsidP="00AC521C">
      <w:pPr>
        <w:shd w:val="clear" w:color="auto" w:fill="FFFFFF"/>
        <w:spacing w:after="0" w:line="480" w:lineRule="auto"/>
        <w:rPr>
          <w:rFonts w:ascii="Times New Roman" w:eastAsia="Times New Roman" w:hAnsi="Times New Roman" w:cs="Times New Roman"/>
          <w:sz w:val="24"/>
          <w:szCs w:val="24"/>
        </w:rPr>
      </w:pPr>
      <w:r w:rsidRPr="00C1694A">
        <w:rPr>
          <w:rFonts w:ascii="Times New Roman" w:eastAsia="Times New Roman" w:hAnsi="Times New Roman" w:cs="Times New Roman"/>
          <w:b/>
          <w:bCs/>
          <w:sz w:val="24"/>
          <w:szCs w:val="24"/>
        </w:rPr>
        <w:t>45 CFR Part 1304</w:t>
      </w:r>
    </w:p>
    <w:p w:rsidR="00D5256D" w:rsidRPr="00C1694A" w:rsidRDefault="00D5256D" w:rsidP="00AC521C">
      <w:pPr>
        <w:shd w:val="clear" w:color="auto" w:fill="FFFFFF"/>
        <w:spacing w:after="0" w:line="480" w:lineRule="auto"/>
        <w:ind w:left="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Education of disadvantaged</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Grant programs-social programs</w:t>
      </w:r>
      <w:r w:rsidR="007259C9">
        <w:rPr>
          <w:rFonts w:ascii="Times New Roman" w:eastAsia="Times New Roman" w:hAnsi="Times New Roman" w:cs="Times New Roman"/>
          <w:sz w:val="24"/>
          <w:szCs w:val="24"/>
        </w:rPr>
        <w:t>,</w:t>
      </w:r>
      <w:r w:rsidR="007259C9">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bCs/>
          <w:sz w:val="24"/>
          <w:szCs w:val="24"/>
        </w:rPr>
        <w:t xml:space="preserve">Designation </w:t>
      </w:r>
      <w:r w:rsidR="007259C9">
        <w:rPr>
          <w:rFonts w:ascii="Times New Roman" w:eastAsia="Times New Roman" w:hAnsi="Times New Roman" w:cs="Times New Roman"/>
          <w:bCs/>
          <w:sz w:val="24"/>
          <w:szCs w:val="24"/>
        </w:rPr>
        <w:t>r</w:t>
      </w:r>
      <w:r w:rsidRPr="00C1694A">
        <w:rPr>
          <w:rFonts w:ascii="Times New Roman" w:eastAsia="Times New Roman" w:hAnsi="Times New Roman" w:cs="Times New Roman"/>
          <w:bCs/>
          <w:sz w:val="24"/>
          <w:szCs w:val="24"/>
        </w:rPr>
        <w:t xml:space="preserve">enewal </w:t>
      </w:r>
      <w:r w:rsidR="007259C9">
        <w:rPr>
          <w:rFonts w:ascii="Times New Roman" w:eastAsia="Times New Roman" w:hAnsi="Times New Roman" w:cs="Times New Roman"/>
          <w:bCs/>
          <w:sz w:val="24"/>
          <w:szCs w:val="24"/>
        </w:rPr>
        <w:t>s</w:t>
      </w:r>
      <w:r w:rsidRPr="00C1694A">
        <w:rPr>
          <w:rFonts w:ascii="Times New Roman" w:eastAsia="Times New Roman" w:hAnsi="Times New Roman" w:cs="Times New Roman"/>
          <w:bCs/>
          <w:sz w:val="24"/>
          <w:szCs w:val="24"/>
        </w:rPr>
        <w:t>ystem</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Scholarships and fellowships</w:t>
      </w:r>
      <w:r w:rsidR="007259C9">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Indians</w:t>
      </w:r>
      <w:r w:rsidR="007259C9">
        <w:rPr>
          <w:rFonts w:ascii="Times New Roman" w:eastAsia="Times New Roman" w:hAnsi="Times New Roman" w:cs="Times New Roman"/>
          <w:sz w:val="24"/>
          <w:szCs w:val="24"/>
        </w:rPr>
        <w:t>.</w:t>
      </w:r>
    </w:p>
    <w:p w:rsidR="00D5256D" w:rsidRPr="00C1694A" w:rsidRDefault="00D5256D" w:rsidP="00D5256D">
      <w:pPr>
        <w:shd w:val="clear" w:color="auto" w:fill="FFFFFF"/>
        <w:spacing w:after="0" w:line="240" w:lineRule="auto"/>
        <w:ind w:left="720"/>
        <w:rPr>
          <w:rFonts w:ascii="Times New Roman" w:eastAsia="Times New Roman" w:hAnsi="Times New Roman" w:cs="Times New Roman"/>
          <w:sz w:val="24"/>
          <w:szCs w:val="24"/>
        </w:rPr>
      </w:pPr>
    </w:p>
    <w:p w:rsidR="00D5256D" w:rsidRPr="00C1694A" w:rsidRDefault="00D5256D" w:rsidP="00AC521C">
      <w:pPr>
        <w:shd w:val="clear" w:color="auto" w:fill="FFFFFF"/>
        <w:spacing w:after="0" w:line="480" w:lineRule="auto"/>
        <w:rPr>
          <w:rFonts w:ascii="Times New Roman" w:eastAsia="Times New Roman" w:hAnsi="Times New Roman" w:cs="Times New Roman"/>
          <w:sz w:val="24"/>
          <w:szCs w:val="24"/>
        </w:rPr>
      </w:pPr>
      <w:r w:rsidRPr="00C1694A">
        <w:rPr>
          <w:rFonts w:ascii="Times New Roman" w:eastAsia="Times New Roman" w:hAnsi="Times New Roman" w:cs="Times New Roman"/>
          <w:b/>
          <w:bCs/>
          <w:sz w:val="24"/>
          <w:szCs w:val="24"/>
        </w:rPr>
        <w:t xml:space="preserve">45 CFR Part 1305 </w:t>
      </w:r>
    </w:p>
    <w:p w:rsidR="00D5256D" w:rsidRPr="00C1694A" w:rsidRDefault="00D5256D" w:rsidP="00AC521C">
      <w:pPr>
        <w:shd w:val="clear" w:color="auto" w:fill="FFFFFF"/>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
          <w:bCs/>
          <w:sz w:val="24"/>
          <w:szCs w:val="24"/>
        </w:rPr>
        <w:tab/>
      </w:r>
      <w:r w:rsidRPr="00C1694A">
        <w:rPr>
          <w:rFonts w:ascii="Times New Roman" w:eastAsia="Times New Roman" w:hAnsi="Times New Roman" w:cs="Times New Roman"/>
          <w:bCs/>
          <w:sz w:val="24"/>
          <w:szCs w:val="24"/>
        </w:rPr>
        <w:t>Definitions</w:t>
      </w:r>
      <w:r w:rsidR="007259C9">
        <w:rPr>
          <w:rFonts w:ascii="Times New Roman" w:eastAsia="Times New Roman" w:hAnsi="Times New Roman" w:cs="Times New Roman"/>
          <w:bCs/>
          <w:sz w:val="24"/>
          <w:szCs w:val="24"/>
        </w:rPr>
        <w:t>.</w:t>
      </w:r>
    </w:p>
    <w:p w:rsidR="00BB7F34" w:rsidRPr="00C1694A" w:rsidRDefault="00BB7F34" w:rsidP="00C22773">
      <w:pPr>
        <w:pStyle w:val="NormalWeb"/>
        <w:spacing w:before="0" w:beforeAutospacing="0" w:after="0" w:afterAutospacing="0" w:line="480" w:lineRule="auto"/>
        <w:rPr>
          <w:b/>
        </w:rPr>
      </w:pPr>
    </w:p>
    <w:p w:rsidR="00C22773" w:rsidRPr="00C1694A" w:rsidRDefault="00C22773" w:rsidP="00C22773">
      <w:pPr>
        <w:pStyle w:val="ListParagraph"/>
        <w:spacing w:after="0" w:line="48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_______________________________</w:t>
      </w:r>
    </w:p>
    <w:p w:rsidR="00C22773" w:rsidRPr="00C1694A" w:rsidRDefault="00C22773" w:rsidP="00C22773">
      <w:pPr>
        <w:pStyle w:val="ListParagraph"/>
        <w:spacing w:after="0" w:line="24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 xml:space="preserve">Mark H. Greenberg, </w:t>
      </w:r>
    </w:p>
    <w:p w:rsidR="00C22773" w:rsidRPr="00C1694A" w:rsidRDefault="00C22773" w:rsidP="00C22773">
      <w:pPr>
        <w:pStyle w:val="ListParagraph"/>
        <w:spacing w:after="0" w:line="24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 xml:space="preserve">Acting Assistant Secretary </w:t>
      </w:r>
    </w:p>
    <w:p w:rsidR="00C22773" w:rsidRPr="00C1694A" w:rsidRDefault="00C22773" w:rsidP="00C22773">
      <w:pPr>
        <w:pStyle w:val="ListParagraph"/>
        <w:spacing w:after="0" w:line="24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 xml:space="preserve">    </w:t>
      </w:r>
      <w:r w:rsidRPr="00C1694A">
        <w:rPr>
          <w:rFonts w:ascii="Times New Roman" w:eastAsia="Times New Roman" w:hAnsi="Times New Roman" w:cs="Times New Roman"/>
          <w:sz w:val="24"/>
          <w:szCs w:val="24"/>
        </w:rPr>
        <w:tab/>
        <w:t xml:space="preserve">     for Children and Families</w:t>
      </w:r>
      <w:r w:rsidR="008F24F9" w:rsidRPr="00C1694A">
        <w:rPr>
          <w:rFonts w:ascii="Times New Roman" w:eastAsia="Times New Roman" w:hAnsi="Times New Roman" w:cs="Times New Roman"/>
          <w:sz w:val="24"/>
          <w:szCs w:val="24"/>
        </w:rPr>
        <w:t>.</w:t>
      </w:r>
    </w:p>
    <w:p w:rsidR="00C22773" w:rsidRPr="00C1694A" w:rsidRDefault="00C22773" w:rsidP="00C22773">
      <w:pPr>
        <w:pStyle w:val="ListParagraph"/>
        <w:spacing w:after="0" w:line="480" w:lineRule="auto"/>
        <w:ind w:left="0"/>
        <w:rPr>
          <w:rFonts w:ascii="Times New Roman" w:eastAsia="Times New Roman" w:hAnsi="Times New Roman" w:cs="Times New Roman"/>
          <w:sz w:val="24"/>
          <w:szCs w:val="24"/>
        </w:rPr>
      </w:pPr>
    </w:p>
    <w:p w:rsidR="00C22773" w:rsidRPr="00C1694A" w:rsidRDefault="00C22773" w:rsidP="00C22773">
      <w:pPr>
        <w:pStyle w:val="ListParagraph"/>
        <w:spacing w:after="0" w:line="48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Approved:</w:t>
      </w:r>
      <w:r w:rsidR="00552B24">
        <w:rPr>
          <w:rFonts w:ascii="Times New Roman" w:eastAsia="Times New Roman" w:hAnsi="Times New Roman" w:cs="Times New Roman"/>
          <w:sz w:val="24"/>
          <w:szCs w:val="24"/>
        </w:rPr>
        <w:t xml:space="preserve"> </w:t>
      </w:r>
      <w:r w:rsidR="00A41935">
        <w:rPr>
          <w:rFonts w:ascii="Times New Roman" w:eastAsia="Times New Roman" w:hAnsi="Times New Roman" w:cs="Times New Roman"/>
          <w:sz w:val="24"/>
          <w:szCs w:val="24"/>
        </w:rPr>
        <w:t>June 10, 2016</w:t>
      </w:r>
      <w:r w:rsidR="005F3C0D">
        <w:rPr>
          <w:rFonts w:ascii="Times New Roman" w:eastAsia="Times New Roman" w:hAnsi="Times New Roman" w:cs="Times New Roman"/>
          <w:sz w:val="24"/>
          <w:szCs w:val="24"/>
        </w:rPr>
        <w:t>.</w:t>
      </w:r>
    </w:p>
    <w:p w:rsidR="00C22773" w:rsidRPr="00C1694A" w:rsidRDefault="00C22773" w:rsidP="00C22773">
      <w:pPr>
        <w:pStyle w:val="ListParagraph"/>
        <w:spacing w:after="0" w:line="48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_______________________________</w:t>
      </w:r>
    </w:p>
    <w:p w:rsidR="00C22773" w:rsidRPr="00C1694A" w:rsidRDefault="00C22773" w:rsidP="00C22773">
      <w:pPr>
        <w:pStyle w:val="ListParagraph"/>
        <w:spacing w:after="0" w:line="24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 xml:space="preserve">Sylvia M. Burwell, </w:t>
      </w:r>
    </w:p>
    <w:p w:rsidR="00C22773" w:rsidRPr="00C1694A" w:rsidRDefault="00C22773" w:rsidP="00C22773">
      <w:pPr>
        <w:pStyle w:val="ListParagraph"/>
        <w:spacing w:after="0" w:line="24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Secretary</w:t>
      </w:r>
      <w:r w:rsidR="008F24F9" w:rsidRPr="00C1694A">
        <w:rPr>
          <w:rFonts w:ascii="Times New Roman" w:eastAsia="Times New Roman" w:hAnsi="Times New Roman" w:cs="Times New Roman"/>
          <w:sz w:val="24"/>
          <w:szCs w:val="24"/>
        </w:rPr>
        <w:t>.</w:t>
      </w:r>
    </w:p>
    <w:p w:rsidR="00C22773" w:rsidRPr="00C1694A" w:rsidRDefault="00C22773" w:rsidP="00C22773">
      <w:pPr>
        <w:pStyle w:val="ListParagraph"/>
        <w:spacing w:after="0" w:line="240" w:lineRule="auto"/>
        <w:ind w:left="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 xml:space="preserve">    </w:t>
      </w:r>
      <w:r w:rsidRPr="00C1694A">
        <w:rPr>
          <w:rFonts w:ascii="Times New Roman" w:eastAsia="Times New Roman" w:hAnsi="Times New Roman" w:cs="Times New Roman"/>
          <w:sz w:val="24"/>
          <w:szCs w:val="24"/>
        </w:rPr>
        <w:tab/>
      </w:r>
    </w:p>
    <w:p w:rsidR="00C22773" w:rsidRPr="00C1694A" w:rsidRDefault="00C22773" w:rsidP="00C22773">
      <w:pPr>
        <w:pStyle w:val="ListParagraph"/>
        <w:spacing w:after="0" w:line="480" w:lineRule="auto"/>
        <w:ind w:left="0"/>
        <w:rPr>
          <w:rFonts w:ascii="Times New Roman" w:eastAsia="Times New Roman" w:hAnsi="Times New Roman" w:cs="Times New Roman"/>
          <w:sz w:val="24"/>
          <w:szCs w:val="24"/>
        </w:rPr>
      </w:pPr>
    </w:p>
    <w:p w:rsidR="00D5256D" w:rsidRPr="00C1694A" w:rsidRDefault="00D5256D">
      <w:pPr>
        <w:rPr>
          <w:rFonts w:ascii="Times New Roman" w:hAnsi="Times New Roman" w:cs="Times New Roman"/>
          <w:b/>
          <w:sz w:val="24"/>
          <w:szCs w:val="24"/>
        </w:rPr>
      </w:pPr>
    </w:p>
    <w:p w:rsidR="0069053E" w:rsidRPr="00C1694A" w:rsidRDefault="0069053E">
      <w:pPr>
        <w:rPr>
          <w:rFonts w:ascii="Times New Roman" w:hAnsi="Times New Roman" w:cs="Times New Roman"/>
          <w:sz w:val="24"/>
          <w:szCs w:val="24"/>
        </w:rPr>
      </w:pPr>
      <w:r w:rsidRPr="00C1694A">
        <w:rPr>
          <w:rFonts w:ascii="Times New Roman" w:hAnsi="Times New Roman" w:cs="Times New Roman"/>
          <w:sz w:val="24"/>
          <w:szCs w:val="24"/>
        </w:rPr>
        <w:br w:type="page"/>
      </w:r>
    </w:p>
    <w:p w:rsidR="008F24F9" w:rsidRPr="00C1694A" w:rsidRDefault="008F24F9" w:rsidP="00BD7965">
      <w:pPr>
        <w:pStyle w:val="ListParagraph"/>
        <w:autoSpaceDE w:val="0"/>
        <w:autoSpaceDN w:val="0"/>
        <w:adjustRightInd w:val="0"/>
        <w:spacing w:after="0" w:line="240" w:lineRule="auto"/>
        <w:ind w:left="0"/>
        <w:rPr>
          <w:rFonts w:ascii="Times New Roman" w:hAnsi="Times New Roman" w:cs="Times New Roman"/>
          <w:sz w:val="24"/>
          <w:szCs w:val="24"/>
        </w:rPr>
      </w:pPr>
      <w:r w:rsidRPr="00C1694A">
        <w:rPr>
          <w:rFonts w:ascii="Times New Roman" w:hAnsi="Times New Roman" w:cs="Times New Roman"/>
          <w:sz w:val="24"/>
          <w:szCs w:val="24"/>
        </w:rPr>
        <w:t xml:space="preserve">For the reasons set forth in the preamble, under the authority at 42 U.S.C. 9801 </w:t>
      </w:r>
      <w:r w:rsidRPr="00AC521C">
        <w:rPr>
          <w:rFonts w:ascii="Times New Roman" w:hAnsi="Times New Roman" w:cs="Times New Roman"/>
          <w:i/>
          <w:sz w:val="24"/>
          <w:szCs w:val="24"/>
        </w:rPr>
        <w:t>et seq</w:t>
      </w:r>
      <w:r w:rsidRPr="00C1694A">
        <w:rPr>
          <w:rFonts w:ascii="Times New Roman" w:hAnsi="Times New Roman" w:cs="Times New Roman"/>
          <w:sz w:val="24"/>
          <w:szCs w:val="24"/>
        </w:rPr>
        <w:t xml:space="preserve">., subchapter B of 45 CFR </w:t>
      </w:r>
      <w:r w:rsidR="004713C2">
        <w:rPr>
          <w:rFonts w:ascii="Times New Roman" w:hAnsi="Times New Roman" w:cs="Times New Roman"/>
          <w:sz w:val="24"/>
          <w:szCs w:val="24"/>
        </w:rPr>
        <w:t>c</w:t>
      </w:r>
      <w:r w:rsidRPr="00C1694A">
        <w:rPr>
          <w:rFonts w:ascii="Times New Roman" w:hAnsi="Times New Roman" w:cs="Times New Roman"/>
          <w:sz w:val="24"/>
          <w:szCs w:val="24"/>
        </w:rPr>
        <w:t xml:space="preserve">hapter XIII is </w:t>
      </w:r>
      <w:r w:rsidR="004713C2">
        <w:rPr>
          <w:rFonts w:ascii="Times New Roman" w:hAnsi="Times New Roman" w:cs="Times New Roman"/>
          <w:sz w:val="24"/>
          <w:szCs w:val="24"/>
        </w:rPr>
        <w:t>revised</w:t>
      </w:r>
      <w:r w:rsidR="004713C2" w:rsidRPr="00C1694A">
        <w:rPr>
          <w:rFonts w:ascii="Times New Roman" w:hAnsi="Times New Roman" w:cs="Times New Roman"/>
          <w:sz w:val="24"/>
          <w:szCs w:val="24"/>
        </w:rPr>
        <w:t xml:space="preserve"> </w:t>
      </w:r>
      <w:r w:rsidR="008B15CA" w:rsidRPr="00C1694A">
        <w:rPr>
          <w:rFonts w:ascii="Times New Roman" w:hAnsi="Times New Roman" w:cs="Times New Roman"/>
          <w:sz w:val="24"/>
          <w:szCs w:val="24"/>
        </w:rPr>
        <w:t xml:space="preserve">to read </w:t>
      </w:r>
      <w:r w:rsidRPr="00C1694A">
        <w:rPr>
          <w:rFonts w:ascii="Times New Roman" w:hAnsi="Times New Roman" w:cs="Times New Roman"/>
          <w:sz w:val="24"/>
          <w:szCs w:val="24"/>
        </w:rPr>
        <w:t>as follows:</w:t>
      </w:r>
    </w:p>
    <w:p w:rsidR="008F24F9" w:rsidRPr="00C1694A" w:rsidRDefault="008F24F9" w:rsidP="00BD7965">
      <w:pPr>
        <w:pStyle w:val="ListParagraph"/>
        <w:autoSpaceDE w:val="0"/>
        <w:autoSpaceDN w:val="0"/>
        <w:adjustRightInd w:val="0"/>
        <w:spacing w:after="0" w:line="240" w:lineRule="auto"/>
        <w:ind w:left="0"/>
        <w:rPr>
          <w:rFonts w:ascii="Times New Roman" w:hAnsi="Times New Roman" w:cs="Times New Roman"/>
          <w:sz w:val="24"/>
          <w:szCs w:val="24"/>
        </w:rPr>
      </w:pPr>
    </w:p>
    <w:p w:rsidR="008B15CA" w:rsidRPr="00C1694A" w:rsidRDefault="008B15CA" w:rsidP="00C03FE8">
      <w:pPr>
        <w:spacing w:after="0" w:line="240" w:lineRule="auto"/>
        <w:ind w:left="1980" w:hanging="1980"/>
        <w:rPr>
          <w:rFonts w:ascii="Times New Roman" w:eastAsia="Calibri" w:hAnsi="Times New Roman" w:cs="Times New Roman"/>
          <w:b/>
          <w:sz w:val="24"/>
          <w:szCs w:val="24"/>
        </w:rPr>
      </w:pPr>
      <w:r w:rsidRPr="00C1694A">
        <w:rPr>
          <w:rFonts w:ascii="Times New Roman" w:eastAsia="Calibri" w:hAnsi="Times New Roman" w:cs="Times New Roman"/>
          <w:b/>
          <w:sz w:val="24"/>
          <w:szCs w:val="24"/>
        </w:rPr>
        <w:t>SUBCHAPTER B</w:t>
      </w:r>
      <w:r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 xml:space="preserve"> THE ADMINISTRATION FOR CHILDREN AND FAMILIES, HEAD START PROGRAM</w:t>
      </w:r>
    </w:p>
    <w:p w:rsidR="008B15CA" w:rsidRPr="00C1694A" w:rsidRDefault="008B15CA" w:rsidP="00C03FE8">
      <w:pPr>
        <w:spacing w:after="0" w:line="240" w:lineRule="auto"/>
        <w:ind w:left="1980" w:hanging="1980"/>
        <w:rPr>
          <w:rFonts w:ascii="Times New Roman" w:hAnsi="Times New Roman" w:cs="Times New Roman"/>
          <w:b/>
          <w:sz w:val="24"/>
          <w:szCs w:val="24"/>
        </w:rPr>
      </w:pPr>
    </w:p>
    <w:p w:rsidR="005F3C0D" w:rsidRDefault="005F3C0D" w:rsidP="00C03F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PART 1300—[Reserved]</w:t>
      </w:r>
    </w:p>
    <w:p w:rsidR="008B15CA" w:rsidRPr="00C1694A" w:rsidRDefault="008B15CA" w:rsidP="00C03FE8">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b/>
          <w:sz w:val="24"/>
          <w:szCs w:val="24"/>
        </w:rPr>
        <w:t>PART 1301</w:t>
      </w:r>
      <w:r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 xml:space="preserve"> PROGRAM GOVERNANCE</w:t>
      </w:r>
    </w:p>
    <w:p w:rsidR="008B15CA" w:rsidRPr="00C1694A" w:rsidRDefault="008B15CA" w:rsidP="00C03FE8">
      <w:pPr>
        <w:spacing w:after="0" w:line="240" w:lineRule="auto"/>
        <w:ind w:left="1980" w:hanging="1980"/>
        <w:rPr>
          <w:rFonts w:ascii="Times New Roman" w:eastAsia="Calibri" w:hAnsi="Times New Roman" w:cs="Times New Roman"/>
          <w:b/>
          <w:sz w:val="24"/>
          <w:szCs w:val="24"/>
        </w:rPr>
      </w:pPr>
      <w:r w:rsidRPr="00C1694A">
        <w:rPr>
          <w:rFonts w:ascii="Times New Roman" w:eastAsia="Calibri" w:hAnsi="Times New Roman" w:cs="Times New Roman"/>
          <w:b/>
          <w:sz w:val="24"/>
          <w:szCs w:val="24"/>
        </w:rPr>
        <w:t>PART 1302</w:t>
      </w:r>
      <w:r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 xml:space="preserve"> PROGRAM OPERATIONS</w:t>
      </w:r>
    </w:p>
    <w:p w:rsidR="008B15CA" w:rsidRPr="00C1694A" w:rsidRDefault="008B15CA" w:rsidP="00C03FE8">
      <w:pPr>
        <w:spacing w:after="0" w:line="240" w:lineRule="auto"/>
        <w:rPr>
          <w:rFonts w:ascii="Times New Roman" w:eastAsia="Times New Roman" w:hAnsi="Times New Roman" w:cs="Times New Roman"/>
          <w:sz w:val="24"/>
          <w:szCs w:val="24"/>
        </w:rPr>
      </w:pPr>
      <w:r w:rsidRPr="00C1694A">
        <w:rPr>
          <w:rFonts w:ascii="Times New Roman" w:eastAsia="Times New Roman" w:hAnsi="Times New Roman" w:cs="Times New Roman"/>
          <w:b/>
          <w:caps/>
          <w:sz w:val="24"/>
          <w:szCs w:val="24"/>
        </w:rPr>
        <w:t>PART 1303</w:t>
      </w:r>
      <w:r w:rsidRPr="00C1694A">
        <w:rPr>
          <w:rFonts w:ascii="Times New Roman" w:eastAsia="Calibri" w:hAnsi="Times New Roman" w:cs="Times New Roman"/>
          <w:sz w:val="24"/>
          <w:szCs w:val="24"/>
        </w:rPr>
        <w:t>—</w:t>
      </w:r>
      <w:r w:rsidRPr="00C1694A">
        <w:rPr>
          <w:rFonts w:ascii="Times New Roman" w:eastAsia="Times New Roman" w:hAnsi="Times New Roman" w:cs="Times New Roman"/>
          <w:b/>
          <w:caps/>
          <w:sz w:val="24"/>
          <w:szCs w:val="24"/>
        </w:rPr>
        <w:t xml:space="preserve"> Financial and Administrative Requirements</w:t>
      </w:r>
    </w:p>
    <w:p w:rsidR="008B15CA" w:rsidRPr="00C1694A" w:rsidRDefault="008B15CA" w:rsidP="00C03FE8">
      <w:pPr>
        <w:spacing w:after="0" w:line="240" w:lineRule="auto"/>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PART 1304</w:t>
      </w:r>
      <w:r w:rsidRPr="00C1694A">
        <w:rPr>
          <w:rFonts w:ascii="Times New Roman" w:eastAsia="Calibri" w:hAnsi="Times New Roman" w:cs="Times New Roman"/>
          <w:sz w:val="24"/>
          <w:szCs w:val="24"/>
        </w:rPr>
        <w:t>—</w:t>
      </w:r>
      <w:r w:rsidRPr="00C1694A">
        <w:rPr>
          <w:rFonts w:ascii="Times New Roman" w:eastAsia="Times New Roman" w:hAnsi="Times New Roman" w:cs="Times New Roman"/>
          <w:b/>
          <w:sz w:val="24"/>
          <w:szCs w:val="24"/>
        </w:rPr>
        <w:t xml:space="preserve"> FEDERAL ADMINISTRATIVE PROCEDURES</w:t>
      </w:r>
    </w:p>
    <w:p w:rsidR="008B15CA" w:rsidRPr="00C1694A" w:rsidRDefault="008B15CA" w:rsidP="00C03FE8">
      <w:pPr>
        <w:spacing w:after="0" w:line="240" w:lineRule="auto"/>
        <w:contextualSpacing/>
        <w:rPr>
          <w:rFonts w:ascii="Times New Roman" w:eastAsia="Calibri" w:hAnsi="Times New Roman" w:cs="Times New Roman"/>
          <w:b/>
          <w:sz w:val="24"/>
          <w:szCs w:val="24"/>
        </w:rPr>
      </w:pPr>
      <w:r w:rsidRPr="00C1694A">
        <w:rPr>
          <w:rFonts w:ascii="Times New Roman" w:eastAsia="Calibri" w:hAnsi="Times New Roman" w:cs="Times New Roman"/>
          <w:b/>
          <w:sz w:val="24"/>
          <w:szCs w:val="24"/>
        </w:rPr>
        <w:t>PART 1305</w:t>
      </w:r>
      <w:r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 xml:space="preserve"> DEFINITIONS</w:t>
      </w:r>
    </w:p>
    <w:p w:rsidR="008B15CA" w:rsidRPr="00C1694A" w:rsidRDefault="008B15CA" w:rsidP="00C03FE8">
      <w:pPr>
        <w:spacing w:after="0" w:line="240" w:lineRule="auto"/>
        <w:rPr>
          <w:rFonts w:ascii="Times New Roman" w:eastAsia="Times New Roman" w:hAnsi="Times New Roman" w:cs="Times New Roman"/>
          <w:sz w:val="24"/>
          <w:szCs w:val="24"/>
        </w:rPr>
      </w:pPr>
    </w:p>
    <w:p w:rsidR="005F3C0D" w:rsidRDefault="005F3C0D" w:rsidP="00C03F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PART 1300—[Reserved]</w:t>
      </w:r>
    </w:p>
    <w:p w:rsidR="005F3C0D" w:rsidRDefault="005F3C0D" w:rsidP="00C03FE8">
      <w:pPr>
        <w:spacing w:after="0" w:line="240" w:lineRule="auto"/>
        <w:rPr>
          <w:rFonts w:ascii="Times New Roman" w:eastAsia="Calibri" w:hAnsi="Times New Roman" w:cs="Times New Roman"/>
          <w:b/>
          <w:sz w:val="24"/>
          <w:szCs w:val="24"/>
        </w:rPr>
      </w:pPr>
    </w:p>
    <w:p w:rsidR="008B15CA" w:rsidRPr="00C1694A" w:rsidRDefault="008B15CA" w:rsidP="00C03FE8">
      <w:pPr>
        <w:spacing w:after="0" w:line="240" w:lineRule="auto"/>
        <w:rPr>
          <w:rFonts w:ascii="Times New Roman" w:eastAsia="Calibri" w:hAnsi="Times New Roman" w:cs="Times New Roman"/>
          <w:sz w:val="24"/>
          <w:szCs w:val="24"/>
        </w:rPr>
      </w:pPr>
      <w:r w:rsidRPr="00C1694A">
        <w:rPr>
          <w:rFonts w:ascii="Times New Roman" w:eastAsia="Calibri" w:hAnsi="Times New Roman" w:cs="Times New Roman"/>
          <w:b/>
          <w:sz w:val="24"/>
          <w:szCs w:val="24"/>
        </w:rPr>
        <w:t>PART 1301</w:t>
      </w:r>
      <w:r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 xml:space="preserve"> PROGRAM GOVERNANCE</w:t>
      </w:r>
    </w:p>
    <w:p w:rsidR="008B15CA" w:rsidRPr="00C1694A" w:rsidRDefault="008B15CA">
      <w:pPr>
        <w:rPr>
          <w:rFonts w:ascii="Times New Roman" w:hAnsi="Times New Roman" w:cs="Times New Roman"/>
        </w:rPr>
      </w:pPr>
    </w:p>
    <w:p w:rsidR="00C03FE8" w:rsidRPr="00C1694A" w:rsidRDefault="00C03FE8" w:rsidP="00C03FE8">
      <w:pPr>
        <w:autoSpaceDE w:val="0"/>
        <w:autoSpaceDN w:val="0"/>
        <w:adjustRightInd w:val="0"/>
        <w:spacing w:after="0" w:line="240" w:lineRule="auto"/>
        <w:rPr>
          <w:rFonts w:ascii="Times New Roman" w:hAnsi="Times New Roman" w:cs="Times New Roman"/>
          <w:bCs/>
          <w:sz w:val="24"/>
          <w:szCs w:val="24"/>
        </w:rPr>
      </w:pPr>
      <w:r w:rsidRPr="00C1694A">
        <w:rPr>
          <w:rFonts w:ascii="Times New Roman" w:hAnsi="Times New Roman" w:cs="Times New Roman"/>
          <w:bCs/>
          <w:sz w:val="24"/>
          <w:szCs w:val="24"/>
        </w:rPr>
        <w:t xml:space="preserve">Sec. </w:t>
      </w:r>
    </w:p>
    <w:p w:rsidR="00C03FE8" w:rsidRPr="00C1694A" w:rsidRDefault="00C03FE8" w:rsidP="00C03FE8">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1301.1 </w:t>
      </w:r>
      <w:r w:rsidR="00FF76B5">
        <w:rPr>
          <w:rFonts w:ascii="Times New Roman" w:hAnsi="Times New Roman" w:cs="Times New Roman"/>
          <w:sz w:val="24"/>
          <w:szCs w:val="24"/>
        </w:rPr>
        <w:t>Purpose</w:t>
      </w:r>
      <w:r w:rsidRPr="00C1694A">
        <w:rPr>
          <w:rFonts w:ascii="Times New Roman" w:hAnsi="Times New Roman" w:cs="Times New Roman"/>
          <w:sz w:val="24"/>
          <w:szCs w:val="24"/>
        </w:rPr>
        <w:t xml:space="preserve">.  </w:t>
      </w:r>
    </w:p>
    <w:p w:rsidR="00C03FE8" w:rsidRPr="00C1694A" w:rsidRDefault="00C03FE8" w:rsidP="00C03FE8">
      <w:pPr>
        <w:spacing w:after="0" w:line="240" w:lineRule="auto"/>
        <w:rPr>
          <w:rFonts w:ascii="Times New Roman" w:hAnsi="Times New Roman" w:cs="Times New Roman"/>
          <w:sz w:val="24"/>
          <w:szCs w:val="24"/>
          <w:highlight w:val="yellow"/>
        </w:rPr>
      </w:pPr>
      <w:r w:rsidRPr="00C1694A">
        <w:rPr>
          <w:rFonts w:ascii="Times New Roman" w:hAnsi="Times New Roman" w:cs="Times New Roman"/>
          <w:sz w:val="24"/>
          <w:szCs w:val="24"/>
        </w:rPr>
        <w:t>1301.2 Governing body</w:t>
      </w:r>
      <w:r w:rsidRPr="00C1694A">
        <w:rPr>
          <w:rFonts w:ascii="Times New Roman" w:hAnsi="Times New Roman" w:cs="Times New Roman"/>
          <w:i/>
          <w:sz w:val="24"/>
          <w:szCs w:val="24"/>
        </w:rPr>
        <w:t xml:space="preserve">.  </w:t>
      </w:r>
    </w:p>
    <w:p w:rsidR="00C03FE8" w:rsidRPr="00C1694A" w:rsidRDefault="00C03FE8" w:rsidP="00C03FE8">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 xml:space="preserve">1301.3 Policy council and policy committee. </w:t>
      </w:r>
    </w:p>
    <w:p w:rsidR="00C03FE8" w:rsidRPr="00C1694A" w:rsidRDefault="00C03FE8" w:rsidP="00C03FE8">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1301.4 Parent committees.</w:t>
      </w:r>
    </w:p>
    <w:p w:rsidR="00C03FE8" w:rsidRPr="00C1694A" w:rsidRDefault="00C03FE8" w:rsidP="00C03FE8">
      <w:pPr>
        <w:spacing w:after="0" w:line="240" w:lineRule="auto"/>
        <w:rPr>
          <w:rFonts w:ascii="Times New Roman" w:hAnsi="Times New Roman" w:cs="Times New Roman"/>
          <w:sz w:val="24"/>
          <w:szCs w:val="24"/>
        </w:rPr>
      </w:pPr>
      <w:r w:rsidRPr="00C1694A">
        <w:rPr>
          <w:rFonts w:ascii="Times New Roman" w:eastAsia="Calibri" w:hAnsi="Times New Roman" w:cs="Times New Roman"/>
          <w:sz w:val="24"/>
          <w:szCs w:val="24"/>
        </w:rPr>
        <w:t xml:space="preserve">1301.5 Training.  </w:t>
      </w:r>
    </w:p>
    <w:p w:rsidR="00C03FE8" w:rsidRPr="00C1694A" w:rsidRDefault="00C03FE8" w:rsidP="00C03FE8">
      <w:pPr>
        <w:spacing w:after="0" w:line="240" w:lineRule="auto"/>
        <w:rPr>
          <w:rFonts w:ascii="Times New Roman" w:hAnsi="Times New Roman" w:cs="Times New Roman"/>
          <w:sz w:val="24"/>
          <w:szCs w:val="24"/>
        </w:rPr>
      </w:pPr>
      <w:r w:rsidRPr="00C1694A">
        <w:rPr>
          <w:rFonts w:ascii="Times New Roman" w:hAnsi="Times New Roman" w:cs="Times New Roman"/>
          <w:sz w:val="24"/>
          <w:szCs w:val="24"/>
        </w:rPr>
        <w:t>1301.6 Impasse procedures.</w:t>
      </w:r>
    </w:p>
    <w:p w:rsidR="00C03FE8" w:rsidRPr="00C1694A" w:rsidRDefault="00C03FE8" w:rsidP="00C03FE8">
      <w:pPr>
        <w:spacing w:after="0" w:line="240" w:lineRule="auto"/>
        <w:rPr>
          <w:rFonts w:ascii="Times New Roman" w:eastAsia="Calibri" w:hAnsi="Times New Roman" w:cs="Times New Roman"/>
          <w:b/>
          <w:sz w:val="24"/>
          <w:szCs w:val="24"/>
        </w:rPr>
      </w:pPr>
    </w:p>
    <w:p w:rsidR="00C03FE8" w:rsidRPr="00C1694A" w:rsidRDefault="00C03FE8" w:rsidP="00C03FE8">
      <w:pPr>
        <w:spacing w:after="0" w:line="240" w:lineRule="auto"/>
        <w:rPr>
          <w:rFonts w:ascii="Times New Roman" w:eastAsia="Calibri" w:hAnsi="Times New Roman" w:cs="Times New Roman"/>
          <w:sz w:val="24"/>
          <w:szCs w:val="24"/>
        </w:rPr>
      </w:pPr>
      <w:r w:rsidRPr="00C1694A">
        <w:rPr>
          <w:rFonts w:ascii="Times New Roman" w:hAnsi="Times New Roman" w:cs="Times New Roman"/>
          <w:smallCaps/>
          <w:sz w:val="24"/>
          <w:szCs w:val="24"/>
        </w:rPr>
        <w:t>Authority:</w:t>
      </w:r>
      <w:r w:rsidRPr="00C1694A">
        <w:rPr>
          <w:rFonts w:ascii="Times New Roman" w:hAnsi="Times New Roman" w:cs="Times New Roman"/>
          <w:sz w:val="24"/>
          <w:szCs w:val="24"/>
        </w:rPr>
        <w:t xml:space="preserve"> 42 U.S.C. 9801 </w:t>
      </w:r>
      <w:r w:rsidRPr="00C1694A">
        <w:rPr>
          <w:rFonts w:ascii="Times New Roman" w:hAnsi="Times New Roman" w:cs="Times New Roman"/>
          <w:i/>
          <w:iCs/>
          <w:sz w:val="24"/>
          <w:szCs w:val="24"/>
        </w:rPr>
        <w:t>et seq.</w:t>
      </w:r>
    </w:p>
    <w:p w:rsidR="00BD7965" w:rsidRPr="00C1694A" w:rsidRDefault="00BD7965" w:rsidP="00C03FE8">
      <w:pPr>
        <w:spacing w:after="0" w:line="240" w:lineRule="auto"/>
        <w:rPr>
          <w:rFonts w:ascii="Times New Roman" w:eastAsia="Calibri" w:hAnsi="Times New Roman" w:cs="Times New Roman"/>
          <w:sz w:val="24"/>
          <w:szCs w:val="24"/>
        </w:rPr>
      </w:pPr>
    </w:p>
    <w:p w:rsidR="00DA2A2F" w:rsidRPr="00C1694A" w:rsidRDefault="004713C2" w:rsidP="00C03FE8">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A2A2F" w:rsidRPr="00C1694A">
        <w:rPr>
          <w:rFonts w:ascii="Times New Roman" w:hAnsi="Times New Roman" w:cs="Times New Roman"/>
          <w:b/>
          <w:sz w:val="24"/>
          <w:szCs w:val="24"/>
        </w:rPr>
        <w:t xml:space="preserve">1301.1 In general.  </w:t>
      </w:r>
    </w:p>
    <w:p w:rsidR="00DA2A2F" w:rsidRPr="00C1694A" w:rsidRDefault="00DA2A2F" w:rsidP="00C03FE8">
      <w:pPr>
        <w:spacing w:after="0" w:line="240" w:lineRule="auto"/>
        <w:ind w:firstLine="720"/>
        <w:rPr>
          <w:rFonts w:ascii="Times New Roman" w:eastAsia="Calibri" w:hAnsi="Times New Roman" w:cs="Times New Roman"/>
          <w:sz w:val="24"/>
          <w:szCs w:val="24"/>
        </w:rPr>
      </w:pPr>
    </w:p>
    <w:p w:rsidR="00DA2A2F" w:rsidRPr="00C1694A" w:rsidRDefault="00DA2A2F"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An agency</w:t>
      </w:r>
      <w:r w:rsidR="00FF76B5">
        <w:rPr>
          <w:rFonts w:ascii="Times New Roman" w:eastAsia="Calibri" w:hAnsi="Times New Roman" w:cs="Times New Roman"/>
          <w:sz w:val="24"/>
          <w:szCs w:val="24"/>
        </w:rPr>
        <w:t>,</w:t>
      </w:r>
      <w:r w:rsidR="00FF76B5" w:rsidRPr="00C1694A">
        <w:rPr>
          <w:rFonts w:ascii="Times New Roman" w:eastAsia="Calibri" w:hAnsi="Times New Roman" w:cs="Times New Roman"/>
          <w:sz w:val="24"/>
          <w:szCs w:val="24"/>
        </w:rPr>
        <w:t xml:space="preserve"> </w:t>
      </w:r>
      <w:r w:rsidR="00FF76B5">
        <w:rPr>
          <w:rFonts w:ascii="Times New Roman" w:eastAsia="Calibri" w:hAnsi="Times New Roman" w:cs="Times New Roman"/>
          <w:sz w:val="24"/>
          <w:szCs w:val="24"/>
        </w:rPr>
        <w:t>as defined in part 1305 of this chapter,</w:t>
      </w:r>
      <w:r w:rsidRPr="00C1694A">
        <w:rPr>
          <w:rFonts w:ascii="Times New Roman" w:eastAsia="Calibri" w:hAnsi="Times New Roman" w:cs="Times New Roman"/>
          <w:sz w:val="24"/>
          <w:szCs w:val="24"/>
        </w:rPr>
        <w:t xml:space="preserve"> must establish and maintain a formal structure for program governance that includes a governing body, a policy council at the agency level and policy committee at the delegate level, and a parent committee.  Governing bodies have a legal and fiscal responsibility to administer and oversee the agency’s Head Start and Early Head Start programs.  Policy councils are responsible for the direction of the agency’s Head Start and Early Head Start programs.  </w:t>
      </w:r>
    </w:p>
    <w:p w:rsidR="00DA2A2F" w:rsidRPr="00C1694A" w:rsidRDefault="00DA2A2F" w:rsidP="00AC521C">
      <w:pPr>
        <w:spacing w:after="0" w:line="480" w:lineRule="auto"/>
        <w:ind w:firstLine="720"/>
        <w:rPr>
          <w:rFonts w:ascii="Times New Roman" w:eastAsia="Calibri" w:hAnsi="Times New Roman" w:cs="Times New Roman"/>
          <w:sz w:val="24"/>
          <w:szCs w:val="24"/>
        </w:rPr>
      </w:pPr>
    </w:p>
    <w:p w:rsidR="00DA2A2F" w:rsidRPr="00C1694A" w:rsidRDefault="00DA2A2F" w:rsidP="00AC521C">
      <w:pPr>
        <w:spacing w:after="0" w:line="480" w:lineRule="auto"/>
        <w:rPr>
          <w:rFonts w:ascii="Times New Roman" w:hAnsi="Times New Roman" w:cs="Times New Roman"/>
          <w:b/>
          <w:sz w:val="24"/>
          <w:szCs w:val="24"/>
          <w:highlight w:val="yellow"/>
        </w:rPr>
      </w:pPr>
      <w:r w:rsidRPr="00C1694A">
        <w:rPr>
          <w:rFonts w:ascii="Times New Roman" w:hAnsi="Times New Roman" w:cs="Times New Roman"/>
          <w:b/>
          <w:sz w:val="24"/>
          <w:szCs w:val="24"/>
        </w:rPr>
        <w:t>§1301.2 Governing body</w:t>
      </w:r>
      <w:r w:rsidRPr="00C1694A">
        <w:rPr>
          <w:rFonts w:ascii="Times New Roman" w:hAnsi="Times New Roman" w:cs="Times New Roman"/>
          <w:b/>
          <w:i/>
          <w:sz w:val="24"/>
          <w:szCs w:val="24"/>
        </w:rPr>
        <w:t xml:space="preserve">.  </w:t>
      </w:r>
    </w:p>
    <w:p w:rsidR="00DA2A2F" w:rsidRPr="00C1694A" w:rsidRDefault="00DA2A2F" w:rsidP="00AC521C">
      <w:pPr>
        <w:tabs>
          <w:tab w:val="left" w:pos="360"/>
        </w:tabs>
        <w:spacing w:after="0" w:line="480" w:lineRule="auto"/>
        <w:ind w:firstLine="720"/>
        <w:rPr>
          <w:rFonts w:ascii="Times New Roman" w:eastAsia="Times New Roman" w:hAnsi="Times New Roman" w:cs="Times New Roman"/>
          <w:sz w:val="24"/>
          <w:szCs w:val="24"/>
        </w:rPr>
      </w:pPr>
    </w:p>
    <w:p w:rsidR="00DA2A2F" w:rsidRPr="00C1694A" w:rsidRDefault="00DA2A2F" w:rsidP="00AC521C">
      <w:pPr>
        <w:tabs>
          <w:tab w:val="left" w:pos="360"/>
        </w:tabs>
        <w:spacing w:after="0" w:line="480" w:lineRule="auto"/>
        <w:ind w:firstLine="720"/>
        <w:rPr>
          <w:rFonts w:ascii="Times New Roman" w:eastAsia="Times New Roman" w:hAnsi="Times New Roman" w:cs="Times New Roman"/>
          <w:sz w:val="24"/>
          <w:szCs w:val="24"/>
          <w:highlight w:val="yellow"/>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Composition.</w:t>
      </w:r>
      <w:r w:rsidRPr="00C1694A">
        <w:rPr>
          <w:rFonts w:ascii="Times New Roman" w:eastAsia="Times New Roman" w:hAnsi="Times New Roman" w:cs="Times New Roman"/>
          <w:sz w:val="24"/>
          <w:szCs w:val="24"/>
        </w:rPr>
        <w:t xml:space="preserve">  The composition of a governing body must be in accordance with the requirements specified at section 642(c)(1)(B) of the Act, except where specific exceptions are authorized in the case of public entities at section 642(c)(1)(D) of the Act.  Agencies must ensure members of the governing body do not have a conflict of interest, pursuant to section 642(c)(1)(C) of the Act. </w:t>
      </w:r>
    </w:p>
    <w:p w:rsidR="00DA2A2F" w:rsidRPr="00C1694A" w:rsidRDefault="00DA2A2F" w:rsidP="00AC521C">
      <w:pPr>
        <w:spacing w:after="0" w:line="480" w:lineRule="auto"/>
        <w:ind w:firstLine="720"/>
        <w:rPr>
          <w:rFonts w:ascii="Times New Roman" w:eastAsia="Calibri" w:hAnsi="Times New Roman" w:cs="Times New Roman"/>
          <w:sz w:val="24"/>
          <w:szCs w:val="24"/>
          <w:highlight w:val="yellow"/>
        </w:rPr>
      </w:pPr>
    </w:p>
    <w:p w:rsidR="00DA2A2F" w:rsidRPr="00C1694A" w:rsidRDefault="00DA2A2F" w:rsidP="00AC521C">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 xml:space="preserve">(b) </w:t>
      </w:r>
      <w:r w:rsidRPr="00C1694A">
        <w:rPr>
          <w:rFonts w:ascii="Times New Roman" w:eastAsia="Calibri" w:hAnsi="Times New Roman" w:cs="Times New Roman"/>
          <w:sz w:val="24"/>
          <w:szCs w:val="24"/>
          <w:u w:val="single"/>
        </w:rPr>
        <w:t>Duties and responsibilities</w:t>
      </w:r>
      <w:r w:rsidRPr="00C1694A">
        <w:rPr>
          <w:rFonts w:ascii="Times New Roman" w:eastAsia="Calibri" w:hAnsi="Times New Roman" w:cs="Times New Roman"/>
          <w:sz w:val="24"/>
          <w:szCs w:val="24"/>
        </w:rPr>
        <w:t xml:space="preserve">.  (1) </w:t>
      </w:r>
      <w:r w:rsidRPr="00C1694A">
        <w:rPr>
          <w:rFonts w:ascii="Times New Roman" w:eastAsia="Times New Roman" w:hAnsi="Times New Roman" w:cs="Times New Roman"/>
          <w:sz w:val="24"/>
          <w:szCs w:val="24"/>
        </w:rPr>
        <w:t xml:space="preserve">The governing body is responsible for activities specified at section 642(c)(1)(E) of </w:t>
      </w:r>
      <w:r w:rsidR="007751A0" w:rsidRPr="00C1694A">
        <w:rPr>
          <w:rFonts w:ascii="Times New Roman" w:eastAsia="Times New Roman" w:hAnsi="Times New Roman" w:cs="Times New Roman"/>
          <w:sz w:val="24"/>
          <w:szCs w:val="24"/>
        </w:rPr>
        <w:t xml:space="preserve">the </w:t>
      </w:r>
      <w:r w:rsidRPr="00C1694A">
        <w:rPr>
          <w:rFonts w:ascii="Times New Roman" w:eastAsia="Times New Roman" w:hAnsi="Times New Roman" w:cs="Times New Roman"/>
          <w:sz w:val="24"/>
          <w:szCs w:val="24"/>
        </w:rPr>
        <w:t>Act.</w:t>
      </w:r>
    </w:p>
    <w:p w:rsidR="00DA2A2F" w:rsidRPr="00C1694A" w:rsidRDefault="00DA2A2F" w:rsidP="00AC521C">
      <w:pPr>
        <w:tabs>
          <w:tab w:val="left" w:pos="0"/>
          <w:tab w:val="left" w:pos="450"/>
        </w:tabs>
        <w:spacing w:after="0" w:line="480" w:lineRule="auto"/>
        <w:ind w:firstLine="720"/>
        <w:rPr>
          <w:rFonts w:ascii="Times New Roman" w:eastAsia="Times New Roman" w:hAnsi="Times New Roman" w:cs="Times New Roman"/>
          <w:sz w:val="24"/>
          <w:szCs w:val="24"/>
        </w:rPr>
      </w:pPr>
    </w:p>
    <w:p w:rsidR="00DA2A2F" w:rsidRPr="00C1694A" w:rsidRDefault="00DA2A2F" w:rsidP="00AC521C">
      <w:pPr>
        <w:tabs>
          <w:tab w:val="left" w:pos="0"/>
          <w:tab w:val="left" w:pos="36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The governing body must use ongoing monitoring results, data on school readiness goals, other information described in §1302.102, and information described at section 642(d)(2) of the Act to </w:t>
      </w:r>
      <w:r w:rsidRPr="00C1694A">
        <w:rPr>
          <w:rFonts w:ascii="Times New Roman" w:eastAsia="Calibri" w:hAnsi="Times New Roman" w:cs="Times New Roman"/>
          <w:sz w:val="24"/>
          <w:szCs w:val="24"/>
        </w:rPr>
        <w:t>conduct its responsibilities</w:t>
      </w:r>
      <w:r w:rsidRPr="00C1694A">
        <w:rPr>
          <w:rFonts w:ascii="Times New Roman" w:eastAsia="Times New Roman" w:hAnsi="Times New Roman" w:cs="Times New Roman"/>
          <w:sz w:val="24"/>
          <w:szCs w:val="24"/>
        </w:rPr>
        <w:t xml:space="preserve">. </w:t>
      </w:r>
    </w:p>
    <w:p w:rsidR="00DA2A2F" w:rsidRPr="00C1694A" w:rsidRDefault="00DA2A2F" w:rsidP="00AC521C">
      <w:pPr>
        <w:tabs>
          <w:tab w:val="left" w:pos="810"/>
        </w:tabs>
        <w:spacing w:after="0" w:line="480" w:lineRule="auto"/>
        <w:ind w:firstLine="720"/>
        <w:rPr>
          <w:rFonts w:ascii="Times New Roman" w:eastAsia="Calibri" w:hAnsi="Times New Roman" w:cs="Times New Roman"/>
          <w:sz w:val="24"/>
          <w:szCs w:val="24"/>
        </w:rPr>
      </w:pPr>
    </w:p>
    <w:p w:rsidR="00DA2A2F" w:rsidRPr="00C1694A" w:rsidRDefault="00DA2A2F" w:rsidP="00AC521C">
      <w:pPr>
        <w:tabs>
          <w:tab w:val="left" w:pos="810"/>
        </w:tabs>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(c) </w:t>
      </w:r>
      <w:r w:rsidRPr="00C1694A">
        <w:rPr>
          <w:rFonts w:ascii="Times New Roman" w:eastAsia="Calibri" w:hAnsi="Times New Roman" w:cs="Times New Roman"/>
          <w:sz w:val="24"/>
          <w:szCs w:val="24"/>
          <w:u w:val="single"/>
        </w:rPr>
        <w:t>Advisory committees</w:t>
      </w:r>
      <w:r w:rsidRPr="00C1694A">
        <w:rPr>
          <w:rFonts w:ascii="Times New Roman" w:eastAsia="Calibri" w:hAnsi="Times New Roman" w:cs="Times New Roman"/>
          <w:sz w:val="24"/>
          <w:szCs w:val="24"/>
        </w:rPr>
        <w:t xml:space="preserve">. (1) </w:t>
      </w:r>
      <w:r w:rsidRPr="00C1694A">
        <w:rPr>
          <w:rFonts w:ascii="Times New Roman" w:hAnsi="Times New Roman" w:cs="Times New Roman"/>
          <w:sz w:val="24"/>
          <w:szCs w:val="24"/>
        </w:rPr>
        <w:t>A governing body may establish advisory committees as it deems necessary for effective governance and improvement of the program.</w:t>
      </w:r>
    </w:p>
    <w:p w:rsidR="00DA2A2F" w:rsidRPr="00C1694A" w:rsidRDefault="00DA2A2F" w:rsidP="00AC521C">
      <w:pPr>
        <w:tabs>
          <w:tab w:val="left" w:pos="810"/>
        </w:tabs>
        <w:spacing w:after="0" w:line="480" w:lineRule="auto"/>
        <w:ind w:firstLine="720"/>
        <w:rPr>
          <w:rFonts w:ascii="Times New Roman" w:hAnsi="Times New Roman" w:cs="Times New Roman"/>
          <w:sz w:val="24"/>
          <w:szCs w:val="24"/>
        </w:rPr>
      </w:pPr>
    </w:p>
    <w:p w:rsidR="00DA2A2F" w:rsidRPr="00C1694A" w:rsidRDefault="00DA2A2F" w:rsidP="00AC521C">
      <w:pPr>
        <w:tabs>
          <w:tab w:val="left" w:pos="81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If a governing body establishes an advisory committee to oversee key responsibilities related to program governance, it must:</w:t>
      </w:r>
    </w:p>
    <w:p w:rsidR="00DA2A2F" w:rsidRPr="00C1694A" w:rsidRDefault="00DA2A2F" w:rsidP="00AC521C">
      <w:pPr>
        <w:spacing w:after="0" w:line="480" w:lineRule="auto"/>
        <w:ind w:firstLine="720"/>
        <w:rPr>
          <w:rFonts w:ascii="Times New Roman" w:hAnsi="Times New Roman" w:cs="Times New Roman"/>
          <w:sz w:val="24"/>
          <w:szCs w:val="24"/>
        </w:rPr>
      </w:pPr>
    </w:p>
    <w:p w:rsidR="00DA2A2F" w:rsidRPr="00C1694A" w:rsidRDefault="00DA2A2F"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Establish the structure, communication, and oversight in such a way that the governing body continues to maintain</w:t>
      </w:r>
      <w:r w:rsidRPr="00C1694A" w:rsidDel="00A92AAF">
        <w:rPr>
          <w:rFonts w:ascii="Times New Roman" w:hAnsi="Times New Roman" w:cs="Times New Roman"/>
          <w:sz w:val="24"/>
          <w:szCs w:val="24"/>
        </w:rPr>
        <w:t xml:space="preserve"> </w:t>
      </w:r>
      <w:r w:rsidRPr="00C1694A">
        <w:rPr>
          <w:rFonts w:ascii="Times New Roman" w:hAnsi="Times New Roman" w:cs="Times New Roman"/>
          <w:sz w:val="24"/>
          <w:szCs w:val="24"/>
        </w:rPr>
        <w:t>its legal and fiscal responsibility for the Head Start agency; and,</w:t>
      </w:r>
    </w:p>
    <w:p w:rsidR="00DA2A2F" w:rsidRPr="00C1694A" w:rsidRDefault="00DA2A2F" w:rsidP="00AC521C">
      <w:pPr>
        <w:spacing w:after="0" w:line="480" w:lineRule="auto"/>
        <w:ind w:firstLine="720"/>
        <w:rPr>
          <w:rFonts w:ascii="Times New Roman" w:hAnsi="Times New Roman" w:cs="Times New Roman"/>
          <w:sz w:val="24"/>
          <w:szCs w:val="24"/>
        </w:rPr>
      </w:pPr>
    </w:p>
    <w:p w:rsidR="00DA2A2F" w:rsidRPr="00C1694A" w:rsidRDefault="00DA2A2F"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Notify the responsible HHS official of its intent to establish such an advisory committee.</w:t>
      </w:r>
    </w:p>
    <w:p w:rsidR="00DA2A2F" w:rsidRPr="00C1694A" w:rsidRDefault="00DA2A2F" w:rsidP="00AC521C">
      <w:pPr>
        <w:spacing w:after="0" w:line="480" w:lineRule="auto"/>
        <w:ind w:firstLine="720"/>
        <w:rPr>
          <w:rFonts w:ascii="Times New Roman" w:eastAsia="Calibri" w:hAnsi="Times New Roman" w:cs="Times New Roman"/>
          <w:sz w:val="24"/>
          <w:szCs w:val="24"/>
        </w:rPr>
      </w:pPr>
    </w:p>
    <w:p w:rsidR="00DA2A2F" w:rsidRPr="00C1694A" w:rsidRDefault="00DA2A2F"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§1301.3 Policy council and policy committee. </w:t>
      </w:r>
    </w:p>
    <w:p w:rsidR="00DA2A2F" w:rsidRPr="00C1694A" w:rsidRDefault="00DA2A2F" w:rsidP="00AC521C">
      <w:pPr>
        <w:tabs>
          <w:tab w:val="left" w:pos="0"/>
          <w:tab w:val="left" w:pos="360"/>
        </w:tabs>
        <w:spacing w:after="0" w:line="480" w:lineRule="auto"/>
        <w:ind w:firstLine="720"/>
        <w:rPr>
          <w:rFonts w:ascii="Times New Roman" w:eastAsia="Times New Roman" w:hAnsi="Times New Roman" w:cs="Times New Roman"/>
          <w:sz w:val="24"/>
          <w:szCs w:val="24"/>
        </w:rPr>
      </w:pPr>
    </w:p>
    <w:p w:rsidR="00DA2A2F" w:rsidRPr="00C1694A" w:rsidRDefault="00DA2A2F" w:rsidP="00AC521C">
      <w:pPr>
        <w:tabs>
          <w:tab w:val="left" w:pos="0"/>
          <w:tab w:val="left" w:pos="36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00FF76B5">
        <w:rPr>
          <w:rFonts w:ascii="Times New Roman" w:eastAsia="Times New Roman" w:hAnsi="Times New Roman" w:cs="Times New Roman"/>
          <w:sz w:val="24"/>
          <w:szCs w:val="24"/>
          <w:u w:val="single"/>
        </w:rPr>
        <w:t>Establishing policy councils and policy committees</w:t>
      </w:r>
      <w:r w:rsidRPr="00C1694A">
        <w:rPr>
          <w:rFonts w:ascii="Times New Roman" w:eastAsia="Times New Roman" w:hAnsi="Times New Roman" w:cs="Times New Roman"/>
          <w:sz w:val="24"/>
          <w:szCs w:val="24"/>
          <w:u w:val="single"/>
        </w:rPr>
        <w:t>.</w:t>
      </w:r>
      <w:r w:rsidRPr="00C1694A">
        <w:rPr>
          <w:rFonts w:ascii="Times New Roman" w:eastAsia="Times New Roman" w:hAnsi="Times New Roman" w:cs="Times New Roman"/>
          <w:i/>
          <w:sz w:val="24"/>
          <w:szCs w:val="24"/>
        </w:rPr>
        <w:t xml:space="preserve"> </w:t>
      </w:r>
      <w:r w:rsidRPr="00C1694A">
        <w:rPr>
          <w:rFonts w:ascii="Times New Roman" w:eastAsia="Times New Roman" w:hAnsi="Times New Roman" w:cs="Times New Roman"/>
          <w:sz w:val="24"/>
          <w:szCs w:val="24"/>
        </w:rPr>
        <w:t xml:space="preserve">Each agency must establish and maintain a </w:t>
      </w:r>
      <w:r w:rsidRPr="00C1694A">
        <w:rPr>
          <w:rFonts w:ascii="Times New Roman" w:hAnsi="Times New Roman" w:cs="Times New Roman"/>
          <w:sz w:val="24"/>
          <w:szCs w:val="24"/>
        </w:rPr>
        <w:t>policy council responsible for the direction of the Head Start program at the agency level</w:t>
      </w:r>
      <w:r w:rsidR="007751A0"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a policy committee at the delegate level.  If an agency delegate</w:t>
      </w:r>
      <w:r w:rsidR="007751A0" w:rsidRPr="00C1694A">
        <w:rPr>
          <w:rFonts w:ascii="Times New Roman" w:hAnsi="Times New Roman" w:cs="Times New Roman"/>
          <w:sz w:val="24"/>
          <w:szCs w:val="24"/>
        </w:rPr>
        <w:t>s</w:t>
      </w:r>
      <w:r w:rsidRPr="00C1694A">
        <w:rPr>
          <w:rFonts w:ascii="Times New Roman" w:hAnsi="Times New Roman" w:cs="Times New Roman"/>
          <w:sz w:val="24"/>
          <w:szCs w:val="24"/>
        </w:rPr>
        <w:t xml:space="preserve"> operational responsibility for the entire Head Start or Early Head Start program to one delegate agency, the policy council and policy committee </w:t>
      </w:r>
      <w:r w:rsidR="007751A0" w:rsidRPr="00C1694A">
        <w:rPr>
          <w:rFonts w:ascii="Times New Roman" w:hAnsi="Times New Roman" w:cs="Times New Roman"/>
          <w:sz w:val="24"/>
          <w:szCs w:val="24"/>
        </w:rPr>
        <w:t xml:space="preserve">may </w:t>
      </w:r>
      <w:r w:rsidRPr="00C1694A">
        <w:rPr>
          <w:rFonts w:ascii="Times New Roman" w:hAnsi="Times New Roman" w:cs="Times New Roman"/>
          <w:sz w:val="24"/>
          <w:szCs w:val="24"/>
        </w:rPr>
        <w:t xml:space="preserve">be the same body.  </w:t>
      </w:r>
    </w:p>
    <w:p w:rsidR="00DA2A2F" w:rsidRPr="00C1694A" w:rsidRDefault="00DA2A2F" w:rsidP="00AC521C">
      <w:pPr>
        <w:tabs>
          <w:tab w:val="left" w:pos="360"/>
        </w:tabs>
        <w:spacing w:after="0" w:line="480" w:lineRule="auto"/>
        <w:ind w:firstLine="720"/>
        <w:rPr>
          <w:rFonts w:ascii="Times New Roman" w:eastAsia="Times New Roman" w:hAnsi="Times New Roman" w:cs="Times New Roman"/>
          <w:sz w:val="24"/>
          <w:szCs w:val="24"/>
        </w:rPr>
      </w:pPr>
    </w:p>
    <w:p w:rsidR="00DA2A2F" w:rsidRPr="00C1694A" w:rsidRDefault="00DA2A2F"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Composition</w:t>
      </w:r>
      <w:r w:rsidRPr="00C1694A">
        <w:rPr>
          <w:rFonts w:ascii="Times New Roman" w:eastAsia="Times New Roman" w:hAnsi="Times New Roman" w:cs="Times New Roman"/>
          <w:sz w:val="24"/>
          <w:szCs w:val="24"/>
        </w:rPr>
        <w:t xml:space="preserve">.  (1) </w:t>
      </w:r>
      <w:r w:rsidRPr="00C1694A">
        <w:rPr>
          <w:rFonts w:ascii="Times New Roman" w:hAnsi="Times New Roman" w:cs="Times New Roman"/>
          <w:sz w:val="24"/>
          <w:szCs w:val="24"/>
        </w:rPr>
        <w:t xml:space="preserve">A program must establish a policy council in accordance with section 642(c)(2)(B) of the Act, or a policy committee at the delegate level in accordance with section 642(c)(3) of the Act, as early in the program year as possible. Parents of children currently enrolled in each program option must be proportionately represented on the policy council and </w:t>
      </w:r>
      <w:r w:rsidR="007751A0" w:rsidRPr="00C1694A">
        <w:rPr>
          <w:rFonts w:ascii="Times New Roman" w:hAnsi="Times New Roman" w:cs="Times New Roman"/>
          <w:sz w:val="24"/>
          <w:szCs w:val="24"/>
        </w:rPr>
        <w:t xml:space="preserve">on the </w:t>
      </w:r>
      <w:r w:rsidRPr="00C1694A">
        <w:rPr>
          <w:rFonts w:ascii="Times New Roman" w:hAnsi="Times New Roman" w:cs="Times New Roman"/>
          <w:sz w:val="24"/>
          <w:szCs w:val="24"/>
        </w:rPr>
        <w:t xml:space="preserve">policy committee at the delegate level. </w:t>
      </w:r>
    </w:p>
    <w:p w:rsidR="00DA2A2F" w:rsidRPr="00C1694A" w:rsidRDefault="00DA2A2F" w:rsidP="00AC521C">
      <w:pPr>
        <w:tabs>
          <w:tab w:val="left" w:pos="360"/>
        </w:tabs>
        <w:spacing w:after="0" w:line="480" w:lineRule="auto"/>
        <w:ind w:firstLine="720"/>
        <w:rPr>
          <w:rFonts w:ascii="Times New Roman" w:hAnsi="Times New Roman" w:cs="Times New Roman"/>
          <w:sz w:val="24"/>
          <w:szCs w:val="24"/>
        </w:rPr>
      </w:pPr>
    </w:p>
    <w:p w:rsidR="00DA2A2F" w:rsidRPr="00C1694A" w:rsidRDefault="00DA2A2F" w:rsidP="00AC521C">
      <w:pPr>
        <w:tabs>
          <w:tab w:val="left" w:pos="360"/>
        </w:tabs>
        <w:spacing w:after="0" w:line="480" w:lineRule="auto"/>
        <w:ind w:firstLine="720"/>
        <w:rPr>
          <w:rFonts w:ascii="Times New Roman" w:eastAsia="Times New Roman" w:hAnsi="Times New Roman" w:cs="Times New Roman"/>
          <w:sz w:val="24"/>
          <w:szCs w:val="24"/>
        </w:rPr>
      </w:pPr>
      <w:r w:rsidRPr="00C1694A">
        <w:rPr>
          <w:rFonts w:ascii="Times New Roman" w:hAnsi="Times New Roman" w:cs="Times New Roman"/>
          <w:sz w:val="24"/>
          <w:szCs w:val="24"/>
        </w:rPr>
        <w:t xml:space="preserve">(2) The program must ensure members of the policy council, and </w:t>
      </w:r>
      <w:r w:rsidR="007751A0" w:rsidRPr="00C1694A">
        <w:rPr>
          <w:rFonts w:ascii="Times New Roman" w:hAnsi="Times New Roman" w:cs="Times New Roman"/>
          <w:sz w:val="24"/>
          <w:szCs w:val="24"/>
        </w:rPr>
        <w:t xml:space="preserve">of the </w:t>
      </w:r>
      <w:r w:rsidRPr="00C1694A">
        <w:rPr>
          <w:rFonts w:ascii="Times New Roman" w:hAnsi="Times New Roman" w:cs="Times New Roman"/>
          <w:sz w:val="24"/>
          <w:szCs w:val="24"/>
        </w:rPr>
        <w:t>policy committee at the delegate level, do not have a conflict of interest pursuant to sections 642(c)(2)(C) and 642(c)(3)(B) of the Act. Staff may not serve on the policy council or policy committee at the delegate level except parents who occasionally substitute as staff.  In the case of tribal grantees, this exclusion applies only to tribal staff who work in areas directly related to or which directly impact administrative, fiscal</w:t>
      </w:r>
      <w:r w:rsidR="007751A0" w:rsidRPr="00C1694A">
        <w:rPr>
          <w:rFonts w:ascii="Times New Roman" w:hAnsi="Times New Roman" w:cs="Times New Roman"/>
          <w:sz w:val="24"/>
          <w:szCs w:val="24"/>
        </w:rPr>
        <w:t>,</w:t>
      </w:r>
      <w:r w:rsidRPr="00C1694A">
        <w:rPr>
          <w:rFonts w:ascii="Times New Roman" w:hAnsi="Times New Roman" w:cs="Times New Roman"/>
          <w:sz w:val="24"/>
          <w:szCs w:val="24"/>
        </w:rPr>
        <w:t xml:space="preserve"> or programmatic issues.</w:t>
      </w:r>
    </w:p>
    <w:p w:rsidR="00DA2A2F" w:rsidRPr="00C1694A" w:rsidRDefault="00DA2A2F" w:rsidP="00AC521C">
      <w:pPr>
        <w:tabs>
          <w:tab w:val="left" w:pos="360"/>
        </w:tabs>
        <w:spacing w:after="0" w:line="480" w:lineRule="auto"/>
        <w:ind w:firstLine="720"/>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 xml:space="preserve">   </w:t>
      </w:r>
    </w:p>
    <w:p w:rsidR="00DA2A2F" w:rsidRPr="00C1694A" w:rsidRDefault="00DA2A2F" w:rsidP="00AC521C">
      <w:pPr>
        <w:tabs>
          <w:tab w:val="left" w:pos="360"/>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(c) </w:t>
      </w:r>
      <w:r w:rsidRPr="00C1694A">
        <w:rPr>
          <w:rFonts w:ascii="Times New Roman" w:eastAsia="Calibri" w:hAnsi="Times New Roman" w:cs="Times New Roman"/>
          <w:sz w:val="24"/>
          <w:szCs w:val="24"/>
          <w:u w:val="single"/>
        </w:rPr>
        <w:t>Duties and responsibilities</w:t>
      </w:r>
      <w:r w:rsidRPr="00AC521C">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(1) A policy council is responsible for activities specified at section 642(c)(2)(D) of the Act.</w:t>
      </w:r>
      <w:r w:rsidR="007751A0" w:rsidRPr="00C1694A">
        <w:rPr>
          <w:rFonts w:ascii="Times New Roman" w:eastAsia="Calibri" w:hAnsi="Times New Roman" w:cs="Times New Roman"/>
          <w:sz w:val="24"/>
          <w:szCs w:val="24"/>
        </w:rPr>
        <w:t xml:space="preserve"> </w:t>
      </w:r>
      <w:r w:rsidRPr="00C1694A">
        <w:rPr>
          <w:rFonts w:ascii="Times New Roman" w:eastAsia="Times New Roman" w:hAnsi="Times New Roman" w:cs="Times New Roman"/>
          <w:sz w:val="24"/>
          <w:szCs w:val="24"/>
        </w:rPr>
        <w:t xml:space="preserve"> A policy committee must approve and submit to the delegate agency its decisions in each of the following areas referenced at section 642(c)(2)(D)(i) through (vii) of the Act.  </w:t>
      </w:r>
    </w:p>
    <w:p w:rsidR="00DA2A2F" w:rsidRPr="00C1694A" w:rsidRDefault="00DA2A2F" w:rsidP="00AC521C">
      <w:pPr>
        <w:tabs>
          <w:tab w:val="left" w:pos="360"/>
        </w:tabs>
        <w:spacing w:after="0" w:line="480" w:lineRule="auto"/>
        <w:ind w:firstLine="720"/>
        <w:rPr>
          <w:rFonts w:ascii="Times New Roman" w:eastAsia="Calibri" w:hAnsi="Times New Roman" w:cs="Times New Roman"/>
          <w:sz w:val="24"/>
          <w:szCs w:val="24"/>
        </w:rPr>
      </w:pPr>
    </w:p>
    <w:p w:rsidR="00DA2A2F" w:rsidRPr="00C1694A" w:rsidRDefault="00DA2A2F" w:rsidP="00AC521C">
      <w:pPr>
        <w:tabs>
          <w:tab w:val="left" w:pos="360"/>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(2) A policy council, and a policy committee at the delegate level, must use ongoing monitoring results, data on school readiness goals, other information </w:t>
      </w:r>
      <w:r w:rsidR="007751A0" w:rsidRPr="00C1694A">
        <w:rPr>
          <w:rFonts w:ascii="Times New Roman" w:eastAsia="Calibri" w:hAnsi="Times New Roman" w:cs="Times New Roman"/>
          <w:sz w:val="24"/>
          <w:szCs w:val="24"/>
        </w:rPr>
        <w:t xml:space="preserve">described </w:t>
      </w:r>
      <w:r w:rsidRPr="00C1694A">
        <w:rPr>
          <w:rFonts w:ascii="Times New Roman" w:eastAsia="Times New Roman" w:hAnsi="Times New Roman" w:cs="Times New Roman"/>
          <w:sz w:val="24"/>
          <w:szCs w:val="24"/>
        </w:rPr>
        <w:t xml:space="preserve">in </w:t>
      </w:r>
      <w:r w:rsidRPr="00C1694A">
        <w:rPr>
          <w:rFonts w:ascii="Times New Roman" w:hAnsi="Times New Roman" w:cs="Times New Roman"/>
          <w:sz w:val="24"/>
          <w:szCs w:val="24"/>
        </w:rPr>
        <w:t>§</w:t>
      </w:r>
      <w:r w:rsidRPr="00C1694A">
        <w:rPr>
          <w:rFonts w:ascii="Times New Roman" w:eastAsia="Times New Roman" w:hAnsi="Times New Roman" w:cs="Times New Roman"/>
          <w:sz w:val="24"/>
          <w:szCs w:val="24"/>
        </w:rPr>
        <w:t xml:space="preserve">1302.102, </w:t>
      </w:r>
      <w:r w:rsidRPr="00C1694A">
        <w:rPr>
          <w:rFonts w:ascii="Times New Roman" w:eastAsia="Calibri" w:hAnsi="Times New Roman" w:cs="Times New Roman"/>
          <w:sz w:val="24"/>
          <w:szCs w:val="24"/>
        </w:rPr>
        <w:t>and information described in section 642(d)(2) of the Act to conduct its responsibilities.</w:t>
      </w:r>
    </w:p>
    <w:p w:rsidR="00DA2A2F" w:rsidRPr="00C1694A" w:rsidRDefault="00DA2A2F" w:rsidP="00AC521C">
      <w:pPr>
        <w:spacing w:after="0" w:line="480" w:lineRule="auto"/>
        <w:ind w:firstLine="720"/>
        <w:rPr>
          <w:rFonts w:ascii="Times New Roman" w:eastAsia="Calibri" w:hAnsi="Times New Roman" w:cs="Times New Roman"/>
          <w:sz w:val="24"/>
          <w:szCs w:val="24"/>
        </w:rPr>
      </w:pPr>
    </w:p>
    <w:p w:rsidR="00DA2A2F" w:rsidRPr="00C1694A" w:rsidRDefault="00DA2A2F" w:rsidP="00AC521C">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 xml:space="preserve">(d) </w:t>
      </w:r>
      <w:r w:rsidRPr="00C1694A">
        <w:rPr>
          <w:rFonts w:ascii="Times New Roman" w:eastAsia="Calibri" w:hAnsi="Times New Roman" w:cs="Times New Roman"/>
          <w:sz w:val="24"/>
          <w:szCs w:val="24"/>
          <w:u w:val="single"/>
        </w:rPr>
        <w:t>Term</w:t>
      </w:r>
      <w:r w:rsidRPr="00C1694A">
        <w:rPr>
          <w:rFonts w:ascii="Times New Roman" w:eastAsia="Calibri" w:hAnsi="Times New Roman" w:cs="Times New Roman"/>
          <w:i/>
          <w:sz w:val="24"/>
          <w:szCs w:val="24"/>
        </w:rPr>
        <w:t>.</w:t>
      </w:r>
      <w:r w:rsidR="007751A0" w:rsidRPr="00C1694A">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 xml:space="preserve">(1) </w:t>
      </w:r>
      <w:r w:rsidRPr="00C1694A">
        <w:rPr>
          <w:rFonts w:ascii="Times New Roman" w:eastAsia="Times New Roman" w:hAnsi="Times New Roman" w:cs="Times New Roman"/>
          <w:sz w:val="24"/>
          <w:szCs w:val="24"/>
        </w:rPr>
        <w:t>A member will serve for one year.</w:t>
      </w:r>
    </w:p>
    <w:p w:rsidR="00DA2A2F" w:rsidRPr="00C1694A" w:rsidRDefault="00DA2A2F" w:rsidP="00AC521C">
      <w:pPr>
        <w:tabs>
          <w:tab w:val="left" w:pos="360"/>
        </w:tabs>
        <w:spacing w:after="0" w:line="480" w:lineRule="auto"/>
        <w:ind w:firstLine="720"/>
        <w:rPr>
          <w:rFonts w:ascii="Times New Roman" w:eastAsia="Times New Roman" w:hAnsi="Times New Roman" w:cs="Times New Roman"/>
          <w:sz w:val="24"/>
          <w:szCs w:val="24"/>
        </w:rPr>
      </w:pPr>
    </w:p>
    <w:p w:rsidR="00DA2A2F" w:rsidRPr="00C1694A" w:rsidRDefault="00DA2A2F" w:rsidP="00AC521C">
      <w:pPr>
        <w:tabs>
          <w:tab w:val="left" w:pos="36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If the member intends to serve for another year, s/he must stand for re-election.</w:t>
      </w:r>
    </w:p>
    <w:p w:rsidR="00DA2A2F" w:rsidRPr="00C1694A" w:rsidRDefault="00DA2A2F" w:rsidP="00AC521C">
      <w:pPr>
        <w:tabs>
          <w:tab w:val="left" w:pos="360"/>
        </w:tabs>
        <w:spacing w:after="0" w:line="480" w:lineRule="auto"/>
        <w:ind w:firstLine="720"/>
        <w:rPr>
          <w:rFonts w:ascii="Times New Roman" w:eastAsia="Times New Roman" w:hAnsi="Times New Roman" w:cs="Times New Roman"/>
          <w:sz w:val="24"/>
          <w:szCs w:val="24"/>
        </w:rPr>
      </w:pPr>
    </w:p>
    <w:p w:rsidR="00DA2A2F" w:rsidRPr="00C1694A" w:rsidRDefault="00DA2A2F" w:rsidP="00AC521C">
      <w:pPr>
        <w:tabs>
          <w:tab w:val="left" w:pos="0"/>
          <w:tab w:val="left" w:pos="36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The policy council, and policy committee at the delegate level, must include in its bylaws how many one-year terms, not to exceed five terms, a person may serve. </w:t>
      </w:r>
    </w:p>
    <w:p w:rsidR="00DA2A2F" w:rsidRPr="00C1694A" w:rsidRDefault="00DA2A2F" w:rsidP="00AC521C">
      <w:pPr>
        <w:tabs>
          <w:tab w:val="left" w:pos="0"/>
          <w:tab w:val="left" w:pos="360"/>
        </w:tabs>
        <w:spacing w:after="0" w:line="480" w:lineRule="auto"/>
        <w:ind w:firstLine="720"/>
        <w:rPr>
          <w:rFonts w:ascii="Times New Roman" w:eastAsia="Times New Roman" w:hAnsi="Times New Roman" w:cs="Times New Roman"/>
          <w:sz w:val="24"/>
          <w:szCs w:val="24"/>
        </w:rPr>
      </w:pPr>
    </w:p>
    <w:p w:rsidR="00DA2A2F" w:rsidRPr="00C1694A" w:rsidRDefault="00DA2A2F"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(4) A program </w:t>
      </w:r>
      <w:r w:rsidR="00D5297D" w:rsidRPr="00C1694A">
        <w:rPr>
          <w:rFonts w:ascii="Times New Roman" w:eastAsia="Times New Roman" w:hAnsi="Times New Roman" w:cs="Times New Roman"/>
          <w:sz w:val="24"/>
          <w:szCs w:val="24"/>
        </w:rPr>
        <w:t xml:space="preserve">must seat </w:t>
      </w:r>
      <w:r w:rsidRPr="00C1694A">
        <w:rPr>
          <w:rFonts w:ascii="Times New Roman" w:eastAsia="Times New Roman" w:hAnsi="Times New Roman" w:cs="Times New Roman"/>
          <w:sz w:val="24"/>
          <w:szCs w:val="24"/>
        </w:rPr>
        <w:t xml:space="preserve">a successor </w:t>
      </w:r>
      <w:r w:rsidR="00D5297D" w:rsidRPr="00C1694A">
        <w:rPr>
          <w:rFonts w:ascii="Times New Roman" w:eastAsia="Times New Roman" w:hAnsi="Times New Roman" w:cs="Times New Roman"/>
          <w:sz w:val="24"/>
          <w:szCs w:val="24"/>
        </w:rPr>
        <w:t>policy council, or policy committee at the delegate level, before an existing policy council, or policy committee at the delegate level, may be dissolved</w:t>
      </w:r>
      <w:r w:rsidRPr="00C1694A">
        <w:rPr>
          <w:rFonts w:ascii="Times New Roman" w:eastAsia="Times New Roman" w:hAnsi="Times New Roman" w:cs="Times New Roman"/>
          <w:sz w:val="24"/>
          <w:szCs w:val="24"/>
        </w:rPr>
        <w:t>.</w:t>
      </w:r>
    </w:p>
    <w:p w:rsidR="00DA2A2F" w:rsidRPr="00C1694A" w:rsidRDefault="00DA2A2F" w:rsidP="00AC521C">
      <w:pPr>
        <w:spacing w:after="0" w:line="480" w:lineRule="auto"/>
        <w:ind w:firstLine="720"/>
        <w:rPr>
          <w:rFonts w:ascii="Times New Roman" w:eastAsia="Times New Roman" w:hAnsi="Times New Roman" w:cs="Times New Roman"/>
          <w:sz w:val="24"/>
          <w:szCs w:val="24"/>
        </w:rPr>
      </w:pPr>
    </w:p>
    <w:p w:rsidR="00DA2A2F" w:rsidRPr="00C1694A" w:rsidRDefault="00DA2A2F" w:rsidP="00AC521C">
      <w:pPr>
        <w:tabs>
          <w:tab w:val="left" w:pos="0"/>
          <w:tab w:val="left" w:pos="36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(e) </w:t>
      </w:r>
      <w:r w:rsidRPr="00C1694A">
        <w:rPr>
          <w:rFonts w:ascii="Times New Roman" w:eastAsia="Times New Roman" w:hAnsi="Times New Roman" w:cs="Times New Roman"/>
          <w:sz w:val="24"/>
          <w:szCs w:val="24"/>
          <w:u w:val="single"/>
        </w:rPr>
        <w:t>Reimbursement.</w:t>
      </w:r>
      <w:r w:rsidRPr="00C1694A">
        <w:rPr>
          <w:rFonts w:ascii="Times New Roman" w:eastAsia="Times New Roman" w:hAnsi="Times New Roman" w:cs="Times New Roman"/>
          <w:sz w:val="24"/>
          <w:szCs w:val="24"/>
        </w:rPr>
        <w:t xml:space="preserve">  A program must enable low-income members to participate fully in their policy council or policy committee responsibilities by providing, if necessary, reimbursements for reasonable expenses incurred by the low-income members.</w:t>
      </w:r>
    </w:p>
    <w:p w:rsidR="00DA2A2F" w:rsidRPr="00C1694A" w:rsidRDefault="00DA2A2F" w:rsidP="00AC521C">
      <w:pPr>
        <w:spacing w:after="0" w:line="480" w:lineRule="auto"/>
        <w:ind w:firstLine="720"/>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 xml:space="preserve"> </w:t>
      </w:r>
    </w:p>
    <w:p w:rsidR="00DA2A2F" w:rsidRPr="00C1694A" w:rsidRDefault="00DA2A2F" w:rsidP="00AC521C">
      <w:pPr>
        <w:tabs>
          <w:tab w:val="left" w:pos="450"/>
        </w:tabs>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§1301.4 Parent committees.</w:t>
      </w:r>
    </w:p>
    <w:p w:rsidR="00DA2A2F" w:rsidRPr="00C1694A" w:rsidRDefault="00DA2A2F" w:rsidP="00AC521C">
      <w:pPr>
        <w:tabs>
          <w:tab w:val="left" w:pos="450"/>
        </w:tabs>
        <w:spacing w:after="0" w:line="480" w:lineRule="auto"/>
        <w:ind w:firstLine="720"/>
        <w:rPr>
          <w:rFonts w:ascii="Times New Roman" w:hAnsi="Times New Roman" w:cs="Times New Roman"/>
          <w:b/>
          <w:sz w:val="24"/>
          <w:szCs w:val="24"/>
        </w:rPr>
      </w:pPr>
    </w:p>
    <w:p w:rsidR="00DA2A2F" w:rsidRPr="00C1694A" w:rsidRDefault="00DA2A2F" w:rsidP="00AC521C">
      <w:pPr>
        <w:tabs>
          <w:tab w:val="left" w:pos="450"/>
        </w:tabs>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ab/>
        <w:t xml:space="preserve">(a) </w:t>
      </w:r>
      <w:r w:rsidR="00FF76B5">
        <w:rPr>
          <w:rFonts w:ascii="Times New Roman" w:eastAsia="Calibri" w:hAnsi="Times New Roman" w:cs="Times New Roman"/>
          <w:sz w:val="24"/>
          <w:szCs w:val="24"/>
          <w:u w:val="single"/>
        </w:rPr>
        <w:t>Establishing parent committees</w:t>
      </w:r>
      <w:r w:rsidRPr="00C1694A">
        <w:rPr>
          <w:rFonts w:ascii="Times New Roman" w:eastAsia="Calibri" w:hAnsi="Times New Roman" w:cs="Times New Roman"/>
          <w:sz w:val="24"/>
          <w:szCs w:val="24"/>
          <w:u w:val="single"/>
        </w:rPr>
        <w:t>.</w:t>
      </w:r>
      <w:r w:rsidRPr="00C1694A">
        <w:rPr>
          <w:rFonts w:ascii="Times New Roman" w:eastAsia="Calibri" w:hAnsi="Times New Roman" w:cs="Times New Roman"/>
          <w:sz w:val="24"/>
          <w:szCs w:val="24"/>
        </w:rPr>
        <w:t xml:space="preserve">  A program must establish a parent committee comprised exclusively of parents of currently enrolled children as early in the program year as possible. This committee must be established at the center level for center-based programs and at the local program level for other program options. When a program operates more than one option, parents </w:t>
      </w:r>
      <w:r w:rsidR="00325C19" w:rsidRPr="00C1694A">
        <w:rPr>
          <w:rFonts w:ascii="Times New Roman" w:eastAsia="Calibri" w:hAnsi="Times New Roman" w:cs="Times New Roman"/>
          <w:sz w:val="24"/>
          <w:szCs w:val="24"/>
        </w:rPr>
        <w:t xml:space="preserve">may </w:t>
      </w:r>
      <w:r w:rsidRPr="00C1694A">
        <w:rPr>
          <w:rFonts w:ascii="Times New Roman" w:eastAsia="Calibri" w:hAnsi="Times New Roman" w:cs="Times New Roman"/>
          <w:sz w:val="24"/>
          <w:szCs w:val="24"/>
        </w:rPr>
        <w:t xml:space="preserve">choose to have a separate committee for each option or combine membership. A program must ensure that parents of currently enrolled children </w:t>
      </w:r>
      <w:r w:rsidRPr="00C1694A">
        <w:rPr>
          <w:rFonts w:ascii="Times New Roman" w:hAnsi="Times New Roman" w:cs="Times New Roman"/>
          <w:sz w:val="24"/>
          <w:szCs w:val="24"/>
        </w:rPr>
        <w:t xml:space="preserve">understand the process for elections to </w:t>
      </w:r>
      <w:r w:rsidR="00325C19" w:rsidRPr="00C1694A">
        <w:rPr>
          <w:rFonts w:ascii="Times New Roman" w:hAnsi="Times New Roman" w:cs="Times New Roman"/>
          <w:sz w:val="24"/>
          <w:szCs w:val="24"/>
        </w:rPr>
        <w:t xml:space="preserve">the </w:t>
      </w:r>
      <w:r w:rsidRPr="00C1694A">
        <w:rPr>
          <w:rFonts w:ascii="Times New Roman" w:hAnsi="Times New Roman" w:cs="Times New Roman"/>
          <w:sz w:val="24"/>
          <w:szCs w:val="24"/>
        </w:rPr>
        <w:t>policy council or policy committee and other leadership opportunities.</w:t>
      </w:r>
    </w:p>
    <w:p w:rsidR="00DA2A2F" w:rsidRPr="00C1694A" w:rsidRDefault="00DA2A2F" w:rsidP="00AC521C">
      <w:pPr>
        <w:tabs>
          <w:tab w:val="left" w:pos="450"/>
        </w:tabs>
        <w:spacing w:after="0" w:line="480" w:lineRule="auto"/>
        <w:rPr>
          <w:rFonts w:ascii="Times New Roman" w:eastAsia="Calibri" w:hAnsi="Times New Roman" w:cs="Times New Roman"/>
          <w:sz w:val="24"/>
          <w:szCs w:val="24"/>
        </w:rPr>
      </w:pPr>
    </w:p>
    <w:p w:rsidR="00DA2A2F" w:rsidRPr="00C1694A" w:rsidRDefault="00DA2A2F" w:rsidP="00AC521C">
      <w:pPr>
        <w:tabs>
          <w:tab w:val="left" w:pos="450"/>
        </w:tabs>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ab/>
        <w:t xml:space="preserve">(b) </w:t>
      </w:r>
      <w:r w:rsidRPr="00C1694A">
        <w:rPr>
          <w:rFonts w:ascii="Times New Roman" w:eastAsia="Calibri" w:hAnsi="Times New Roman" w:cs="Times New Roman"/>
          <w:sz w:val="24"/>
          <w:szCs w:val="24"/>
          <w:u w:val="single"/>
        </w:rPr>
        <w:t>Requirements of parent committees</w:t>
      </w:r>
      <w:r w:rsidRPr="00C1694A">
        <w:rPr>
          <w:rFonts w:ascii="Times New Roman" w:eastAsia="Calibri" w:hAnsi="Times New Roman" w:cs="Times New Roman"/>
          <w:sz w:val="24"/>
          <w:szCs w:val="24"/>
        </w:rPr>
        <w:t xml:space="preserve">.  Within the parent committee structure, a program </w:t>
      </w:r>
      <w:r w:rsidR="00325C19" w:rsidRPr="00C1694A">
        <w:rPr>
          <w:rFonts w:ascii="Times New Roman" w:eastAsia="Calibri" w:hAnsi="Times New Roman" w:cs="Times New Roman"/>
          <w:sz w:val="24"/>
          <w:szCs w:val="24"/>
        </w:rPr>
        <w:t xml:space="preserve">may </w:t>
      </w:r>
      <w:r w:rsidRPr="00C1694A">
        <w:rPr>
          <w:rFonts w:ascii="Times New Roman" w:eastAsia="Calibri" w:hAnsi="Times New Roman" w:cs="Times New Roman"/>
          <w:sz w:val="24"/>
          <w:szCs w:val="24"/>
        </w:rPr>
        <w:t>determine the best methods to engage families using strategies that are most effective in their community, as long as the program ensures the parent committee carr</w:t>
      </w:r>
      <w:r w:rsidR="00325C19" w:rsidRPr="00C1694A">
        <w:rPr>
          <w:rFonts w:ascii="Times New Roman" w:eastAsia="Calibri" w:hAnsi="Times New Roman" w:cs="Times New Roman"/>
          <w:sz w:val="24"/>
          <w:szCs w:val="24"/>
        </w:rPr>
        <w:t>ies</w:t>
      </w:r>
      <w:r w:rsidRPr="00C1694A">
        <w:rPr>
          <w:rFonts w:ascii="Times New Roman" w:eastAsia="Calibri" w:hAnsi="Times New Roman" w:cs="Times New Roman"/>
          <w:sz w:val="24"/>
          <w:szCs w:val="24"/>
        </w:rPr>
        <w:t xml:space="preserve"> out the following minimum responsibilities:</w:t>
      </w:r>
    </w:p>
    <w:p w:rsidR="00DA2A2F" w:rsidRPr="00C1694A" w:rsidRDefault="00DA2A2F" w:rsidP="00AC521C">
      <w:pPr>
        <w:tabs>
          <w:tab w:val="left" w:pos="450"/>
        </w:tabs>
        <w:spacing w:after="0" w:line="480" w:lineRule="auto"/>
        <w:rPr>
          <w:rFonts w:ascii="Times New Roman" w:hAnsi="Times New Roman" w:cs="Times New Roman"/>
          <w:b/>
          <w:sz w:val="24"/>
          <w:szCs w:val="24"/>
        </w:rPr>
      </w:pPr>
    </w:p>
    <w:p w:rsidR="00DA2A2F" w:rsidRPr="00C1694A" w:rsidRDefault="00DA2A2F" w:rsidP="00AC521C">
      <w:pPr>
        <w:tabs>
          <w:tab w:val="left" w:pos="45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(1) Advise staff in developing and implementing local program policies, activities, and services to ensure they meet the needs of children and families; </w:t>
      </w:r>
    </w:p>
    <w:p w:rsidR="00DA2A2F" w:rsidRPr="00C1694A" w:rsidRDefault="00DA2A2F" w:rsidP="00AC521C">
      <w:pPr>
        <w:tabs>
          <w:tab w:val="left" w:pos="45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p>
    <w:p w:rsidR="00DA2A2F" w:rsidRPr="00C1694A" w:rsidRDefault="00DA2A2F" w:rsidP="00AC521C">
      <w:pPr>
        <w:tabs>
          <w:tab w:val="left" w:pos="45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(2) Have a process for communication with the policy council and policy committee; and</w:t>
      </w:r>
    </w:p>
    <w:p w:rsidR="00DA2A2F" w:rsidRPr="00C1694A" w:rsidRDefault="00DA2A2F" w:rsidP="00AC521C">
      <w:pPr>
        <w:tabs>
          <w:tab w:val="left" w:pos="450"/>
        </w:tabs>
        <w:spacing w:after="0" w:line="480" w:lineRule="auto"/>
        <w:rPr>
          <w:rFonts w:ascii="Times New Roman" w:hAnsi="Times New Roman" w:cs="Times New Roman"/>
          <w:sz w:val="24"/>
          <w:szCs w:val="24"/>
        </w:rPr>
      </w:pPr>
    </w:p>
    <w:p w:rsidR="00DA2A2F" w:rsidRPr="00C1694A" w:rsidRDefault="00DA2A2F" w:rsidP="00AC521C">
      <w:pPr>
        <w:tabs>
          <w:tab w:val="left" w:pos="450"/>
        </w:tabs>
        <w:spacing w:after="0" w:line="480" w:lineRule="auto"/>
        <w:ind w:left="450"/>
        <w:rPr>
          <w:rFonts w:ascii="Times New Roman" w:hAnsi="Times New Roman" w:cs="Times New Roman"/>
          <w:sz w:val="24"/>
          <w:szCs w:val="24"/>
        </w:rPr>
      </w:pPr>
      <w:r w:rsidRPr="00C1694A">
        <w:rPr>
          <w:rFonts w:ascii="Times New Roman" w:hAnsi="Times New Roman" w:cs="Times New Roman"/>
          <w:sz w:val="24"/>
          <w:szCs w:val="24"/>
        </w:rPr>
        <w:t>(3) Within the guidelines established by the governing body, policy council or policy committee, participate in the recruitment and screening of Early Head Start and Head Start employees</w:t>
      </w:r>
      <w:r w:rsidR="004B3A67" w:rsidRPr="00C1694A">
        <w:rPr>
          <w:rFonts w:ascii="Times New Roman" w:hAnsi="Times New Roman" w:cs="Times New Roman"/>
          <w:sz w:val="24"/>
          <w:szCs w:val="24"/>
        </w:rPr>
        <w:t>.</w:t>
      </w:r>
    </w:p>
    <w:p w:rsidR="00DA2A2F" w:rsidRPr="00C1694A" w:rsidRDefault="00DA2A2F" w:rsidP="00AC521C">
      <w:pPr>
        <w:tabs>
          <w:tab w:val="left" w:pos="450"/>
        </w:tabs>
        <w:spacing w:after="0" w:line="480" w:lineRule="auto"/>
        <w:rPr>
          <w:rFonts w:ascii="Times New Roman" w:hAnsi="Times New Roman" w:cs="Times New Roman"/>
          <w:b/>
          <w:sz w:val="24"/>
          <w:szCs w:val="24"/>
        </w:rPr>
      </w:pPr>
    </w:p>
    <w:p w:rsidR="00DA2A2F" w:rsidRPr="00C1694A" w:rsidRDefault="00DA2A2F" w:rsidP="00AC521C">
      <w:pPr>
        <w:spacing w:after="0" w:line="480" w:lineRule="auto"/>
        <w:rPr>
          <w:rFonts w:ascii="Times New Roman" w:eastAsia="Calibri" w:hAnsi="Times New Roman" w:cs="Times New Roman"/>
          <w:b/>
          <w:sz w:val="24"/>
          <w:szCs w:val="24"/>
        </w:rPr>
      </w:pPr>
      <w:r w:rsidRPr="00C1694A">
        <w:rPr>
          <w:rFonts w:ascii="Times New Roman" w:hAnsi="Times New Roman" w:cs="Times New Roman"/>
          <w:b/>
          <w:sz w:val="24"/>
          <w:szCs w:val="24"/>
        </w:rPr>
        <w:t xml:space="preserve">§1301.5 Training.  </w:t>
      </w:r>
    </w:p>
    <w:p w:rsidR="00DA2A2F" w:rsidRPr="00C1694A" w:rsidRDefault="00DA2A2F" w:rsidP="00AC521C">
      <w:pPr>
        <w:spacing w:after="0" w:line="480" w:lineRule="auto"/>
        <w:ind w:firstLine="720"/>
        <w:rPr>
          <w:rFonts w:ascii="Times New Roman" w:eastAsia="Calibri" w:hAnsi="Times New Roman" w:cs="Times New Roman"/>
          <w:sz w:val="24"/>
          <w:szCs w:val="24"/>
        </w:rPr>
      </w:pPr>
    </w:p>
    <w:p w:rsidR="00DA2A2F" w:rsidRPr="00C1694A" w:rsidRDefault="00DA2A2F"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An agency must provide appropriate training and technical assistance or orientation to the governing body</w:t>
      </w:r>
      <w:r w:rsidR="00325C19"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rPr>
        <w:t xml:space="preserve"> any advisory committee members</w:t>
      </w:r>
      <w:r w:rsidR="00325C19"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rPr>
        <w:t xml:space="preserve"> and the policy council, including training on program performance standards and training indicated in </w:t>
      </w:r>
      <w:r w:rsidRPr="00C1694A">
        <w:rPr>
          <w:rFonts w:ascii="Times New Roman" w:hAnsi="Times New Roman" w:cs="Times New Roman"/>
          <w:sz w:val="24"/>
          <w:szCs w:val="24"/>
        </w:rPr>
        <w:t>§</w:t>
      </w:r>
      <w:r w:rsidRPr="00C1694A">
        <w:rPr>
          <w:rFonts w:ascii="Times New Roman" w:eastAsia="Calibri" w:hAnsi="Times New Roman" w:cs="Times New Roman"/>
          <w:sz w:val="24"/>
          <w:szCs w:val="24"/>
        </w:rPr>
        <w:t xml:space="preserve">1302.12(m) to ensure the members understand the information they receive and can effectively oversee and participate in the programs in the Head Start agency.  </w:t>
      </w:r>
    </w:p>
    <w:p w:rsidR="00DA2A2F" w:rsidRPr="00C1694A" w:rsidRDefault="00DA2A2F" w:rsidP="00AC521C">
      <w:pPr>
        <w:tabs>
          <w:tab w:val="left" w:pos="450"/>
        </w:tabs>
        <w:spacing w:after="0" w:line="480" w:lineRule="auto"/>
        <w:rPr>
          <w:rFonts w:ascii="Times New Roman" w:hAnsi="Times New Roman" w:cs="Times New Roman"/>
          <w:b/>
          <w:sz w:val="24"/>
          <w:szCs w:val="24"/>
        </w:rPr>
      </w:pPr>
    </w:p>
    <w:p w:rsidR="00DA2A2F" w:rsidRPr="00C1694A" w:rsidRDefault="00DA2A2F" w:rsidP="00AC521C">
      <w:pPr>
        <w:tabs>
          <w:tab w:val="left" w:pos="450"/>
        </w:tabs>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§1301.6 Impasse procedures.</w:t>
      </w:r>
    </w:p>
    <w:p w:rsidR="00DA2A2F" w:rsidRPr="00C1694A" w:rsidRDefault="00DA2A2F" w:rsidP="00AC521C">
      <w:pPr>
        <w:tabs>
          <w:tab w:val="left" w:pos="450"/>
        </w:tabs>
        <w:spacing w:after="0" w:line="480" w:lineRule="auto"/>
        <w:ind w:firstLine="720"/>
        <w:rPr>
          <w:rFonts w:ascii="Times New Roman" w:hAnsi="Times New Roman" w:cs="Times New Roman"/>
          <w:b/>
          <w:sz w:val="24"/>
          <w:szCs w:val="24"/>
        </w:rPr>
      </w:pPr>
    </w:p>
    <w:p w:rsidR="00DA2A2F" w:rsidRPr="00C1694A" w:rsidRDefault="00DA2A2F"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(a) To facilitate meaningful consultation and collaboration about decisions of the governing body and the policy council, each agency’s governing body and policy council jointly must establish written procedures for resolving internal disputes </w:t>
      </w:r>
      <w:r w:rsidR="00F64F61" w:rsidRPr="00C1694A">
        <w:rPr>
          <w:rFonts w:ascii="Times New Roman" w:eastAsia="Calibri" w:hAnsi="Times New Roman" w:cs="Times New Roman"/>
          <w:sz w:val="24"/>
          <w:szCs w:val="24"/>
        </w:rPr>
        <w:t xml:space="preserve">between the governing board and policy council </w:t>
      </w:r>
      <w:r w:rsidRPr="00C1694A">
        <w:rPr>
          <w:rFonts w:ascii="Times New Roman" w:eastAsia="Calibri" w:hAnsi="Times New Roman" w:cs="Times New Roman"/>
          <w:sz w:val="24"/>
          <w:szCs w:val="24"/>
        </w:rPr>
        <w:t>in a timely manner that include impasse procedures. These procedures must:</w:t>
      </w:r>
    </w:p>
    <w:p w:rsidR="00DA2A2F" w:rsidRPr="00C1694A" w:rsidRDefault="00DA2A2F" w:rsidP="00AC521C">
      <w:pPr>
        <w:spacing w:after="0" w:line="480" w:lineRule="auto"/>
        <w:ind w:firstLine="720"/>
        <w:rPr>
          <w:rFonts w:ascii="Times New Roman" w:eastAsia="Calibri" w:hAnsi="Times New Roman" w:cs="Times New Roman"/>
          <w:sz w:val="24"/>
          <w:szCs w:val="24"/>
        </w:rPr>
      </w:pPr>
    </w:p>
    <w:p w:rsidR="00DA2A2F" w:rsidRPr="00C1694A" w:rsidRDefault="00DA2A2F"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(1) Demonstrate that the governing body considers proposed decisions from the policy council</w:t>
      </w:r>
      <w:r w:rsidRPr="00C1694A">
        <w:rPr>
          <w:rFonts w:ascii="Times New Roman" w:hAnsi="Times New Roman" w:cs="Times New Roman"/>
          <w:sz w:val="24"/>
          <w:szCs w:val="24"/>
        </w:rPr>
        <w:t xml:space="preserve"> </w:t>
      </w:r>
      <w:r w:rsidRPr="00C1694A">
        <w:rPr>
          <w:rFonts w:ascii="Times New Roman" w:eastAsia="Calibri" w:hAnsi="Times New Roman" w:cs="Times New Roman"/>
          <w:sz w:val="24"/>
          <w:szCs w:val="24"/>
        </w:rPr>
        <w:t>and that the policy council considers proposed decisions from the governing body;</w:t>
      </w:r>
    </w:p>
    <w:p w:rsidR="00DA2A2F" w:rsidRPr="00C1694A" w:rsidRDefault="00DA2A2F" w:rsidP="00AC521C">
      <w:pPr>
        <w:tabs>
          <w:tab w:val="left" w:pos="360"/>
        </w:tabs>
        <w:spacing w:after="0" w:line="480" w:lineRule="auto"/>
        <w:ind w:firstLine="720"/>
        <w:rPr>
          <w:rFonts w:ascii="Times New Roman" w:eastAsia="Calibri" w:hAnsi="Times New Roman" w:cs="Times New Roman"/>
          <w:sz w:val="24"/>
          <w:szCs w:val="24"/>
        </w:rPr>
      </w:pPr>
    </w:p>
    <w:p w:rsidR="00DA2A2F" w:rsidRPr="00C1694A" w:rsidRDefault="00DA2A2F"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(2) If there is a disagreement, require the governing body and the policy council to notify the other in writing why it does not accept a decision; and,</w:t>
      </w:r>
    </w:p>
    <w:p w:rsidR="00DA2A2F" w:rsidRPr="00C1694A" w:rsidRDefault="00DA2A2F"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DA2A2F" w:rsidRPr="00C1694A" w:rsidRDefault="00DA2A2F"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(3) Describe a decision-making process and a timeline to resolve disputes and reach decisions that are not arbitrary, capricious, or illegal.</w:t>
      </w:r>
    </w:p>
    <w:p w:rsidR="00DA2A2F" w:rsidRPr="00C1694A" w:rsidRDefault="00DA2A2F"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DA2A2F" w:rsidRPr="00C1694A" w:rsidRDefault="00DA2A2F" w:rsidP="00AC521C">
      <w:pPr>
        <w:pStyle w:val="ListParagraph"/>
        <w:tabs>
          <w:tab w:val="left" w:pos="360"/>
        </w:tabs>
        <w:spacing w:after="0" w:line="480" w:lineRule="auto"/>
        <w:ind w:left="0"/>
        <w:rPr>
          <w:rFonts w:ascii="Times New Roman" w:eastAsia="Calibri" w:hAnsi="Times New Roman" w:cs="Times New Roman"/>
          <w:sz w:val="24"/>
          <w:szCs w:val="24"/>
        </w:rPr>
      </w:pPr>
      <w:r w:rsidRPr="00C1694A">
        <w:rPr>
          <w:rFonts w:ascii="Times New Roman" w:eastAsia="Calibri" w:hAnsi="Times New Roman" w:cs="Times New Roman"/>
          <w:sz w:val="24"/>
          <w:szCs w:val="24"/>
        </w:rPr>
        <w:tab/>
      </w:r>
      <w:r w:rsidRPr="00C1694A">
        <w:rPr>
          <w:rFonts w:ascii="Times New Roman" w:eastAsia="Calibri" w:hAnsi="Times New Roman" w:cs="Times New Roman"/>
          <w:sz w:val="24"/>
          <w:szCs w:val="24"/>
        </w:rPr>
        <w:tab/>
        <w:t>(b) If the agency’s decision-making process does not result in a resolution and an impasse continues, the governing body and policy council must select a mutually agreeable third party mediator and participate in a formal process of mediation that leads to a resolution of the dispute.</w:t>
      </w:r>
    </w:p>
    <w:p w:rsidR="00DA2A2F" w:rsidRPr="00C1694A" w:rsidRDefault="00DA2A2F" w:rsidP="00AC521C">
      <w:pPr>
        <w:spacing w:after="0" w:line="480" w:lineRule="auto"/>
        <w:rPr>
          <w:rFonts w:ascii="Times New Roman" w:eastAsia="Calibri" w:hAnsi="Times New Roman" w:cs="Times New Roman"/>
          <w:sz w:val="24"/>
          <w:szCs w:val="24"/>
        </w:rPr>
      </w:pPr>
    </w:p>
    <w:p w:rsidR="00DA2A2F" w:rsidRPr="00C1694A" w:rsidRDefault="00DA2A2F"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ab/>
        <w:t>(c) For all programs except American Indian and Alaska Native programs, if no resolution is reached with a mediator, the governing body and policy council must select a mutually agreeable arbitrator whose decision is final.</w:t>
      </w:r>
    </w:p>
    <w:p w:rsidR="00C03FE8" w:rsidRPr="00C1694A" w:rsidRDefault="00C03FE8" w:rsidP="00AC521C">
      <w:pPr>
        <w:spacing w:after="0" w:line="480" w:lineRule="auto"/>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eastAsia="Calibri" w:hAnsi="Times New Roman" w:cs="Times New Roman"/>
          <w:b/>
          <w:sz w:val="24"/>
          <w:szCs w:val="24"/>
        </w:rPr>
      </w:pPr>
    </w:p>
    <w:p w:rsidR="00C03FE8" w:rsidRPr="00C1694A" w:rsidDel="00D77677"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t>PART 1302</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PROGRAM OPERATIONS</w:t>
      </w:r>
      <w:r w:rsidRPr="00C1694A">
        <w:rPr>
          <w:rFonts w:ascii="Times New Roman" w:eastAsia="Calibri" w:hAnsi="Times New Roman" w:cs="Times New Roman"/>
          <w:b/>
          <w:sz w:val="24"/>
          <w:szCs w:val="24"/>
        </w:rPr>
        <w:tab/>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r w:rsidRPr="00C1694A">
        <w:rPr>
          <w:rFonts w:ascii="Times New Roman" w:hAnsi="Times New Roman" w:cs="Times New Roman"/>
          <w:b/>
          <w:bCs/>
          <w:sz w:val="24"/>
          <w:szCs w:val="24"/>
        </w:rPr>
        <w:t xml:space="preserve">Sec.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1302.1 Overview</w:t>
      </w:r>
      <w:r w:rsidR="00A6473F">
        <w:rPr>
          <w:rFonts w:ascii="Times New Roman" w:hAnsi="Times New Roman" w:cs="Times New Roman"/>
          <w:sz w:val="24"/>
          <w:szCs w:val="24"/>
        </w:rPr>
        <w:t>.</w:t>
      </w:r>
    </w:p>
    <w:p w:rsidR="00C03FE8" w:rsidRPr="00C1694A"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t>Subpart A</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 xml:space="preserve">Eligibility, Recruitment, Selection, Enrollment, and Attendance </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1302.10 </w:t>
      </w:r>
      <w:r w:rsidR="00FF76B5">
        <w:rPr>
          <w:rFonts w:ascii="Times New Roman" w:eastAsia="Calibri" w:hAnsi="Times New Roman" w:cs="Times New Roman"/>
          <w:sz w:val="24"/>
          <w:szCs w:val="24"/>
        </w:rPr>
        <w:t>Purpose</w:t>
      </w:r>
      <w:r w:rsidRPr="00C1694A">
        <w:rPr>
          <w:rFonts w:ascii="Times New Roman" w:eastAsia="Calibri" w:hAnsi="Times New Roman" w:cs="Times New Roman"/>
          <w:sz w:val="24"/>
          <w:szCs w:val="24"/>
        </w:rPr>
        <w:t xml:space="preserve">. </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1302.11 Determining community strengths, needs, and resources.</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1302.12 Determining, verifying, and documenting eligibility.</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1302.13 Recruitment of children.</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1302.14 Selection process.</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1302.15 Enrollment.</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1302.16 Attendance.</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1302.17 Suspension and expulsion.</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eastAsia="Calibri" w:hAnsi="Times New Roman" w:cs="Times New Roman"/>
          <w:sz w:val="24"/>
          <w:szCs w:val="24"/>
        </w:rPr>
        <w:t xml:space="preserve">1302.18 Fees. </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t>Subpart B</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Program Structure</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eastAsia="Calibri" w:hAnsi="Times New Roman" w:cs="Times New Roman"/>
          <w:sz w:val="24"/>
          <w:szCs w:val="24"/>
        </w:rPr>
        <w:t xml:space="preserve">1302.20 </w:t>
      </w:r>
      <w:r w:rsidR="00FF76B5">
        <w:rPr>
          <w:rFonts w:ascii="Times New Roman" w:eastAsia="Calibri" w:hAnsi="Times New Roman" w:cs="Times New Roman"/>
          <w:sz w:val="24"/>
          <w:szCs w:val="24"/>
        </w:rPr>
        <w:t>Determining program structure</w:t>
      </w:r>
      <w:r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1302.21 Center-based option.</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1302.22 Home-based option. </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1302.23 Family child care option.</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1302.24 Locally-designed program option variations. </w:t>
      </w:r>
    </w:p>
    <w:p w:rsidR="00C03FE8" w:rsidRPr="00C1694A"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t>Subpart C</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Education and Child Development Program Services</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1302.30 </w:t>
      </w:r>
      <w:r w:rsidR="00FF76B5">
        <w:rPr>
          <w:rFonts w:ascii="Times New Roman" w:eastAsia="Times New Roman" w:hAnsi="Times New Roman" w:cs="Times New Roman"/>
          <w:bCs/>
          <w:sz w:val="24"/>
          <w:szCs w:val="24"/>
        </w:rPr>
        <w:t>Purpose</w:t>
      </w:r>
      <w:r w:rsidRPr="00C1694A">
        <w:rPr>
          <w:rFonts w:ascii="Times New Roman" w:eastAsia="Times New Roman" w:hAnsi="Times New Roman" w:cs="Times New Roman"/>
          <w:bCs/>
          <w:sz w:val="24"/>
          <w:szCs w:val="24"/>
        </w:rPr>
        <w:t>.</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1302.31 Teaching and the learning environment.</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1302.32 Curricula.</w:t>
      </w:r>
    </w:p>
    <w:p w:rsidR="00C03FE8" w:rsidRPr="00C1694A" w:rsidRDefault="00C03FE8" w:rsidP="00AC521C">
      <w:pPr>
        <w:widowControl w:val="0"/>
        <w:autoSpaceDE w:val="0"/>
        <w:autoSpaceDN w:val="0"/>
        <w:adjustRightInd w:val="0"/>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1302.33 Child screenings and assessments.</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1302.34 Parent and family engagement in education and child development services.</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1302.35 Education in home-based programs.</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1302.36 Tribal language preservation and revitalization.</w:t>
      </w:r>
    </w:p>
    <w:p w:rsidR="00C03FE8" w:rsidRPr="00C1694A"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t>Subpart D</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Health Program Services</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1302.40 </w:t>
      </w:r>
      <w:r w:rsidR="00FF76B5">
        <w:rPr>
          <w:rFonts w:ascii="Times New Roman" w:eastAsia="Calibri" w:hAnsi="Times New Roman" w:cs="Times New Roman"/>
          <w:sz w:val="24"/>
          <w:szCs w:val="24"/>
        </w:rPr>
        <w:t>Purpose</w:t>
      </w:r>
      <w:r w:rsidRPr="00C1694A">
        <w:rPr>
          <w:rFonts w:ascii="Times New Roman" w:eastAsia="Calibri" w:hAnsi="Times New Roman" w:cs="Times New Roman"/>
          <w:sz w:val="24"/>
          <w:szCs w:val="24"/>
        </w:rPr>
        <w:t xml:space="preserve">.  </w:t>
      </w: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1302.41 Collaboration and communication with parents.</w:t>
      </w:r>
    </w:p>
    <w:p w:rsidR="00C03FE8" w:rsidRPr="00C1694A" w:rsidRDefault="00C03FE8" w:rsidP="00AC521C">
      <w:pPr>
        <w:widowControl w:val="0"/>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1302.42 Child health status and care.</w:t>
      </w:r>
    </w:p>
    <w:p w:rsidR="00C03FE8" w:rsidRPr="00C1694A" w:rsidRDefault="00C03FE8" w:rsidP="00AC521C">
      <w:pPr>
        <w:widowControl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1302.43 Oral health practices.</w:t>
      </w:r>
    </w:p>
    <w:p w:rsidR="00C03FE8" w:rsidRPr="00C1694A" w:rsidRDefault="00C03FE8" w:rsidP="00AC521C">
      <w:pPr>
        <w:widowControl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1302.44 Child nutrition.</w:t>
      </w:r>
    </w:p>
    <w:p w:rsidR="00C03FE8" w:rsidRPr="00C1694A" w:rsidRDefault="00C03FE8" w:rsidP="00AC521C">
      <w:pPr>
        <w:widowControl w:val="0"/>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1302.45 Child mental health and social and emotional well-being. </w:t>
      </w:r>
    </w:p>
    <w:p w:rsidR="00C03FE8" w:rsidRPr="00C1694A" w:rsidRDefault="00C03FE8" w:rsidP="00AC521C">
      <w:pPr>
        <w:widowControl w:val="0"/>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1302.46 Family support services for health, nutrition, and mental health. </w:t>
      </w:r>
    </w:p>
    <w:p w:rsidR="00C03FE8" w:rsidRPr="00C1694A" w:rsidRDefault="00C03FE8" w:rsidP="00AC521C">
      <w:pPr>
        <w:widowControl w:val="0"/>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1302.47 Safety practices. </w:t>
      </w:r>
    </w:p>
    <w:p w:rsidR="00C03FE8" w:rsidRPr="00C1694A" w:rsidRDefault="00C03FE8" w:rsidP="00AC521C">
      <w:pPr>
        <w:spacing w:after="0" w:line="480" w:lineRule="auto"/>
        <w:contextualSpacing/>
        <w:rPr>
          <w:rStyle w:val="title1"/>
          <w:rFonts w:ascii="Times New Roman" w:hAnsi="Times New Roman" w:cs="Times New Roman"/>
          <w:color w:val="auto"/>
          <w:sz w:val="24"/>
          <w:szCs w:val="24"/>
        </w:rPr>
      </w:pPr>
      <w:r w:rsidRPr="00C1694A">
        <w:rPr>
          <w:rFonts w:ascii="Times New Roman" w:eastAsia="Calibri" w:hAnsi="Times New Roman" w:cs="Times New Roman"/>
          <w:b/>
          <w:sz w:val="24"/>
          <w:szCs w:val="24"/>
        </w:rPr>
        <w:t>Subpart E</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Family and Community Engagement Program Services</w:t>
      </w:r>
    </w:p>
    <w:p w:rsidR="00C03FE8" w:rsidRPr="00C1694A" w:rsidRDefault="00C03FE8" w:rsidP="00AC521C">
      <w:pPr>
        <w:spacing w:after="0" w:line="480" w:lineRule="auto"/>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1302.50 Family engagement.</w:t>
      </w:r>
    </w:p>
    <w:p w:rsidR="00C03FE8" w:rsidRPr="00C1694A" w:rsidRDefault="00C03FE8" w:rsidP="00AC521C">
      <w:pPr>
        <w:spacing w:after="0" w:line="480" w:lineRule="auto"/>
        <w:rPr>
          <w:rStyle w:val="title1"/>
          <w:rFonts w:ascii="Times New Roman" w:hAnsi="Times New Roman" w:cs="Times New Roman"/>
          <w:b/>
          <w:color w:val="auto"/>
          <w:sz w:val="24"/>
          <w:szCs w:val="24"/>
        </w:rPr>
      </w:pPr>
      <w:r w:rsidRPr="00C1694A">
        <w:rPr>
          <w:rStyle w:val="title1"/>
          <w:rFonts w:ascii="Times New Roman" w:hAnsi="Times New Roman" w:cs="Times New Roman"/>
          <w:color w:val="auto"/>
          <w:sz w:val="24"/>
          <w:szCs w:val="24"/>
          <w:specVanish w:val="0"/>
        </w:rPr>
        <w:t>1302.51</w:t>
      </w:r>
      <w:r w:rsidRPr="00C1694A">
        <w:rPr>
          <w:rStyle w:val="title1"/>
          <w:rFonts w:ascii="Times New Roman" w:hAnsi="Times New Roman" w:cs="Times New Roman"/>
          <w:b/>
          <w:color w:val="auto"/>
          <w:sz w:val="24"/>
          <w:szCs w:val="24"/>
          <w:specVanish w:val="0"/>
        </w:rPr>
        <w:t xml:space="preserve"> </w:t>
      </w:r>
      <w:r w:rsidRPr="00C1694A">
        <w:rPr>
          <w:rStyle w:val="title1"/>
          <w:rFonts w:ascii="Times New Roman" w:hAnsi="Times New Roman" w:cs="Times New Roman"/>
          <w:color w:val="auto"/>
          <w:sz w:val="24"/>
          <w:szCs w:val="24"/>
          <w:specVanish w:val="0"/>
        </w:rPr>
        <w:t xml:space="preserve">Parent activities to promote child learning and development. </w:t>
      </w:r>
    </w:p>
    <w:p w:rsidR="00C03FE8" w:rsidRPr="00C1694A" w:rsidRDefault="00C03FE8" w:rsidP="00AC521C">
      <w:pPr>
        <w:spacing w:after="0" w:line="480" w:lineRule="auto"/>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1302.52 Family partnership services.</w:t>
      </w:r>
    </w:p>
    <w:p w:rsidR="00C03FE8" w:rsidRPr="00C1694A" w:rsidRDefault="00C03FE8" w:rsidP="00AC521C">
      <w:pPr>
        <w:spacing w:after="0" w:line="480" w:lineRule="auto"/>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1302.53 Community partnerships and coordination with other early childhood and education programs.</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F</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 xml:space="preserve">Additional Services for Children with Disabilities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1302.60 </w:t>
      </w:r>
      <w:r w:rsidR="00FF76B5">
        <w:rPr>
          <w:rFonts w:ascii="Times New Roman" w:hAnsi="Times New Roman" w:cs="Times New Roman"/>
          <w:sz w:val="24"/>
          <w:szCs w:val="24"/>
        </w:rPr>
        <w:t>Full participation in program services and activities</w:t>
      </w:r>
      <w:r w:rsidRPr="00C1694A">
        <w:rPr>
          <w:rFonts w:ascii="Times New Roman" w:hAnsi="Times New Roman" w:cs="Times New Roman"/>
          <w:sz w:val="24"/>
          <w:szCs w:val="24"/>
        </w:rPr>
        <w:t>.</w:t>
      </w:r>
    </w:p>
    <w:p w:rsidR="00C03FE8" w:rsidRPr="00C1694A" w:rsidRDefault="00C03FE8" w:rsidP="00AC521C">
      <w:pPr>
        <w:widowControl w:val="0"/>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1302.61 Additional services for children.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1302.62 Additional services for parents.</w:t>
      </w:r>
    </w:p>
    <w:p w:rsidR="00C03FE8" w:rsidRPr="00C1694A" w:rsidRDefault="00C03FE8" w:rsidP="00AC521C">
      <w:pPr>
        <w:widowControl w:val="0"/>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1302.63 Coordination and collaboration with the local agency responsible for implementing IDEA.</w:t>
      </w:r>
    </w:p>
    <w:p w:rsidR="00C03FE8" w:rsidRPr="00C1694A" w:rsidRDefault="00C03FE8" w:rsidP="00AC521C">
      <w:pPr>
        <w:spacing w:after="0" w:line="480" w:lineRule="auto"/>
        <w:rPr>
          <w:rFonts w:ascii="Times New Roman" w:eastAsia="Times New Roman" w:hAnsi="Times New Roman" w:cs="Times New Roman"/>
          <w:b/>
          <w:bCs/>
          <w:sz w:val="24"/>
          <w:szCs w:val="24"/>
        </w:rPr>
      </w:pPr>
      <w:r w:rsidRPr="00C1694A">
        <w:rPr>
          <w:rFonts w:ascii="Times New Roman" w:eastAsia="Times New Roman" w:hAnsi="Times New Roman" w:cs="Times New Roman"/>
          <w:b/>
          <w:bCs/>
          <w:sz w:val="24"/>
          <w:szCs w:val="24"/>
        </w:rPr>
        <w:t>Subpart G</w:t>
      </w:r>
      <w:r w:rsidR="008B15CA" w:rsidRPr="00C1694A">
        <w:rPr>
          <w:rFonts w:ascii="Times New Roman" w:eastAsia="Calibri" w:hAnsi="Times New Roman" w:cs="Times New Roman"/>
          <w:sz w:val="24"/>
          <w:szCs w:val="24"/>
        </w:rPr>
        <w:t>—</w:t>
      </w:r>
      <w:r w:rsidRPr="00C1694A">
        <w:rPr>
          <w:rFonts w:ascii="Times New Roman" w:eastAsia="Times New Roman" w:hAnsi="Times New Roman" w:cs="Times New Roman"/>
          <w:b/>
          <w:bCs/>
          <w:sz w:val="24"/>
          <w:szCs w:val="24"/>
        </w:rPr>
        <w:t xml:space="preserve">Transition Services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eastAsia="Times New Roman" w:hAnsi="Times New Roman" w:cs="Times New Roman"/>
          <w:bCs/>
          <w:sz w:val="24"/>
          <w:szCs w:val="24"/>
        </w:rPr>
        <w:t>1302.70</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 xml:space="preserve">Transitions from Early Head Start.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1302.71 Transitions from Head Start to kindergarten.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1302.72 Transitions between programs.</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hAnsi="Times New Roman" w:cs="Times New Roman"/>
          <w:b/>
          <w:sz w:val="24"/>
          <w:szCs w:val="24"/>
        </w:rPr>
        <w:t>Subpart H</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Services to Enrolled Pregnant Women</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1302.80 Enrolled pregnant women.</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1302.81 Prenatal and postpartum </w:t>
      </w:r>
      <w:r w:rsidRPr="00C1694A">
        <w:rPr>
          <w:rFonts w:ascii="Times New Roman" w:hAnsi="Times New Roman" w:cs="Times New Roman"/>
          <w:sz w:val="24"/>
          <w:szCs w:val="24"/>
        </w:rPr>
        <w:t>information, education, and</w:t>
      </w:r>
      <w:r w:rsidRPr="00C1694A">
        <w:rPr>
          <w:rFonts w:ascii="Times New Roman" w:hAnsi="Times New Roman" w:cs="Times New Roman"/>
          <w:sz w:val="24"/>
          <w:szCs w:val="24"/>
          <w:u w:val="single"/>
        </w:rPr>
        <w:t xml:space="preserve"> </w:t>
      </w:r>
      <w:r w:rsidRPr="00C1694A">
        <w:rPr>
          <w:rFonts w:ascii="Times New Roman" w:eastAsia="Times New Roman" w:hAnsi="Times New Roman" w:cs="Times New Roman"/>
          <w:bCs/>
          <w:sz w:val="24"/>
          <w:szCs w:val="24"/>
        </w:rPr>
        <w:t>services.</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1302.82 Family partnership services for enrolled pregnant women.  </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I</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 xml:space="preserve">Human Resources Management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1302.90 Personnel policies.</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1302.91 Staff qualification and competency requirements.</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1302.92 Training and professional development.</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1302.93 Staff health and wellness.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1302.94 Volunteers. </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J</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Program Management and Quality Improvement</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1302.100 </w:t>
      </w:r>
      <w:r w:rsidR="00FF76B5">
        <w:rPr>
          <w:rFonts w:ascii="Times New Roman" w:hAnsi="Times New Roman" w:cs="Times New Roman"/>
          <w:sz w:val="24"/>
          <w:szCs w:val="24"/>
        </w:rPr>
        <w:t>Purpose</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1302.101 Management system.</w:t>
      </w:r>
    </w:p>
    <w:p w:rsidR="00C03FE8" w:rsidRPr="00C1694A" w:rsidRDefault="00C03FE8" w:rsidP="00AC521C">
      <w:pPr>
        <w:spacing w:after="0" w:line="480" w:lineRule="auto"/>
        <w:contextualSpacing/>
        <w:rPr>
          <w:rFonts w:ascii="Times New Roman" w:eastAsia="+mn-ea" w:hAnsi="Times New Roman" w:cs="Times New Roman"/>
          <w:sz w:val="24"/>
          <w:szCs w:val="24"/>
        </w:rPr>
      </w:pPr>
      <w:r w:rsidRPr="00C1694A">
        <w:rPr>
          <w:rFonts w:ascii="Times New Roman" w:eastAsia="+mn-ea" w:hAnsi="Times New Roman" w:cs="Times New Roman"/>
          <w:sz w:val="24"/>
          <w:szCs w:val="24"/>
        </w:rPr>
        <w:t>1302.102 Achieving program goals.</w:t>
      </w:r>
    </w:p>
    <w:p w:rsidR="00C03FE8" w:rsidRPr="00C1694A" w:rsidRDefault="00C03FE8" w:rsidP="00AC521C">
      <w:pPr>
        <w:spacing w:after="0" w:line="480" w:lineRule="auto"/>
        <w:contextualSpacing/>
        <w:rPr>
          <w:rFonts w:ascii="Times New Roman" w:eastAsia="+mn-ea" w:hAnsi="Times New Roman" w:cs="Times New Roman"/>
          <w:sz w:val="24"/>
          <w:szCs w:val="24"/>
        </w:rPr>
      </w:pPr>
      <w:r w:rsidRPr="00C1694A">
        <w:rPr>
          <w:rFonts w:ascii="Times New Roman" w:eastAsia="+mn-ea" w:hAnsi="Times New Roman" w:cs="Times New Roman"/>
          <w:sz w:val="24"/>
          <w:szCs w:val="24"/>
        </w:rPr>
        <w:t>1302.103 Implementation of program performance standards.</w:t>
      </w:r>
    </w:p>
    <w:p w:rsidR="00C03FE8" w:rsidRPr="00C1694A" w:rsidRDefault="00C03FE8" w:rsidP="00AC521C">
      <w:pPr>
        <w:spacing w:after="0" w:line="480" w:lineRule="auto"/>
        <w:rPr>
          <w:rFonts w:ascii="Times New Roman" w:hAnsi="Times New Roman" w:cs="Times New Roman"/>
          <w:smallCaps/>
          <w:sz w:val="24"/>
          <w:szCs w:val="24"/>
        </w:rPr>
      </w:pPr>
    </w:p>
    <w:p w:rsidR="00C03FE8" w:rsidRPr="00C1694A" w:rsidRDefault="00C03FE8" w:rsidP="00AC521C">
      <w:pPr>
        <w:spacing w:after="0" w:line="480" w:lineRule="auto"/>
        <w:rPr>
          <w:rFonts w:ascii="Times New Roman" w:hAnsi="Times New Roman" w:cs="Times New Roman"/>
          <w:i/>
          <w:iCs/>
          <w:sz w:val="24"/>
          <w:szCs w:val="24"/>
        </w:rPr>
      </w:pPr>
      <w:r w:rsidRPr="00C1694A">
        <w:rPr>
          <w:rFonts w:ascii="Times New Roman" w:hAnsi="Times New Roman" w:cs="Times New Roman"/>
          <w:smallCaps/>
          <w:sz w:val="24"/>
          <w:szCs w:val="24"/>
        </w:rPr>
        <w:t>Authority:</w:t>
      </w:r>
      <w:r w:rsidRPr="00C1694A">
        <w:rPr>
          <w:rFonts w:ascii="Times New Roman" w:hAnsi="Times New Roman" w:cs="Times New Roman"/>
          <w:sz w:val="24"/>
          <w:szCs w:val="24"/>
        </w:rPr>
        <w:t xml:space="preserve"> 42 U.S.C. 9801 </w:t>
      </w:r>
      <w:r w:rsidRPr="00C1694A">
        <w:rPr>
          <w:rFonts w:ascii="Times New Roman" w:hAnsi="Times New Roman" w:cs="Times New Roman"/>
          <w:i/>
          <w:iCs/>
          <w:sz w:val="24"/>
          <w:szCs w:val="24"/>
        </w:rPr>
        <w:t xml:space="preserve">et seq. </w:t>
      </w:r>
    </w:p>
    <w:p w:rsidR="00C03FE8" w:rsidRPr="00C1694A" w:rsidRDefault="00C03FE8" w:rsidP="00AC521C">
      <w:pPr>
        <w:spacing w:after="0" w:line="480" w:lineRule="auto"/>
        <w:rPr>
          <w:rFonts w:ascii="Times New Roman" w:eastAsia="Calibri"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§1302.1 </w:t>
      </w:r>
      <w:r w:rsidRPr="00C1694A">
        <w:rPr>
          <w:rFonts w:ascii="Times New Roman" w:eastAsia="Calibri" w:hAnsi="Times New Roman" w:cs="Times New Roman"/>
          <w:b/>
          <w:sz w:val="24"/>
          <w:szCs w:val="24"/>
        </w:rPr>
        <w:t>Overview</w:t>
      </w:r>
      <w:r w:rsidR="00A6473F">
        <w:rPr>
          <w:rFonts w:ascii="Times New Roman" w:eastAsia="Calibri" w:hAnsi="Times New Roman" w:cs="Times New Roman"/>
          <w:b/>
          <w:sz w:val="24"/>
          <w:szCs w:val="24"/>
        </w:rPr>
        <w:t>.</w:t>
      </w:r>
    </w:p>
    <w:p w:rsidR="00C03FE8" w:rsidRPr="00C1694A" w:rsidRDefault="00C03FE8" w:rsidP="00AC521C">
      <w:pPr>
        <w:widowControl w:val="0"/>
        <w:autoSpaceDE w:val="0"/>
        <w:autoSpaceDN w:val="0"/>
        <w:adjustRightInd w:val="0"/>
        <w:spacing w:after="0" w:line="480" w:lineRule="auto"/>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part implements these statutory requirements</w:t>
      </w:r>
      <w:r w:rsidR="00FF76B5">
        <w:rPr>
          <w:rFonts w:ascii="Times New Roman" w:hAnsi="Times New Roman" w:cs="Times New Roman"/>
          <w:sz w:val="24"/>
          <w:szCs w:val="24"/>
        </w:rPr>
        <w:t xml:space="preserve"> in Sections 641A, 645, 645A, and 648A of the Act</w:t>
      </w:r>
      <w:r w:rsidRPr="00C1694A">
        <w:rPr>
          <w:rFonts w:ascii="Times New Roman" w:hAnsi="Times New Roman" w:cs="Times New Roman"/>
          <w:sz w:val="24"/>
          <w:szCs w:val="24"/>
        </w:rPr>
        <w:t xml:space="preserve"> by describing all of the program performance standards </w:t>
      </w:r>
      <w:r w:rsidR="00471A4D" w:rsidRPr="00C1694A">
        <w:rPr>
          <w:rFonts w:ascii="Times New Roman" w:hAnsi="Times New Roman" w:cs="Times New Roman"/>
          <w:sz w:val="24"/>
          <w:szCs w:val="24"/>
        </w:rPr>
        <w:t xml:space="preserve">that </w:t>
      </w:r>
      <w:r w:rsidRPr="00C1694A">
        <w:rPr>
          <w:rFonts w:ascii="Times New Roman" w:hAnsi="Times New Roman" w:cs="Times New Roman"/>
          <w:sz w:val="24"/>
          <w:szCs w:val="24"/>
        </w:rPr>
        <w:t>are required to operate Head Start, Early Head Start, American Indian and Alaska Native and Migrant or Seasonal Head Start programs.  The part covers the full range of operations from enrolling eligible children and providing program services to those children and their families, to managing programs to ensure staff are qualified and supported to effectively provide services.  This part also focuses on using data through ongoing program improvement to ensure high-quality service.  As required in the Act, these provisions do not narrow the scope or quality of services covered in previous regulations.  Instead, these regulations raise the quality standard to reflect science and best practices, and streamline and simplify requirements so programs can better understand what is required for quality services. </w:t>
      </w:r>
    </w:p>
    <w:p w:rsidR="00C03FE8" w:rsidRPr="00C1694A" w:rsidRDefault="00C03FE8" w:rsidP="00AC521C">
      <w:pPr>
        <w:spacing w:after="0" w:line="480" w:lineRule="auto"/>
        <w:ind w:firstLine="720"/>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t>Subpart A</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 xml:space="preserve">Eligibility, Recruitment, Selection, Enrollment, and Attendance </w:t>
      </w:r>
    </w:p>
    <w:p w:rsidR="00C03FE8" w:rsidRPr="00C1694A" w:rsidRDefault="00C03FE8" w:rsidP="00AC521C">
      <w:pPr>
        <w:spacing w:after="0" w:line="480" w:lineRule="auto"/>
        <w:ind w:firstLine="720"/>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§1302.10 </w:t>
      </w:r>
      <w:r w:rsidR="00FF76B5">
        <w:rPr>
          <w:rFonts w:ascii="Times New Roman" w:hAnsi="Times New Roman" w:cs="Times New Roman"/>
          <w:b/>
          <w:sz w:val="24"/>
          <w:szCs w:val="24"/>
        </w:rPr>
        <w:t>Purpose</w:t>
      </w:r>
      <w:r w:rsidRPr="00C1694A">
        <w:rPr>
          <w:rFonts w:ascii="Times New Roman" w:hAnsi="Times New Roman" w:cs="Times New Roman"/>
          <w:b/>
          <w:sz w:val="24"/>
          <w:szCs w:val="24"/>
        </w:rPr>
        <w:t xml:space="preserve">.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This subpart describes requirements of grantees for determining community strengths, needs and resources as well as recruitment areas.  It contains requirements and procedures for the eligibility determination, recruitment, selection, enrollment and attendance of children and explains the policy concerning the charging of fees.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§1302.11 Determining community strengths, needs, and resources</w:t>
      </w:r>
      <w:r w:rsidRPr="00C1694A">
        <w:rPr>
          <w:rFonts w:ascii="Times New Roman" w:eastAsia="Calibri" w:hAnsi="Times New Roman" w:cs="Times New Roman"/>
          <w:b/>
          <w:sz w:val="24"/>
          <w:szCs w:val="24"/>
        </w:rPr>
        <w:t>.</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Service area.</w:t>
      </w:r>
      <w:r w:rsidRPr="00C1694A">
        <w:rPr>
          <w:rFonts w:ascii="Times New Roman" w:eastAsia="Times New Roman" w:hAnsi="Times New Roman" w:cs="Times New Roman"/>
          <w:sz w:val="24"/>
          <w:szCs w:val="24"/>
        </w:rPr>
        <w:t xml:space="preserve">  (1) A program must propose a service area in the grant application and define the area by county or sub-county area, such as a municipality, town or census tract or jurisdiction of a federally recognized Indian reservation.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 A tribal program may propose a service area that includes areas where members of Indian tribes or those eligible for such membership reside, including but not limited to Indian reservation land, areas designated as near-reservation by the Bureau of Indian Affairs (BIA) provided that the service area is approved by the tribe’s governing council, Alaska Native Villages, Alaska Native Regional Corporations with land-based authorities, Oklahoma Tribal Statistical Areas, and Tribal Designated Statistical Areas where federally recognized Indian tribes do not have a federally established reservation.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 If the tribe’s service area includes any </w:t>
      </w:r>
      <w:r w:rsidR="00FD0686" w:rsidRPr="00C1694A">
        <w:rPr>
          <w:rFonts w:ascii="Times New Roman" w:eastAsia="Times New Roman" w:hAnsi="Times New Roman" w:cs="Times New Roman"/>
          <w:sz w:val="24"/>
          <w:szCs w:val="24"/>
        </w:rPr>
        <w:t>area</w:t>
      </w:r>
      <w:r w:rsidRPr="00C1694A">
        <w:rPr>
          <w:rFonts w:ascii="Times New Roman" w:eastAsia="Times New Roman" w:hAnsi="Times New Roman" w:cs="Times New Roman"/>
          <w:sz w:val="24"/>
          <w:szCs w:val="24"/>
        </w:rPr>
        <w:t xml:space="preserve"> specified in paragraph (a)(1)(i) of this section, and that area is also served by another program, the tribe may serve children from families who are members of or eligible to be members of such tribe and who reside in such areas as well as children from families who are not members of the tribe, but who reside within the tribe’s established </w:t>
      </w:r>
      <w:r w:rsidR="00FD0686" w:rsidRPr="00C1694A">
        <w:rPr>
          <w:rFonts w:ascii="Times New Roman" w:eastAsia="Times New Roman" w:hAnsi="Times New Roman" w:cs="Times New Roman"/>
          <w:sz w:val="24"/>
          <w:szCs w:val="24"/>
        </w:rPr>
        <w:t>service area</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If a program decides to change the service area after ACF has approved its grant application, the program must submit to ACF a new service area proposal</w:t>
      </w:r>
      <w:r w:rsidR="00126921" w:rsidRPr="00C1694A">
        <w:rPr>
          <w:rFonts w:ascii="Times New Roman" w:eastAsia="Times New Roman" w:hAnsi="Times New Roman" w:cs="Times New Roman"/>
          <w:sz w:val="24"/>
          <w:szCs w:val="24"/>
        </w:rPr>
        <w:t xml:space="preserve"> for approval</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Community wide strategic planning and needs assessment (community assessment)</w:t>
      </w:r>
      <w:r w:rsidRPr="00C1694A">
        <w:rPr>
          <w:rFonts w:ascii="Times New Roman" w:eastAsia="Times New Roman" w:hAnsi="Times New Roman" w:cs="Times New Roman"/>
          <w:sz w:val="24"/>
          <w:szCs w:val="24"/>
        </w:rPr>
        <w:t xml:space="preserve">. (1) To design a program that meets community needs, and builds on strengths and resources, a program must conduct a community assessment at least once over the five-year grant period.  The community assessment must use data that describes community strengths, needs, and resources and include, at a minimum: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 </w:t>
      </w:r>
      <w:r w:rsidR="00126921" w:rsidRPr="00C1694A">
        <w:rPr>
          <w:rFonts w:ascii="Times New Roman" w:eastAsia="Times New Roman" w:hAnsi="Times New Roman" w:cs="Times New Roman"/>
          <w:sz w:val="24"/>
          <w:szCs w:val="24"/>
        </w:rPr>
        <w:t>The number of e</w:t>
      </w:r>
      <w:r w:rsidRPr="00C1694A">
        <w:rPr>
          <w:rFonts w:ascii="Times New Roman" w:eastAsia="Times New Roman" w:hAnsi="Times New Roman" w:cs="Times New Roman"/>
          <w:sz w:val="24"/>
          <w:szCs w:val="24"/>
        </w:rPr>
        <w:t>ligible infants, toddlers, preschool age children, and expectant mothers, including their geographic location, race, ethnicity, and languages they speak</w:t>
      </w:r>
      <w:r w:rsidR="00A422C5" w:rsidRPr="00C1694A">
        <w:rPr>
          <w:rFonts w:ascii="Times New Roman" w:eastAsia="Times New Roman" w:hAnsi="Times New Roman" w:cs="Times New Roman"/>
          <w:sz w:val="24"/>
          <w:szCs w:val="24"/>
        </w:rPr>
        <w:t>, including:</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w:t>
      </w:r>
      <w:r w:rsidR="00A422C5" w:rsidRPr="00C1694A">
        <w:rPr>
          <w:rFonts w:ascii="Times New Roman" w:eastAsia="Times New Roman" w:hAnsi="Times New Roman" w:cs="Times New Roman"/>
          <w:sz w:val="24"/>
          <w:szCs w:val="24"/>
        </w:rPr>
        <w:t>A</w:t>
      </w:r>
      <w:r w:rsidRPr="00C1694A">
        <w:rPr>
          <w:rFonts w:ascii="Times New Roman" w:eastAsia="Times New Roman" w:hAnsi="Times New Roman" w:cs="Times New Roman"/>
          <w:sz w:val="24"/>
          <w:szCs w:val="24"/>
        </w:rPr>
        <w:t xml:space="preserve">) </w:t>
      </w:r>
      <w:r w:rsidR="00982AF9" w:rsidRPr="00C1694A">
        <w:rPr>
          <w:rFonts w:ascii="Times New Roman" w:eastAsia="Calibri" w:hAnsi="Times New Roman" w:cs="Times New Roman"/>
          <w:sz w:val="24"/>
          <w:szCs w:val="24"/>
        </w:rPr>
        <w:t>C</w:t>
      </w:r>
      <w:r w:rsidRPr="00C1694A">
        <w:rPr>
          <w:rFonts w:ascii="Times New Roman" w:eastAsia="Calibri" w:hAnsi="Times New Roman" w:cs="Times New Roman"/>
          <w:sz w:val="24"/>
          <w:szCs w:val="24"/>
        </w:rPr>
        <w:t>hildren experiencing homelessness in collaboration with</w:t>
      </w:r>
      <w:r w:rsidR="00602C45" w:rsidRPr="00C1694A">
        <w:rPr>
          <w:rFonts w:ascii="Times New Roman" w:eastAsia="Calibri" w:hAnsi="Times New Roman" w:cs="Times New Roman"/>
          <w:sz w:val="24"/>
          <w:szCs w:val="24"/>
        </w:rPr>
        <w:t>, to the extent possible,</w:t>
      </w:r>
      <w:r w:rsidRPr="00C1694A">
        <w:rPr>
          <w:rFonts w:ascii="Times New Roman" w:eastAsia="Calibri" w:hAnsi="Times New Roman" w:cs="Times New Roman"/>
          <w:sz w:val="24"/>
          <w:szCs w:val="24"/>
        </w:rPr>
        <w:t xml:space="preserve"> McKinney-Vento Local Education Agency Liaisons (42 U.S.C. 11432 (6)(A));</w:t>
      </w:r>
    </w:p>
    <w:p w:rsidR="00C03FE8" w:rsidRPr="00C1694A" w:rsidRDefault="00C03FE8" w:rsidP="00AC521C">
      <w:pPr>
        <w:tabs>
          <w:tab w:val="left" w:pos="270"/>
        </w:tabs>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720"/>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w:t>
      </w:r>
      <w:r w:rsidR="00A422C5" w:rsidRPr="00C1694A">
        <w:rPr>
          <w:rFonts w:ascii="Times New Roman" w:eastAsia="Calibri" w:hAnsi="Times New Roman" w:cs="Times New Roman"/>
          <w:sz w:val="24"/>
          <w:szCs w:val="24"/>
        </w:rPr>
        <w:t>B</w:t>
      </w:r>
      <w:r w:rsidRPr="00C1694A">
        <w:rPr>
          <w:rFonts w:ascii="Times New Roman" w:eastAsia="Calibri" w:hAnsi="Times New Roman" w:cs="Times New Roman"/>
          <w:sz w:val="24"/>
          <w:szCs w:val="24"/>
        </w:rPr>
        <w:t xml:space="preserve">) </w:t>
      </w:r>
      <w:r w:rsidR="00982AF9" w:rsidRPr="00C1694A">
        <w:rPr>
          <w:rFonts w:ascii="Times New Roman" w:eastAsia="Calibri" w:hAnsi="Times New Roman" w:cs="Times New Roman"/>
          <w:sz w:val="24"/>
          <w:szCs w:val="24"/>
        </w:rPr>
        <w:t>C</w:t>
      </w:r>
      <w:r w:rsidRPr="00C1694A">
        <w:rPr>
          <w:rFonts w:ascii="Times New Roman" w:eastAsia="Calibri" w:hAnsi="Times New Roman" w:cs="Times New Roman"/>
          <w:sz w:val="24"/>
          <w:szCs w:val="24"/>
        </w:rPr>
        <w:t>hildren in foster care;</w:t>
      </w:r>
      <w:r w:rsidR="00A422C5" w:rsidRPr="00C1694A">
        <w:rPr>
          <w:rFonts w:ascii="Times New Roman" w:eastAsia="Calibri" w:hAnsi="Times New Roman" w:cs="Times New Roman"/>
          <w:sz w:val="24"/>
          <w:szCs w:val="24"/>
        </w:rPr>
        <w:t xml:space="preserve"> and</w:t>
      </w:r>
    </w:p>
    <w:p w:rsidR="00A422C5" w:rsidRPr="00C1694A" w:rsidRDefault="00A422C5" w:rsidP="00AC521C">
      <w:pPr>
        <w:tabs>
          <w:tab w:val="left" w:pos="720"/>
        </w:tabs>
        <w:spacing w:after="0" w:line="480" w:lineRule="auto"/>
        <w:ind w:firstLine="720"/>
        <w:rPr>
          <w:rFonts w:ascii="Times New Roman" w:eastAsia="Calibri" w:hAnsi="Times New Roman" w:cs="Times New Roman"/>
          <w:sz w:val="24"/>
          <w:szCs w:val="24"/>
        </w:rPr>
      </w:pPr>
    </w:p>
    <w:p w:rsidR="00A422C5" w:rsidRPr="00C1694A" w:rsidRDefault="00A422C5" w:rsidP="00AC521C">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(C)</w:t>
      </w:r>
      <w:r w:rsidRPr="00C1694A">
        <w:rPr>
          <w:rFonts w:ascii="Times New Roman" w:eastAsia="Times New Roman" w:hAnsi="Times New Roman" w:cs="Times New Roman"/>
          <w:sz w:val="24"/>
          <w:szCs w:val="24"/>
        </w:rPr>
        <w:t xml:space="preserve"> Children with disabilities, including types of disabilities and relevant services and resources provided to these children by community agencies; </w:t>
      </w:r>
    </w:p>
    <w:p w:rsidR="00A422C5" w:rsidRPr="00C1694A" w:rsidRDefault="00A422C5" w:rsidP="00AC521C">
      <w:pPr>
        <w:tabs>
          <w:tab w:val="left" w:pos="720"/>
        </w:tabs>
        <w:spacing w:after="0" w:line="480" w:lineRule="auto"/>
        <w:ind w:firstLine="720"/>
        <w:rPr>
          <w:rFonts w:ascii="Times New Roman" w:eastAsia="Times New Roman" w:hAnsi="Times New Roman" w:cs="Times New Roman"/>
          <w:sz w:val="24"/>
          <w:szCs w:val="24"/>
        </w:rPr>
      </w:pPr>
    </w:p>
    <w:p w:rsidR="00A422C5" w:rsidRPr="00C1694A" w:rsidRDefault="00A422C5"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The education, health, nutrition and social service needs of eligible children and their families, including prevalent social or economic factors that impact their well-being;</w:t>
      </w:r>
    </w:p>
    <w:p w:rsidR="00982AF9" w:rsidRPr="00C1694A" w:rsidRDefault="00982AF9" w:rsidP="00AC521C">
      <w:pPr>
        <w:spacing w:after="0" w:line="480" w:lineRule="auto"/>
        <w:ind w:firstLine="720"/>
        <w:rPr>
          <w:rFonts w:ascii="Times New Roman" w:eastAsia="Times New Roman" w:hAnsi="Times New Roman" w:cs="Times New Roman"/>
          <w:sz w:val="24"/>
          <w:szCs w:val="24"/>
        </w:rPr>
      </w:pPr>
    </w:p>
    <w:p w:rsidR="00982AF9" w:rsidRPr="00C1694A" w:rsidRDefault="00982AF9"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(iii) Typical work, school, and training schedules of parents with eligible children;  </w:t>
      </w:r>
    </w:p>
    <w:p w:rsidR="00982AF9" w:rsidRPr="00C1694A" w:rsidRDefault="00982AF9"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(iv) Other child development, child care centers, and family child care programs that serve eligible children, including home visiting, publicly funded state and local preschools, and the approximate number of eligible children served;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(v) Resources that are available in the community to address the needs of eligible children and their families;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left="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w:t>
      </w:r>
      <w:r w:rsidR="00982AF9" w:rsidRPr="00C1694A">
        <w:rPr>
          <w:rFonts w:ascii="Times New Roman" w:eastAsia="Times New Roman" w:hAnsi="Times New Roman" w:cs="Times New Roman"/>
          <w:sz w:val="24"/>
          <w:szCs w:val="24"/>
        </w:rPr>
        <w:t>v</w:t>
      </w:r>
      <w:r w:rsidRPr="00C1694A">
        <w:rPr>
          <w:rFonts w:ascii="Times New Roman" w:eastAsia="Times New Roman" w:hAnsi="Times New Roman" w:cs="Times New Roman"/>
          <w:sz w:val="24"/>
          <w:szCs w:val="24"/>
        </w:rPr>
        <w:t>i)</w:t>
      </w:r>
      <w:r w:rsidR="00982AF9"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Strengths of the community.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 xml:space="preserve">(2) A program must annually review and update the community assessment </w:t>
      </w:r>
      <w:r w:rsidRPr="00C1694A">
        <w:rPr>
          <w:rFonts w:ascii="Times New Roman" w:hAnsi="Times New Roman" w:cs="Times New Roman"/>
          <w:sz w:val="24"/>
          <w:szCs w:val="24"/>
        </w:rPr>
        <w:t>to reflect any significant changes including increased availability of publicly-funded pre-kindergarten</w:t>
      </w:r>
      <w:r w:rsidR="00E726C6" w:rsidRPr="00C1694A">
        <w:rPr>
          <w:rFonts w:ascii="Times New Roman" w:hAnsi="Times New Roman" w:cs="Times New Roman"/>
          <w:sz w:val="24"/>
          <w:szCs w:val="24"/>
        </w:rPr>
        <w:t xml:space="preserve">- </w:t>
      </w:r>
      <w:r w:rsidR="00254C2E" w:rsidRPr="00C1694A">
        <w:rPr>
          <w:rFonts w:ascii="Times New Roman" w:hAnsi="Times New Roman" w:cs="Times New Roman"/>
          <w:sz w:val="24"/>
          <w:szCs w:val="24"/>
        </w:rPr>
        <w:t xml:space="preserve"> (including </w:t>
      </w:r>
      <w:r w:rsidR="00471A4D" w:rsidRPr="00C1694A">
        <w:rPr>
          <w:rFonts w:ascii="Times New Roman" w:hAnsi="Times New Roman" w:cs="Times New Roman"/>
          <w:sz w:val="24"/>
          <w:szCs w:val="24"/>
        </w:rPr>
        <w:t>an assessment of how</w:t>
      </w:r>
      <w:r w:rsidR="00254C2E" w:rsidRPr="00C1694A">
        <w:rPr>
          <w:rFonts w:ascii="Times New Roman" w:hAnsi="Times New Roman" w:cs="Times New Roman"/>
          <w:sz w:val="24"/>
          <w:szCs w:val="24"/>
        </w:rPr>
        <w:t xml:space="preserve"> the pre-kindergarten available in the community meets the needs of the parents and children served by the program</w:t>
      </w:r>
      <w:r w:rsidR="002F602B" w:rsidRPr="00C1694A">
        <w:rPr>
          <w:rFonts w:ascii="Times New Roman" w:hAnsi="Times New Roman" w:cs="Times New Roman"/>
          <w:sz w:val="24"/>
          <w:szCs w:val="24"/>
        </w:rPr>
        <w:t>, and whether it is offered for a full school day</w:t>
      </w:r>
      <w:r w:rsidR="00254C2E" w:rsidRPr="00C1694A">
        <w:rPr>
          <w:rFonts w:ascii="Times New Roman" w:hAnsi="Times New Roman" w:cs="Times New Roman"/>
          <w:sz w:val="24"/>
          <w:szCs w:val="24"/>
        </w:rPr>
        <w:t>)</w:t>
      </w:r>
      <w:r w:rsidRPr="00C1694A">
        <w:rPr>
          <w:rFonts w:ascii="Times New Roman" w:hAnsi="Times New Roman" w:cs="Times New Roman"/>
          <w:sz w:val="24"/>
          <w:szCs w:val="24"/>
        </w:rPr>
        <w:t>, rates of family and child homelessness, and significant shifts in community demographics and resources</w:t>
      </w:r>
      <w:r w:rsidRPr="00C1694A">
        <w:rPr>
          <w:rFonts w:ascii="Times New Roman" w:eastAsia="Times New Roman"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(3) A program must consider whether the characteristics of the community allow it to include children from diverse economic backgrounds that would be supported by other funding sources, including private pay, in addition to the program’s eligible funded enrollment.  A program must not enroll children from diverse economic backgrounds if it would result in a program serving less than its eligible funded enrollment.</w:t>
      </w: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C03FE8" w:rsidRPr="00C1694A" w:rsidRDefault="00C03FE8" w:rsidP="00AC521C">
      <w:pPr>
        <w:tabs>
          <w:tab w:val="left" w:pos="360"/>
        </w:tabs>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§1302.12 Determining, verifying, and documenting eligibility.</w:t>
      </w:r>
    </w:p>
    <w:p w:rsidR="00344656" w:rsidRPr="00C1694A" w:rsidRDefault="00344656" w:rsidP="00AC521C">
      <w:pPr>
        <w:tabs>
          <w:tab w:val="left" w:pos="360"/>
        </w:tabs>
        <w:spacing w:after="0" w:line="480" w:lineRule="auto"/>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bCs/>
          <w:sz w:val="24"/>
          <w:szCs w:val="24"/>
        </w:rPr>
        <w:t xml:space="preserve">(a) </w:t>
      </w:r>
      <w:r w:rsidRPr="00C1694A">
        <w:rPr>
          <w:rFonts w:ascii="Times New Roman" w:eastAsia="Calibri" w:hAnsi="Times New Roman" w:cs="Times New Roman"/>
          <w:bCs/>
          <w:sz w:val="24"/>
          <w:szCs w:val="24"/>
          <w:u w:val="single"/>
        </w:rPr>
        <w:t>Process overview.</w:t>
      </w:r>
      <w:r w:rsidRPr="00C1694A">
        <w:rPr>
          <w:rFonts w:ascii="Times New Roman" w:eastAsia="Calibri" w:hAnsi="Times New Roman" w:cs="Times New Roman"/>
          <w:bCs/>
          <w:i/>
          <w:sz w:val="24"/>
          <w:szCs w:val="24"/>
        </w:rPr>
        <w:t xml:space="preserve">  </w:t>
      </w:r>
      <w:r w:rsidRPr="00C1694A">
        <w:rPr>
          <w:rFonts w:ascii="Times New Roman" w:eastAsia="Calibri" w:hAnsi="Times New Roman" w:cs="Times New Roman"/>
          <w:bCs/>
          <w:sz w:val="24"/>
          <w:szCs w:val="24"/>
        </w:rPr>
        <w:t xml:space="preserve">(1) </w:t>
      </w:r>
      <w:r w:rsidRPr="00C1694A">
        <w:rPr>
          <w:rFonts w:ascii="Times New Roman" w:eastAsia="Calibri" w:hAnsi="Times New Roman" w:cs="Times New Roman"/>
          <w:sz w:val="24"/>
          <w:szCs w:val="24"/>
        </w:rPr>
        <w:t>Program staff must: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 C</w:t>
      </w:r>
      <w:r w:rsidRPr="00C1694A">
        <w:rPr>
          <w:rFonts w:ascii="Times New Roman" w:eastAsia="Calibri" w:hAnsi="Times New Roman" w:cs="Times New Roman"/>
          <w:bCs/>
          <w:sz w:val="24"/>
          <w:szCs w:val="24"/>
        </w:rPr>
        <w:t>onduct an in-person interview with each family, unless paragraph (a)(2) of this section applies;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(ii) Verify information as required in paragraphs (h) and (i) of this section; and,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(iii) Create an eligibility determination record for enrolled participants according to paragraph (k) of this section.</w:t>
      </w:r>
    </w:p>
    <w:p w:rsidR="00C03FE8" w:rsidRPr="00C1694A" w:rsidRDefault="00C03FE8" w:rsidP="00AC521C">
      <w:pPr>
        <w:spacing w:after="0" w:line="480" w:lineRule="auto"/>
        <w:ind w:firstLine="720"/>
        <w:rPr>
          <w:rFonts w:ascii="Times New Roman" w:eastAsia="Calibri" w:hAnsi="Times New Roman" w:cs="Times New Roman"/>
          <w:bCs/>
          <w:sz w:val="24"/>
          <w:szCs w:val="24"/>
        </w:rPr>
      </w:pPr>
    </w:p>
    <w:p w:rsidR="00C03FE8" w:rsidRPr="00C1694A" w:rsidRDefault="00C03FE8" w:rsidP="00AC521C">
      <w:pPr>
        <w:spacing w:after="0" w:line="480" w:lineRule="auto"/>
        <w:ind w:firstLine="720"/>
        <w:rPr>
          <w:rFonts w:ascii="Times New Roman" w:eastAsia="Calibri" w:hAnsi="Times New Roman" w:cs="Times New Roman"/>
          <w:bCs/>
          <w:sz w:val="24"/>
          <w:szCs w:val="24"/>
        </w:rPr>
      </w:pPr>
      <w:r w:rsidRPr="00C1694A">
        <w:rPr>
          <w:rFonts w:ascii="Times New Roman" w:eastAsia="Calibri" w:hAnsi="Times New Roman" w:cs="Times New Roman"/>
          <w:bCs/>
          <w:sz w:val="24"/>
          <w:szCs w:val="24"/>
        </w:rPr>
        <w:t>(2) Program staff may interview the family over the telephone if an in-person interview is not possible</w:t>
      </w:r>
      <w:r w:rsidR="009B317B" w:rsidRPr="00C1694A">
        <w:rPr>
          <w:rFonts w:ascii="Times New Roman" w:eastAsia="Calibri" w:hAnsi="Times New Roman" w:cs="Times New Roman"/>
          <w:bCs/>
          <w:sz w:val="24"/>
          <w:szCs w:val="24"/>
        </w:rPr>
        <w:t xml:space="preserve"> or convenient for the family</w:t>
      </w:r>
      <w:r w:rsidRPr="00C1694A">
        <w:rPr>
          <w:rFonts w:ascii="Times New Roman" w:eastAsia="Calibri" w:hAnsi="Times New Roman" w:cs="Times New Roman"/>
          <w:bCs/>
          <w:sz w:val="24"/>
          <w:szCs w:val="24"/>
        </w:rPr>
        <w:t xml:space="preserve">.  </w:t>
      </w:r>
    </w:p>
    <w:p w:rsidR="00C03FE8" w:rsidRPr="00C1694A" w:rsidRDefault="00C03FE8" w:rsidP="00AC521C">
      <w:pPr>
        <w:spacing w:after="0" w:line="480" w:lineRule="auto"/>
        <w:ind w:firstLine="720"/>
        <w:rPr>
          <w:rFonts w:ascii="Times New Roman" w:eastAsia="Calibri" w:hAnsi="Times New Roman" w:cs="Times New Roman"/>
          <w:bCs/>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bCs/>
          <w:sz w:val="24"/>
          <w:szCs w:val="24"/>
        </w:rPr>
        <w:t>(3)</w:t>
      </w:r>
      <w:r w:rsidRPr="00C1694A">
        <w:rPr>
          <w:rFonts w:ascii="Times New Roman" w:hAnsi="Times New Roman" w:cs="Times New Roman"/>
          <w:sz w:val="24"/>
          <w:szCs w:val="24"/>
        </w:rPr>
        <w:t xml:space="preserve"> I</w:t>
      </w:r>
      <w:r w:rsidRPr="00C1694A">
        <w:rPr>
          <w:rFonts w:ascii="Times New Roman" w:eastAsia="Calibri" w:hAnsi="Times New Roman" w:cs="Times New Roman"/>
          <w:sz w:val="24"/>
          <w:szCs w:val="24"/>
        </w:rPr>
        <w:t xml:space="preserve">f a program has an </w:t>
      </w:r>
      <w:r w:rsidRPr="00C1694A">
        <w:rPr>
          <w:rFonts w:ascii="Times New Roman" w:hAnsi="Times New Roman" w:cs="Times New Roman"/>
          <w:sz w:val="24"/>
          <w:szCs w:val="24"/>
        </w:rPr>
        <w:t>alternate method to reasonably determine eligibility based on its community assessment, geographic and administrative data, or from other reliable data sources, it may petition the responsible HHS official to waive requirements in paragraphs (a)(1)(i) and (ii)</w:t>
      </w:r>
      <w:r w:rsidR="00CC6BF6">
        <w:rPr>
          <w:rFonts w:ascii="Times New Roman" w:hAnsi="Times New Roman" w:cs="Times New Roman"/>
          <w:sz w:val="24"/>
          <w:szCs w:val="24"/>
        </w:rPr>
        <w:t xml:space="preserve"> of this section</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(b)</w:t>
      </w:r>
      <w:r w:rsidRPr="00C1694A">
        <w:rPr>
          <w:rFonts w:ascii="Times New Roman" w:eastAsia="Calibri" w:hAnsi="Times New Roman" w:cs="Times New Roman"/>
          <w:sz w:val="24"/>
          <w:szCs w:val="24"/>
          <w:u w:val="single"/>
        </w:rPr>
        <w:t xml:space="preserve"> Age requirements.</w:t>
      </w:r>
      <w:r w:rsidRPr="00C1694A">
        <w:rPr>
          <w:rFonts w:ascii="Times New Roman" w:eastAsia="Calibri" w:hAnsi="Times New Roman" w:cs="Times New Roman"/>
          <w:sz w:val="24"/>
          <w:szCs w:val="24"/>
        </w:rPr>
        <w:t xml:space="preserve">  (1) For Early Head Start, except when the child is transitioning to Head Start, a child must be an infant or a toddler younger than three years old.</w:t>
      </w:r>
    </w:p>
    <w:p w:rsidR="00C03FE8" w:rsidRPr="00C1694A" w:rsidRDefault="00C03FE8" w:rsidP="00AC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(2) For Head Start, a child must:</w:t>
      </w:r>
    </w:p>
    <w:p w:rsidR="00C03FE8" w:rsidRPr="00C1694A" w:rsidRDefault="00C03FE8" w:rsidP="00AC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 Be at least three years old or, turn three years old by the date used to determine eligibility for public school in the community in which the Head Start program is located; and, </w:t>
      </w:r>
    </w:p>
    <w:p w:rsidR="00C03FE8" w:rsidRPr="00C1694A" w:rsidRDefault="00C03FE8" w:rsidP="00AC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 Be no older than the age required to attend school.</w:t>
      </w:r>
    </w:p>
    <w:p w:rsidR="00C03FE8" w:rsidRPr="00C1694A" w:rsidRDefault="00C03FE8" w:rsidP="00AC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(3) For Migrant or Seasonal Head Start, a child must be younger than compulsory school age by the date used to determine public school eligibility for the community in which the program is located.</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 xml:space="preserve">(c) </w:t>
      </w:r>
      <w:r w:rsidRPr="00C1694A">
        <w:rPr>
          <w:rFonts w:ascii="Times New Roman" w:eastAsia="Calibri" w:hAnsi="Times New Roman" w:cs="Times New Roman"/>
          <w:sz w:val="24"/>
          <w:szCs w:val="24"/>
          <w:u w:val="single"/>
        </w:rPr>
        <w:t>Eligibility requirements.</w:t>
      </w:r>
      <w:r w:rsidRPr="00C1694A">
        <w:rPr>
          <w:rFonts w:ascii="Times New Roman" w:eastAsia="Calibri" w:hAnsi="Times New Roman" w:cs="Times New Roman"/>
          <w:sz w:val="24"/>
          <w:szCs w:val="24"/>
        </w:rPr>
        <w:t xml:space="preserve">  </w:t>
      </w:r>
      <w:r w:rsidRPr="00C1694A" w:rsidDel="00C411E5">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(1) A pregnant woman or a child is eligible if:</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The family’s income is equal to or below the poverty line; or,</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025DB9"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(ii) The family is eligible for or, in the absence of child care, would be potentially eligible for public assistance; including TANF child-only payments</w:t>
      </w:r>
      <w:r w:rsidR="00CC6BF6">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or</w:t>
      </w:r>
      <w:r w:rsidRPr="00C1694A">
        <w:rPr>
          <w:rFonts w:ascii="Times New Roman" w:eastAsia="Calibri"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(iii) The child is homeless, as defined in part 1305; or,</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(iv) The child is in foster care.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 xml:space="preserve">(2) </w:t>
      </w:r>
      <w:r w:rsidRPr="00C1694A">
        <w:rPr>
          <w:rFonts w:ascii="Times New Roman" w:eastAsia="Calibri" w:hAnsi="Times New Roman" w:cs="Times New Roman"/>
          <w:sz w:val="24"/>
          <w:szCs w:val="24"/>
        </w:rPr>
        <w:t xml:space="preserve">If the family does not meet a criterion under </w:t>
      </w:r>
      <w:r w:rsidR="00CC6BF6">
        <w:rPr>
          <w:rFonts w:ascii="Times New Roman" w:eastAsia="Calibri" w:hAnsi="Times New Roman" w:cs="Times New Roman"/>
          <w:sz w:val="24"/>
          <w:szCs w:val="24"/>
        </w:rPr>
        <w:t xml:space="preserve">paragraph </w:t>
      </w:r>
      <w:r w:rsidRPr="00C1694A">
        <w:rPr>
          <w:rFonts w:ascii="Times New Roman" w:eastAsia="Calibri" w:hAnsi="Times New Roman" w:cs="Times New Roman"/>
          <w:sz w:val="24"/>
          <w:szCs w:val="24"/>
        </w:rPr>
        <w:t xml:space="preserve">(c)(1) </w:t>
      </w:r>
      <w:r w:rsidR="00CC6BF6">
        <w:rPr>
          <w:rFonts w:ascii="Times New Roman" w:eastAsia="Calibri" w:hAnsi="Times New Roman" w:cs="Times New Roman"/>
          <w:sz w:val="24"/>
          <w:szCs w:val="24"/>
        </w:rPr>
        <w:t>of</w:t>
      </w:r>
      <w:r w:rsidRPr="00C1694A">
        <w:rPr>
          <w:rFonts w:ascii="Times New Roman" w:eastAsia="Calibri" w:hAnsi="Times New Roman" w:cs="Times New Roman"/>
          <w:sz w:val="24"/>
          <w:szCs w:val="24"/>
        </w:rPr>
        <w:t xml:space="preserve"> this </w:t>
      </w:r>
      <w:r w:rsidR="00CC6BF6">
        <w:rPr>
          <w:rFonts w:ascii="Times New Roman" w:eastAsia="Calibri" w:hAnsi="Times New Roman" w:cs="Times New Roman"/>
          <w:sz w:val="24"/>
          <w:szCs w:val="24"/>
        </w:rPr>
        <w:t>section</w:t>
      </w:r>
      <w:r w:rsidRPr="00C1694A">
        <w:rPr>
          <w:rFonts w:ascii="Times New Roman" w:eastAsia="Calibri" w:hAnsi="Times New Roman" w:cs="Times New Roman"/>
          <w:sz w:val="24"/>
          <w:szCs w:val="24"/>
        </w:rPr>
        <w:t>, a program may enroll a child who would benefit from services, provided that these participants only make up to 10 percent of a program’s enrollment in accordance with paragraph (d) of this section.</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(d) </w:t>
      </w:r>
      <w:r w:rsidRPr="00C1694A">
        <w:rPr>
          <w:rFonts w:ascii="Times New Roman" w:eastAsia="Calibri" w:hAnsi="Times New Roman" w:cs="Times New Roman"/>
          <w:sz w:val="24"/>
          <w:szCs w:val="24"/>
          <w:u w:val="single"/>
        </w:rPr>
        <w:t>Additional allowances for programs</w:t>
      </w:r>
      <w:r w:rsidRPr="00AC521C">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(1) A program may enroll an additional 35 percent of participants whose families do not meet a criterion described in paragraph (c) of this section and whose incomes are below 130 percent of the poverty line, if the program:</w:t>
      </w: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ab/>
      </w: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 Establishes and implements outreach, and enrollment policies and procedures to ensure it is meeting the needs of eligible pregnant women, children, and children with disabilities, before serving pregnant women or children</w:t>
      </w:r>
      <w:r w:rsidR="00F85EFE" w:rsidRPr="00C1694A">
        <w:rPr>
          <w:rFonts w:ascii="Times New Roman" w:eastAsia="Calibri" w:hAnsi="Times New Roman" w:cs="Times New Roman"/>
          <w:sz w:val="24"/>
          <w:szCs w:val="24"/>
        </w:rPr>
        <w:t xml:space="preserve"> who do not meet the criteria in </w:t>
      </w:r>
      <w:r w:rsidR="00CC6BF6">
        <w:rPr>
          <w:rFonts w:ascii="Times New Roman" w:eastAsia="Calibri" w:hAnsi="Times New Roman" w:cs="Times New Roman"/>
          <w:sz w:val="24"/>
          <w:szCs w:val="24"/>
        </w:rPr>
        <w:t xml:space="preserve">paragraph </w:t>
      </w:r>
      <w:r w:rsidR="00F85EFE" w:rsidRPr="00C1694A">
        <w:rPr>
          <w:rFonts w:ascii="Times New Roman" w:eastAsia="Calibri" w:hAnsi="Times New Roman" w:cs="Times New Roman"/>
          <w:sz w:val="24"/>
          <w:szCs w:val="24"/>
        </w:rPr>
        <w:t>(c)</w:t>
      </w:r>
      <w:r w:rsidR="00CC6BF6">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 xml:space="preserve">; and,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 Establishes criteria that ensure pregnant women and children</w:t>
      </w:r>
      <w:r w:rsidR="00F85EFE" w:rsidRPr="00C1694A">
        <w:rPr>
          <w:rFonts w:ascii="Times New Roman" w:eastAsia="Calibri" w:hAnsi="Times New Roman" w:cs="Times New Roman"/>
          <w:sz w:val="24"/>
          <w:szCs w:val="24"/>
        </w:rPr>
        <w:t xml:space="preserve"> eligible under the criteria listed in </w:t>
      </w:r>
      <w:r w:rsidR="00CC6BF6">
        <w:rPr>
          <w:rFonts w:ascii="Times New Roman" w:eastAsia="Calibri" w:hAnsi="Times New Roman" w:cs="Times New Roman"/>
          <w:sz w:val="24"/>
          <w:szCs w:val="24"/>
        </w:rPr>
        <w:t xml:space="preserve">paragraph </w:t>
      </w:r>
      <w:r w:rsidR="00F85EFE" w:rsidRPr="00C1694A">
        <w:rPr>
          <w:rFonts w:ascii="Times New Roman" w:eastAsia="Calibri" w:hAnsi="Times New Roman" w:cs="Times New Roman"/>
          <w:sz w:val="24"/>
          <w:szCs w:val="24"/>
        </w:rPr>
        <w:t>(c)</w:t>
      </w:r>
      <w:r w:rsidR="00CC6BF6">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 xml:space="preserve"> are served first.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(2) If a program chooses to enroll participants who do not meet a criterion in paragraph (c)</w:t>
      </w:r>
      <w:r w:rsidR="00CC6BF6">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 xml:space="preserve">, and whose family incomes are between 100 and 130 percent of the poverty line, it must be able to report to the Head Start regional program office: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How it is meeting the needs of low-income families or families potentially eligible for public assistance, homeless children, and children in foster care, and include local demographic data on these populations;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 Outreach and enrollment policies and procedures that ensure it is meeting the needs of eligible children or pregnant women, before serving over-income children or pregnant women;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(iii) Efforts, including outreach, to be fully enrolled with eligible pregnant women or children;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(iv) Policies, procedures, and selection criteria it uses to serve eligible children;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(v) Its current enrollment and its enrollment for the previous year;</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(vi) The number of pregnant women and children served, disaggregated by the eligibility criteria in paragraphs (c) and (d)(1)</w:t>
      </w:r>
      <w:r w:rsidR="00CC6BF6">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of this section;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(vii) The eligibility criteria category of each child on the program’s waiting list.</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(e) </w:t>
      </w:r>
      <w:r w:rsidRPr="00C1694A">
        <w:rPr>
          <w:rFonts w:ascii="Times New Roman" w:eastAsia="Calibri" w:hAnsi="Times New Roman" w:cs="Times New Roman"/>
          <w:bCs/>
          <w:sz w:val="24"/>
          <w:szCs w:val="24"/>
          <w:u w:val="single"/>
        </w:rPr>
        <w:t>Additional allowances for Indian tribes.</w:t>
      </w:r>
      <w:r w:rsidRPr="00C1694A">
        <w:rPr>
          <w:rFonts w:ascii="Times New Roman" w:eastAsia="Calibri" w:hAnsi="Times New Roman" w:cs="Times New Roman"/>
          <w:sz w:val="24"/>
          <w:szCs w:val="24"/>
        </w:rPr>
        <w:t xml:space="preserve"> (1) Notwithstanding paragraph (c)(2) of this section, a tribal program may fill more than 10 percent of its enrollment with participants who are not eligible</w:t>
      </w:r>
      <w:r w:rsidR="00F85EFE" w:rsidRPr="00C1694A">
        <w:rPr>
          <w:rFonts w:ascii="Times New Roman" w:eastAsia="Calibri" w:hAnsi="Times New Roman" w:cs="Times New Roman"/>
          <w:sz w:val="24"/>
          <w:szCs w:val="24"/>
        </w:rPr>
        <w:t xml:space="preserve"> under the criteria in </w:t>
      </w:r>
      <w:r w:rsidR="00CC6BF6">
        <w:rPr>
          <w:rFonts w:ascii="Times New Roman" w:eastAsia="Calibri" w:hAnsi="Times New Roman" w:cs="Times New Roman"/>
          <w:sz w:val="24"/>
          <w:szCs w:val="24"/>
        </w:rPr>
        <w:t xml:space="preserve">paragraph </w:t>
      </w:r>
      <w:r w:rsidR="00F85EFE" w:rsidRPr="00C1694A">
        <w:rPr>
          <w:rFonts w:ascii="Times New Roman" w:eastAsia="Calibri" w:hAnsi="Times New Roman" w:cs="Times New Roman"/>
          <w:sz w:val="24"/>
          <w:szCs w:val="24"/>
        </w:rPr>
        <w:t>(c)</w:t>
      </w:r>
      <w:r w:rsidR="00CC6BF6">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 if:</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 The </w:t>
      </w:r>
      <w:r w:rsidR="00B62B4D" w:rsidRPr="00C1694A">
        <w:rPr>
          <w:rFonts w:ascii="Times New Roman" w:eastAsia="Calibri" w:hAnsi="Times New Roman" w:cs="Times New Roman"/>
          <w:sz w:val="24"/>
          <w:szCs w:val="24"/>
        </w:rPr>
        <w:t xml:space="preserve">tribal </w:t>
      </w:r>
      <w:r w:rsidRPr="00C1694A">
        <w:rPr>
          <w:rFonts w:ascii="Times New Roman" w:eastAsia="Calibri" w:hAnsi="Times New Roman" w:cs="Times New Roman"/>
          <w:sz w:val="24"/>
          <w:szCs w:val="24"/>
        </w:rPr>
        <w:t xml:space="preserve">program has served all eligible pregnant women or children who wish to be enrolled from Indian and non-Indian families living within the </w:t>
      </w:r>
      <w:r w:rsidR="00FD0686" w:rsidRPr="00C1694A">
        <w:rPr>
          <w:rFonts w:ascii="Times New Roman" w:eastAsia="Calibri" w:hAnsi="Times New Roman" w:cs="Times New Roman"/>
          <w:sz w:val="24"/>
          <w:szCs w:val="24"/>
        </w:rPr>
        <w:t>approved service area</w:t>
      </w:r>
      <w:r w:rsidRPr="00C1694A">
        <w:rPr>
          <w:rFonts w:ascii="Times New Roman" w:eastAsia="Calibri" w:hAnsi="Times New Roman" w:cs="Times New Roman"/>
          <w:sz w:val="24"/>
          <w:szCs w:val="24"/>
        </w:rPr>
        <w:t xml:space="preserve"> of the tribal agency;</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(ii) The tribe has resources within its grant, without using additional funds from HHS intended to expand Early Head Start or Head Start services, to enroll pregnant women or children whose family incomes exceed low-income guidelines or who are not otherwise eligible; and, </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w:t>
      </w:r>
      <w:r w:rsidR="00A10564" w:rsidRPr="00C1694A">
        <w:rPr>
          <w:rFonts w:ascii="Times New Roman" w:eastAsia="Calibri" w:hAnsi="Times New Roman" w:cs="Times New Roman"/>
          <w:sz w:val="24"/>
          <w:szCs w:val="24"/>
        </w:rPr>
        <w:t>ii</w:t>
      </w:r>
      <w:r w:rsidRPr="00C1694A">
        <w:rPr>
          <w:rFonts w:ascii="Times New Roman" w:eastAsia="Calibri" w:hAnsi="Times New Roman" w:cs="Times New Roman"/>
          <w:sz w:val="24"/>
          <w:szCs w:val="24"/>
        </w:rPr>
        <w:t>) At least 51 percent of the program’s participants meet an eligibility criterion under paragraph (c)(1) of this section.</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(2) If another program does not serve </w:t>
      </w:r>
      <w:r w:rsidR="00FD0686" w:rsidRPr="00C1694A">
        <w:rPr>
          <w:rFonts w:ascii="Times New Roman" w:eastAsia="Calibri" w:hAnsi="Times New Roman" w:cs="Times New Roman"/>
          <w:sz w:val="24"/>
          <w:szCs w:val="24"/>
        </w:rPr>
        <w:t>the approved service</w:t>
      </w:r>
      <w:r w:rsidRPr="00C1694A">
        <w:rPr>
          <w:rFonts w:ascii="Times New Roman" w:eastAsia="Calibri" w:hAnsi="Times New Roman" w:cs="Times New Roman"/>
          <w:sz w:val="24"/>
          <w:szCs w:val="24"/>
        </w:rPr>
        <w:t xml:space="preserve"> area, the program must serve all eligible Indian and non-Indian pregnant women or children who wish to enroll before serving over-income pregnant women or children. </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(3) A program that meets the conditions of this paragraph</w:t>
      </w:r>
      <w:r w:rsidR="00CC6BF6">
        <w:rPr>
          <w:rFonts w:ascii="Times New Roman" w:eastAsia="Calibri" w:hAnsi="Times New Roman" w:cs="Times New Roman"/>
          <w:sz w:val="24"/>
          <w:szCs w:val="24"/>
        </w:rPr>
        <w:t xml:space="preserve"> (e)</w:t>
      </w:r>
      <w:r w:rsidRPr="00C1694A">
        <w:rPr>
          <w:rFonts w:ascii="Times New Roman" w:eastAsia="Calibri" w:hAnsi="Times New Roman" w:cs="Times New Roman"/>
          <w:sz w:val="24"/>
          <w:szCs w:val="24"/>
        </w:rPr>
        <w:t xml:space="preserve"> must annually set criteria that are approved by the policy council and the tribal council for selecting over-income pregnant women or children who would benefit from program services.</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(4) An Indian tribe or tribes that operates both an Early Head Start program and a Head Start program may, at its discretion, at any time during the grant period involved, reallocate funds between the Early Head Start program and the Head Start program in order to address fluctuations in client populations, including pregnant women and children from birth to compulsory school age.  The reallocation of such funds between programs by an Indian tribe or tribes during a year may not serve as a basis for any reduction of the base grant for either program in succeeding years.</w:t>
      </w:r>
    </w:p>
    <w:p w:rsidR="00C03FE8" w:rsidRPr="00C1694A" w:rsidRDefault="00C03FE8" w:rsidP="00AC521C">
      <w:pPr>
        <w:spacing w:after="0" w:line="480" w:lineRule="auto"/>
        <w:rPr>
          <w:rFonts w:ascii="Times New Roman" w:eastAsia="Calibri" w:hAnsi="Times New Roman" w:cs="Times New Roman"/>
          <w:sz w:val="24"/>
          <w:szCs w:val="24"/>
        </w:rPr>
      </w:pPr>
      <w:r w:rsidRPr="00C1694A" w:rsidDel="004216D0">
        <w:rPr>
          <w:rFonts w:ascii="Times New Roman" w:eastAsia="Calibri"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 xml:space="preserve">(f) </w:t>
      </w:r>
      <w:r w:rsidRPr="00C1694A">
        <w:rPr>
          <w:rFonts w:ascii="Times New Roman" w:eastAsia="Calibri" w:hAnsi="Times New Roman" w:cs="Times New Roman"/>
          <w:sz w:val="24"/>
          <w:szCs w:val="24"/>
          <w:u w:val="single"/>
        </w:rPr>
        <w:t>Migrant or Seasonal eligibility requirements.</w:t>
      </w:r>
      <w:r w:rsidRPr="00C1694A">
        <w:rPr>
          <w:rFonts w:ascii="Times New Roman" w:eastAsia="Calibri" w:hAnsi="Times New Roman" w:cs="Times New Roman"/>
          <w:sz w:val="24"/>
          <w:szCs w:val="24"/>
        </w:rPr>
        <w:t xml:space="preserve">  A child is eligible for Migrant or Seasonal Head Start, if</w:t>
      </w:r>
      <w:r w:rsidRPr="00C1694A">
        <w:rPr>
          <w:rFonts w:ascii="Times New Roman" w:eastAsia="Times New Roman" w:hAnsi="Times New Roman" w:cs="Times New Roman"/>
          <w:sz w:val="24"/>
          <w:szCs w:val="24"/>
        </w:rPr>
        <w:t xml:space="preserve"> the family meets an eligibility criterion in paragraphs (c) and (d) of this section; and the family’s income comes primarily from agricultural work.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(g) </w:t>
      </w:r>
      <w:r w:rsidRPr="00C1694A">
        <w:rPr>
          <w:rFonts w:ascii="Times New Roman" w:eastAsia="Calibri" w:hAnsi="Times New Roman" w:cs="Times New Roman"/>
          <w:sz w:val="24"/>
          <w:szCs w:val="24"/>
          <w:u w:val="single"/>
        </w:rPr>
        <w:t>Eligibility requirements for communities with 1,000 or fewer individuals.</w:t>
      </w:r>
      <w:r w:rsidRPr="00C1694A">
        <w:rPr>
          <w:rFonts w:ascii="Times New Roman" w:hAnsi="Times New Roman" w:cs="Times New Roman"/>
          <w:sz w:val="24"/>
          <w:szCs w:val="24"/>
        </w:rPr>
        <w:t xml:space="preserve"> </w:t>
      </w:r>
      <w:r w:rsidRPr="00C1694A">
        <w:rPr>
          <w:rFonts w:ascii="Times New Roman" w:eastAsia="Calibri" w:hAnsi="Times New Roman" w:cs="Times New Roman"/>
          <w:sz w:val="24"/>
          <w:szCs w:val="24"/>
        </w:rPr>
        <w:t xml:space="preserve">(1) A program may establish its own criteria for eligibility provided that it meets the criteria outlined in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645(a)(2) of the Act.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ab/>
        <w:t>(2) No child residing in such community whose family is eligible under criteria described in paragraphs (c) through (f) of this section, may be denied an opportunity to participate in the program under the eligibility criteria established under this paragraph</w:t>
      </w:r>
      <w:r w:rsidR="00CC6BF6">
        <w:rPr>
          <w:rFonts w:ascii="Times New Roman" w:eastAsia="Calibri" w:hAnsi="Times New Roman" w:cs="Times New Roman"/>
          <w:sz w:val="24"/>
          <w:szCs w:val="24"/>
        </w:rPr>
        <w:t xml:space="preserve"> (g)</w:t>
      </w:r>
      <w:r w:rsidRPr="00C1694A">
        <w:rPr>
          <w:rFonts w:ascii="Times New Roman" w:eastAsia="Calibri"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(h) </w:t>
      </w:r>
      <w:r w:rsidRPr="00C1694A">
        <w:rPr>
          <w:rFonts w:ascii="Times New Roman" w:eastAsia="Calibri" w:hAnsi="Times New Roman" w:cs="Times New Roman"/>
          <w:bCs/>
          <w:sz w:val="24"/>
          <w:szCs w:val="24"/>
          <w:u w:val="single"/>
        </w:rPr>
        <w:t>Verifying age.</w:t>
      </w:r>
      <w:r w:rsidRPr="00C1694A">
        <w:rPr>
          <w:rFonts w:ascii="Times New Roman" w:eastAsia="Calibri" w:hAnsi="Times New Roman" w:cs="Times New Roman"/>
          <w:bCs/>
          <w:sz w:val="24"/>
          <w:szCs w:val="24"/>
        </w:rPr>
        <w:t xml:space="preserve"> </w:t>
      </w:r>
      <w:r w:rsidRPr="00C1694A">
        <w:rPr>
          <w:rFonts w:ascii="Times New Roman" w:eastAsia="Calibri" w:hAnsi="Times New Roman" w:cs="Times New Roman"/>
          <w:sz w:val="24"/>
          <w:szCs w:val="24"/>
        </w:rPr>
        <w:t xml:space="preserve">Program staff must verify a child’s age according to program policies and procedures.  A program’s policies and procedures cannot require </w:t>
      </w:r>
      <w:r w:rsidR="00B62B4D" w:rsidRPr="00C1694A">
        <w:rPr>
          <w:rFonts w:ascii="Times New Roman" w:eastAsia="Calibri" w:hAnsi="Times New Roman" w:cs="Times New Roman"/>
          <w:sz w:val="24"/>
          <w:szCs w:val="24"/>
        </w:rPr>
        <w:t>families to provide</w:t>
      </w:r>
      <w:r w:rsidRPr="00C1694A">
        <w:rPr>
          <w:rFonts w:ascii="Times New Roman" w:eastAsia="Calibri" w:hAnsi="Times New Roman" w:cs="Times New Roman"/>
          <w:sz w:val="24"/>
          <w:szCs w:val="24"/>
        </w:rPr>
        <w:t xml:space="preserve"> documents that confirm a child’s age, if doing so creates a barrier for the family to enroll the child.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 </w:t>
      </w:r>
      <w:r w:rsidRPr="00C1694A">
        <w:rPr>
          <w:rFonts w:ascii="Times New Roman" w:eastAsia="Calibri" w:hAnsi="Times New Roman" w:cs="Times New Roman"/>
          <w:bCs/>
          <w:sz w:val="24"/>
          <w:szCs w:val="24"/>
          <w:u w:val="single"/>
        </w:rPr>
        <w:t>Verifying eligibility</w:t>
      </w:r>
      <w:r w:rsidRPr="00AC521C">
        <w:rPr>
          <w:rFonts w:ascii="Times New Roman" w:eastAsia="Calibri" w:hAnsi="Times New Roman" w:cs="Times New Roman"/>
          <w:bCs/>
          <w:sz w:val="24"/>
          <w:szCs w:val="24"/>
        </w:rPr>
        <w:t>.</w:t>
      </w:r>
      <w:r w:rsidRPr="00AC521C">
        <w:rPr>
          <w:rFonts w:ascii="Times New Roman" w:eastAsia="Calibri" w:hAnsi="Times New Roman" w:cs="Times New Roman"/>
          <w:sz w:val="24"/>
          <w:szCs w:val="24"/>
        </w:rPr>
        <w:t> </w:t>
      </w:r>
      <w:r w:rsidRPr="00CC6BF6">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 xml:space="preserve">(1) To verify eligibility based on income, program staff must use tax forms, pay stubs, or other proof of income to determine the family income for the relevant time period. </w:t>
      </w:r>
    </w:p>
    <w:p w:rsidR="00C03FE8" w:rsidRPr="00C1694A" w:rsidRDefault="00C03FE8" w:rsidP="00AC521C">
      <w:pPr>
        <w:tabs>
          <w:tab w:val="left" w:pos="360"/>
        </w:tabs>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 If the family cannot provide tax forms, pay stubs, or other proof of income for the relevant time period, program staff may accept written statements from employers, including individuals who are self-employed, for the relevant time period and use information provided to calculate total annual income with appropriate multipliers.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 If the family reports no income for the relevant time period, a</w:t>
      </w:r>
      <w:r w:rsidRPr="00C1694A">
        <w:rPr>
          <w:rFonts w:ascii="Times New Roman" w:eastAsia="Calibri" w:hAnsi="Times New Roman" w:cs="Times New Roman"/>
          <w:iCs/>
          <w:sz w:val="24"/>
          <w:szCs w:val="24"/>
        </w:rPr>
        <w:t xml:space="preserve"> program </w:t>
      </w:r>
      <w:r w:rsidRPr="00C1694A">
        <w:rPr>
          <w:rFonts w:ascii="Times New Roman" w:eastAsia="Calibri" w:hAnsi="Times New Roman" w:cs="Times New Roman"/>
          <w:sz w:val="24"/>
          <w:szCs w:val="24"/>
        </w:rPr>
        <w:t>may accept the family’s signed declaration to that effect, if program staff describes efforts made to verify the family’s income, and explains how the family’s total income was calculated or s</w:t>
      </w:r>
      <w:r w:rsidRPr="00C1694A">
        <w:rPr>
          <w:rFonts w:ascii="Times New Roman" w:eastAsia="Calibri" w:hAnsi="Times New Roman" w:cs="Times New Roman"/>
          <w:iCs/>
          <w:sz w:val="24"/>
          <w:szCs w:val="24"/>
        </w:rPr>
        <w:t xml:space="preserve">eeks information from third parties about the family’s eligibility, if the family gives written consent.  If a family gives consent to contact third parties, program staff must </w:t>
      </w:r>
      <w:r w:rsidRPr="00C1694A">
        <w:rPr>
          <w:rFonts w:ascii="Times New Roman" w:eastAsia="Calibri" w:hAnsi="Times New Roman" w:cs="Times New Roman"/>
          <w:sz w:val="24"/>
          <w:szCs w:val="24"/>
        </w:rPr>
        <w:t xml:space="preserve">adhere </w:t>
      </w:r>
      <w:r w:rsidRPr="00C1694A">
        <w:rPr>
          <w:rFonts w:ascii="Times New Roman" w:hAnsi="Times New Roman" w:cs="Times New Roman"/>
          <w:sz w:val="24"/>
          <w:szCs w:val="24"/>
        </w:rPr>
        <w:t>to program safety and privacy policies and procedures</w:t>
      </w:r>
      <w:r w:rsidRPr="00C1694A">
        <w:rPr>
          <w:rFonts w:ascii="Times New Roman" w:eastAsia="Calibri" w:hAnsi="Times New Roman" w:cs="Times New Roman"/>
          <w:iCs/>
          <w:sz w:val="24"/>
          <w:szCs w:val="24"/>
        </w:rPr>
        <w:t xml:space="preserve"> and ensure the eligibility determination record adheres to </w:t>
      </w:r>
      <w:r w:rsidRPr="00C1694A">
        <w:rPr>
          <w:rFonts w:ascii="Times New Roman" w:eastAsia="Calibri" w:hAnsi="Times New Roman" w:cs="Times New Roman"/>
          <w:sz w:val="24"/>
          <w:szCs w:val="24"/>
        </w:rPr>
        <w:t>paragraph (k)(2) of this section.</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(iii) If the family can demonstrate a significant change in income for the relevant time period, program staff may consider current income circumstances.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(2) To verify whether a family is eligible for, or in the absence of child care, would be potentially eligible for public assistance, the program must have documentation from either the state, local, or tribal public assistance agency that shows the family either receives public assistance or that shows the family is potentially eligible to receive public assistance.</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(3) To verify whether a family is homeless, a program may accept a written statement from a homeless services provider, school personnel, or other service agency attesting that the child is homeless or any other documentation that indicates homelessness, including documentation from a public or private agency, a declaration, information gathered on enrollment or application forms, or notes from an interview with staff to establish the child is homeless; or any other document that establishes homelessness.  </w:t>
      </w:r>
    </w:p>
    <w:p w:rsidR="00C03FE8" w:rsidRPr="00C1694A" w:rsidRDefault="00C03FE8" w:rsidP="00AC521C">
      <w:pPr>
        <w:spacing w:after="0" w:line="480" w:lineRule="auto"/>
        <w:rPr>
          <w:rFonts w:ascii="Times New Roman" w:eastAsia="Calibri" w:hAnsi="Times New Roman" w:cs="Times New Roman"/>
          <w:iCs/>
          <w:sz w:val="24"/>
          <w:szCs w:val="24"/>
        </w:rPr>
      </w:pPr>
    </w:p>
    <w:p w:rsidR="00C03FE8" w:rsidRPr="00C1694A" w:rsidRDefault="00C03FE8" w:rsidP="00AC521C">
      <w:pPr>
        <w:spacing w:after="0" w:line="480" w:lineRule="auto"/>
        <w:ind w:firstLine="720"/>
        <w:rPr>
          <w:rFonts w:ascii="Times New Roman" w:eastAsia="Calibri" w:hAnsi="Times New Roman" w:cs="Times New Roman"/>
          <w:iCs/>
          <w:sz w:val="24"/>
          <w:szCs w:val="24"/>
        </w:rPr>
      </w:pPr>
      <w:r w:rsidRPr="00C1694A">
        <w:rPr>
          <w:rFonts w:ascii="Times New Roman" w:eastAsia="Calibri" w:hAnsi="Times New Roman" w:cs="Times New Roman"/>
          <w:iCs/>
          <w:sz w:val="24"/>
          <w:szCs w:val="24"/>
        </w:rPr>
        <w:t xml:space="preserve">(i) If a family can provide one of the documents described in </w:t>
      </w:r>
      <w:r w:rsidR="00CC6BF6">
        <w:rPr>
          <w:rFonts w:ascii="Times New Roman" w:eastAsia="Calibri" w:hAnsi="Times New Roman" w:cs="Times New Roman"/>
          <w:iCs/>
          <w:sz w:val="24"/>
          <w:szCs w:val="24"/>
        </w:rPr>
        <w:t xml:space="preserve">this </w:t>
      </w:r>
      <w:r w:rsidRPr="00C1694A">
        <w:rPr>
          <w:rFonts w:ascii="Times New Roman" w:eastAsia="Calibri" w:hAnsi="Times New Roman" w:cs="Times New Roman"/>
          <w:iCs/>
          <w:sz w:val="24"/>
          <w:szCs w:val="24"/>
        </w:rPr>
        <w:t xml:space="preserve">paragraph (i)(3), program staff must </w:t>
      </w:r>
      <w:r w:rsidRPr="00C1694A">
        <w:rPr>
          <w:rFonts w:ascii="Times New Roman" w:eastAsia="Calibri" w:hAnsi="Times New Roman" w:cs="Times New Roman"/>
          <w:sz w:val="24"/>
          <w:szCs w:val="24"/>
        </w:rPr>
        <w:t>describe efforts made to verify the accuracy of the information provided and</w:t>
      </w:r>
      <w:r w:rsidRPr="00C1694A">
        <w:rPr>
          <w:rFonts w:ascii="Times New Roman" w:eastAsia="Calibri" w:hAnsi="Times New Roman" w:cs="Times New Roman"/>
          <w:iCs/>
          <w:sz w:val="24"/>
          <w:szCs w:val="24"/>
        </w:rPr>
        <w:t xml:space="preserve"> s</w:t>
      </w:r>
      <w:r w:rsidRPr="00C1694A">
        <w:rPr>
          <w:rFonts w:ascii="Times New Roman" w:eastAsia="Calibri" w:hAnsi="Times New Roman" w:cs="Times New Roman"/>
          <w:sz w:val="24"/>
          <w:szCs w:val="24"/>
        </w:rPr>
        <w:t>tate whether the family is eligible because they are homeless.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(ii) If a family cannot provide one of the documents described in </w:t>
      </w:r>
      <w:r w:rsidR="00CC6BF6">
        <w:rPr>
          <w:rFonts w:ascii="Times New Roman" w:eastAsia="Calibri" w:hAnsi="Times New Roman" w:cs="Times New Roman"/>
          <w:sz w:val="24"/>
          <w:szCs w:val="24"/>
        </w:rPr>
        <w:t xml:space="preserve">this </w:t>
      </w:r>
      <w:r w:rsidRPr="00C1694A">
        <w:rPr>
          <w:rFonts w:ascii="Times New Roman" w:eastAsia="Calibri" w:hAnsi="Times New Roman" w:cs="Times New Roman"/>
          <w:sz w:val="24"/>
          <w:szCs w:val="24"/>
        </w:rPr>
        <w:t xml:space="preserve">paragraph (i)(3) to prove the child is homeless, a </w:t>
      </w:r>
      <w:r w:rsidRPr="00C1694A">
        <w:rPr>
          <w:rFonts w:ascii="Times New Roman" w:eastAsia="Calibri" w:hAnsi="Times New Roman" w:cs="Times New Roman"/>
          <w:iCs/>
          <w:sz w:val="24"/>
          <w:szCs w:val="24"/>
        </w:rPr>
        <w:t xml:space="preserve">program may </w:t>
      </w:r>
      <w:r w:rsidRPr="00C1694A">
        <w:rPr>
          <w:rFonts w:ascii="Times New Roman" w:eastAsia="Calibri" w:hAnsi="Times New Roman" w:cs="Times New Roman"/>
          <w:sz w:val="24"/>
          <w:szCs w:val="24"/>
        </w:rPr>
        <w:t>accept the family’s signed declaration to that effect, if, in a written statement, program staff describe the child’s living situation that meets the definition of homeless in part 1305</w:t>
      </w:r>
      <w:r w:rsidR="00CC6BF6">
        <w:rPr>
          <w:rFonts w:ascii="Times New Roman" w:eastAsia="Calibri" w:hAnsi="Times New Roman" w:cs="Times New Roman"/>
          <w:sz w:val="24"/>
          <w:szCs w:val="24"/>
        </w:rPr>
        <w:t xml:space="preserve"> of this chapter</w:t>
      </w:r>
      <w:r w:rsidRPr="00C1694A">
        <w:rPr>
          <w:rFonts w:ascii="Times New Roman" w:eastAsia="Calibri"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(iii) Program staff</w:t>
      </w:r>
      <w:r w:rsidRPr="00C1694A">
        <w:rPr>
          <w:rFonts w:ascii="Times New Roman" w:eastAsia="Calibri" w:hAnsi="Times New Roman" w:cs="Times New Roman"/>
          <w:iCs/>
          <w:sz w:val="24"/>
          <w:szCs w:val="24"/>
        </w:rPr>
        <w:t xml:space="preserve"> may seek information from third parties who have firsthand knowledge about a family’s living situation, if the family gives written consent.  If the family gives consent to contact third parties, program staff must adhere to </w:t>
      </w:r>
      <w:r w:rsidRPr="00C1694A">
        <w:rPr>
          <w:rFonts w:ascii="Times New Roman" w:hAnsi="Times New Roman" w:cs="Times New Roman"/>
          <w:sz w:val="24"/>
          <w:szCs w:val="24"/>
        </w:rPr>
        <w:t>program privacy policies and procedures</w:t>
      </w:r>
      <w:r w:rsidRPr="00C1694A">
        <w:rPr>
          <w:rFonts w:ascii="Times New Roman" w:eastAsia="Calibri" w:hAnsi="Times New Roman" w:cs="Times New Roman"/>
          <w:iCs/>
          <w:sz w:val="24"/>
          <w:szCs w:val="24"/>
        </w:rPr>
        <w:t xml:space="preserve"> and ensure the eligibility determination record adheres to </w:t>
      </w:r>
      <w:r w:rsidRPr="00C1694A">
        <w:rPr>
          <w:rFonts w:ascii="Times New Roman" w:eastAsia="Calibri" w:hAnsi="Times New Roman" w:cs="Times New Roman"/>
          <w:sz w:val="24"/>
          <w:szCs w:val="24"/>
        </w:rPr>
        <w:t>paragraph (k) of this section</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To verify whether a child is in foster care, program staff must accept either a court order or other legal or government-issued document, a written statement from a government child welfare official that demonstrates the child is in foster care, or proof of a foster care payment.</w:t>
      </w:r>
      <w:r w:rsidRPr="00C1694A">
        <w:rPr>
          <w:rFonts w:ascii="Times New Roman" w:hAnsi="Times New Roman" w:cs="Times New Roman"/>
          <w:sz w:val="24"/>
          <w:szCs w:val="24"/>
        </w:rPr>
        <w:br/>
      </w: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hAnsi="Times New Roman" w:cs="Times New Roman"/>
          <w:sz w:val="24"/>
          <w:szCs w:val="24"/>
        </w:rPr>
        <w:t xml:space="preserve">(j) </w:t>
      </w:r>
      <w:r w:rsidRPr="00C1694A">
        <w:rPr>
          <w:rFonts w:ascii="Times New Roman" w:hAnsi="Times New Roman" w:cs="Times New Roman"/>
          <w:sz w:val="24"/>
          <w:szCs w:val="24"/>
          <w:u w:val="single"/>
        </w:rPr>
        <w:t>Eligibility duration.</w:t>
      </w:r>
      <w:r w:rsidRPr="00C1694A">
        <w:rPr>
          <w:rFonts w:ascii="Times New Roman" w:hAnsi="Times New Roman" w:cs="Times New Roman"/>
          <w:sz w:val="24"/>
          <w:szCs w:val="24"/>
        </w:rPr>
        <w:t xml:space="preserve"> </w:t>
      </w:r>
      <w:r w:rsidRPr="00C1694A">
        <w:rPr>
          <w:rFonts w:ascii="Times New Roman" w:eastAsia="Calibri" w:hAnsi="Times New Roman" w:cs="Times New Roman"/>
          <w:sz w:val="24"/>
          <w:szCs w:val="24"/>
        </w:rPr>
        <w:t>(1) If a child is determined eligible under this section and is participating in a Head Start program, he or she will remain eligible through the end of the succeeding program year except that the Head Start program may choose not to enroll a child when there are compelling reasons for the child not to remain in Head Start, such as when there is a change in the child's family income and there is a child with a greater need for Head Start services.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(2)</w:t>
      </w:r>
      <w:r w:rsidRPr="00C1694A">
        <w:rPr>
          <w:rFonts w:ascii="Times New Roman" w:eastAsia="Times New Roman" w:hAnsi="Times New Roman" w:cs="Times New Roman"/>
          <w:sz w:val="24"/>
          <w:szCs w:val="24"/>
        </w:rPr>
        <w:t xml:space="preserve"> Children who are enrolled in a program receiving funds under the authority of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ection 645A of the Act remain eligible while they participate in the program.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(3)  If a child moves from an Early Head Start program to a Head Start program, program staff must verify the family’s eligibility again.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(4) </w:t>
      </w:r>
      <w:r w:rsidRPr="00C1694A">
        <w:rPr>
          <w:rFonts w:ascii="Times New Roman" w:eastAsia="Times New Roman" w:hAnsi="Times New Roman" w:cs="Times New Roman"/>
          <w:sz w:val="24"/>
          <w:szCs w:val="24"/>
        </w:rPr>
        <w:t>If a program operates both an Early Head Start and a Head Start program, and the parents wish to enroll their child who has been enrolled in the program’s Early Head Start, the program must ensure, whenever possible, the child receives Head Start services until enrolled in school</w:t>
      </w:r>
      <w:r w:rsidR="00C255EF" w:rsidRPr="00C1694A">
        <w:rPr>
          <w:rFonts w:ascii="Times New Roman" w:eastAsia="Times New Roman" w:hAnsi="Times New Roman" w:cs="Times New Roman"/>
          <w:sz w:val="24"/>
          <w:szCs w:val="24"/>
        </w:rPr>
        <w:t>, provided the child is eligible</w:t>
      </w:r>
      <w:r w:rsidRPr="00C1694A">
        <w:rPr>
          <w:rFonts w:ascii="Times New Roman" w:eastAsia="Times New Roman"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bCs/>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bCs/>
          <w:sz w:val="24"/>
          <w:szCs w:val="24"/>
        </w:rPr>
        <w:t xml:space="preserve">(k) </w:t>
      </w:r>
      <w:r w:rsidRPr="00C1694A">
        <w:rPr>
          <w:rFonts w:ascii="Times New Roman" w:eastAsia="Calibri" w:hAnsi="Times New Roman" w:cs="Times New Roman"/>
          <w:bCs/>
          <w:sz w:val="24"/>
          <w:szCs w:val="24"/>
          <w:u w:val="single"/>
        </w:rPr>
        <w:t>Records</w:t>
      </w:r>
      <w:r w:rsidRPr="00C1694A">
        <w:rPr>
          <w:rFonts w:ascii="Times New Roman" w:eastAsia="Calibri" w:hAnsi="Times New Roman" w:cs="Times New Roman"/>
          <w:sz w:val="24"/>
          <w:szCs w:val="24"/>
          <w:u w:val="single"/>
        </w:rPr>
        <w:t>.</w:t>
      </w:r>
      <w:r w:rsidRPr="00C1694A">
        <w:rPr>
          <w:rFonts w:ascii="Times New Roman" w:eastAsia="Calibri" w:hAnsi="Times New Roman" w:cs="Times New Roman"/>
          <w:sz w:val="24"/>
          <w:szCs w:val="24"/>
        </w:rPr>
        <w:t xml:space="preserve"> (1) A program must keep eligibility determination records for each participant and ongoing </w:t>
      </w:r>
      <w:r w:rsidR="001653B4" w:rsidRPr="00C1694A">
        <w:rPr>
          <w:rFonts w:ascii="Times New Roman" w:eastAsia="Calibri" w:hAnsi="Times New Roman" w:cs="Times New Roman"/>
          <w:sz w:val="24"/>
          <w:szCs w:val="24"/>
        </w:rPr>
        <w:t xml:space="preserve">records of the </w:t>
      </w:r>
      <w:r w:rsidRPr="00C1694A">
        <w:rPr>
          <w:rFonts w:ascii="Times New Roman" w:eastAsia="Calibri" w:hAnsi="Times New Roman" w:cs="Times New Roman"/>
          <w:sz w:val="24"/>
          <w:szCs w:val="24"/>
        </w:rPr>
        <w:t>eligibility training  for staff</w:t>
      </w:r>
      <w:r w:rsidR="001653B4" w:rsidRPr="00C1694A">
        <w:rPr>
          <w:rFonts w:ascii="Times New Roman" w:eastAsia="Calibri" w:hAnsi="Times New Roman" w:cs="Times New Roman"/>
          <w:sz w:val="24"/>
          <w:szCs w:val="24"/>
        </w:rPr>
        <w:t xml:space="preserve"> required by par</w:t>
      </w:r>
      <w:r w:rsidR="00417C82" w:rsidRPr="00C1694A">
        <w:rPr>
          <w:rFonts w:ascii="Times New Roman" w:eastAsia="Calibri" w:hAnsi="Times New Roman" w:cs="Times New Roman"/>
          <w:sz w:val="24"/>
          <w:szCs w:val="24"/>
        </w:rPr>
        <w:t>a</w:t>
      </w:r>
      <w:r w:rsidR="001653B4" w:rsidRPr="00C1694A">
        <w:rPr>
          <w:rFonts w:ascii="Times New Roman" w:eastAsia="Calibri" w:hAnsi="Times New Roman" w:cs="Times New Roman"/>
          <w:sz w:val="24"/>
          <w:szCs w:val="24"/>
        </w:rPr>
        <w:t>graph</w:t>
      </w:r>
      <w:r w:rsidR="00417C82" w:rsidRPr="00C1694A">
        <w:rPr>
          <w:rFonts w:ascii="Times New Roman" w:eastAsia="Calibri" w:hAnsi="Times New Roman" w:cs="Times New Roman"/>
          <w:sz w:val="24"/>
          <w:szCs w:val="24"/>
        </w:rPr>
        <w:t xml:space="preserve"> </w:t>
      </w:r>
      <w:r w:rsidR="001653B4" w:rsidRPr="00C1694A">
        <w:rPr>
          <w:rFonts w:ascii="Times New Roman" w:eastAsia="Calibri" w:hAnsi="Times New Roman" w:cs="Times New Roman"/>
          <w:sz w:val="24"/>
          <w:szCs w:val="24"/>
        </w:rPr>
        <w:t>(m)</w:t>
      </w:r>
      <w:r w:rsidR="00CC6BF6">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  A program may keep these records electronically.</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ab/>
        <w:t>(2)  Each eligibility determination record must include:</w:t>
      </w:r>
    </w:p>
    <w:p w:rsidR="00C03FE8" w:rsidRPr="00C1694A" w:rsidRDefault="00C03FE8" w:rsidP="00AC5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rPr>
          <w:rFonts w:ascii="Times New Roman" w:eastAsia="Calibri" w:hAnsi="Times New Roman" w:cs="Times New Roman"/>
          <w:sz w:val="24"/>
          <w:szCs w:val="24"/>
        </w:rPr>
      </w:pPr>
    </w:p>
    <w:p w:rsidR="00C03FE8" w:rsidRPr="00C1694A" w:rsidRDefault="00C03FE8" w:rsidP="00AC5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ab/>
        <w:t>(i) Copies of any documents or statements, including declarations, that are deemed necessary to verify eligibility under paragraphs (h) and (i) of this section;</w:t>
      </w:r>
    </w:p>
    <w:p w:rsidR="00C03FE8" w:rsidRPr="00C1694A" w:rsidRDefault="00C03FE8" w:rsidP="00AC5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rPr>
          <w:rFonts w:ascii="Times New Roman" w:eastAsia="Calibri" w:hAnsi="Times New Roman" w:cs="Times New Roman"/>
          <w:sz w:val="24"/>
          <w:szCs w:val="24"/>
        </w:rPr>
      </w:pPr>
    </w:p>
    <w:p w:rsidR="00C03FE8" w:rsidRPr="00C1694A" w:rsidRDefault="00C03FE8" w:rsidP="00AC5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rPr>
          <w:rFonts w:ascii="Times New Roman" w:eastAsia="Calibri" w:hAnsi="Times New Roman" w:cs="Times New Roman"/>
          <w:iCs/>
          <w:sz w:val="24"/>
          <w:szCs w:val="24"/>
        </w:rPr>
      </w:pPr>
      <w:r w:rsidRPr="00C1694A">
        <w:rPr>
          <w:rFonts w:ascii="Times New Roman" w:eastAsia="Calibri" w:hAnsi="Times New Roman" w:cs="Times New Roman"/>
          <w:sz w:val="24"/>
          <w:szCs w:val="24"/>
        </w:rPr>
        <w:tab/>
        <w:t>(ii) A</w:t>
      </w:r>
      <w:r w:rsidRPr="00C1694A">
        <w:rPr>
          <w:rFonts w:ascii="Times New Roman" w:hAnsi="Times New Roman" w:cs="Times New Roman"/>
          <w:sz w:val="24"/>
          <w:szCs w:val="24"/>
        </w:rPr>
        <w:t xml:space="preserve"> statement that program staff has made reasonable efforts to verify information by:</w:t>
      </w:r>
      <w:r w:rsidRPr="00C1694A">
        <w:rPr>
          <w:rFonts w:ascii="Times New Roman" w:eastAsia="Calibri" w:hAnsi="Times New Roman" w:cs="Times New Roman"/>
          <w:iCs/>
          <w:sz w:val="24"/>
          <w:szCs w:val="24"/>
        </w:rPr>
        <w:tab/>
      </w:r>
      <w:r w:rsidRPr="00C1694A" w:rsidDel="00326B16">
        <w:rPr>
          <w:rFonts w:ascii="Times New Roman" w:eastAsia="Calibri" w:hAnsi="Times New Roman" w:cs="Times New Roman"/>
          <w:iCs/>
          <w:sz w:val="24"/>
          <w:szCs w:val="24"/>
        </w:rPr>
        <w:t xml:space="preserve"> </w:t>
      </w:r>
    </w:p>
    <w:p w:rsidR="00C03FE8" w:rsidRPr="00C1694A" w:rsidRDefault="00C03FE8" w:rsidP="00AC5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rPr>
          <w:rFonts w:ascii="Times New Roman" w:eastAsia="Calibri" w:hAnsi="Times New Roman" w:cs="Times New Roman"/>
          <w:iCs/>
          <w:sz w:val="24"/>
          <w:szCs w:val="24"/>
        </w:rPr>
      </w:pPr>
    </w:p>
    <w:p w:rsidR="00C03FE8" w:rsidRPr="00C1694A" w:rsidRDefault="00C03FE8" w:rsidP="00AC5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480" w:lineRule="auto"/>
        <w:rPr>
          <w:rFonts w:ascii="Times New Roman" w:eastAsia="Calibri" w:hAnsi="Times New Roman" w:cs="Times New Roman"/>
          <w:iCs/>
          <w:sz w:val="24"/>
          <w:szCs w:val="24"/>
        </w:rPr>
      </w:pPr>
      <w:r w:rsidRPr="00C1694A">
        <w:rPr>
          <w:rFonts w:ascii="Times New Roman" w:eastAsia="Calibri" w:hAnsi="Times New Roman" w:cs="Times New Roman"/>
          <w:iCs/>
          <w:sz w:val="24"/>
          <w:szCs w:val="24"/>
        </w:rPr>
        <w:tab/>
        <w:t>(A) Conducting either an in-person, or a telephone interview with</w:t>
      </w:r>
      <w:r w:rsidRPr="00C1694A">
        <w:rPr>
          <w:rFonts w:ascii="Times New Roman" w:eastAsia="Calibri" w:hAnsi="Times New Roman" w:cs="Times New Roman"/>
          <w:sz w:val="24"/>
          <w:szCs w:val="24"/>
        </w:rPr>
        <w:t xml:space="preserve"> the family as described under paragraph (a)(1)(i) or (a)(2) of this section</w:t>
      </w:r>
      <w:r w:rsidRPr="00C1694A">
        <w:rPr>
          <w:rFonts w:ascii="Times New Roman" w:eastAsia="Calibri" w:hAnsi="Times New Roman" w:cs="Times New Roman"/>
          <w:iCs/>
          <w:sz w:val="24"/>
          <w:szCs w:val="24"/>
        </w:rPr>
        <w:t>; and,</w:t>
      </w:r>
    </w:p>
    <w:p w:rsidR="00C03FE8" w:rsidRPr="00C1694A" w:rsidRDefault="00C03FE8" w:rsidP="00AC521C">
      <w:pPr>
        <w:spacing w:after="0" w:line="480" w:lineRule="auto"/>
        <w:ind w:firstLine="720"/>
        <w:rPr>
          <w:rFonts w:ascii="Times New Roman" w:eastAsia="Calibri" w:hAnsi="Times New Roman" w:cs="Times New Roman"/>
          <w:iCs/>
          <w:sz w:val="24"/>
          <w:szCs w:val="24"/>
        </w:rPr>
      </w:pPr>
    </w:p>
    <w:p w:rsidR="00C03FE8" w:rsidRPr="00C1694A" w:rsidRDefault="00C03FE8" w:rsidP="00AC521C">
      <w:pPr>
        <w:spacing w:after="0" w:line="480" w:lineRule="auto"/>
        <w:ind w:firstLine="720"/>
        <w:rPr>
          <w:rFonts w:ascii="Times New Roman" w:eastAsia="Calibri" w:hAnsi="Times New Roman" w:cs="Times New Roman"/>
          <w:iCs/>
          <w:sz w:val="24"/>
          <w:szCs w:val="24"/>
        </w:rPr>
      </w:pPr>
      <w:r w:rsidRPr="00C1694A">
        <w:rPr>
          <w:rFonts w:ascii="Times New Roman" w:eastAsia="Calibri" w:hAnsi="Times New Roman" w:cs="Times New Roman"/>
          <w:iCs/>
          <w:sz w:val="24"/>
          <w:szCs w:val="24"/>
        </w:rPr>
        <w:t xml:space="preserve">(B) </w:t>
      </w:r>
      <w:r w:rsidRPr="00C1694A">
        <w:rPr>
          <w:rFonts w:ascii="Times New Roman" w:eastAsia="Calibri" w:hAnsi="Times New Roman" w:cs="Times New Roman"/>
          <w:sz w:val="24"/>
          <w:szCs w:val="24"/>
        </w:rPr>
        <w:t>Describing efforts made to verify eligibility, as required</w:t>
      </w:r>
      <w:r w:rsidRPr="00C1694A">
        <w:rPr>
          <w:rFonts w:ascii="Times New Roman" w:eastAsia="Calibri" w:hAnsi="Times New Roman" w:cs="Times New Roman"/>
          <w:iCs/>
          <w:sz w:val="24"/>
          <w:szCs w:val="24"/>
        </w:rPr>
        <w:t xml:space="preserve"> under paragraphs (h) through  (i) of this section; and, collecting documents required for third party verification that includes </w:t>
      </w:r>
      <w:r w:rsidRPr="00C1694A">
        <w:rPr>
          <w:rFonts w:ascii="Times New Roman" w:hAnsi="Times New Roman" w:cs="Times New Roman"/>
          <w:sz w:val="24"/>
          <w:szCs w:val="24"/>
        </w:rPr>
        <w:t>the family’s written consent to contact each third party</w:t>
      </w:r>
      <w:r w:rsidRPr="00C1694A">
        <w:rPr>
          <w:rFonts w:ascii="Times New Roman" w:hAnsi="Times New Roman" w:cs="Times New Roman"/>
          <w:i/>
          <w:sz w:val="24"/>
          <w:szCs w:val="24"/>
        </w:rPr>
        <w:t xml:space="preserve">, </w:t>
      </w:r>
      <w:r w:rsidRPr="00C1694A">
        <w:rPr>
          <w:rFonts w:ascii="Times New Roman" w:eastAsia="Calibri" w:hAnsi="Times New Roman" w:cs="Times New Roman"/>
          <w:iCs/>
          <w:sz w:val="24"/>
          <w:szCs w:val="24"/>
        </w:rPr>
        <w:t>the third parties’ names, titles, and affiliations, and information from third parties regarding the family’s eligibility.</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(iii) A statement that identifies whether:</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(A) The family’s income is below income guidelines for its size, and lists the family’s size;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(B) The family is eligible for or, in the absence of child care, potentially eligible for public assistance;</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(C) The child is a homeless child or the child is in foster care;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i/>
          <w:sz w:val="24"/>
          <w:szCs w:val="24"/>
        </w:rPr>
      </w:pPr>
      <w:r w:rsidRPr="00C1694A">
        <w:rPr>
          <w:rFonts w:ascii="Times New Roman" w:eastAsia="Calibri" w:hAnsi="Times New Roman" w:cs="Times New Roman"/>
          <w:sz w:val="24"/>
          <w:szCs w:val="24"/>
        </w:rPr>
        <w:t>(D) The family was determined to be eligible under the criterion in paragraph (c)(2) of this section; or,</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(E) The family was determined to be eligible under the criterion in paragraph (d)(1) of this section.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A program must keep eligibility determination records for those currently enrolled, as long as they are enrolled, and, for one year after they have either stopped receiving services; or are no longer enrolled.  </w:t>
      </w:r>
    </w:p>
    <w:p w:rsidR="00C03FE8" w:rsidRPr="00C1694A" w:rsidRDefault="00C03FE8" w:rsidP="00AC521C">
      <w:pPr>
        <w:autoSpaceDE w:val="0"/>
        <w:autoSpaceDN w:val="0"/>
        <w:adjustRightInd w:val="0"/>
        <w:spacing w:after="0" w:line="480" w:lineRule="auto"/>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(l) </w:t>
      </w:r>
      <w:r w:rsidRPr="00C1694A">
        <w:rPr>
          <w:rFonts w:ascii="Times New Roman" w:eastAsia="Calibri" w:hAnsi="Times New Roman" w:cs="Times New Roman"/>
          <w:sz w:val="24"/>
          <w:szCs w:val="24"/>
          <w:u w:val="single"/>
        </w:rPr>
        <w:t>Program policies and procedures on violating eligibility determination regulations.</w:t>
      </w:r>
      <w:r w:rsidRPr="00C1694A">
        <w:rPr>
          <w:rFonts w:ascii="Times New Roman" w:eastAsia="Calibri" w:hAnsi="Times New Roman" w:cs="Times New Roman"/>
          <w:sz w:val="24"/>
          <w:szCs w:val="24"/>
        </w:rPr>
        <w:t xml:space="preserve"> A program must establish </w:t>
      </w:r>
      <w:r w:rsidR="00C739E7" w:rsidRPr="00C1694A">
        <w:rPr>
          <w:rFonts w:ascii="Times New Roman" w:eastAsia="Calibri" w:hAnsi="Times New Roman" w:cs="Times New Roman"/>
          <w:sz w:val="24"/>
          <w:szCs w:val="24"/>
        </w:rPr>
        <w:t xml:space="preserve">written </w:t>
      </w:r>
      <w:r w:rsidRPr="00C1694A">
        <w:rPr>
          <w:rFonts w:ascii="Times New Roman" w:eastAsia="Calibri" w:hAnsi="Times New Roman" w:cs="Times New Roman"/>
          <w:sz w:val="24"/>
          <w:szCs w:val="24"/>
        </w:rPr>
        <w:t>policies and procedures that describe all actions taken against staff who intentionally violate federal and program eligibility determination regulations and who enroll pregnant women and children that are not eligible to receive Early Head Start or Head Start services.</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(m) </w:t>
      </w:r>
      <w:r w:rsidRPr="00C1694A">
        <w:rPr>
          <w:rFonts w:ascii="Times New Roman" w:eastAsia="Calibri" w:hAnsi="Times New Roman" w:cs="Times New Roman"/>
          <w:sz w:val="24"/>
          <w:szCs w:val="24"/>
          <w:u w:val="single"/>
        </w:rPr>
        <w:t>Training</w:t>
      </w:r>
      <w:r w:rsidR="00D86132" w:rsidRPr="00C1694A">
        <w:rPr>
          <w:rFonts w:ascii="Times New Roman" w:eastAsia="Calibri" w:hAnsi="Times New Roman" w:cs="Times New Roman"/>
          <w:sz w:val="24"/>
          <w:szCs w:val="24"/>
          <w:u w:val="single"/>
        </w:rPr>
        <w:t xml:space="preserve"> on </w:t>
      </w:r>
      <w:r w:rsidR="00086515" w:rsidRPr="00C1694A">
        <w:rPr>
          <w:rFonts w:ascii="Times New Roman" w:eastAsia="Calibri" w:hAnsi="Times New Roman" w:cs="Times New Roman"/>
          <w:sz w:val="24"/>
          <w:szCs w:val="24"/>
          <w:u w:val="single"/>
        </w:rPr>
        <w:t>e</w:t>
      </w:r>
      <w:r w:rsidR="00D86132" w:rsidRPr="00C1694A">
        <w:rPr>
          <w:rFonts w:ascii="Times New Roman" w:eastAsia="Calibri" w:hAnsi="Times New Roman" w:cs="Times New Roman"/>
          <w:sz w:val="24"/>
          <w:szCs w:val="24"/>
          <w:u w:val="single"/>
        </w:rPr>
        <w:t>ligibility</w:t>
      </w:r>
      <w:r w:rsidRPr="00C1694A">
        <w:rPr>
          <w:rFonts w:ascii="Times New Roman" w:eastAsia="Calibri" w:hAnsi="Times New Roman" w:cs="Times New Roman"/>
          <w:sz w:val="24"/>
          <w:szCs w:val="24"/>
          <w:u w:val="single"/>
        </w:rPr>
        <w:t>.</w:t>
      </w:r>
      <w:r w:rsidRPr="00C1694A">
        <w:rPr>
          <w:rFonts w:ascii="Times New Roman" w:hAnsi="Times New Roman" w:cs="Times New Roman"/>
          <w:sz w:val="24"/>
          <w:szCs w:val="24"/>
        </w:rPr>
        <w:t xml:space="preserve"> </w:t>
      </w:r>
      <w:r w:rsidRPr="00C1694A">
        <w:rPr>
          <w:rFonts w:ascii="Times New Roman" w:eastAsia="Calibri" w:hAnsi="Times New Roman" w:cs="Times New Roman"/>
          <w:sz w:val="24"/>
          <w:szCs w:val="24"/>
        </w:rPr>
        <w:t>(1) A program must train all governing body, policy council, management, and staff who determine eligibility on applicable federal regulations and program policies and procedures.  Training must, at a minimum:</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 Include methods on how to collect complete and accurate eligibility information from families and third party sources;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(ii) Incorporate strategies for treating families with dignity and respect and for dealing with possible issues of domestic violence, stigma, and privacy; and,  </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(iii) Explain program policies and procedures that describe actions taken against staff, families, or participants who attempt to provide or intentionally provide false information.</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(2) A program must train management and staff members who make eligibility determinations within 90 days of hiring new staff.  </w:t>
      </w: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(3) A program must train all governing body and policy council members within 180 days of the beginning of the term of a new governing body or policy council.</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b/>
          <w:sz w:val="24"/>
          <w:szCs w:val="24"/>
        </w:rPr>
      </w:pPr>
      <w:r w:rsidRPr="00C1694A">
        <w:rPr>
          <w:rFonts w:ascii="Times New Roman" w:eastAsia="Calibri" w:hAnsi="Times New Roman" w:cs="Times New Roman"/>
          <w:sz w:val="24"/>
          <w:szCs w:val="24"/>
        </w:rPr>
        <w:t>(4) A program must develop policies on how often training will be provided after the initial training.</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§1302.13 Recruitment of children.</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i/>
          <w:sz w:val="24"/>
          <w:szCs w:val="24"/>
        </w:rPr>
      </w:pPr>
      <w:r w:rsidRPr="00C1694A">
        <w:rPr>
          <w:rFonts w:ascii="Times New Roman" w:eastAsia="Times New Roman" w:hAnsi="Times New Roman" w:cs="Times New Roman"/>
          <w:sz w:val="24"/>
          <w:szCs w:val="24"/>
        </w:rPr>
        <w:t>In order to reach those most in need of services, a program must develop and implement a recruitment process designed to actively inform all families with eligible children within the recruitment area of the availability of program services, and encourage and assist them in applying for admission to the program.  A program must include specific efforts to actively locate and recruit children with disabilities and other vulnerable children</w:t>
      </w:r>
      <w:r w:rsidR="002F602B" w:rsidRPr="00C1694A">
        <w:rPr>
          <w:rFonts w:ascii="Times New Roman" w:eastAsia="Times New Roman" w:hAnsi="Times New Roman" w:cs="Times New Roman"/>
          <w:sz w:val="24"/>
          <w:szCs w:val="24"/>
        </w:rPr>
        <w:t xml:space="preserve">, </w:t>
      </w:r>
      <w:r w:rsidR="006E2A81" w:rsidRPr="00C1694A">
        <w:rPr>
          <w:rFonts w:ascii="Times New Roman" w:eastAsia="Times New Roman" w:hAnsi="Times New Roman" w:cs="Times New Roman"/>
          <w:sz w:val="24"/>
          <w:szCs w:val="24"/>
        </w:rPr>
        <w:t>including</w:t>
      </w:r>
      <w:r w:rsidR="002F602B" w:rsidRPr="00C1694A">
        <w:rPr>
          <w:rFonts w:ascii="Times New Roman" w:eastAsia="Times New Roman" w:hAnsi="Times New Roman" w:cs="Times New Roman"/>
          <w:sz w:val="24"/>
          <w:szCs w:val="24"/>
        </w:rPr>
        <w:t xml:space="preserve"> homeless children and children in foster care</w:t>
      </w:r>
      <w:r w:rsidRPr="00C1694A">
        <w:rPr>
          <w:rFonts w:ascii="Times New Roman" w:eastAsia="Times New Roman" w:hAnsi="Times New Roman" w:cs="Times New Roman"/>
          <w:sz w:val="24"/>
          <w:szCs w:val="24"/>
        </w:rPr>
        <w:t>.</w:t>
      </w: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i/>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§1302.14 Selection process.</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(a) </w:t>
      </w:r>
      <w:r w:rsidRPr="00C1694A">
        <w:rPr>
          <w:rFonts w:ascii="Times New Roman" w:eastAsia="Calibri" w:hAnsi="Times New Roman" w:cs="Times New Roman"/>
          <w:sz w:val="24"/>
          <w:szCs w:val="24"/>
          <w:u w:val="single"/>
        </w:rPr>
        <w:t>Selection criteria.</w:t>
      </w:r>
      <w:r w:rsidRPr="00C1694A">
        <w:rPr>
          <w:rFonts w:ascii="Times New Roman" w:eastAsia="Calibri" w:hAnsi="Times New Roman" w:cs="Times New Roman"/>
          <w:sz w:val="24"/>
          <w:szCs w:val="24"/>
        </w:rPr>
        <w:t xml:space="preserve"> (1) A pro</w:t>
      </w:r>
      <w:r w:rsidRPr="00C1694A">
        <w:rPr>
          <w:rFonts w:ascii="Times New Roman" w:eastAsia="Calibri" w:hAnsi="Times New Roman" w:cs="Times New Roman"/>
          <w:sz w:val="24"/>
          <w:szCs w:val="24"/>
          <w:u w:val="single"/>
        </w:rPr>
        <w:t>g</w:t>
      </w:r>
      <w:r w:rsidRPr="00C1694A">
        <w:rPr>
          <w:rFonts w:ascii="Times New Roman" w:eastAsia="Calibri" w:hAnsi="Times New Roman" w:cs="Times New Roman"/>
          <w:sz w:val="24"/>
          <w:szCs w:val="24"/>
        </w:rPr>
        <w:t xml:space="preserve">ram must annually establish selection criteria that weigh the prioritization of selection of participants,  based on community needs identified in the community needs assessment as described in </w:t>
      </w:r>
      <w:r w:rsidRPr="00C1694A">
        <w:rPr>
          <w:rFonts w:ascii="Times New Roman" w:hAnsi="Times New Roman" w:cs="Times New Roman"/>
          <w:sz w:val="24"/>
          <w:szCs w:val="24"/>
        </w:rPr>
        <w:t>§</w:t>
      </w:r>
      <w:r w:rsidRPr="00C1694A">
        <w:rPr>
          <w:rFonts w:ascii="Times New Roman" w:eastAsia="Calibri" w:hAnsi="Times New Roman" w:cs="Times New Roman"/>
          <w:sz w:val="24"/>
          <w:szCs w:val="24"/>
        </w:rPr>
        <w:t xml:space="preserve">1302.11(b), and including family income, whether the child is homeless, whether the child is in foster care, the child’s age, whether the child is eligible for special education and related services, or early intervention services, as appropriate, as determined under the Individuals with Disabilities Education Act (IDEA) (20 U.S.C. 1400 </w:t>
      </w:r>
      <w:r w:rsidRPr="00AC521C">
        <w:rPr>
          <w:rFonts w:ascii="Times New Roman" w:eastAsia="Calibri" w:hAnsi="Times New Roman" w:cs="Times New Roman"/>
          <w:i/>
          <w:sz w:val="24"/>
          <w:szCs w:val="24"/>
        </w:rPr>
        <w:t>et seq</w:t>
      </w:r>
      <w:r w:rsidRPr="00C1694A">
        <w:rPr>
          <w:rFonts w:ascii="Times New Roman" w:eastAsia="Calibri" w:hAnsi="Times New Roman" w:cs="Times New Roman"/>
          <w:sz w:val="24"/>
          <w:szCs w:val="24"/>
        </w:rPr>
        <w:t>.) and, other relevant family or child risk factors.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(2) If a program serves migrant or seasonal families, it must select participants according to criteria in paragraph (a)(1) of this section, and give priority to children whose families can demonstrate they have relocated frequently within the past two-years to pursue agricultural work.</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(3) If a program operates in a service area where Head Start eligible children can enroll in high-quality publicly funded pre-kindergarten for a full school day, the program must prioritize </w:t>
      </w:r>
      <w:r w:rsidR="00104974" w:rsidRPr="00C1694A">
        <w:rPr>
          <w:rFonts w:ascii="Times New Roman" w:eastAsia="Calibri" w:hAnsi="Times New Roman" w:cs="Times New Roman"/>
          <w:sz w:val="24"/>
          <w:szCs w:val="24"/>
        </w:rPr>
        <w:t xml:space="preserve">younger children </w:t>
      </w:r>
      <w:r w:rsidRPr="00C1694A">
        <w:rPr>
          <w:rFonts w:ascii="Times New Roman" w:eastAsia="Calibri" w:hAnsi="Times New Roman" w:cs="Times New Roman"/>
          <w:sz w:val="24"/>
          <w:szCs w:val="24"/>
        </w:rPr>
        <w:t xml:space="preserve"> as part of the selection criteria in paragraph (a)(1)</w:t>
      </w:r>
      <w:r w:rsidR="00CE76E4">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 If this priority would disrupt partnerships with local education agencies, then it is not required. An American Indian and Alaska Native or Migrant or Seasonal Head Start program must consider whether such prioritization is appropriate in their community.</w:t>
      </w:r>
    </w:p>
    <w:p w:rsidR="00086515" w:rsidRPr="00C1694A" w:rsidRDefault="00086515"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(4) </w:t>
      </w:r>
      <w:r w:rsidRPr="00C1694A">
        <w:rPr>
          <w:rFonts w:ascii="Times New Roman" w:hAnsi="Times New Roman" w:cs="Times New Roman"/>
          <w:sz w:val="24"/>
          <w:szCs w:val="24"/>
        </w:rPr>
        <w:t>A program must not deny enrollment based on a disability or chronic health condition or its severity.</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(b) </w:t>
      </w:r>
      <w:r w:rsidRPr="00C1694A">
        <w:rPr>
          <w:rFonts w:ascii="Times New Roman" w:eastAsia="Calibri" w:hAnsi="Times New Roman" w:cs="Times New Roman"/>
          <w:sz w:val="24"/>
          <w:szCs w:val="24"/>
          <w:u w:val="single"/>
        </w:rPr>
        <w:t>Children eligible for services under IDEA.</w:t>
      </w:r>
      <w:r w:rsidRPr="00C1694A">
        <w:rPr>
          <w:rFonts w:ascii="Times New Roman" w:eastAsia="Calibri" w:hAnsi="Times New Roman" w:cs="Times New Roman"/>
          <w:sz w:val="24"/>
          <w:szCs w:val="24"/>
        </w:rPr>
        <w:t xml:space="preserve"> (1) A program must ensure at least 10 percent of its total funded enrollment is filled by children eligible for services under IDEA, unless the responsible HHS official grants a waiver.</w:t>
      </w:r>
    </w:p>
    <w:p w:rsidR="00C03FE8" w:rsidRPr="00C1694A" w:rsidRDefault="00C03FE8" w:rsidP="00AC521C">
      <w:pPr>
        <w:spacing w:after="0" w:line="480" w:lineRule="auto"/>
        <w:rPr>
          <w:rFonts w:ascii="Times New Roman" w:hAnsi="Times New Roman" w:cs="Times New Roman"/>
          <w:sz w:val="24"/>
          <w:szCs w:val="24"/>
        </w:rPr>
      </w:pPr>
      <w:r w:rsidRPr="00C1694A" w:rsidDel="009C2EF1">
        <w:rPr>
          <w:rFonts w:ascii="Times New Roman" w:hAnsi="Times New Roman" w:cs="Times New Roman"/>
          <w:sz w:val="24"/>
          <w:szCs w:val="24"/>
        </w:rPr>
        <w:t xml:space="preserve"> </w:t>
      </w:r>
      <w:r w:rsidRPr="00C1694A" w:rsidDel="00012F40">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If the requirement in paragraph (b)(1) of this section has been met, children eligible for services under IDEA should be prioritized for the available slots in accordance with the program’s selection criteria</w:t>
      </w:r>
      <w:r w:rsidR="0054468B" w:rsidRPr="00C1694A">
        <w:rPr>
          <w:rFonts w:ascii="Times New Roman" w:hAnsi="Times New Roman" w:cs="Times New Roman"/>
          <w:sz w:val="24"/>
          <w:szCs w:val="24"/>
        </w:rPr>
        <w:t xml:space="preserve"> described in paragraph (a)</w:t>
      </w:r>
      <w:r w:rsidR="00CE76E4">
        <w:rPr>
          <w:rFonts w:ascii="Times New Roman" w:hAnsi="Times New Roman" w:cs="Times New Roman"/>
          <w:sz w:val="24"/>
          <w:szCs w:val="24"/>
        </w:rPr>
        <w:t xml:space="preserve"> of this section</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(c) </w:t>
      </w:r>
      <w:r w:rsidRPr="00C1694A">
        <w:rPr>
          <w:rFonts w:ascii="Times New Roman" w:eastAsia="Calibri" w:hAnsi="Times New Roman" w:cs="Times New Roman"/>
          <w:sz w:val="24"/>
          <w:szCs w:val="24"/>
          <w:u w:val="single"/>
        </w:rPr>
        <w:t>Waiting lists.</w:t>
      </w:r>
      <w:r w:rsidRPr="00C1694A">
        <w:rPr>
          <w:rFonts w:ascii="Times New Roman" w:eastAsia="Calibri" w:hAnsi="Times New Roman" w:cs="Times New Roman"/>
          <w:sz w:val="24"/>
          <w:szCs w:val="24"/>
        </w:rPr>
        <w:t xml:space="preserve">  A program must develop at the beginning of each enrollment year and maintain during the year a waiting list that ranks children according to the program’s selection criteria.</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§1302.15 Enrollment.</w:t>
      </w: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(a) </w:t>
      </w:r>
      <w:r w:rsidRPr="00C1694A">
        <w:rPr>
          <w:rFonts w:ascii="Times New Roman" w:eastAsia="Calibri" w:hAnsi="Times New Roman" w:cs="Times New Roman"/>
          <w:sz w:val="24"/>
          <w:szCs w:val="24"/>
          <w:u w:val="single"/>
        </w:rPr>
        <w:t>Funded enrollment</w:t>
      </w:r>
      <w:r w:rsidRPr="00C1694A">
        <w:rPr>
          <w:rFonts w:ascii="Times New Roman" w:eastAsia="Calibri" w:hAnsi="Times New Roman" w:cs="Times New Roman"/>
          <w:sz w:val="24"/>
          <w:szCs w:val="24"/>
        </w:rPr>
        <w:t xml:space="preserve">.  A program must maintain its funded enrollment level and fill any vacancy </w:t>
      </w:r>
      <w:r w:rsidRPr="00C1694A">
        <w:rPr>
          <w:rFonts w:ascii="Times New Roman" w:hAnsi="Times New Roman" w:cs="Times New Roman"/>
          <w:sz w:val="24"/>
          <w:szCs w:val="24"/>
        </w:rPr>
        <w:t xml:space="preserve">as soon as possible. A program must fill any vacancy </w:t>
      </w:r>
      <w:r w:rsidRPr="00C1694A">
        <w:rPr>
          <w:rFonts w:ascii="Times New Roman" w:eastAsia="Calibri" w:hAnsi="Times New Roman" w:cs="Times New Roman"/>
          <w:sz w:val="24"/>
          <w:szCs w:val="24"/>
        </w:rPr>
        <w:t xml:space="preserve">within 30 days. </w:t>
      </w:r>
    </w:p>
    <w:p w:rsidR="00C03FE8" w:rsidRPr="00C1694A" w:rsidRDefault="00C03FE8" w:rsidP="00AC521C">
      <w:pPr>
        <w:tabs>
          <w:tab w:val="left" w:pos="0"/>
        </w:tabs>
        <w:spacing w:after="0" w:line="480" w:lineRule="auto"/>
        <w:ind w:firstLine="720"/>
        <w:rPr>
          <w:rFonts w:ascii="Times New Roman" w:eastAsia="Times New Roman" w:hAnsi="Times New Roman" w:cs="Times New Roman"/>
          <w:sz w:val="24"/>
          <w:szCs w:val="24"/>
        </w:rPr>
      </w:pPr>
    </w:p>
    <w:p w:rsidR="00C03FE8" w:rsidRPr="00C1694A" w:rsidRDefault="00C03FE8" w:rsidP="00AC521C">
      <w:pPr>
        <w:tabs>
          <w:tab w:val="left" w:pos="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Continuity of enrollment.</w:t>
      </w:r>
      <w:r w:rsidRPr="00C1694A">
        <w:rPr>
          <w:rFonts w:ascii="Times New Roman" w:eastAsia="Times New Roman" w:hAnsi="Times New Roman" w:cs="Times New Roman"/>
          <w:sz w:val="24"/>
          <w:szCs w:val="24"/>
        </w:rPr>
        <w:t xml:space="preserve"> (1) A program must make efforts to maintain enrollment of eligible children for the following year.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Under exceptional circumstances, a program may maintain a child’s enrollment </w:t>
      </w:r>
      <w:r w:rsidR="00390573" w:rsidRPr="00C1694A">
        <w:rPr>
          <w:rFonts w:ascii="Times New Roman" w:eastAsia="Times New Roman" w:hAnsi="Times New Roman" w:cs="Times New Roman"/>
          <w:sz w:val="24"/>
          <w:szCs w:val="24"/>
        </w:rPr>
        <w:t xml:space="preserve">in Head Start </w:t>
      </w:r>
      <w:r w:rsidRPr="00C1694A">
        <w:rPr>
          <w:rFonts w:ascii="Times New Roman" w:eastAsia="Times New Roman" w:hAnsi="Times New Roman" w:cs="Times New Roman"/>
          <w:sz w:val="24"/>
          <w:szCs w:val="24"/>
        </w:rPr>
        <w:t>for a third year, provided that family income is verified again.</w:t>
      </w:r>
      <w:r w:rsidR="00390573" w:rsidRPr="00C1694A">
        <w:rPr>
          <w:rFonts w:ascii="Times New Roman" w:eastAsia="Times New Roman" w:hAnsi="Times New Roman" w:cs="Times New Roman"/>
          <w:sz w:val="24"/>
          <w:szCs w:val="24"/>
        </w:rPr>
        <w:t xml:space="preserve">  A program may maintain a child’s enrollment in Early Head Start as described in </w:t>
      </w:r>
      <w:r w:rsidR="00390573" w:rsidRPr="00C1694A">
        <w:rPr>
          <w:rFonts w:ascii="Times New Roman" w:eastAsia="Calibri" w:hAnsi="Times New Roman" w:cs="Times New Roman"/>
          <w:sz w:val="24"/>
          <w:szCs w:val="24"/>
        </w:rPr>
        <w:t>§</w:t>
      </w:r>
      <w:r w:rsidR="00390573" w:rsidRPr="00C1694A">
        <w:rPr>
          <w:rFonts w:ascii="Times New Roman" w:eastAsia="Times New Roman" w:hAnsi="Times New Roman" w:cs="Times New Roman"/>
          <w:sz w:val="24"/>
          <w:szCs w:val="24"/>
        </w:rPr>
        <w:t>1302.12(j)(2).</w:t>
      </w:r>
    </w:p>
    <w:p w:rsidR="00C03FE8" w:rsidRPr="00C1694A" w:rsidRDefault="00C03FE8" w:rsidP="00AC521C">
      <w:pPr>
        <w:tabs>
          <w:tab w:val="left" w:pos="0"/>
        </w:tabs>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(3) If a program serves homeless children or children in foster care, it must make efforts to maintain the child’s enrollment regardless of whether the family or child moves to a different service area, or transition the child to a program in a different service area, as required in  §1302.72(a), according to the family’s needs.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u w:val="single"/>
        </w:rPr>
      </w:pPr>
      <w:r w:rsidRPr="00C1694A">
        <w:rPr>
          <w:rFonts w:ascii="Times New Roman" w:eastAsia="Calibri" w:hAnsi="Times New Roman" w:cs="Times New Roman"/>
          <w:sz w:val="24"/>
          <w:szCs w:val="24"/>
        </w:rPr>
        <w:t xml:space="preserve">(c) </w:t>
      </w:r>
      <w:r w:rsidRPr="00C1694A">
        <w:rPr>
          <w:rFonts w:ascii="Times New Roman" w:eastAsia="Calibri" w:hAnsi="Times New Roman" w:cs="Times New Roman"/>
          <w:sz w:val="24"/>
          <w:szCs w:val="24"/>
          <w:u w:val="single"/>
        </w:rPr>
        <w:t>Reserved slots.</w:t>
      </w:r>
      <w:r w:rsidRPr="00C1694A">
        <w:rPr>
          <w:rFonts w:ascii="Times New Roman" w:eastAsia="Calibri" w:hAnsi="Times New Roman" w:cs="Times New Roman"/>
          <w:i/>
          <w:sz w:val="24"/>
          <w:szCs w:val="24"/>
        </w:rPr>
        <w:t xml:space="preserve"> </w:t>
      </w:r>
      <w:r w:rsidRPr="00C1694A">
        <w:rPr>
          <w:rFonts w:ascii="Times New Roman" w:eastAsia="Calibri" w:hAnsi="Times New Roman" w:cs="Times New Roman"/>
          <w:sz w:val="24"/>
          <w:szCs w:val="24"/>
        </w:rPr>
        <w:t xml:space="preserve">If a program determines from the community assessment there are families experiencing homelessness in the area, or children in foster care that could benefit from services, the program may reserve one or more enrollment slots for pregnant women and children experiencing homelessness and children in foster care, when a vacancy occurs. No more than </w:t>
      </w:r>
      <w:r w:rsidR="00F53768" w:rsidRPr="00C1694A">
        <w:rPr>
          <w:rFonts w:ascii="Times New Roman" w:eastAsia="Calibri" w:hAnsi="Times New Roman" w:cs="Times New Roman"/>
          <w:sz w:val="24"/>
          <w:szCs w:val="24"/>
        </w:rPr>
        <w:t>three</w:t>
      </w:r>
      <w:r w:rsidRPr="00C1694A">
        <w:rPr>
          <w:rFonts w:ascii="Times New Roman" w:eastAsia="Calibri" w:hAnsi="Times New Roman" w:cs="Times New Roman"/>
          <w:sz w:val="24"/>
          <w:szCs w:val="24"/>
        </w:rPr>
        <w:t xml:space="preserve"> percent of a program’s funded enrollment slots may be reserved.  If the reserved enrollment slot is not filled within 30 days, the enrollment slot becomes vacant and then must be filled in accordance with paragraph (a)</w:t>
      </w:r>
      <w:r w:rsidR="00CE76E4">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(d) </w:t>
      </w:r>
      <w:r w:rsidRPr="00C1694A">
        <w:rPr>
          <w:rFonts w:ascii="Times New Roman" w:eastAsia="Calibri" w:hAnsi="Times New Roman" w:cs="Times New Roman"/>
          <w:sz w:val="24"/>
          <w:szCs w:val="24"/>
          <w:u w:val="single"/>
        </w:rPr>
        <w:t>Other enrollment.</w:t>
      </w:r>
      <w:r w:rsidRPr="00C1694A">
        <w:rPr>
          <w:rFonts w:ascii="Times New Roman" w:eastAsia="Calibri" w:hAnsi="Times New Roman" w:cs="Times New Roman"/>
          <w:sz w:val="24"/>
          <w:szCs w:val="24"/>
        </w:rPr>
        <w:t xml:space="preserve">  Children from diverse economic backgrounds who are funded with other sources, including private pay, are not considered part of a program’s eligible funded enrollment.  </w:t>
      </w:r>
    </w:p>
    <w:p w:rsidR="00C03FE8" w:rsidRPr="00C1694A" w:rsidRDefault="00C03FE8" w:rsidP="00AC521C">
      <w:pPr>
        <w:tabs>
          <w:tab w:val="left" w:pos="360"/>
        </w:tabs>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(e) </w:t>
      </w:r>
      <w:r w:rsidRPr="00C1694A">
        <w:rPr>
          <w:rFonts w:ascii="Times New Roman" w:eastAsia="Calibri" w:hAnsi="Times New Roman" w:cs="Times New Roman"/>
          <w:sz w:val="24"/>
          <w:szCs w:val="24"/>
          <w:u w:val="single"/>
        </w:rPr>
        <w:t>State immunization enrollment requirements.</w:t>
      </w:r>
      <w:r w:rsidRPr="00C1694A">
        <w:rPr>
          <w:rFonts w:ascii="Times New Roman" w:eastAsia="Calibri" w:hAnsi="Times New Roman" w:cs="Times New Roman"/>
          <w:sz w:val="24"/>
          <w:szCs w:val="24"/>
        </w:rPr>
        <w:t xml:space="preserve">  A program must comply with state immunization enrollment and attendance requirements, with the exception of homeless children as described in </w:t>
      </w:r>
      <w:r w:rsidRPr="00C1694A">
        <w:rPr>
          <w:rFonts w:ascii="Times New Roman" w:hAnsi="Times New Roman" w:cs="Times New Roman"/>
          <w:sz w:val="24"/>
          <w:szCs w:val="24"/>
        </w:rPr>
        <w:t>§</w:t>
      </w:r>
      <w:r w:rsidRPr="00C1694A">
        <w:rPr>
          <w:rFonts w:ascii="Times New Roman" w:eastAsia="Calibri" w:hAnsi="Times New Roman" w:cs="Times New Roman"/>
          <w:sz w:val="24"/>
          <w:szCs w:val="24"/>
        </w:rPr>
        <w:t>1302.16(c)(1).</w:t>
      </w:r>
    </w:p>
    <w:p w:rsidR="00C03FE8" w:rsidRPr="00C1694A" w:rsidRDefault="00C03FE8" w:rsidP="00AC521C">
      <w:pPr>
        <w:tabs>
          <w:tab w:val="left" w:pos="360"/>
        </w:tabs>
        <w:spacing w:after="0" w:line="480" w:lineRule="auto"/>
        <w:ind w:firstLine="720"/>
        <w:rPr>
          <w:rFonts w:ascii="Times New Roman" w:eastAsia="Calibri" w:hAnsi="Times New Roman" w:cs="Times New Roman"/>
          <w:sz w:val="24"/>
          <w:szCs w:val="24"/>
        </w:rPr>
      </w:pPr>
    </w:p>
    <w:p w:rsidR="00C03FE8" w:rsidRPr="00C1694A" w:rsidRDefault="00C03FE8" w:rsidP="00AC521C">
      <w:pPr>
        <w:tabs>
          <w:tab w:val="left" w:pos="720"/>
          <w:tab w:val="left" w:pos="9360"/>
        </w:tabs>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(f) </w:t>
      </w:r>
      <w:r w:rsidRPr="00C1694A">
        <w:rPr>
          <w:rFonts w:ascii="Times New Roman" w:eastAsia="Calibri" w:hAnsi="Times New Roman" w:cs="Times New Roman"/>
          <w:sz w:val="24"/>
          <w:szCs w:val="24"/>
          <w:u w:val="single"/>
        </w:rPr>
        <w:t>Voluntary parent participation.</w:t>
      </w:r>
      <w:r w:rsidRPr="00C1694A">
        <w:rPr>
          <w:rFonts w:ascii="Times New Roman" w:hAnsi="Times New Roman" w:cs="Times New Roman"/>
          <w:sz w:val="24"/>
          <w:szCs w:val="24"/>
        </w:rPr>
        <w:t xml:space="preserve">  Parent participation in any program activity is voluntary, including consent for data sharing, and is not required as a condition of the child’s enrollment.</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§1302.16 Attendance.</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(a) </w:t>
      </w:r>
      <w:r w:rsidRPr="00C1694A">
        <w:rPr>
          <w:rFonts w:ascii="Times New Roman" w:eastAsia="Calibri" w:hAnsi="Times New Roman" w:cs="Times New Roman"/>
          <w:sz w:val="24"/>
          <w:szCs w:val="24"/>
          <w:u w:val="single"/>
        </w:rPr>
        <w:t>Promoting regular attendance.</w:t>
      </w:r>
      <w:r w:rsidRPr="00C1694A">
        <w:rPr>
          <w:rFonts w:ascii="Times New Roman" w:eastAsia="Calibri" w:hAnsi="Times New Roman" w:cs="Times New Roman"/>
          <w:sz w:val="24"/>
          <w:szCs w:val="24"/>
        </w:rPr>
        <w:t xml:space="preserve">  A program must track attendance for each child.</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(1)</w:t>
      </w:r>
      <w:r w:rsidRPr="00C1694A">
        <w:rPr>
          <w:rFonts w:ascii="Times New Roman" w:eastAsia="Calibri" w:hAnsi="Times New Roman" w:cs="Times New Roman"/>
          <w:i/>
          <w:sz w:val="24"/>
          <w:szCs w:val="24"/>
        </w:rPr>
        <w:t xml:space="preserve"> </w:t>
      </w:r>
      <w:r w:rsidRPr="00C1694A">
        <w:rPr>
          <w:rFonts w:ascii="Times New Roman" w:hAnsi="Times New Roman" w:cs="Times New Roman"/>
          <w:sz w:val="24"/>
          <w:szCs w:val="24"/>
        </w:rPr>
        <w:t xml:space="preserve">A program must implement a process to ensure children are safe when they do not arrive at school. </w:t>
      </w:r>
      <w:r w:rsidRPr="00C1694A">
        <w:rPr>
          <w:rFonts w:ascii="Times New Roman" w:eastAsia="Calibri" w:hAnsi="Times New Roman" w:cs="Times New Roman"/>
          <w:sz w:val="24"/>
          <w:szCs w:val="24"/>
        </w:rPr>
        <w:t>If a child is unexpectedly absent and a parent has not contacted the program within one hour of program start time, the program must attempt to contact the parent to ensure the child</w:t>
      </w:r>
      <w:r w:rsidRPr="00C1694A">
        <w:rPr>
          <w:rFonts w:ascii="Times New Roman" w:hAnsi="Times New Roman" w:cs="Times New Roman"/>
          <w:sz w:val="24"/>
          <w:szCs w:val="24"/>
        </w:rPr>
        <w:t xml:space="preserve">’s well-being.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A program must implement strategies to promote attendance.  At a minimum, a program must:</w:t>
      </w:r>
    </w:p>
    <w:p w:rsidR="00C03FE8" w:rsidRPr="00C1694A" w:rsidRDefault="00C03FE8" w:rsidP="00AC521C">
      <w:pPr>
        <w:spacing w:after="0" w:line="480" w:lineRule="auto"/>
        <w:ind w:firstLine="720"/>
        <w:rPr>
          <w:rFonts w:ascii="Times New Roman" w:hAnsi="Times New Roman" w:cs="Times New Roman"/>
          <w:sz w:val="24"/>
          <w:szCs w:val="24"/>
        </w:rPr>
      </w:pPr>
    </w:p>
    <w:p w:rsidR="007C64DA" w:rsidRPr="00C1694A" w:rsidRDefault="007C64DA"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w:t>
      </w:r>
      <w:r w:rsidR="00C757F4" w:rsidRPr="00C1694A">
        <w:rPr>
          <w:rFonts w:ascii="Times New Roman" w:eastAsia="Calibri" w:hAnsi="Times New Roman" w:cs="Times New Roman"/>
          <w:sz w:val="24"/>
          <w:szCs w:val="24"/>
        </w:rPr>
        <w:t>i</w:t>
      </w:r>
      <w:r w:rsidRPr="00C1694A">
        <w:rPr>
          <w:rFonts w:ascii="Times New Roman" w:eastAsia="Calibri" w:hAnsi="Times New Roman" w:cs="Times New Roman"/>
          <w:sz w:val="24"/>
          <w:szCs w:val="24"/>
        </w:rPr>
        <w:t>) Provide information about the benefits of regular attendance;</w:t>
      </w:r>
    </w:p>
    <w:p w:rsidR="007C64DA" w:rsidRPr="00C1694A" w:rsidRDefault="007C64DA" w:rsidP="00AC521C">
      <w:pPr>
        <w:spacing w:after="0" w:line="480" w:lineRule="auto"/>
        <w:ind w:firstLine="720"/>
        <w:rPr>
          <w:rFonts w:ascii="Times New Roman" w:eastAsia="Calibri" w:hAnsi="Times New Roman" w:cs="Times New Roman"/>
          <w:sz w:val="24"/>
          <w:szCs w:val="24"/>
        </w:rPr>
      </w:pPr>
    </w:p>
    <w:p w:rsidR="007C64DA" w:rsidRPr="00C1694A" w:rsidRDefault="007C64DA"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w:t>
      </w:r>
      <w:r w:rsidR="00C757F4" w:rsidRPr="00C1694A">
        <w:rPr>
          <w:rFonts w:ascii="Times New Roman" w:eastAsia="Calibri" w:hAnsi="Times New Roman" w:cs="Times New Roman"/>
          <w:sz w:val="24"/>
          <w:szCs w:val="24"/>
        </w:rPr>
        <w:t>ii</w:t>
      </w:r>
      <w:r w:rsidRPr="00C1694A">
        <w:rPr>
          <w:rFonts w:ascii="Times New Roman" w:eastAsia="Calibri" w:hAnsi="Times New Roman" w:cs="Times New Roman"/>
          <w:sz w:val="24"/>
          <w:szCs w:val="24"/>
        </w:rPr>
        <w:t xml:space="preserve">) Support families to promote the child’s regular attendance; </w:t>
      </w:r>
    </w:p>
    <w:p w:rsidR="007C64DA" w:rsidRPr="00C1694A" w:rsidRDefault="007C64DA" w:rsidP="00AC521C">
      <w:pPr>
        <w:spacing w:after="0" w:line="480" w:lineRule="auto"/>
        <w:ind w:firstLine="720"/>
        <w:rPr>
          <w:rFonts w:ascii="Times New Roman" w:eastAsia="Calibri" w:hAnsi="Times New Roman" w:cs="Times New Roman"/>
          <w:sz w:val="24"/>
          <w:szCs w:val="24"/>
        </w:rPr>
      </w:pPr>
    </w:p>
    <w:p w:rsidR="007150B6" w:rsidRPr="00C1694A" w:rsidRDefault="007150B6" w:rsidP="00AC521C">
      <w:pPr>
        <w:spacing w:after="0" w:line="480" w:lineRule="auto"/>
        <w:ind w:firstLine="720"/>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w:t>
      </w:r>
      <w:r w:rsidR="00C757F4" w:rsidRPr="00C1694A">
        <w:rPr>
          <w:rFonts w:ascii="Times New Roman" w:eastAsia="Times New Roman" w:hAnsi="Times New Roman" w:cs="Times New Roman"/>
          <w:sz w:val="24"/>
          <w:szCs w:val="24"/>
        </w:rPr>
        <w:t>iii</w:t>
      </w:r>
      <w:r w:rsidRPr="00C1694A">
        <w:rPr>
          <w:rFonts w:ascii="Times New Roman" w:eastAsia="Times New Roman" w:hAnsi="Times New Roman" w:cs="Times New Roman"/>
          <w:sz w:val="24"/>
          <w:szCs w:val="24"/>
        </w:rPr>
        <w:t xml:space="preserve">) </w:t>
      </w:r>
      <w:r w:rsidRPr="00C1694A">
        <w:rPr>
          <w:rFonts w:ascii="Times New Roman" w:eastAsia="Calibri" w:hAnsi="Times New Roman" w:cs="Times New Roman"/>
          <w:sz w:val="24"/>
          <w:szCs w:val="24"/>
        </w:rPr>
        <w:t xml:space="preserve">Conduct a home visit or make other direct contact with a child’s parents if a child has </w:t>
      </w:r>
      <w:r w:rsidR="00104974" w:rsidRPr="00C1694A">
        <w:rPr>
          <w:rFonts w:ascii="Times New Roman" w:eastAsia="Calibri" w:hAnsi="Times New Roman" w:cs="Times New Roman"/>
          <w:sz w:val="24"/>
          <w:szCs w:val="24"/>
        </w:rPr>
        <w:t xml:space="preserve">multiple </w:t>
      </w:r>
      <w:r w:rsidR="00DF6C8A" w:rsidRPr="00C1694A">
        <w:rPr>
          <w:rFonts w:ascii="Times New Roman" w:eastAsia="Calibri" w:hAnsi="Times New Roman" w:cs="Times New Roman"/>
          <w:sz w:val="24"/>
          <w:szCs w:val="24"/>
        </w:rPr>
        <w:t xml:space="preserve">unexplained absences (such as </w:t>
      </w:r>
      <w:r w:rsidRPr="00C1694A">
        <w:rPr>
          <w:rFonts w:ascii="Times New Roman" w:eastAsia="Calibri" w:hAnsi="Times New Roman" w:cs="Times New Roman"/>
          <w:sz w:val="24"/>
          <w:szCs w:val="24"/>
        </w:rPr>
        <w:t>two consecutive unexplained absences</w:t>
      </w:r>
      <w:r w:rsidR="00DF6C8A" w:rsidRPr="00C1694A">
        <w:rPr>
          <w:rFonts w:ascii="Times New Roman" w:eastAsia="Calibri" w:hAnsi="Times New Roman" w:cs="Times New Roman"/>
          <w:sz w:val="24"/>
          <w:szCs w:val="24"/>
        </w:rPr>
        <w:t>)</w:t>
      </w:r>
      <w:r w:rsidRPr="00C1694A">
        <w:rPr>
          <w:rFonts w:ascii="Times New Roman" w:eastAsia="Calibri" w:hAnsi="Times New Roman" w:cs="Times New Roman"/>
          <w:sz w:val="24"/>
          <w:szCs w:val="24"/>
        </w:rPr>
        <w:t xml:space="preserve">; and, </w:t>
      </w:r>
    </w:p>
    <w:p w:rsidR="007150B6" w:rsidRPr="00C1694A" w:rsidRDefault="007150B6" w:rsidP="00AC521C">
      <w:pPr>
        <w:spacing w:after="0" w:line="480" w:lineRule="auto"/>
        <w:ind w:firstLine="720"/>
        <w:rPr>
          <w:rFonts w:ascii="Times New Roman" w:eastAsia="Calibri" w:hAnsi="Times New Roman" w:cs="Times New Roman"/>
          <w:sz w:val="24"/>
          <w:szCs w:val="24"/>
        </w:rPr>
      </w:pPr>
    </w:p>
    <w:p w:rsidR="007150B6" w:rsidRPr="00C1694A" w:rsidRDefault="007150B6" w:rsidP="00AC521C">
      <w:pPr>
        <w:spacing w:after="0" w:line="480" w:lineRule="auto"/>
        <w:ind w:firstLine="72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w:t>
      </w:r>
      <w:r w:rsidR="00C757F4" w:rsidRPr="00C1694A">
        <w:rPr>
          <w:rFonts w:ascii="Times New Roman" w:eastAsia="Calibri" w:hAnsi="Times New Roman" w:cs="Times New Roman"/>
          <w:sz w:val="24"/>
          <w:szCs w:val="24"/>
        </w:rPr>
        <w:t>iv</w:t>
      </w:r>
      <w:r w:rsidRPr="00C1694A">
        <w:rPr>
          <w:rFonts w:ascii="Times New Roman" w:eastAsia="Calibri" w:hAnsi="Times New Roman" w:cs="Times New Roman"/>
          <w:sz w:val="24"/>
          <w:szCs w:val="24"/>
        </w:rPr>
        <w:t xml:space="preserve">) </w:t>
      </w:r>
      <w:r w:rsidRPr="00C1694A">
        <w:rPr>
          <w:rFonts w:ascii="Times New Roman" w:eastAsia="Times New Roman" w:hAnsi="Times New Roman" w:cs="Times New Roman"/>
          <w:sz w:val="24"/>
          <w:szCs w:val="24"/>
        </w:rPr>
        <w:t>Within the first 60 days of program operation, and on an ongoing basis thereafter, use individual child attendance data to identify children with patterns of absence that put them at risk of missing ten percent of program days per year and develop appropriate strategies to improve individual attendance among identified children, such as direct contact with parents or intensive case management</w:t>
      </w:r>
      <w:r w:rsidR="00025DB9" w:rsidRPr="00C1694A">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as necessary.  </w:t>
      </w:r>
    </w:p>
    <w:p w:rsidR="007C64DA" w:rsidRPr="00C1694A" w:rsidRDefault="007150B6" w:rsidP="00AC521C">
      <w:pPr>
        <w:spacing w:after="0" w:line="480" w:lineRule="auto"/>
        <w:ind w:firstLine="720"/>
        <w:rPr>
          <w:rFonts w:ascii="Times New Roman" w:hAnsi="Times New Roman" w:cs="Times New Roman"/>
        </w:rPr>
      </w:pPr>
      <w:r w:rsidRPr="00C1694A" w:rsidDel="007150B6">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(3) </w:t>
      </w:r>
      <w:r w:rsidRPr="00C1694A">
        <w:rPr>
          <w:rFonts w:ascii="Times New Roman" w:hAnsi="Times New Roman" w:cs="Times New Roman"/>
          <w:sz w:val="24"/>
          <w:szCs w:val="24"/>
        </w:rPr>
        <w:t xml:space="preserve">If a child ceases to attend, the program must make appropriate efforts to reengage the family to resume attendance, including as described in paragraph (a)(2) of this section. If the child’s attendance does not resume, then the program must consider that slot vacant.  This action is not considered expulsion as described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1302.17.</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(b) </w:t>
      </w:r>
      <w:r w:rsidRPr="00C1694A">
        <w:rPr>
          <w:rFonts w:ascii="Times New Roman" w:eastAsia="Calibri" w:hAnsi="Times New Roman" w:cs="Times New Roman"/>
          <w:sz w:val="24"/>
          <w:szCs w:val="24"/>
          <w:u w:val="single"/>
        </w:rPr>
        <w:t>Managing systematic program attendance issues.</w:t>
      </w:r>
      <w:r w:rsidRPr="00C1694A">
        <w:rPr>
          <w:rFonts w:ascii="Times New Roman" w:eastAsia="Calibri" w:hAnsi="Times New Roman" w:cs="Times New Roman"/>
          <w:sz w:val="24"/>
          <w:szCs w:val="24"/>
        </w:rPr>
        <w:t xml:space="preserve"> If a program’s</w:t>
      </w:r>
      <w:r w:rsidRPr="00C1694A">
        <w:rPr>
          <w:rFonts w:ascii="Times New Roman" w:hAnsi="Times New Roman" w:cs="Times New Roman"/>
          <w:sz w:val="24"/>
          <w:szCs w:val="24"/>
        </w:rPr>
        <w:t xml:space="preserve"> monthly average daily attendance rate falls below 85 percent, the program must analyze the causes of absenteeism to identify any systematic issues that contribute to the program’s absentee rate.  The program must use this data to make necessary changes in a timely manner as part of ongoing oversight and correction as described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1302.102(b) and inform its continuous improvement efforts as described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1302.102(c).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(c) </w:t>
      </w:r>
      <w:r w:rsidRPr="00C1694A">
        <w:rPr>
          <w:rFonts w:ascii="Times New Roman" w:eastAsia="Calibri" w:hAnsi="Times New Roman" w:cs="Times New Roman"/>
          <w:sz w:val="24"/>
          <w:szCs w:val="24"/>
          <w:u w:val="single"/>
        </w:rPr>
        <w:t>Supporting attendance of homeless children.</w:t>
      </w:r>
      <w:r w:rsidRPr="00C1694A">
        <w:rPr>
          <w:rFonts w:ascii="Times New Roman" w:eastAsia="Calibri" w:hAnsi="Times New Roman" w:cs="Times New Roman"/>
          <w:i/>
          <w:sz w:val="24"/>
          <w:szCs w:val="24"/>
        </w:rPr>
        <w:t xml:space="preserve"> </w:t>
      </w:r>
      <w:r w:rsidRPr="00C1694A">
        <w:rPr>
          <w:rFonts w:ascii="Times New Roman" w:eastAsia="Calibri" w:hAnsi="Times New Roman" w:cs="Times New Roman"/>
          <w:sz w:val="24"/>
          <w:szCs w:val="24"/>
        </w:rPr>
        <w:t>(1) If a program determines a child is eligible under §1302.12(c)</w:t>
      </w:r>
      <w:r w:rsidR="00FF76B5">
        <w:rPr>
          <w:rFonts w:ascii="Times New Roman" w:eastAsia="Calibri" w:hAnsi="Times New Roman" w:cs="Times New Roman"/>
          <w:sz w:val="24"/>
          <w:szCs w:val="24"/>
        </w:rPr>
        <w:t>(1)</w:t>
      </w:r>
      <w:r w:rsidRPr="00C1694A">
        <w:rPr>
          <w:rFonts w:ascii="Times New Roman" w:eastAsia="Calibri" w:hAnsi="Times New Roman" w:cs="Times New Roman"/>
          <w:sz w:val="24"/>
          <w:szCs w:val="24"/>
        </w:rPr>
        <w:t>(iii), it must allow the child to attend for up to 90 days</w:t>
      </w:r>
      <w:r w:rsidR="00D23ECA" w:rsidRPr="00C1694A">
        <w:rPr>
          <w:rFonts w:ascii="Times New Roman" w:eastAsia="Calibri" w:hAnsi="Times New Roman" w:cs="Times New Roman"/>
          <w:sz w:val="24"/>
          <w:szCs w:val="24"/>
        </w:rPr>
        <w:t xml:space="preserve"> </w:t>
      </w:r>
      <w:r w:rsidR="00D23ECA" w:rsidRPr="00C1694A">
        <w:rPr>
          <w:rFonts w:ascii="Times New Roman" w:hAnsi="Times New Roman" w:cs="Times New Roman"/>
          <w:sz w:val="24"/>
          <w:szCs w:val="24"/>
        </w:rPr>
        <w:t>or as long as allowed under state licensing requirements</w:t>
      </w:r>
      <w:r w:rsidRPr="00C1694A">
        <w:rPr>
          <w:rFonts w:ascii="Times New Roman" w:eastAsia="Calibri" w:hAnsi="Times New Roman" w:cs="Times New Roman"/>
          <w:sz w:val="24"/>
          <w:szCs w:val="24"/>
        </w:rPr>
        <w:t>, without immunization and other records, to give the family reasonable time to present these documents.</w:t>
      </w:r>
      <w:r w:rsidRPr="00C1694A">
        <w:rPr>
          <w:rFonts w:ascii="Times New Roman" w:hAnsi="Times New Roman" w:cs="Times New Roman"/>
          <w:sz w:val="24"/>
          <w:szCs w:val="24"/>
        </w:rPr>
        <w:t xml:space="preserve"> A program must work with families to get children immunized as soon as possible in order to comply with state licensing requirements.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(2) If a child experiencing homelessness is unable to attend classes regularly because the family does not have transportation to and from the program facility, the program must utilize community resources, where possible, to provide transportation for the child.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1302.17 Suspension and expulsion.</w:t>
      </w:r>
    </w:p>
    <w:p w:rsidR="007C64DA" w:rsidRPr="00C1694A" w:rsidRDefault="007C64DA"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(a) </w:t>
      </w:r>
      <w:r w:rsidRPr="00C1694A">
        <w:rPr>
          <w:rFonts w:ascii="Times New Roman" w:eastAsia="Calibri" w:hAnsi="Times New Roman" w:cs="Times New Roman"/>
          <w:sz w:val="24"/>
          <w:szCs w:val="24"/>
          <w:u w:val="single"/>
        </w:rPr>
        <w:t>Limitations on suspension.</w:t>
      </w:r>
      <w:r w:rsidRPr="00C1694A">
        <w:rPr>
          <w:rFonts w:ascii="Times New Roman" w:eastAsia="Calibri" w:hAnsi="Times New Roman" w:cs="Times New Roman"/>
          <w:sz w:val="24"/>
          <w:szCs w:val="24"/>
        </w:rPr>
        <w:t xml:space="preserve"> (1) A program must prohibit or severely limit the use of suspension</w:t>
      </w:r>
      <w:r w:rsidR="0054468B" w:rsidRPr="00C1694A">
        <w:rPr>
          <w:rFonts w:ascii="Times New Roman" w:eastAsia="Calibri" w:hAnsi="Times New Roman" w:cs="Times New Roman"/>
          <w:sz w:val="24"/>
          <w:szCs w:val="24"/>
        </w:rPr>
        <w:t xml:space="preserve"> due to a child’s behavior. </w:t>
      </w:r>
      <w:r w:rsidR="0097026A" w:rsidRPr="00C1694A">
        <w:rPr>
          <w:rFonts w:ascii="Times New Roman" w:eastAsia="Calibri" w:hAnsi="Times New Roman" w:cs="Times New Roman"/>
          <w:sz w:val="24"/>
          <w:szCs w:val="24"/>
        </w:rPr>
        <w:t xml:space="preserve">Such </w:t>
      </w:r>
      <w:r w:rsidR="0054468B" w:rsidRPr="00C1694A">
        <w:rPr>
          <w:rFonts w:ascii="Times New Roman" w:eastAsia="Calibri" w:hAnsi="Times New Roman" w:cs="Times New Roman"/>
          <w:sz w:val="24"/>
          <w:szCs w:val="24"/>
        </w:rPr>
        <w:t>suspension</w:t>
      </w:r>
      <w:r w:rsidR="0097026A" w:rsidRPr="00C1694A">
        <w:rPr>
          <w:rFonts w:ascii="Times New Roman" w:eastAsia="Calibri" w:hAnsi="Times New Roman" w:cs="Times New Roman"/>
          <w:sz w:val="24"/>
          <w:szCs w:val="24"/>
        </w:rPr>
        <w:t>s</w:t>
      </w:r>
      <w:r w:rsidR="0054468B" w:rsidRPr="00C1694A">
        <w:rPr>
          <w:rFonts w:ascii="Times New Roman" w:eastAsia="Calibri" w:hAnsi="Times New Roman" w:cs="Times New Roman"/>
          <w:sz w:val="24"/>
          <w:szCs w:val="24"/>
        </w:rPr>
        <w:t xml:space="preserve"> may only be temporary in nature.</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(2) </w:t>
      </w:r>
      <w:r w:rsidR="00025DB9" w:rsidRPr="00C1694A">
        <w:rPr>
          <w:rFonts w:ascii="Times New Roman" w:eastAsia="Calibri" w:hAnsi="Times New Roman" w:cs="Times New Roman"/>
          <w:sz w:val="24"/>
          <w:szCs w:val="24"/>
        </w:rPr>
        <w:t>A t</w:t>
      </w:r>
      <w:r w:rsidRPr="00C1694A">
        <w:rPr>
          <w:rFonts w:ascii="Times New Roman" w:eastAsia="Calibri" w:hAnsi="Times New Roman" w:cs="Times New Roman"/>
          <w:sz w:val="24"/>
          <w:szCs w:val="24"/>
        </w:rPr>
        <w:t xml:space="preserve">emporary suspension must be used </w:t>
      </w:r>
      <w:r w:rsidR="00025DB9" w:rsidRPr="00C1694A">
        <w:rPr>
          <w:rFonts w:ascii="Times New Roman" w:eastAsia="Calibri" w:hAnsi="Times New Roman" w:cs="Times New Roman"/>
          <w:sz w:val="24"/>
          <w:szCs w:val="24"/>
        </w:rPr>
        <w:t xml:space="preserve">only </w:t>
      </w:r>
      <w:r w:rsidRPr="00C1694A">
        <w:rPr>
          <w:rFonts w:ascii="Times New Roman" w:eastAsia="Calibri" w:hAnsi="Times New Roman" w:cs="Times New Roman"/>
          <w:sz w:val="24"/>
          <w:szCs w:val="24"/>
        </w:rPr>
        <w:t>as a last resort in extraordinary circumstances where there is a serious safety threat that cannot be reduced or eliminated by the provision of reasonable modifications.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(3) Before a program determines whether a temporary suspension is necessary, a program must engage with a mental health consultant, collaborate with the parents, and utilize appropriate community resources</w:t>
      </w:r>
      <w:r w:rsidR="00025DB9" w:rsidRPr="00C1694A">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 xml:space="preserve"> </w:t>
      </w:r>
      <w:r w:rsidR="00EC7136" w:rsidRPr="00C1694A">
        <w:rPr>
          <w:rFonts w:ascii="Times New Roman" w:eastAsia="Calibri" w:hAnsi="Times New Roman" w:cs="Times New Roman"/>
          <w:sz w:val="24"/>
          <w:szCs w:val="24"/>
        </w:rPr>
        <w:t>such as behavior coaches, psychologists, other appropriate specialists, or other resources</w:t>
      </w:r>
      <w:r w:rsidR="00025DB9" w:rsidRPr="00C1694A">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 xml:space="preserve"> as needed, to determine no other reasonable option is appropriate.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(4) If a temporary suspension is deemed necessary, a program must help the child return to full participation in all program activities as quickly as possible while ensuring child safety by:</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 Continuing to engage with the parents and </w:t>
      </w:r>
      <w:r w:rsidR="00025DB9" w:rsidRPr="00C1694A">
        <w:rPr>
          <w:rFonts w:ascii="Times New Roman" w:eastAsia="Calibri" w:hAnsi="Times New Roman" w:cs="Times New Roman"/>
          <w:sz w:val="24"/>
          <w:szCs w:val="24"/>
        </w:rPr>
        <w:t xml:space="preserve">a </w:t>
      </w:r>
      <w:r w:rsidRPr="00C1694A">
        <w:rPr>
          <w:rFonts w:ascii="Times New Roman" w:eastAsia="Calibri" w:hAnsi="Times New Roman" w:cs="Times New Roman"/>
          <w:sz w:val="24"/>
          <w:szCs w:val="24"/>
        </w:rPr>
        <w:t>mental health consultant</w:t>
      </w:r>
      <w:r w:rsidR="00EC7136" w:rsidRPr="00C1694A">
        <w:rPr>
          <w:rFonts w:ascii="Times New Roman" w:eastAsia="Calibri" w:hAnsi="Times New Roman" w:cs="Times New Roman"/>
          <w:sz w:val="24"/>
          <w:szCs w:val="24"/>
        </w:rPr>
        <w:t>, and continuing to utilize appropriate community resources</w:t>
      </w:r>
      <w:r w:rsidRPr="00C1694A">
        <w:rPr>
          <w:rFonts w:ascii="Times New Roman" w:eastAsia="Calibri"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(ii) Developing a written plan </w:t>
      </w:r>
      <w:r w:rsidR="00025DB9" w:rsidRPr="00C1694A">
        <w:rPr>
          <w:rFonts w:ascii="Times New Roman" w:eastAsia="Calibri" w:hAnsi="Times New Roman" w:cs="Times New Roman"/>
          <w:sz w:val="24"/>
          <w:szCs w:val="24"/>
        </w:rPr>
        <w:t xml:space="preserve">to </w:t>
      </w:r>
      <w:r w:rsidRPr="00C1694A">
        <w:rPr>
          <w:rFonts w:ascii="Times New Roman" w:eastAsia="Calibri" w:hAnsi="Times New Roman" w:cs="Times New Roman"/>
          <w:sz w:val="24"/>
          <w:szCs w:val="24"/>
        </w:rPr>
        <w:t>document the action and supports needed;</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(iii) Providing services that include home visits; and,</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(iv) Determining whether a referral to a local agency responsible for implementing IDEA is appropriate.</w:t>
      </w:r>
    </w:p>
    <w:p w:rsidR="00C03FE8" w:rsidRPr="00C1694A" w:rsidRDefault="00C03FE8" w:rsidP="00AC521C">
      <w:pPr>
        <w:spacing w:after="0" w:line="480" w:lineRule="auto"/>
        <w:ind w:firstLine="720"/>
        <w:rPr>
          <w:rFonts w:ascii="Times New Roman" w:eastAsia="Calibri" w:hAnsi="Times New Roman" w:cs="Times New Roman"/>
          <w:i/>
          <w:sz w:val="24"/>
          <w:szCs w:val="24"/>
        </w:rPr>
      </w:pPr>
    </w:p>
    <w:p w:rsidR="007C64DA" w:rsidRPr="00C1694A" w:rsidRDefault="007C64DA"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(b) </w:t>
      </w:r>
      <w:r w:rsidRPr="00C1694A">
        <w:rPr>
          <w:rFonts w:ascii="Times New Roman" w:eastAsia="Calibri" w:hAnsi="Times New Roman" w:cs="Times New Roman"/>
          <w:sz w:val="24"/>
          <w:szCs w:val="24"/>
          <w:u w:val="single"/>
        </w:rPr>
        <w:t>Prohibition on expulsion.</w:t>
      </w:r>
      <w:r w:rsidRPr="00C1694A">
        <w:rPr>
          <w:rFonts w:ascii="Times New Roman" w:eastAsia="Calibri" w:hAnsi="Times New Roman" w:cs="Times New Roman"/>
          <w:sz w:val="24"/>
          <w:szCs w:val="24"/>
        </w:rPr>
        <w:t xml:space="preserve"> (1) A program cannot expel or unenroll </w:t>
      </w:r>
      <w:r w:rsidR="00025DB9" w:rsidRPr="00C1694A">
        <w:rPr>
          <w:rFonts w:ascii="Times New Roman" w:eastAsia="Calibri" w:hAnsi="Times New Roman" w:cs="Times New Roman"/>
          <w:sz w:val="24"/>
          <w:szCs w:val="24"/>
        </w:rPr>
        <w:t xml:space="preserve">a </w:t>
      </w:r>
      <w:r w:rsidRPr="00C1694A">
        <w:rPr>
          <w:rFonts w:ascii="Times New Roman" w:eastAsia="Calibri" w:hAnsi="Times New Roman" w:cs="Times New Roman"/>
          <w:sz w:val="24"/>
          <w:szCs w:val="24"/>
        </w:rPr>
        <w:t>child from Head Start because of a child’s behavior.</w:t>
      </w:r>
    </w:p>
    <w:p w:rsidR="007C64DA" w:rsidRPr="00C1694A" w:rsidRDefault="007C64DA" w:rsidP="00AC521C">
      <w:pPr>
        <w:spacing w:after="0" w:line="480" w:lineRule="auto"/>
        <w:ind w:firstLine="720"/>
        <w:rPr>
          <w:rFonts w:ascii="Times New Roman" w:hAnsi="Times New Roman" w:cs="Times New Roman"/>
          <w:sz w:val="24"/>
          <w:szCs w:val="24"/>
        </w:rPr>
      </w:pPr>
    </w:p>
    <w:p w:rsidR="008A55FA" w:rsidRPr="00C1694A" w:rsidRDefault="008A55FA" w:rsidP="00AC521C">
      <w:pPr>
        <w:spacing w:after="0" w:line="480" w:lineRule="auto"/>
        <w:ind w:firstLine="720"/>
        <w:rPr>
          <w:rFonts w:ascii="Times New Roman" w:eastAsia="Calibri" w:hAnsi="Times New Roman" w:cs="Times New Roman"/>
          <w:sz w:val="24"/>
          <w:szCs w:val="24"/>
        </w:rPr>
      </w:pPr>
      <w:r w:rsidRPr="00C1694A">
        <w:rPr>
          <w:rFonts w:ascii="Times New Roman" w:hAnsi="Times New Roman" w:cs="Times New Roman"/>
          <w:sz w:val="24"/>
          <w:szCs w:val="24"/>
        </w:rPr>
        <w:t xml:space="preserve">(2) </w:t>
      </w:r>
      <w:r w:rsidRPr="00C1694A">
        <w:rPr>
          <w:rFonts w:ascii="Times New Roman" w:eastAsia="Calibri" w:hAnsi="Times New Roman" w:cs="Times New Roman"/>
          <w:sz w:val="24"/>
          <w:szCs w:val="24"/>
        </w:rPr>
        <w:t xml:space="preserve">When </w:t>
      </w:r>
      <w:r w:rsidR="00025DB9" w:rsidRPr="00C1694A">
        <w:rPr>
          <w:rFonts w:ascii="Times New Roman" w:eastAsia="Calibri" w:hAnsi="Times New Roman" w:cs="Times New Roman"/>
          <w:sz w:val="24"/>
          <w:szCs w:val="24"/>
        </w:rPr>
        <w:t xml:space="preserve">a </w:t>
      </w:r>
      <w:r w:rsidRPr="00C1694A">
        <w:rPr>
          <w:rFonts w:ascii="Times New Roman" w:eastAsia="Calibri" w:hAnsi="Times New Roman" w:cs="Times New Roman"/>
          <w:sz w:val="24"/>
          <w:szCs w:val="24"/>
        </w:rPr>
        <w:t>child exhibit</w:t>
      </w:r>
      <w:r w:rsidR="00025DB9" w:rsidRPr="00C1694A">
        <w:rPr>
          <w:rFonts w:ascii="Times New Roman" w:eastAsia="Calibri" w:hAnsi="Times New Roman" w:cs="Times New Roman"/>
          <w:sz w:val="24"/>
          <w:szCs w:val="24"/>
        </w:rPr>
        <w:t>s</w:t>
      </w:r>
      <w:r w:rsidRPr="00C1694A">
        <w:rPr>
          <w:rFonts w:ascii="Times New Roman" w:eastAsia="Calibri" w:hAnsi="Times New Roman" w:cs="Times New Roman"/>
          <w:sz w:val="24"/>
          <w:szCs w:val="24"/>
        </w:rPr>
        <w:t xml:space="preserve"> persistent and serious challenging behaviors, a program must explore all possible steps and document all steps taken</w:t>
      </w:r>
      <w:r w:rsidRPr="00C1694A" w:rsidDel="00606B9A">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 xml:space="preserve">to address such problems, and facilitate the child’s safe participation in the program. Such steps must include, at a minimum, </w:t>
      </w:r>
      <w:r w:rsidRPr="00C1694A">
        <w:rPr>
          <w:rFonts w:ascii="Times New Roman" w:hAnsi="Times New Roman" w:cs="Times New Roman"/>
          <w:sz w:val="24"/>
          <w:szCs w:val="24"/>
        </w:rPr>
        <w:t xml:space="preserve">engaging a mental health consultant, considering the appropriateness of </w:t>
      </w:r>
      <w:r w:rsidR="00D5297D" w:rsidRPr="00C1694A">
        <w:rPr>
          <w:rFonts w:ascii="Times New Roman" w:hAnsi="Times New Roman" w:cs="Times New Roman"/>
          <w:sz w:val="24"/>
          <w:szCs w:val="24"/>
        </w:rPr>
        <w:t>providing appropriate</w:t>
      </w:r>
      <w:r w:rsidRPr="00C1694A">
        <w:rPr>
          <w:rFonts w:ascii="Times New Roman" w:hAnsi="Times New Roman" w:cs="Times New Roman"/>
          <w:sz w:val="24"/>
          <w:szCs w:val="24"/>
        </w:rPr>
        <w:t xml:space="preserve"> services </w:t>
      </w:r>
      <w:r w:rsidR="00D5297D" w:rsidRPr="00C1694A">
        <w:rPr>
          <w:rFonts w:ascii="Times New Roman" w:hAnsi="Times New Roman" w:cs="Times New Roman"/>
          <w:sz w:val="24"/>
          <w:szCs w:val="24"/>
        </w:rPr>
        <w:t>and</w:t>
      </w:r>
      <w:r w:rsidRPr="00C1694A">
        <w:rPr>
          <w:rFonts w:ascii="Times New Roman" w:hAnsi="Times New Roman" w:cs="Times New Roman"/>
          <w:sz w:val="24"/>
          <w:szCs w:val="24"/>
        </w:rPr>
        <w:t xml:space="preserve"> supports under </w:t>
      </w:r>
      <w:r w:rsidR="001A3EB0">
        <w:rPr>
          <w:rFonts w:ascii="Times New Roman" w:hAnsi="Times New Roman" w:cs="Times New Roman"/>
          <w:sz w:val="24"/>
          <w:szCs w:val="24"/>
        </w:rPr>
        <w:t>s</w:t>
      </w:r>
      <w:r w:rsidRPr="00C1694A">
        <w:rPr>
          <w:rFonts w:ascii="Times New Roman" w:hAnsi="Times New Roman" w:cs="Times New Roman"/>
          <w:sz w:val="24"/>
          <w:szCs w:val="24"/>
        </w:rPr>
        <w:t xml:space="preserve">ection 504 of the Rehabilitation Act to ensure that the child who satisfies the definition of disability in 29 U.S.C. 705(9)(b) of the Rehabilitation Act is not excluded from the program on the basis of disability, and consulting with the parents and the child’s teacher, and:  </w:t>
      </w:r>
    </w:p>
    <w:p w:rsidR="007C64DA" w:rsidRPr="00C1694A" w:rsidRDefault="007C64DA" w:rsidP="00AC521C">
      <w:pPr>
        <w:spacing w:after="0" w:line="480" w:lineRule="auto"/>
        <w:ind w:firstLine="720"/>
        <w:rPr>
          <w:rFonts w:ascii="Times New Roman" w:eastAsia="Calibri" w:hAnsi="Times New Roman" w:cs="Times New Roman"/>
          <w:sz w:val="24"/>
          <w:szCs w:val="24"/>
        </w:rPr>
      </w:pPr>
    </w:p>
    <w:p w:rsidR="007C64DA" w:rsidRPr="00C1694A" w:rsidRDefault="007C64DA"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 </w:t>
      </w:r>
      <w:r w:rsidR="00D97929" w:rsidRPr="00C1694A">
        <w:rPr>
          <w:rFonts w:ascii="Times New Roman" w:eastAsia="Calibri" w:hAnsi="Times New Roman" w:cs="Times New Roman"/>
          <w:sz w:val="24"/>
          <w:szCs w:val="24"/>
        </w:rPr>
        <w:t>If the child h</w:t>
      </w:r>
      <w:r w:rsidRPr="00C1694A">
        <w:rPr>
          <w:rFonts w:ascii="Times New Roman" w:eastAsia="Calibri" w:hAnsi="Times New Roman" w:cs="Times New Roman"/>
          <w:sz w:val="24"/>
          <w:szCs w:val="24"/>
        </w:rPr>
        <w:t>as an individualized family service plan (IFSP) or individualized education program (IEP), the program must consult with the agency responsible for the IFSP or IEP to ensure the child receives the needed support</w:t>
      </w:r>
      <w:r w:rsidRPr="00C1694A">
        <w:rPr>
          <w:rFonts w:ascii="Times New Roman" w:hAnsi="Times New Roman" w:cs="Times New Roman"/>
          <w:sz w:val="24"/>
          <w:szCs w:val="24"/>
        </w:rPr>
        <w:t xml:space="preserve"> services; </w:t>
      </w:r>
      <w:r w:rsidRPr="00C1694A">
        <w:rPr>
          <w:rFonts w:ascii="Times New Roman" w:eastAsia="Calibri" w:hAnsi="Times New Roman" w:cs="Times New Roman"/>
          <w:sz w:val="24"/>
          <w:szCs w:val="24"/>
        </w:rPr>
        <w:t>or,</w:t>
      </w:r>
    </w:p>
    <w:p w:rsidR="007C64DA" w:rsidRPr="00C1694A" w:rsidRDefault="007C64DA" w:rsidP="00AC521C">
      <w:pPr>
        <w:spacing w:after="0" w:line="480" w:lineRule="auto"/>
        <w:ind w:firstLine="720"/>
        <w:rPr>
          <w:rFonts w:ascii="Times New Roman" w:eastAsia="Calibri" w:hAnsi="Times New Roman" w:cs="Times New Roman"/>
          <w:sz w:val="24"/>
          <w:szCs w:val="24"/>
        </w:rPr>
      </w:pPr>
    </w:p>
    <w:p w:rsidR="007C64DA" w:rsidRPr="00C1694A" w:rsidRDefault="007C64DA"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(ii) </w:t>
      </w:r>
      <w:r w:rsidR="00D97929" w:rsidRPr="00C1694A">
        <w:rPr>
          <w:rFonts w:ascii="Times New Roman" w:eastAsia="Calibri" w:hAnsi="Times New Roman" w:cs="Times New Roman"/>
          <w:sz w:val="24"/>
          <w:szCs w:val="24"/>
        </w:rPr>
        <w:t>If the child d</w:t>
      </w:r>
      <w:r w:rsidRPr="00C1694A">
        <w:rPr>
          <w:rFonts w:ascii="Times New Roman" w:hAnsi="Times New Roman" w:cs="Times New Roman"/>
          <w:sz w:val="24"/>
          <w:szCs w:val="24"/>
        </w:rPr>
        <w:t>oes not have an IFSP or IEP, the program must collaborate, with parental consent, with the local agency responsible for implementing IDEA to determine the child’s eligibility for services.</w:t>
      </w:r>
    </w:p>
    <w:p w:rsidR="007C64DA" w:rsidRPr="00C1694A" w:rsidRDefault="007C64DA"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7C64DA" w:rsidRPr="00C1694A" w:rsidRDefault="007C64DA"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(3) If, after a program has explored all possible steps and documented all steps taken</w:t>
      </w:r>
      <w:r w:rsidR="00025DB9" w:rsidRPr="00C1694A">
        <w:rPr>
          <w:rFonts w:ascii="Times New Roman" w:eastAsia="Calibri" w:hAnsi="Times New Roman" w:cs="Times New Roman"/>
          <w:sz w:val="24"/>
          <w:szCs w:val="24"/>
        </w:rPr>
        <w:t xml:space="preserve"> as</w:t>
      </w:r>
      <w:r w:rsidRPr="00C1694A">
        <w:rPr>
          <w:rFonts w:ascii="Times New Roman" w:eastAsia="Calibri" w:hAnsi="Times New Roman" w:cs="Times New Roman"/>
          <w:sz w:val="24"/>
          <w:szCs w:val="24"/>
        </w:rPr>
        <w:t xml:space="preserve"> described in paragraph (b)(2)</w:t>
      </w:r>
      <w:r w:rsidR="004A52CB">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 xml:space="preserve">, a program, in consultation with the parents, the child’s teacher, the agency responsible for implementing IDEA (if applicable), and the mental health consultant, determines that the child’s continued enrollment presents a continued serious safety threat to the child or other enrolled children and determines the program is not the most appropriate placement for the child, the program must work with such entities to directly facilitate the transition of </w:t>
      </w:r>
      <w:r w:rsidR="00025DB9" w:rsidRPr="00C1694A">
        <w:rPr>
          <w:rFonts w:ascii="Times New Roman" w:eastAsia="Calibri" w:hAnsi="Times New Roman" w:cs="Times New Roman"/>
          <w:sz w:val="24"/>
          <w:szCs w:val="24"/>
        </w:rPr>
        <w:t xml:space="preserve">the </w:t>
      </w:r>
      <w:r w:rsidRPr="00C1694A">
        <w:rPr>
          <w:rFonts w:ascii="Times New Roman" w:eastAsia="Calibri" w:hAnsi="Times New Roman" w:cs="Times New Roman"/>
          <w:sz w:val="24"/>
          <w:szCs w:val="24"/>
        </w:rPr>
        <w:t>child to a more appropriate placement.</w:t>
      </w:r>
    </w:p>
    <w:p w:rsidR="00C03FE8" w:rsidRPr="00C1694A" w:rsidRDefault="00C03FE8" w:rsidP="00AC521C">
      <w:pPr>
        <w:tabs>
          <w:tab w:val="left" w:pos="720"/>
          <w:tab w:val="left" w:pos="9360"/>
        </w:tabs>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§1302.18 Fees.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pStyle w:val="ListParagraph"/>
        <w:spacing w:after="0" w:line="480" w:lineRule="auto"/>
        <w:ind w:left="0" w:firstLine="720"/>
        <w:rPr>
          <w:rFonts w:ascii="Times New Roman" w:eastAsia="Calibri" w:hAnsi="Times New Roman" w:cs="Times New Roman"/>
          <w:sz w:val="24"/>
          <w:szCs w:val="24"/>
          <w:u w:val="single"/>
        </w:rPr>
      </w:pPr>
      <w:r w:rsidRPr="00C1694A">
        <w:rPr>
          <w:rFonts w:ascii="Times New Roman" w:eastAsia="Calibri" w:hAnsi="Times New Roman" w:cs="Times New Roman"/>
          <w:sz w:val="24"/>
          <w:szCs w:val="24"/>
        </w:rPr>
        <w:t>(a)</w:t>
      </w:r>
      <w:r w:rsidRPr="00C1694A">
        <w:rPr>
          <w:rFonts w:ascii="Times New Roman" w:eastAsia="Calibri" w:hAnsi="Times New Roman" w:cs="Times New Roman"/>
          <w:sz w:val="24"/>
          <w:szCs w:val="24"/>
          <w:u w:val="single"/>
        </w:rPr>
        <w:t xml:space="preserve"> Policy on fees.</w:t>
      </w:r>
      <w:r w:rsidRPr="00C1694A">
        <w:rPr>
          <w:rFonts w:ascii="Times New Roman" w:eastAsia="Calibri" w:hAnsi="Times New Roman" w:cs="Times New Roman"/>
          <w:sz w:val="24"/>
          <w:szCs w:val="24"/>
        </w:rPr>
        <w:t xml:space="preserve"> A program must not charge eligible families a fee to participate in Head Start, </w:t>
      </w:r>
      <w:r w:rsidR="002F602B" w:rsidRPr="00C1694A">
        <w:rPr>
          <w:rFonts w:ascii="Times New Roman" w:eastAsia="Calibri" w:hAnsi="Times New Roman" w:cs="Times New Roman"/>
          <w:sz w:val="24"/>
          <w:szCs w:val="24"/>
        </w:rPr>
        <w:t>including special events such as field trips</w:t>
      </w:r>
      <w:r w:rsidR="00571F2A" w:rsidRPr="00C1694A">
        <w:rPr>
          <w:rFonts w:ascii="Times New Roman" w:eastAsia="Calibri" w:hAnsi="Times New Roman" w:cs="Times New Roman"/>
          <w:sz w:val="24"/>
          <w:szCs w:val="24"/>
        </w:rPr>
        <w:t>,</w:t>
      </w:r>
      <w:r w:rsidR="002F602B" w:rsidRPr="00C1694A">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and cannot in any way condition an eligible child’s enrollment or participation in the program upon the payment of a fee.</w:t>
      </w:r>
    </w:p>
    <w:p w:rsidR="00C03FE8" w:rsidRPr="00C1694A" w:rsidRDefault="00C03FE8" w:rsidP="00AC521C">
      <w:pPr>
        <w:pStyle w:val="ListParagraph"/>
        <w:spacing w:after="0" w:line="480" w:lineRule="auto"/>
        <w:ind w:left="0" w:firstLine="720"/>
        <w:rPr>
          <w:rFonts w:ascii="Times New Roman" w:eastAsia="Calibri" w:hAnsi="Times New Roman" w:cs="Times New Roman"/>
          <w:sz w:val="24"/>
          <w:szCs w:val="24"/>
          <w:u w:val="single"/>
        </w:rPr>
      </w:pPr>
    </w:p>
    <w:p w:rsidR="00C03FE8" w:rsidRPr="00C1694A" w:rsidRDefault="00C03FE8" w:rsidP="00AC521C">
      <w:pPr>
        <w:pStyle w:val="ListParagraph"/>
        <w:spacing w:after="0" w:line="480" w:lineRule="auto"/>
        <w:ind w:left="0" w:firstLine="720"/>
        <w:rPr>
          <w:rFonts w:ascii="Times New Roman" w:eastAsia="Calibri" w:hAnsi="Times New Roman" w:cs="Times New Roman"/>
          <w:sz w:val="24"/>
          <w:szCs w:val="24"/>
          <w:u w:val="single"/>
        </w:rPr>
      </w:pPr>
      <w:r w:rsidRPr="00C1694A">
        <w:rPr>
          <w:rFonts w:ascii="Times New Roman" w:eastAsia="Calibri" w:hAnsi="Times New Roman" w:cs="Times New Roman"/>
          <w:sz w:val="24"/>
          <w:szCs w:val="24"/>
        </w:rPr>
        <w:t>(b)</w:t>
      </w:r>
      <w:r w:rsidRPr="00C1694A">
        <w:rPr>
          <w:rFonts w:ascii="Times New Roman" w:eastAsia="Calibri" w:hAnsi="Times New Roman" w:cs="Times New Roman"/>
          <w:sz w:val="24"/>
          <w:szCs w:val="24"/>
          <w:u w:val="single"/>
        </w:rPr>
        <w:t xml:space="preserve"> Allowable fees</w:t>
      </w:r>
      <w:r w:rsidRPr="00C1694A">
        <w:rPr>
          <w:rFonts w:ascii="Times New Roman" w:eastAsia="Calibri" w:hAnsi="Times New Roman" w:cs="Times New Roman"/>
          <w:sz w:val="24"/>
          <w:szCs w:val="24"/>
        </w:rPr>
        <w:t>. (1) A program must only accept a fee from families of enrolled children for services that are in addition to services funded by Head Start, such as child care before or after funded Head Start hours.  A program may not condition a Head Start child’s enrollment on the ability to pay a fee for additional hours.</w:t>
      </w:r>
    </w:p>
    <w:p w:rsidR="00C03FE8" w:rsidRPr="00C1694A" w:rsidRDefault="00C03FE8" w:rsidP="00AC521C">
      <w:pPr>
        <w:pStyle w:val="ListParagraph"/>
        <w:spacing w:after="0" w:line="480" w:lineRule="auto"/>
        <w:ind w:left="1080"/>
        <w:rPr>
          <w:rFonts w:ascii="Times New Roman" w:eastAsia="Calibri" w:hAnsi="Times New Roman" w:cs="Times New Roman"/>
          <w:sz w:val="24"/>
          <w:szCs w:val="24"/>
          <w:u w:val="single"/>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(2) In order to support programs serving children from diverse economic backgrounds or using multiple funding sources, a program may charge fees to private pay families and other non-Head Start enrolled families to the extent allowed by any other applicable federal, state or local funding sources.</w:t>
      </w:r>
    </w:p>
    <w:p w:rsidR="00C03FE8" w:rsidRPr="00C1694A" w:rsidRDefault="00C03FE8" w:rsidP="00AC521C">
      <w:pPr>
        <w:spacing w:after="0" w:line="480" w:lineRule="auto"/>
        <w:ind w:firstLine="720"/>
        <w:rPr>
          <w:rFonts w:ascii="Times New Roman" w:eastAsia="Calibri" w:hAnsi="Times New Roman" w:cs="Times New Roman"/>
          <w:sz w:val="24"/>
          <w:szCs w:val="24"/>
          <w:u w:val="single"/>
        </w:rPr>
      </w:pPr>
    </w:p>
    <w:p w:rsidR="00C03FE8" w:rsidRPr="00C1694A" w:rsidRDefault="00C03FE8" w:rsidP="00AC521C">
      <w:pPr>
        <w:spacing w:after="0" w:line="480" w:lineRule="auto"/>
        <w:rPr>
          <w:rFonts w:ascii="Times New Roman" w:eastAsia="Times New Roman" w:hAnsi="Times New Roman" w:cs="Times New Roman"/>
          <w:sz w:val="24"/>
          <w:szCs w:val="24"/>
        </w:rPr>
      </w:pPr>
      <w:r w:rsidRPr="00C1694A">
        <w:rPr>
          <w:rFonts w:ascii="Times New Roman" w:eastAsia="Calibri" w:hAnsi="Times New Roman" w:cs="Times New Roman"/>
          <w:b/>
          <w:sz w:val="24"/>
          <w:szCs w:val="24"/>
        </w:rPr>
        <w:t>Subpart B</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Program Structure</w:t>
      </w:r>
    </w:p>
    <w:p w:rsidR="00C03FE8" w:rsidRPr="00C1694A" w:rsidRDefault="00C03FE8" w:rsidP="00AC521C">
      <w:pPr>
        <w:tabs>
          <w:tab w:val="left" w:pos="360"/>
        </w:tabs>
        <w:spacing w:after="0" w:line="480" w:lineRule="auto"/>
        <w:contextualSpacing/>
        <w:rPr>
          <w:rFonts w:ascii="Times New Roman" w:hAnsi="Times New Roman" w:cs="Times New Roman"/>
          <w:b/>
          <w:sz w:val="24"/>
          <w:szCs w:val="24"/>
        </w:rPr>
      </w:pPr>
      <w:r w:rsidRPr="00C1694A">
        <w:rPr>
          <w:rFonts w:ascii="Times New Roman" w:hAnsi="Times New Roman" w:cs="Times New Roman"/>
          <w:b/>
          <w:sz w:val="24"/>
          <w:szCs w:val="24"/>
        </w:rPr>
        <w:t xml:space="preserve">§1302.20 </w:t>
      </w:r>
      <w:r w:rsidR="00FF76B5">
        <w:rPr>
          <w:rFonts w:ascii="Times New Roman" w:hAnsi="Times New Roman" w:cs="Times New Roman"/>
          <w:b/>
          <w:sz w:val="24"/>
          <w:szCs w:val="24"/>
        </w:rPr>
        <w:t>Determining program structure</w:t>
      </w:r>
      <w:r w:rsidRPr="00C1694A">
        <w:rPr>
          <w:rFonts w:ascii="Times New Roman" w:hAnsi="Times New Roman" w:cs="Times New Roman"/>
          <w:b/>
          <w:sz w:val="24"/>
          <w:szCs w:val="24"/>
        </w:rPr>
        <w:t xml:space="preserve">.  </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Pr="00C1694A">
        <w:rPr>
          <w:rFonts w:ascii="Times New Roman" w:hAnsi="Times New Roman" w:cs="Times New Roman"/>
          <w:sz w:val="24"/>
          <w:szCs w:val="24"/>
          <w:u w:val="single"/>
        </w:rPr>
        <w:t>Choose a program option.</w:t>
      </w:r>
      <w:r w:rsidRPr="00C1694A">
        <w:rPr>
          <w:rFonts w:ascii="Times New Roman" w:hAnsi="Times New Roman" w:cs="Times New Roman"/>
          <w:sz w:val="24"/>
          <w:szCs w:val="24"/>
        </w:rPr>
        <w:t xml:space="preserve">  (1) A program must choose to operate one or more of the following program options: center-based, home-based, family child care, or an approved locally-designed variation as described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1302.24. The program option(s) chosen must meet the needs of children and families based on the community assessment described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1302.11(b).  </w:t>
      </w:r>
      <w:r w:rsidR="004C5B11" w:rsidRPr="00C1694A">
        <w:rPr>
          <w:rFonts w:ascii="Times New Roman" w:hAnsi="Times New Roman" w:cs="Times New Roman"/>
          <w:sz w:val="24"/>
          <w:szCs w:val="24"/>
        </w:rPr>
        <w:t xml:space="preserve">A Head Start program serving preschool-aged children may not provide </w:t>
      </w:r>
      <w:r w:rsidR="003B2FC1" w:rsidRPr="00C1694A">
        <w:rPr>
          <w:rFonts w:ascii="Times New Roman" w:hAnsi="Times New Roman" w:cs="Times New Roman"/>
          <w:sz w:val="24"/>
          <w:szCs w:val="24"/>
        </w:rPr>
        <w:t xml:space="preserve">only </w:t>
      </w:r>
      <w:r w:rsidR="004C5B11" w:rsidRPr="00C1694A">
        <w:rPr>
          <w:rFonts w:ascii="Times New Roman" w:hAnsi="Times New Roman" w:cs="Times New Roman"/>
          <w:sz w:val="24"/>
          <w:szCs w:val="24"/>
        </w:rPr>
        <w:t xml:space="preserve">the option described in </w:t>
      </w:r>
      <w:r w:rsidR="004C5B11" w:rsidRPr="00C1694A">
        <w:rPr>
          <w:rFonts w:ascii="Times New Roman" w:eastAsia="Calibri" w:hAnsi="Times New Roman" w:cs="Times New Roman"/>
          <w:sz w:val="24"/>
          <w:szCs w:val="24"/>
        </w:rPr>
        <w:t>§</w:t>
      </w:r>
      <w:r w:rsidR="004C5B11" w:rsidRPr="00C1694A">
        <w:rPr>
          <w:rFonts w:ascii="Times New Roman" w:hAnsi="Times New Roman" w:cs="Times New Roman"/>
          <w:sz w:val="24"/>
          <w:szCs w:val="24"/>
        </w:rPr>
        <w:t>1302.22(a) and (c)(2).</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To choose a program option and develop a program calendar, a program must consider in conjunction with the annual review of the community assessment described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1302.11(b)(2), whether </w:t>
      </w:r>
      <w:r w:rsidR="003B2FC1" w:rsidRPr="00C1694A">
        <w:rPr>
          <w:rFonts w:ascii="Times New Roman" w:hAnsi="Times New Roman" w:cs="Times New Roman"/>
          <w:sz w:val="24"/>
          <w:szCs w:val="24"/>
        </w:rPr>
        <w:t xml:space="preserve">it </w:t>
      </w:r>
      <w:r w:rsidRPr="00C1694A">
        <w:rPr>
          <w:rFonts w:ascii="Times New Roman" w:hAnsi="Times New Roman" w:cs="Times New Roman"/>
          <w:sz w:val="24"/>
          <w:szCs w:val="24"/>
        </w:rPr>
        <w:t>would better meet child and family needs through conversion of existing slots to full school day or full working day slots, extending the program year, conversion of existing Head Start slots to Early Head Start slots as described in paragraph (c)</w:t>
      </w:r>
      <w:r w:rsidR="00CE76E4">
        <w:rPr>
          <w:rFonts w:ascii="Times New Roman" w:hAnsi="Times New Roman" w:cs="Times New Roman"/>
          <w:sz w:val="24"/>
          <w:szCs w:val="24"/>
        </w:rPr>
        <w:t xml:space="preserve"> of this section</w:t>
      </w:r>
      <w:r w:rsidRPr="00C1694A">
        <w:rPr>
          <w:rFonts w:ascii="Times New Roman" w:hAnsi="Times New Roman" w:cs="Times New Roman"/>
          <w:sz w:val="24"/>
          <w:szCs w:val="24"/>
        </w:rPr>
        <w:t>, and ways to promote continuity of care and services.  A program must work to identify alternate sources to support full working day services. If</w:t>
      </w:r>
      <w:r w:rsidRPr="00C1694A">
        <w:rPr>
          <w:rFonts w:ascii="Times New Roman" w:eastAsiaTheme="minorHAnsi" w:hAnsi="Times New Roman" w:cs="Times New Roman"/>
          <w:sz w:val="24"/>
          <w:szCs w:val="24"/>
        </w:rPr>
        <w:t xml:space="preserve"> no additional funding is available, program </w:t>
      </w:r>
      <w:r w:rsidRPr="00C1694A">
        <w:rPr>
          <w:rFonts w:ascii="Times New Roman" w:hAnsi="Times New Roman" w:cs="Times New Roman"/>
          <w:sz w:val="24"/>
          <w:szCs w:val="24"/>
        </w:rPr>
        <w:t xml:space="preserve">resources may be used.  </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Comprehensive services.</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All program options must deliver the full range of services, as described in subparts C, D, E, F, and G</w:t>
      </w:r>
      <w:r w:rsidR="00CE76E4">
        <w:rPr>
          <w:rFonts w:ascii="Times New Roman" w:hAnsi="Times New Roman" w:cs="Times New Roman"/>
          <w:sz w:val="24"/>
          <w:szCs w:val="24"/>
        </w:rPr>
        <w:t xml:space="preserve"> of this part</w:t>
      </w:r>
      <w:r w:rsidRPr="00C1694A">
        <w:rPr>
          <w:rFonts w:ascii="Times New Roman" w:hAnsi="Times New Roman" w:cs="Times New Roman"/>
          <w:sz w:val="24"/>
          <w:szCs w:val="24"/>
        </w:rPr>
        <w:t xml:space="preserve">, except that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1302.30 through 1302.32 and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1302.34 do not apply to home-based options. </w:t>
      </w: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Conversion.</w:t>
      </w:r>
      <w:r w:rsidRPr="00C1694A">
        <w:rPr>
          <w:rFonts w:ascii="Times New Roman" w:hAnsi="Times New Roman" w:cs="Times New Roman"/>
          <w:sz w:val="24"/>
          <w:szCs w:val="24"/>
        </w:rPr>
        <w:t xml:space="preserve"> (1) Consistent with </w:t>
      </w:r>
      <w:r w:rsidR="003B2FC1" w:rsidRPr="00C1694A">
        <w:rPr>
          <w:rFonts w:ascii="Times New Roman" w:hAnsi="Times New Roman" w:cs="Times New Roman"/>
          <w:sz w:val="24"/>
          <w:szCs w:val="24"/>
        </w:rPr>
        <w:t>s</w:t>
      </w:r>
      <w:r w:rsidRPr="00C1694A">
        <w:rPr>
          <w:rFonts w:ascii="Times New Roman" w:hAnsi="Times New Roman" w:cs="Times New Roman"/>
          <w:sz w:val="24"/>
          <w:szCs w:val="24"/>
        </w:rPr>
        <w:t>ection 645(a)(5) of the Head Start Act, grantees may request to convert Head Start slots to Early Head Start slots through the re-funding application process or as a separate grant amendment.</w:t>
      </w: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(2) Any grantee proposing a conversion of Head Start services to Early Head Start services must obtain policy council and governing body approval and submit the request to their </w:t>
      </w:r>
      <w:r w:rsidR="00344656" w:rsidRPr="00C1694A">
        <w:rPr>
          <w:rFonts w:ascii="Times New Roman" w:hAnsi="Times New Roman" w:cs="Times New Roman"/>
          <w:sz w:val="24"/>
          <w:szCs w:val="24"/>
        </w:rPr>
        <w:t>r</w:t>
      </w:r>
      <w:r w:rsidRPr="00C1694A">
        <w:rPr>
          <w:rFonts w:ascii="Times New Roman" w:hAnsi="Times New Roman" w:cs="Times New Roman"/>
          <w:sz w:val="24"/>
          <w:szCs w:val="24"/>
        </w:rPr>
        <w:t xml:space="preserve">egional </w:t>
      </w:r>
      <w:r w:rsidR="00344656" w:rsidRPr="00C1694A">
        <w:rPr>
          <w:rFonts w:ascii="Times New Roman" w:hAnsi="Times New Roman" w:cs="Times New Roman"/>
          <w:sz w:val="24"/>
          <w:szCs w:val="24"/>
        </w:rPr>
        <w:t>o</w:t>
      </w:r>
      <w:r w:rsidRPr="00C1694A">
        <w:rPr>
          <w:rFonts w:ascii="Times New Roman" w:hAnsi="Times New Roman" w:cs="Times New Roman"/>
          <w:sz w:val="24"/>
          <w:szCs w:val="24"/>
        </w:rPr>
        <w:t>ffice.</w:t>
      </w: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(3) With the exception of American Indian and Alaska Native grantees as described in paragraph </w:t>
      </w:r>
      <w:r w:rsidR="00CE76E4">
        <w:rPr>
          <w:rFonts w:ascii="Times New Roman" w:hAnsi="Times New Roman" w:cs="Times New Roman"/>
          <w:sz w:val="24"/>
          <w:szCs w:val="24"/>
        </w:rPr>
        <w:t>(c)</w:t>
      </w:r>
      <w:r w:rsidRPr="00C1694A">
        <w:rPr>
          <w:rFonts w:ascii="Times New Roman" w:hAnsi="Times New Roman" w:cs="Times New Roman"/>
          <w:sz w:val="24"/>
          <w:szCs w:val="24"/>
        </w:rPr>
        <w:t>(4)</w:t>
      </w:r>
      <w:r w:rsidR="00CE76E4">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the request to the </w:t>
      </w:r>
      <w:r w:rsidR="00344656" w:rsidRPr="00C1694A">
        <w:rPr>
          <w:rFonts w:ascii="Times New Roman" w:hAnsi="Times New Roman" w:cs="Times New Roman"/>
          <w:sz w:val="24"/>
          <w:szCs w:val="24"/>
        </w:rPr>
        <w:t>r</w:t>
      </w:r>
      <w:r w:rsidRPr="00C1694A">
        <w:rPr>
          <w:rFonts w:ascii="Times New Roman" w:hAnsi="Times New Roman" w:cs="Times New Roman"/>
          <w:sz w:val="24"/>
          <w:szCs w:val="24"/>
        </w:rPr>
        <w:t xml:space="preserve">egional </w:t>
      </w:r>
      <w:r w:rsidR="00344656" w:rsidRPr="00C1694A">
        <w:rPr>
          <w:rFonts w:ascii="Times New Roman" w:hAnsi="Times New Roman" w:cs="Times New Roman"/>
          <w:sz w:val="24"/>
          <w:szCs w:val="24"/>
        </w:rPr>
        <w:t>o</w:t>
      </w:r>
      <w:r w:rsidRPr="00C1694A">
        <w:rPr>
          <w:rFonts w:ascii="Times New Roman" w:hAnsi="Times New Roman" w:cs="Times New Roman"/>
          <w:sz w:val="24"/>
          <w:szCs w:val="24"/>
        </w:rPr>
        <w:t>ffice must include:</w:t>
      </w: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w:t>
      </w:r>
      <w:r w:rsidR="00C03FE8" w:rsidRPr="00001E53">
        <w:rPr>
          <w:rFonts w:ascii="Times New Roman" w:hAnsi="Times New Roman" w:cs="Times New Roman"/>
          <w:sz w:val="24"/>
          <w:szCs w:val="24"/>
        </w:rPr>
        <w:t>A grant application budget and a budget narrative that clearly identifies the funding amount for the Head Start and Early Head Start programs before and after the proposed conversion;</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w:t>
      </w:r>
      <w:r w:rsidR="00C03FE8" w:rsidRPr="00001E53">
        <w:rPr>
          <w:rFonts w:ascii="Times New Roman" w:hAnsi="Times New Roman" w:cs="Times New Roman"/>
          <w:sz w:val="24"/>
          <w:szCs w:val="24"/>
        </w:rPr>
        <w:t>The results of the community assessment demonstrating how the proposed use of funds would best meet the needs of the community, including a description of how the needs of eligible Head Start children will be met in the community when the conversion takes places;</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(iii) </w:t>
      </w:r>
      <w:r w:rsidR="00C03FE8" w:rsidRPr="00001E53">
        <w:rPr>
          <w:rFonts w:ascii="Times New Roman" w:hAnsi="Times New Roman" w:cs="Times New Roman"/>
          <w:sz w:val="24"/>
          <w:szCs w:val="24"/>
        </w:rPr>
        <w:t>A revised program schedule that describes the program option(s) and the number of funded enrollment slots for Head Start and Early Head Start programs before and after the proposed conversion;</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(iv) </w:t>
      </w:r>
      <w:r w:rsidR="00C03FE8" w:rsidRPr="00001E53">
        <w:rPr>
          <w:rFonts w:ascii="Times New Roman" w:hAnsi="Times New Roman" w:cs="Times New Roman"/>
          <w:sz w:val="24"/>
          <w:szCs w:val="24"/>
        </w:rPr>
        <w:t>A description of how the needs of pregnant women, infants, and toddlers will be addressed;</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(v) </w:t>
      </w:r>
      <w:r w:rsidR="00C03FE8" w:rsidRPr="00001E53">
        <w:rPr>
          <w:rFonts w:ascii="Times New Roman" w:hAnsi="Times New Roman" w:cs="Times New Roman"/>
          <w:sz w:val="24"/>
          <w:szCs w:val="24"/>
        </w:rPr>
        <w:t xml:space="preserve">A discussion of the agency’s capacity to carry out an effective Early Head Start program in accordance with the requirements of </w:t>
      </w:r>
      <w:r w:rsidR="003B2FC1" w:rsidRPr="00001E53">
        <w:rPr>
          <w:rFonts w:ascii="Times New Roman" w:hAnsi="Times New Roman" w:cs="Times New Roman"/>
          <w:sz w:val="24"/>
          <w:szCs w:val="24"/>
        </w:rPr>
        <w:t>s</w:t>
      </w:r>
      <w:r w:rsidR="00C03FE8" w:rsidRPr="00001E53">
        <w:rPr>
          <w:rFonts w:ascii="Times New Roman" w:hAnsi="Times New Roman" w:cs="Times New Roman"/>
          <w:sz w:val="24"/>
          <w:szCs w:val="24"/>
        </w:rPr>
        <w:t>ection 645A(b) of the Head Start Act and all applicable regulations;</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(vi) </w:t>
      </w:r>
      <w:r w:rsidR="00C03FE8" w:rsidRPr="00001E53">
        <w:rPr>
          <w:rFonts w:ascii="Times New Roman" w:hAnsi="Times New Roman" w:cs="Times New Roman"/>
          <w:sz w:val="24"/>
          <w:szCs w:val="24"/>
        </w:rPr>
        <w:t>Assurances that the agency will participate in training and technical assistance activities required of all Early Head Start grantees;</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(vii) </w:t>
      </w:r>
      <w:r w:rsidR="00C03FE8" w:rsidRPr="00001E53">
        <w:rPr>
          <w:rFonts w:ascii="Times New Roman" w:hAnsi="Times New Roman" w:cs="Times New Roman"/>
          <w:sz w:val="24"/>
          <w:szCs w:val="24"/>
        </w:rPr>
        <w:t>A discussion of the qualification</w:t>
      </w:r>
      <w:r w:rsidR="003B2FC1" w:rsidRPr="00001E53">
        <w:rPr>
          <w:rFonts w:ascii="Times New Roman" w:hAnsi="Times New Roman" w:cs="Times New Roman"/>
          <w:sz w:val="24"/>
          <w:szCs w:val="24"/>
        </w:rPr>
        <w:t>s</w:t>
      </w:r>
      <w:r w:rsidR="00C03FE8" w:rsidRPr="00001E53">
        <w:rPr>
          <w:rFonts w:ascii="Times New Roman" w:hAnsi="Times New Roman" w:cs="Times New Roman"/>
          <w:sz w:val="24"/>
          <w:szCs w:val="24"/>
        </w:rPr>
        <w:t xml:space="preserve"> and competencies of the child development staff proposed for the Early Head Start program, as well as a description of the facilities and program infrastructure that will be used to support the new or expanded Early Head Start program; </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(viii) </w:t>
      </w:r>
      <w:r w:rsidR="00C03FE8" w:rsidRPr="00001E53">
        <w:rPr>
          <w:rFonts w:ascii="Times New Roman" w:hAnsi="Times New Roman" w:cs="Times New Roman"/>
          <w:sz w:val="24"/>
          <w:szCs w:val="24"/>
        </w:rPr>
        <w:t>A discussion of any one-time funding necessary to implement the proposed conversion and how the agency intends to secure such funding; and,</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001E53" w:rsidRDefault="00001E53"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(ix) </w:t>
      </w:r>
      <w:r w:rsidR="00C03FE8" w:rsidRPr="00001E53">
        <w:rPr>
          <w:rFonts w:ascii="Times New Roman" w:hAnsi="Times New Roman" w:cs="Times New Roman"/>
          <w:sz w:val="24"/>
          <w:szCs w:val="24"/>
        </w:rPr>
        <w:t>The proposed timetable for implementing this conversion, including updating school readiness goals as described in subpart J</w:t>
      </w:r>
      <w:r w:rsidR="00CE76E4">
        <w:rPr>
          <w:rFonts w:ascii="Times New Roman" w:hAnsi="Times New Roman" w:cs="Times New Roman"/>
          <w:sz w:val="24"/>
          <w:szCs w:val="24"/>
        </w:rPr>
        <w:t xml:space="preserve"> of this part</w:t>
      </w:r>
      <w:r w:rsidR="00C03FE8" w:rsidRPr="00001E53">
        <w:rPr>
          <w:rFonts w:ascii="Times New Roman" w:hAnsi="Times New Roman" w:cs="Times New Roman"/>
          <w:sz w:val="24"/>
          <w:szCs w:val="24"/>
        </w:rPr>
        <w:t>.</w:t>
      </w:r>
    </w:p>
    <w:p w:rsidR="00C03FE8" w:rsidRPr="00C1694A" w:rsidRDefault="00C03FE8" w:rsidP="00AC521C">
      <w:pPr>
        <w:tabs>
          <w:tab w:val="left" w:pos="360"/>
        </w:tabs>
        <w:spacing w:after="0" w:line="480" w:lineRule="auto"/>
        <w:rPr>
          <w:rFonts w:ascii="Times New Roman" w:hAnsi="Times New Roman" w:cs="Times New Roman"/>
          <w:sz w:val="24"/>
          <w:szCs w:val="24"/>
        </w:rPr>
      </w:pPr>
    </w:p>
    <w:p w:rsidR="00C03FE8" w:rsidRPr="00C1694A" w:rsidRDefault="00C03FE8" w:rsidP="00AC521C">
      <w:pPr>
        <w:tabs>
          <w:tab w:val="left" w:pos="36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rPr>
        <w:tab/>
        <w:t xml:space="preserve">(4) Consistent with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645(d)(3) of the Act, any American Indian and Alaska Native grantee that operates both an Early Head Start program and a Head Start program may reallocate funds between the programs at its discretion and at any time during the grant period involved, in order to address fluctuations in client populations. An American Indian and Alaska Native program that exercises this discretion must notify the regional office.</w:t>
      </w: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Source of funding</w:t>
      </w:r>
      <w:r w:rsidRPr="00C1694A">
        <w:rPr>
          <w:rFonts w:ascii="Times New Roman" w:hAnsi="Times New Roman" w:cs="Times New Roman"/>
          <w:sz w:val="24"/>
          <w:szCs w:val="24"/>
        </w:rPr>
        <w:t xml:space="preserve">. A program may consider hours of service that meet the Head Start Program Performance Standards, regardless of the source of funding, as hours of planned class operations for the purposes of meeting the Head Start and Early Head Start service duration requirements in this subpart. </w:t>
      </w:r>
    </w:p>
    <w:p w:rsidR="00C03FE8" w:rsidRPr="00C1694A" w:rsidRDefault="00C03FE8" w:rsidP="00AC521C">
      <w:pPr>
        <w:tabs>
          <w:tab w:val="left" w:pos="360"/>
        </w:tabs>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§1302.21 Center-based option.</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Setting.</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 xml:space="preserve">The center-based option delivers the full range of services, consistent with §1302.20(b). Education and child development services are delivered primarily in classroom settings. </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eastAsia="Times New Roman" w:hAnsi="Times New Roman" w:cs="Times New Roman"/>
          <w:sz w:val="24"/>
          <w:szCs w:val="24"/>
        </w:rPr>
        <w:t>(b)</w:t>
      </w:r>
      <w:r w:rsidRPr="00C1694A">
        <w:rPr>
          <w:rFonts w:ascii="Times New Roman" w:eastAsia="Times New Roman" w:hAnsi="Times New Roman" w:cs="Times New Roman"/>
          <w:sz w:val="24"/>
          <w:szCs w:val="24"/>
          <w:u w:val="single"/>
        </w:rPr>
        <w:t xml:space="preserve"> Ratios and group size</w:t>
      </w:r>
      <w:r w:rsidRPr="00C1694A">
        <w:rPr>
          <w:rFonts w:ascii="Times New Roman" w:eastAsia="Times New Roman" w:hAnsi="Times New Roman" w:cs="Times New Roman"/>
          <w:i/>
          <w:sz w:val="24"/>
          <w:szCs w:val="24"/>
        </w:rPr>
        <w:t xml:space="preserve">. </w:t>
      </w:r>
      <w:r w:rsidRPr="00C1694A">
        <w:rPr>
          <w:rFonts w:ascii="Times New Roman" w:hAnsi="Times New Roman" w:cs="Times New Roman"/>
          <w:sz w:val="24"/>
          <w:szCs w:val="24"/>
        </w:rPr>
        <w:t>(1) Staff-child ratios and group size maximums must be determined by the age of the majority of children and the needs of children present. A program must determine the age of the majority of children in a class at the start of the year and may adjust this determination during the program year, if necessary.  Where state or local licensing requirements are more stringent than the teacher-child ratios and group size specifications in this section, a program must meet the stricter requirements. A program must maintain appropriate ratios during all hours of program operation, except:</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rPr>
        <w:tab/>
        <w:t>(i) For brief absences of a teaching staff member for no more than five minutes; and,</w:t>
      </w:r>
    </w:p>
    <w:p w:rsidR="00C03FE8" w:rsidRPr="00C1694A" w:rsidRDefault="00C03FE8" w:rsidP="00AC521C">
      <w:pPr>
        <w:tabs>
          <w:tab w:val="left" w:pos="360"/>
        </w:tabs>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ab/>
      </w:r>
    </w:p>
    <w:p w:rsidR="00C03FE8" w:rsidRPr="00C1694A" w:rsidRDefault="00C03FE8" w:rsidP="00AC521C">
      <w:pPr>
        <w:tabs>
          <w:tab w:val="left" w:pos="360"/>
        </w:tabs>
        <w:spacing w:after="0" w:line="480" w:lineRule="auto"/>
        <w:ind w:firstLine="360"/>
        <w:rPr>
          <w:rFonts w:ascii="Times New Roman" w:hAnsi="Times New Roman" w:cs="Times New Roman"/>
          <w:sz w:val="24"/>
          <w:szCs w:val="24"/>
        </w:rPr>
      </w:pPr>
      <w:r w:rsidRPr="00C1694A">
        <w:rPr>
          <w:rFonts w:ascii="Times New Roman" w:hAnsi="Times New Roman" w:cs="Times New Roman"/>
          <w:sz w:val="24"/>
          <w:szCs w:val="24"/>
        </w:rPr>
        <w:tab/>
        <w:t xml:space="preserve">(ii) During nap time, one teaching staff member may be replaced by one </w:t>
      </w:r>
      <w:r w:rsidR="00390573" w:rsidRPr="00C1694A">
        <w:rPr>
          <w:rFonts w:ascii="Times New Roman" w:hAnsi="Times New Roman" w:cs="Times New Roman"/>
          <w:sz w:val="24"/>
          <w:szCs w:val="24"/>
        </w:rPr>
        <w:t xml:space="preserve">staff member or volunteer </w:t>
      </w:r>
      <w:r w:rsidRPr="00C1694A">
        <w:rPr>
          <w:rFonts w:ascii="Times New Roman" w:hAnsi="Times New Roman" w:cs="Times New Roman"/>
          <w:sz w:val="24"/>
          <w:szCs w:val="24"/>
        </w:rPr>
        <w:t>who does not meet the teaching qualifications required for the age.</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(2) An Early Head Start or Migrant or Seasonal Head Start class that serves children under 36 months old must have </w:t>
      </w:r>
      <w:r w:rsidR="005B14B6" w:rsidRPr="00C1694A">
        <w:rPr>
          <w:rFonts w:ascii="Times New Roman" w:hAnsi="Times New Roman" w:cs="Times New Roman"/>
          <w:sz w:val="24"/>
          <w:szCs w:val="24"/>
        </w:rPr>
        <w:t xml:space="preserve">two teachers </w:t>
      </w:r>
      <w:r w:rsidR="005B14B6">
        <w:rPr>
          <w:rFonts w:ascii="Times New Roman" w:hAnsi="Times New Roman" w:cs="Times New Roman"/>
          <w:sz w:val="24"/>
          <w:szCs w:val="24"/>
        </w:rPr>
        <w:t xml:space="preserve">with </w:t>
      </w:r>
      <w:r w:rsidRPr="00C1694A">
        <w:rPr>
          <w:rFonts w:ascii="Times New Roman" w:hAnsi="Times New Roman" w:cs="Times New Roman"/>
          <w:sz w:val="24"/>
          <w:szCs w:val="24"/>
        </w:rPr>
        <w:t xml:space="preserve">no more than </w:t>
      </w:r>
      <w:r w:rsidR="00344656" w:rsidRPr="00C1694A">
        <w:rPr>
          <w:rFonts w:ascii="Times New Roman" w:hAnsi="Times New Roman" w:cs="Times New Roman"/>
          <w:sz w:val="24"/>
          <w:szCs w:val="24"/>
        </w:rPr>
        <w:t xml:space="preserve">eight </w:t>
      </w:r>
      <w:r w:rsidRPr="00C1694A">
        <w:rPr>
          <w:rFonts w:ascii="Times New Roman" w:hAnsi="Times New Roman" w:cs="Times New Roman"/>
          <w:sz w:val="24"/>
          <w:szCs w:val="24"/>
        </w:rPr>
        <w:t>children</w:t>
      </w:r>
      <w:r w:rsidR="005B14B6">
        <w:rPr>
          <w:rFonts w:ascii="Times New Roman" w:hAnsi="Times New Roman" w:cs="Times New Roman"/>
          <w:sz w:val="24"/>
          <w:szCs w:val="24"/>
        </w:rPr>
        <w:t>,</w:t>
      </w:r>
      <w:r w:rsidRPr="00C1694A">
        <w:rPr>
          <w:rFonts w:ascii="Times New Roman" w:hAnsi="Times New Roman" w:cs="Times New Roman"/>
          <w:sz w:val="24"/>
          <w:szCs w:val="24"/>
        </w:rPr>
        <w:t xml:space="preserve"> or </w:t>
      </w:r>
      <w:r w:rsidR="005B14B6" w:rsidRPr="00C1694A">
        <w:rPr>
          <w:rFonts w:ascii="Times New Roman" w:hAnsi="Times New Roman" w:cs="Times New Roman"/>
          <w:sz w:val="24"/>
          <w:szCs w:val="24"/>
        </w:rPr>
        <w:t xml:space="preserve">three teachers with </w:t>
      </w:r>
      <w:r w:rsidRPr="00C1694A">
        <w:rPr>
          <w:rFonts w:ascii="Times New Roman" w:hAnsi="Times New Roman" w:cs="Times New Roman"/>
          <w:sz w:val="24"/>
          <w:szCs w:val="24"/>
        </w:rPr>
        <w:t xml:space="preserve">no more than </w:t>
      </w:r>
      <w:r w:rsidR="00344656" w:rsidRPr="00C1694A">
        <w:rPr>
          <w:rFonts w:ascii="Times New Roman" w:hAnsi="Times New Roman" w:cs="Times New Roman"/>
          <w:sz w:val="24"/>
          <w:szCs w:val="24"/>
        </w:rPr>
        <w:t xml:space="preserve">nine </w:t>
      </w:r>
      <w:r w:rsidRPr="00C1694A">
        <w:rPr>
          <w:rFonts w:ascii="Times New Roman" w:hAnsi="Times New Roman" w:cs="Times New Roman"/>
          <w:sz w:val="24"/>
          <w:szCs w:val="24"/>
        </w:rPr>
        <w:t>children.  Each teacher must be assigned consistent, primary responsibility for no more than four children to promote continuity of care for individual children.  A program must minimize teacher changes throughout a child’s enrollment, whenever possible, and consider mixed age group classes to support continuity of care.</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(3) A class that serves a majority of children who are three years old must have no more than 17 children and a teacher and teaching assistant or two teachers. A double session class that serves a majority of children who are three years old must have no more than 15 children and a teacher and teaching assistant or two teachers.</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(4) A class that serves a majority of children</w:t>
      </w:r>
      <w:r w:rsidR="003B2FC1" w:rsidRPr="00C1694A">
        <w:rPr>
          <w:rFonts w:ascii="Times New Roman" w:hAnsi="Times New Roman" w:cs="Times New Roman"/>
          <w:sz w:val="24"/>
          <w:szCs w:val="24"/>
        </w:rPr>
        <w:t xml:space="preserve"> who are</w:t>
      </w:r>
      <w:r w:rsidRPr="00C1694A">
        <w:rPr>
          <w:rFonts w:ascii="Times New Roman" w:hAnsi="Times New Roman" w:cs="Times New Roman"/>
          <w:sz w:val="24"/>
          <w:szCs w:val="24"/>
        </w:rPr>
        <w:t xml:space="preserve"> four and five years old must have no more than 20 children and a teacher and a teaching assistant or two teachers. A double session class that serves a majority of children</w:t>
      </w:r>
      <w:r w:rsidR="003B2FC1" w:rsidRPr="00C1694A">
        <w:rPr>
          <w:rFonts w:ascii="Times New Roman" w:hAnsi="Times New Roman" w:cs="Times New Roman"/>
          <w:sz w:val="24"/>
          <w:szCs w:val="24"/>
        </w:rPr>
        <w:t xml:space="preserve"> who are</w:t>
      </w:r>
      <w:r w:rsidRPr="00C1694A">
        <w:rPr>
          <w:rFonts w:ascii="Times New Roman" w:hAnsi="Times New Roman" w:cs="Times New Roman"/>
          <w:sz w:val="24"/>
          <w:szCs w:val="24"/>
        </w:rPr>
        <w:t xml:space="preserve"> four and five years old must have no more than 17 children and a teacher and a teaching assistant or two teachers.</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tbl>
      <w:tblPr>
        <w:tblW w:w="5009" w:type="pct"/>
        <w:tblInd w:w="-8" w:type="dxa"/>
        <w:tblCellMar>
          <w:top w:w="12" w:type="dxa"/>
          <w:left w:w="12" w:type="dxa"/>
          <w:bottom w:w="12" w:type="dxa"/>
          <w:right w:w="12" w:type="dxa"/>
        </w:tblCellMar>
        <w:tblLook w:val="04A0" w:firstRow="1" w:lastRow="0" w:firstColumn="1" w:lastColumn="0" w:noHBand="0" w:noVBand="1"/>
      </w:tblPr>
      <w:tblGrid>
        <w:gridCol w:w="1814"/>
        <w:gridCol w:w="7573"/>
      </w:tblGrid>
      <w:tr w:rsidR="00C03FE8" w:rsidRPr="00C1694A" w:rsidTr="00636B80">
        <w:tc>
          <w:tcPr>
            <w:tcW w:w="0" w:type="auto"/>
            <w:gridSpan w:val="2"/>
            <w:tcBorders>
              <w:top w:val="single" w:sz="4" w:space="0" w:color="auto"/>
              <w:left w:val="single" w:sz="4" w:space="0" w:color="auto"/>
              <w:right w:val="single" w:sz="4" w:space="0" w:color="auto"/>
            </w:tcBorders>
            <w:shd w:val="clear" w:color="auto" w:fill="auto"/>
            <w:tcMar>
              <w:top w:w="0" w:type="dxa"/>
              <w:left w:w="0" w:type="dxa"/>
              <w:bottom w:w="0" w:type="dxa"/>
              <w:right w:w="0" w:type="dxa"/>
            </w:tcMar>
            <w:vAlign w:val="center"/>
          </w:tcPr>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eastAsia="Times New Roman" w:hAnsi="Times New Roman" w:cs="Times New Roman"/>
                <w:sz w:val="24"/>
                <w:szCs w:val="24"/>
              </w:rPr>
              <w:t>Table to §1302.21(b) —</w:t>
            </w:r>
            <w:r w:rsidR="00344656"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Center-based group size</w:t>
            </w:r>
          </w:p>
        </w:tc>
      </w:tr>
      <w:tr w:rsidR="00C03FE8" w:rsidRPr="00C1694A" w:rsidTr="00636B80">
        <w:tblPrEx>
          <w:tblBorders>
            <w:top w:val="outset" w:sz="6" w:space="0" w:color="auto"/>
            <w:left w:val="outset" w:sz="6" w:space="0" w:color="auto"/>
            <w:bottom w:val="outset" w:sz="6" w:space="0" w:color="auto"/>
            <w:right w:val="outset" w:sz="6" w:space="0" w:color="auto"/>
          </w:tblBorders>
        </w:tblPrEx>
        <w:tc>
          <w:tcPr>
            <w:tcW w:w="9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4 and 5 year olds </w:t>
            </w:r>
          </w:p>
        </w:tc>
        <w:tc>
          <w:tcPr>
            <w:tcW w:w="40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C03FE8" w:rsidRPr="00C1694A" w:rsidRDefault="00C03FE8" w:rsidP="00AC521C">
            <w:pPr>
              <w:spacing w:after="0"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 xml:space="preserve">No more than 20 children enrolled in any class. </w:t>
            </w:r>
          </w:p>
          <w:p w:rsidR="00C03FE8" w:rsidRPr="00C1694A" w:rsidRDefault="00C03FE8" w:rsidP="00AC521C">
            <w:pPr>
              <w:spacing w:after="0"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No more than 17 children enrolled in any double session class.</w:t>
            </w:r>
          </w:p>
        </w:tc>
      </w:tr>
      <w:tr w:rsidR="00C03FE8" w:rsidRPr="00C1694A" w:rsidTr="00636B80">
        <w:tblPrEx>
          <w:tblBorders>
            <w:top w:val="outset" w:sz="6" w:space="0" w:color="auto"/>
            <w:left w:val="outset" w:sz="6" w:space="0" w:color="auto"/>
            <w:bottom w:val="outset" w:sz="6" w:space="0" w:color="auto"/>
            <w:right w:val="outset" w:sz="6" w:space="0" w:color="auto"/>
          </w:tblBorders>
        </w:tblPrEx>
        <w:tc>
          <w:tcPr>
            <w:tcW w:w="9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3 year olds </w:t>
            </w:r>
          </w:p>
        </w:tc>
        <w:tc>
          <w:tcPr>
            <w:tcW w:w="40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C03FE8" w:rsidRPr="00C1694A" w:rsidRDefault="00C03FE8" w:rsidP="00AC521C">
            <w:pPr>
              <w:spacing w:after="0"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 xml:space="preserve">No more than 17 children enrolled in any class. </w:t>
            </w:r>
          </w:p>
          <w:p w:rsidR="00C03FE8" w:rsidRPr="00C1694A" w:rsidRDefault="00C03FE8" w:rsidP="00AC521C">
            <w:pPr>
              <w:spacing w:after="0"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No more than 15 children enrolled in any double session class.</w:t>
            </w:r>
          </w:p>
        </w:tc>
      </w:tr>
      <w:tr w:rsidR="00C03FE8" w:rsidRPr="00C1694A" w:rsidTr="00636B80">
        <w:tblPrEx>
          <w:tblBorders>
            <w:top w:val="outset" w:sz="6" w:space="0" w:color="auto"/>
            <w:left w:val="outset" w:sz="6" w:space="0" w:color="auto"/>
            <w:bottom w:val="outset" w:sz="6" w:space="0" w:color="auto"/>
            <w:right w:val="outset" w:sz="6" w:space="0" w:color="auto"/>
          </w:tblBorders>
        </w:tblPrEx>
        <w:tc>
          <w:tcPr>
            <w:tcW w:w="9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C03FE8" w:rsidRPr="00C1694A" w:rsidRDefault="00C03FE8" w:rsidP="00AC521C">
            <w:pPr>
              <w:spacing w:after="0"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Under 3 years old</w:t>
            </w:r>
          </w:p>
        </w:tc>
        <w:tc>
          <w:tcPr>
            <w:tcW w:w="40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C03FE8" w:rsidRPr="00C1694A" w:rsidRDefault="00C03FE8" w:rsidP="00AC521C">
            <w:pPr>
              <w:spacing w:after="0"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No more than 8 or 9 children enrolled in any class, depending on the number of teachers.</w:t>
            </w:r>
          </w:p>
        </w:tc>
      </w:tr>
    </w:tbl>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Service duration</w:t>
      </w:r>
      <w:r w:rsidR="00CE76E4">
        <w:rPr>
          <w:rFonts w:ascii="Times New Roman" w:hAnsi="Times New Roman" w:cs="Times New Roman"/>
          <w:sz w:val="24"/>
          <w:szCs w:val="24"/>
        </w:rPr>
        <w:t>--</w:t>
      </w:r>
      <w:r w:rsidRPr="00C1694A">
        <w:rPr>
          <w:rFonts w:ascii="Times New Roman" w:hAnsi="Times New Roman" w:cs="Times New Roman"/>
          <w:sz w:val="24"/>
          <w:szCs w:val="24"/>
        </w:rPr>
        <w:t xml:space="preserve">(1) </w:t>
      </w:r>
      <w:r w:rsidRPr="00C1694A">
        <w:rPr>
          <w:rFonts w:ascii="Times New Roman" w:hAnsi="Times New Roman" w:cs="Times New Roman"/>
          <w:sz w:val="24"/>
          <w:szCs w:val="24"/>
          <w:u w:val="single"/>
        </w:rPr>
        <w:t>Early Head Start.</w:t>
      </w:r>
      <w:r w:rsidRPr="00C1694A">
        <w:rPr>
          <w:rFonts w:ascii="Times New Roman" w:hAnsi="Times New Roman" w:cs="Times New Roman"/>
          <w:sz w:val="24"/>
          <w:szCs w:val="24"/>
        </w:rPr>
        <w:t xml:space="preserve">  (i) </w:t>
      </w:r>
      <w:r w:rsidR="00C757F4" w:rsidRPr="00C1694A">
        <w:rPr>
          <w:rFonts w:ascii="Times New Roman" w:hAnsi="Times New Roman" w:cs="Times New Roman"/>
          <w:sz w:val="24"/>
          <w:szCs w:val="24"/>
        </w:rPr>
        <w:t>By August 1, 2018, a</w:t>
      </w:r>
      <w:r w:rsidRPr="00C1694A">
        <w:rPr>
          <w:rFonts w:ascii="Times New Roman" w:hAnsi="Times New Roman" w:cs="Times New Roman"/>
          <w:sz w:val="24"/>
          <w:szCs w:val="24"/>
        </w:rPr>
        <w:t xml:space="preserve"> program must provide 1,380 annual hours of planned class operations for all enrolled children.  </w:t>
      </w: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(ii) A program</w:t>
      </w:r>
      <w:r w:rsidR="006233F8" w:rsidRPr="00C1694A">
        <w:rPr>
          <w:rFonts w:ascii="Times New Roman" w:hAnsi="Times New Roman" w:cs="Times New Roman"/>
          <w:sz w:val="24"/>
          <w:szCs w:val="24"/>
        </w:rPr>
        <w:t xml:space="preserve"> that is designed to meet the needs of young parents enrolled in school settings</w:t>
      </w:r>
      <w:r w:rsidRPr="00C1694A">
        <w:rPr>
          <w:rFonts w:ascii="Times New Roman" w:hAnsi="Times New Roman" w:cs="Times New Roman"/>
          <w:sz w:val="24"/>
          <w:szCs w:val="24"/>
        </w:rPr>
        <w:t xml:space="preserve"> may meet the service duration requirements in paragraph </w:t>
      </w:r>
      <w:r w:rsidR="00CE76E4">
        <w:rPr>
          <w:rFonts w:ascii="Times New Roman" w:hAnsi="Times New Roman" w:cs="Times New Roman"/>
          <w:sz w:val="24"/>
          <w:szCs w:val="24"/>
        </w:rPr>
        <w:t>(c)(1)</w:t>
      </w:r>
      <w:r w:rsidRPr="00C1694A">
        <w:rPr>
          <w:rFonts w:ascii="Times New Roman" w:hAnsi="Times New Roman" w:cs="Times New Roman"/>
          <w:sz w:val="24"/>
          <w:szCs w:val="24"/>
        </w:rPr>
        <w:t>(i)</w:t>
      </w:r>
      <w:r w:rsidR="00CE76E4">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if it operates a center-based program schedule during the school year aligned with its local education agency requirements</w:t>
      </w:r>
      <w:r w:rsidR="00C4385A" w:rsidRPr="00C1694A">
        <w:rPr>
          <w:rFonts w:ascii="Times New Roman" w:hAnsi="Times New Roman" w:cs="Times New Roman"/>
          <w:sz w:val="24"/>
          <w:szCs w:val="24"/>
        </w:rPr>
        <w:t xml:space="preserve"> and </w:t>
      </w:r>
      <w:r w:rsidRPr="00C1694A">
        <w:rPr>
          <w:rFonts w:ascii="Times New Roman" w:hAnsi="Times New Roman" w:cs="Times New Roman"/>
          <w:sz w:val="24"/>
          <w:szCs w:val="24"/>
        </w:rPr>
        <w:t xml:space="preserve">provides regular home-based services during the summer break. </w:t>
      </w:r>
    </w:p>
    <w:p w:rsidR="00F46F0D" w:rsidRPr="00C1694A" w:rsidRDefault="00F46F0D" w:rsidP="00AC521C">
      <w:pPr>
        <w:tabs>
          <w:tab w:val="left" w:pos="360"/>
        </w:tabs>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(2) </w:t>
      </w:r>
      <w:r w:rsidRPr="00C1694A">
        <w:rPr>
          <w:rFonts w:ascii="Times New Roman" w:hAnsi="Times New Roman" w:cs="Times New Roman"/>
          <w:sz w:val="24"/>
          <w:szCs w:val="24"/>
          <w:u w:val="single"/>
        </w:rPr>
        <w:t>Head Start.</w:t>
      </w:r>
      <w:r w:rsidRPr="00C1694A">
        <w:rPr>
          <w:rFonts w:ascii="Times New Roman" w:hAnsi="Times New Roman" w:cs="Times New Roman"/>
          <w:sz w:val="24"/>
          <w:szCs w:val="24"/>
        </w:rPr>
        <w:t xml:space="preserve"> (i) </w:t>
      </w:r>
      <w:r w:rsidR="00F46F0D" w:rsidRPr="00C1694A">
        <w:rPr>
          <w:rFonts w:ascii="Times New Roman" w:hAnsi="Times New Roman" w:cs="Times New Roman"/>
          <w:sz w:val="24"/>
          <w:szCs w:val="24"/>
        </w:rPr>
        <w:t xml:space="preserve">Until a program </w:t>
      </w:r>
      <w:r w:rsidR="00571F2A" w:rsidRPr="00C1694A">
        <w:rPr>
          <w:rFonts w:ascii="Times New Roman" w:hAnsi="Times New Roman" w:cs="Times New Roman"/>
          <w:sz w:val="24"/>
          <w:szCs w:val="24"/>
        </w:rPr>
        <w:t xml:space="preserve">is operating all </w:t>
      </w:r>
      <w:r w:rsidR="00193BA5" w:rsidRPr="00C1694A">
        <w:rPr>
          <w:rFonts w:ascii="Times New Roman" w:hAnsi="Times New Roman" w:cs="Times New Roman"/>
          <w:sz w:val="24"/>
          <w:szCs w:val="24"/>
        </w:rPr>
        <w:t xml:space="preserve">of its Head Start center-based </w:t>
      </w:r>
      <w:r w:rsidR="00F64F61" w:rsidRPr="00C1694A">
        <w:rPr>
          <w:rFonts w:ascii="Times New Roman" w:hAnsi="Times New Roman" w:cs="Times New Roman"/>
          <w:sz w:val="24"/>
          <w:szCs w:val="24"/>
        </w:rPr>
        <w:t>funded enrollment</w:t>
      </w:r>
      <w:r w:rsidR="00571F2A" w:rsidRPr="00C1694A" w:rsidDel="00571F2A">
        <w:rPr>
          <w:rFonts w:ascii="Times New Roman" w:hAnsi="Times New Roman" w:cs="Times New Roman"/>
          <w:sz w:val="24"/>
          <w:szCs w:val="24"/>
        </w:rPr>
        <w:t xml:space="preserve"> </w:t>
      </w:r>
      <w:r w:rsidR="003B2FC1" w:rsidRPr="00C1694A">
        <w:rPr>
          <w:rFonts w:ascii="Times New Roman" w:hAnsi="Times New Roman" w:cs="Times New Roman"/>
          <w:sz w:val="24"/>
          <w:szCs w:val="24"/>
        </w:rPr>
        <w:t xml:space="preserve">at </w:t>
      </w:r>
      <w:r w:rsidR="00F46F0D" w:rsidRPr="00C1694A">
        <w:rPr>
          <w:rFonts w:ascii="Times New Roman" w:hAnsi="Times New Roman" w:cs="Times New Roman"/>
          <w:sz w:val="24"/>
          <w:szCs w:val="24"/>
        </w:rPr>
        <w:t xml:space="preserve">the standard described in </w:t>
      </w:r>
      <w:r w:rsidR="003B2FC1" w:rsidRPr="00C1694A">
        <w:rPr>
          <w:rFonts w:ascii="Times New Roman" w:hAnsi="Times New Roman" w:cs="Times New Roman"/>
          <w:sz w:val="24"/>
          <w:szCs w:val="24"/>
        </w:rPr>
        <w:t xml:space="preserve">paragraph </w:t>
      </w:r>
      <w:r w:rsidR="00CE76E4">
        <w:rPr>
          <w:rFonts w:ascii="Times New Roman" w:hAnsi="Times New Roman" w:cs="Times New Roman"/>
          <w:sz w:val="24"/>
          <w:szCs w:val="24"/>
        </w:rPr>
        <w:t>(c)(2)</w:t>
      </w:r>
      <w:r w:rsidR="00F46F0D" w:rsidRPr="00C1694A">
        <w:rPr>
          <w:rFonts w:ascii="Times New Roman" w:hAnsi="Times New Roman" w:cs="Times New Roman"/>
          <w:sz w:val="24"/>
          <w:szCs w:val="24"/>
        </w:rPr>
        <w:t>(iv)</w:t>
      </w:r>
      <w:r w:rsidR="00571F2A" w:rsidRPr="00C1694A">
        <w:rPr>
          <w:rFonts w:ascii="Times New Roman" w:hAnsi="Times New Roman" w:cs="Times New Roman"/>
          <w:sz w:val="24"/>
          <w:szCs w:val="24"/>
        </w:rPr>
        <w:t xml:space="preserve"> or (v)</w:t>
      </w:r>
      <w:r w:rsidR="00CE76E4">
        <w:rPr>
          <w:rFonts w:ascii="Times New Roman" w:hAnsi="Times New Roman" w:cs="Times New Roman"/>
          <w:sz w:val="24"/>
          <w:szCs w:val="24"/>
        </w:rPr>
        <w:t xml:space="preserve"> of this section</w:t>
      </w:r>
      <w:r w:rsidR="00F46F0D" w:rsidRPr="00C1694A">
        <w:rPr>
          <w:rFonts w:ascii="Times New Roman" w:hAnsi="Times New Roman" w:cs="Times New Roman"/>
          <w:sz w:val="24"/>
          <w:szCs w:val="24"/>
        </w:rPr>
        <w:t>, a</w:t>
      </w:r>
      <w:r w:rsidRPr="00C1694A">
        <w:rPr>
          <w:rFonts w:ascii="Times New Roman" w:hAnsi="Times New Roman" w:cs="Times New Roman"/>
          <w:sz w:val="24"/>
          <w:szCs w:val="24"/>
        </w:rPr>
        <w:t xml:space="preserve"> program must provide, at a minimum, at least 160 days per year of planned class operations if it operates for </w:t>
      </w:r>
      <w:r w:rsidR="00344656" w:rsidRPr="00C1694A">
        <w:rPr>
          <w:rFonts w:ascii="Times New Roman" w:hAnsi="Times New Roman" w:cs="Times New Roman"/>
          <w:sz w:val="24"/>
          <w:szCs w:val="24"/>
        </w:rPr>
        <w:t xml:space="preserve">five </w:t>
      </w:r>
      <w:r w:rsidRPr="00C1694A">
        <w:rPr>
          <w:rFonts w:ascii="Times New Roman" w:hAnsi="Times New Roman" w:cs="Times New Roman"/>
          <w:sz w:val="24"/>
          <w:szCs w:val="24"/>
        </w:rPr>
        <w:t xml:space="preserve">days per week, or at least 128 days per year if it operates </w:t>
      </w:r>
      <w:r w:rsidR="0004739D" w:rsidRPr="00C1694A">
        <w:rPr>
          <w:rFonts w:ascii="Times New Roman" w:hAnsi="Times New Roman" w:cs="Times New Roman"/>
          <w:sz w:val="24"/>
          <w:szCs w:val="24"/>
        </w:rPr>
        <w:t>four</w:t>
      </w:r>
      <w:r w:rsidRPr="00C1694A">
        <w:rPr>
          <w:rFonts w:ascii="Times New Roman" w:hAnsi="Times New Roman" w:cs="Times New Roman"/>
          <w:sz w:val="24"/>
          <w:szCs w:val="24"/>
        </w:rPr>
        <w:t xml:space="preserve"> days per week.  Classes must operate for a minimum of 3.5 hours per day.</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w:t>
      </w:r>
      <w:r w:rsidR="00F46F0D" w:rsidRPr="00C1694A">
        <w:rPr>
          <w:rFonts w:ascii="Times New Roman" w:hAnsi="Times New Roman" w:cs="Times New Roman"/>
          <w:sz w:val="24"/>
          <w:szCs w:val="24"/>
        </w:rPr>
        <w:t xml:space="preserve"> Until a program </w:t>
      </w:r>
      <w:r w:rsidR="00571F2A" w:rsidRPr="00C1694A">
        <w:rPr>
          <w:rFonts w:ascii="Times New Roman" w:hAnsi="Times New Roman" w:cs="Times New Roman"/>
          <w:sz w:val="24"/>
          <w:szCs w:val="24"/>
        </w:rPr>
        <w:t xml:space="preserve">is operating all </w:t>
      </w:r>
      <w:r w:rsidR="00193BA5" w:rsidRPr="00C1694A">
        <w:rPr>
          <w:rFonts w:ascii="Times New Roman" w:hAnsi="Times New Roman" w:cs="Times New Roman"/>
          <w:sz w:val="24"/>
          <w:szCs w:val="24"/>
        </w:rPr>
        <w:t xml:space="preserve">of its Head Start center-based </w:t>
      </w:r>
      <w:r w:rsidR="00F64F61" w:rsidRPr="00C1694A">
        <w:rPr>
          <w:rFonts w:ascii="Times New Roman" w:hAnsi="Times New Roman" w:cs="Times New Roman"/>
          <w:sz w:val="24"/>
          <w:szCs w:val="24"/>
        </w:rPr>
        <w:t>funded enrollment</w:t>
      </w:r>
      <w:r w:rsidR="00571F2A" w:rsidRPr="00C1694A">
        <w:rPr>
          <w:rFonts w:ascii="Times New Roman" w:hAnsi="Times New Roman" w:cs="Times New Roman"/>
          <w:sz w:val="24"/>
          <w:szCs w:val="24"/>
        </w:rPr>
        <w:t xml:space="preserve"> </w:t>
      </w:r>
      <w:r w:rsidR="003B2FC1" w:rsidRPr="00C1694A">
        <w:rPr>
          <w:rFonts w:ascii="Times New Roman" w:hAnsi="Times New Roman" w:cs="Times New Roman"/>
          <w:sz w:val="24"/>
          <w:szCs w:val="24"/>
        </w:rPr>
        <w:t xml:space="preserve">at </w:t>
      </w:r>
      <w:r w:rsidR="00F46F0D" w:rsidRPr="00C1694A">
        <w:rPr>
          <w:rFonts w:ascii="Times New Roman" w:hAnsi="Times New Roman" w:cs="Times New Roman"/>
          <w:sz w:val="24"/>
          <w:szCs w:val="24"/>
        </w:rPr>
        <w:t>the standard describe</w:t>
      </w:r>
      <w:r w:rsidR="003B2FC1" w:rsidRPr="00C1694A">
        <w:rPr>
          <w:rFonts w:ascii="Times New Roman" w:hAnsi="Times New Roman" w:cs="Times New Roman"/>
          <w:sz w:val="24"/>
          <w:szCs w:val="24"/>
        </w:rPr>
        <w:t>d</w:t>
      </w:r>
      <w:r w:rsidR="00F46F0D" w:rsidRPr="00C1694A">
        <w:rPr>
          <w:rFonts w:ascii="Times New Roman" w:hAnsi="Times New Roman" w:cs="Times New Roman"/>
          <w:sz w:val="24"/>
          <w:szCs w:val="24"/>
        </w:rPr>
        <w:t xml:space="preserve"> in </w:t>
      </w:r>
      <w:r w:rsidR="003B2FC1" w:rsidRPr="00C1694A">
        <w:rPr>
          <w:rFonts w:ascii="Times New Roman" w:hAnsi="Times New Roman" w:cs="Times New Roman"/>
          <w:sz w:val="24"/>
          <w:szCs w:val="24"/>
        </w:rPr>
        <w:t xml:space="preserve">paragraph </w:t>
      </w:r>
      <w:r w:rsidR="00CE76E4">
        <w:rPr>
          <w:rFonts w:ascii="Times New Roman" w:hAnsi="Times New Roman" w:cs="Times New Roman"/>
          <w:sz w:val="24"/>
          <w:szCs w:val="24"/>
        </w:rPr>
        <w:t>(c)(2)</w:t>
      </w:r>
      <w:r w:rsidR="00F46F0D" w:rsidRPr="00C1694A">
        <w:rPr>
          <w:rFonts w:ascii="Times New Roman" w:hAnsi="Times New Roman" w:cs="Times New Roman"/>
          <w:sz w:val="24"/>
          <w:szCs w:val="24"/>
        </w:rPr>
        <w:t>(iv)</w:t>
      </w:r>
      <w:r w:rsidR="00571F2A" w:rsidRPr="00C1694A">
        <w:rPr>
          <w:rFonts w:ascii="Times New Roman" w:hAnsi="Times New Roman" w:cs="Times New Roman"/>
          <w:sz w:val="24"/>
          <w:szCs w:val="24"/>
        </w:rPr>
        <w:t xml:space="preserve"> or (v)</w:t>
      </w:r>
      <w:r w:rsidR="00CE76E4">
        <w:rPr>
          <w:rFonts w:ascii="Times New Roman" w:hAnsi="Times New Roman" w:cs="Times New Roman"/>
          <w:sz w:val="24"/>
          <w:szCs w:val="24"/>
        </w:rPr>
        <w:t xml:space="preserve"> of this section</w:t>
      </w:r>
      <w:r w:rsidR="00F46F0D" w:rsidRPr="00C1694A">
        <w:rPr>
          <w:rFonts w:ascii="Times New Roman" w:hAnsi="Times New Roman" w:cs="Times New Roman"/>
          <w:sz w:val="24"/>
          <w:szCs w:val="24"/>
        </w:rPr>
        <w:t xml:space="preserve">, if </w:t>
      </w:r>
      <w:r w:rsidRPr="00C1694A">
        <w:rPr>
          <w:rFonts w:ascii="Times New Roman" w:hAnsi="Times New Roman" w:cs="Times New Roman"/>
          <w:sz w:val="24"/>
          <w:szCs w:val="24"/>
        </w:rPr>
        <w:t xml:space="preserve">a program operates a double session variation, it must provide classes for </w:t>
      </w:r>
      <w:r w:rsidR="00344656" w:rsidRPr="00C1694A">
        <w:rPr>
          <w:rFonts w:ascii="Times New Roman" w:hAnsi="Times New Roman" w:cs="Times New Roman"/>
          <w:sz w:val="24"/>
          <w:szCs w:val="24"/>
        </w:rPr>
        <w:t xml:space="preserve">four </w:t>
      </w:r>
      <w:r w:rsidRPr="00C1694A">
        <w:rPr>
          <w:rFonts w:ascii="Times New Roman" w:hAnsi="Times New Roman" w:cs="Times New Roman"/>
          <w:sz w:val="24"/>
          <w:szCs w:val="24"/>
        </w:rPr>
        <w:t>days per week for a minimum of 128 days per year and 3.5 hours per day. Each double session class staff member must be provided adequate break time during the course of the day.  In addition, teachers, aides, and volunteers must have appropriate time to prepare for each session together, to set up the classroom environment, and to give individual attention to children entering and leaving the center.</w:t>
      </w:r>
    </w:p>
    <w:p w:rsidR="00C03FE8" w:rsidRPr="00C1694A" w:rsidRDefault="008104EA" w:rsidP="00AC521C">
      <w:pPr>
        <w:tabs>
          <w:tab w:val="left" w:pos="360"/>
          <w:tab w:val="left" w:pos="2592"/>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b/>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(iii) By August 1, 201</w:t>
      </w:r>
      <w:r w:rsidR="00CB4954" w:rsidRPr="00C1694A">
        <w:rPr>
          <w:rFonts w:ascii="Times New Roman" w:hAnsi="Times New Roman" w:cs="Times New Roman"/>
          <w:sz w:val="24"/>
          <w:szCs w:val="24"/>
        </w:rPr>
        <w:t>9</w:t>
      </w:r>
      <w:r w:rsidRPr="00C1694A">
        <w:rPr>
          <w:rFonts w:ascii="Times New Roman" w:hAnsi="Times New Roman" w:cs="Times New Roman"/>
          <w:sz w:val="24"/>
          <w:szCs w:val="24"/>
        </w:rPr>
        <w:t xml:space="preserve">, a program must provide 1,020 annual hours of planned class operations over the course of at least </w:t>
      </w:r>
      <w:r w:rsidR="00344656" w:rsidRPr="00C1694A">
        <w:rPr>
          <w:rFonts w:ascii="Times New Roman" w:hAnsi="Times New Roman" w:cs="Times New Roman"/>
          <w:sz w:val="24"/>
          <w:szCs w:val="24"/>
        </w:rPr>
        <w:t xml:space="preserve">eight </w:t>
      </w:r>
      <w:r w:rsidRPr="00C1694A">
        <w:rPr>
          <w:rFonts w:ascii="Times New Roman" w:hAnsi="Times New Roman" w:cs="Times New Roman"/>
          <w:sz w:val="24"/>
          <w:szCs w:val="24"/>
        </w:rPr>
        <w:t>months per year for at least 50 percent of its Head Start center-based funded enrollment.</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sidDel="002761C9">
        <w:rPr>
          <w:rFonts w:ascii="Times New Roman" w:hAnsi="Times New Roman" w:cs="Times New Roman"/>
          <w:sz w:val="24"/>
          <w:szCs w:val="24"/>
        </w:rPr>
        <w:t xml:space="preserve"> </w:t>
      </w:r>
      <w:r w:rsidRPr="00C1694A">
        <w:rPr>
          <w:rFonts w:ascii="Times New Roman" w:hAnsi="Times New Roman" w:cs="Times New Roman"/>
          <w:sz w:val="24"/>
          <w:szCs w:val="24"/>
        </w:rPr>
        <w:t xml:space="preserve">(iv) By August 1, 2021, a program must provide 1,020 annual hours of planned class operations over the course of at least </w:t>
      </w:r>
      <w:r w:rsidR="00344656" w:rsidRPr="00C1694A">
        <w:rPr>
          <w:rFonts w:ascii="Times New Roman" w:hAnsi="Times New Roman" w:cs="Times New Roman"/>
          <w:sz w:val="24"/>
          <w:szCs w:val="24"/>
        </w:rPr>
        <w:t xml:space="preserve">eight </w:t>
      </w:r>
      <w:r w:rsidRPr="00C1694A">
        <w:rPr>
          <w:rFonts w:ascii="Times New Roman" w:hAnsi="Times New Roman" w:cs="Times New Roman"/>
          <w:sz w:val="24"/>
          <w:szCs w:val="24"/>
        </w:rPr>
        <w:t>months per year for all</w:t>
      </w:r>
      <w:r w:rsidR="0052102A" w:rsidRPr="00C1694A">
        <w:rPr>
          <w:rFonts w:ascii="Times New Roman" w:hAnsi="Times New Roman" w:cs="Times New Roman"/>
          <w:sz w:val="24"/>
          <w:szCs w:val="24"/>
        </w:rPr>
        <w:t xml:space="preserve"> </w:t>
      </w:r>
      <w:r w:rsidRPr="00C1694A">
        <w:rPr>
          <w:rFonts w:ascii="Times New Roman" w:hAnsi="Times New Roman" w:cs="Times New Roman"/>
          <w:sz w:val="24"/>
          <w:szCs w:val="24"/>
        </w:rPr>
        <w:t>of its Head Start center-based funded enrollment.</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(v) A Head Start program providing fewer than 1,020 annual hours of planned class operations or fewer than </w:t>
      </w:r>
      <w:r w:rsidR="0004739D" w:rsidRPr="00C1694A">
        <w:rPr>
          <w:rFonts w:ascii="Times New Roman" w:hAnsi="Times New Roman" w:cs="Times New Roman"/>
          <w:sz w:val="24"/>
          <w:szCs w:val="24"/>
        </w:rPr>
        <w:t>eight</w:t>
      </w:r>
      <w:r w:rsidRPr="00C1694A">
        <w:rPr>
          <w:rFonts w:ascii="Times New Roman" w:hAnsi="Times New Roman" w:cs="Times New Roman"/>
          <w:sz w:val="24"/>
          <w:szCs w:val="24"/>
        </w:rPr>
        <w:t xml:space="preserve"> months of service is considered to meet the requirements described in paragraphs </w:t>
      </w:r>
      <w:r w:rsidR="00D322EB">
        <w:rPr>
          <w:rFonts w:ascii="Times New Roman" w:hAnsi="Times New Roman" w:cs="Times New Roman"/>
          <w:sz w:val="24"/>
          <w:szCs w:val="24"/>
        </w:rPr>
        <w:t>(c)(2)</w:t>
      </w:r>
      <w:r w:rsidRPr="00C1694A">
        <w:rPr>
          <w:rFonts w:ascii="Times New Roman" w:hAnsi="Times New Roman" w:cs="Times New Roman"/>
          <w:sz w:val="24"/>
          <w:szCs w:val="24"/>
        </w:rPr>
        <w:t xml:space="preserve">(iii) and (iv) of this section if </w:t>
      </w:r>
      <w:r w:rsidR="003B2FC1" w:rsidRPr="00C1694A">
        <w:rPr>
          <w:rFonts w:ascii="Times New Roman" w:hAnsi="Times New Roman" w:cs="Times New Roman"/>
          <w:sz w:val="24"/>
          <w:szCs w:val="24"/>
        </w:rPr>
        <w:t xml:space="preserve">its </w:t>
      </w:r>
      <w:r w:rsidRPr="00C1694A">
        <w:rPr>
          <w:rFonts w:ascii="Times New Roman" w:hAnsi="Times New Roman" w:cs="Times New Roman"/>
          <w:sz w:val="24"/>
          <w:szCs w:val="24"/>
        </w:rPr>
        <w:t xml:space="preserve">program schedule aligns with the annual hours </w:t>
      </w:r>
      <w:r w:rsidR="00D97929" w:rsidRPr="00C1694A">
        <w:rPr>
          <w:rFonts w:ascii="Times New Roman" w:hAnsi="Times New Roman" w:cs="Times New Roman"/>
          <w:sz w:val="24"/>
          <w:szCs w:val="24"/>
        </w:rPr>
        <w:t xml:space="preserve">required </w:t>
      </w:r>
      <w:r w:rsidRPr="00C1694A">
        <w:rPr>
          <w:rFonts w:ascii="Times New Roman" w:hAnsi="Times New Roman" w:cs="Times New Roman"/>
          <w:sz w:val="24"/>
          <w:szCs w:val="24"/>
        </w:rPr>
        <w:t xml:space="preserve">by </w:t>
      </w:r>
      <w:r w:rsidR="003B2FC1" w:rsidRPr="00C1694A">
        <w:rPr>
          <w:rFonts w:ascii="Times New Roman" w:hAnsi="Times New Roman" w:cs="Times New Roman"/>
          <w:sz w:val="24"/>
          <w:szCs w:val="24"/>
        </w:rPr>
        <w:t xml:space="preserve">its </w:t>
      </w:r>
      <w:r w:rsidRPr="00C1694A">
        <w:rPr>
          <w:rFonts w:ascii="Times New Roman" w:hAnsi="Times New Roman" w:cs="Times New Roman"/>
          <w:sz w:val="24"/>
          <w:szCs w:val="24"/>
        </w:rPr>
        <w:t>local education agency for grade one and such alignment is necessary to support partnerships for service delivery.</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w:t>
      </w:r>
      <w:r w:rsidRPr="00C1694A">
        <w:rPr>
          <w:rFonts w:ascii="Times New Roman" w:hAnsi="Times New Roman" w:cs="Times New Roman"/>
          <w:sz w:val="24"/>
          <w:szCs w:val="24"/>
          <w:u w:val="single"/>
        </w:rPr>
        <w:t>Secretar</w:t>
      </w:r>
      <w:r w:rsidR="002B19F0" w:rsidRPr="00C1694A">
        <w:rPr>
          <w:rFonts w:ascii="Times New Roman" w:hAnsi="Times New Roman" w:cs="Times New Roman"/>
          <w:sz w:val="24"/>
          <w:szCs w:val="24"/>
          <w:u w:val="single"/>
        </w:rPr>
        <w:t>ial determination</w:t>
      </w:r>
      <w:r w:rsidRPr="00C1694A">
        <w:rPr>
          <w:rFonts w:ascii="Times New Roman" w:hAnsi="Times New Roman" w:cs="Times New Roman"/>
          <w:sz w:val="24"/>
          <w:szCs w:val="24"/>
        </w:rPr>
        <w:t xml:space="preserve">. (i) On or before </w:t>
      </w:r>
      <w:r w:rsidR="00193BA5" w:rsidRPr="00C1694A">
        <w:rPr>
          <w:rFonts w:ascii="Times New Roman" w:hAnsi="Times New Roman" w:cs="Times New Roman"/>
          <w:sz w:val="24"/>
          <w:szCs w:val="24"/>
        </w:rPr>
        <w:t xml:space="preserve">February </w:t>
      </w:r>
      <w:r w:rsidRPr="00C1694A">
        <w:rPr>
          <w:rFonts w:ascii="Times New Roman" w:hAnsi="Times New Roman" w:cs="Times New Roman"/>
          <w:sz w:val="24"/>
          <w:szCs w:val="24"/>
        </w:rPr>
        <w:t>1, 201</w:t>
      </w:r>
      <w:r w:rsidR="00193BA5" w:rsidRPr="00C1694A">
        <w:rPr>
          <w:rFonts w:ascii="Times New Roman" w:hAnsi="Times New Roman" w:cs="Times New Roman"/>
          <w:sz w:val="24"/>
          <w:szCs w:val="24"/>
        </w:rPr>
        <w:t>8</w:t>
      </w:r>
      <w:r w:rsidRPr="00C1694A">
        <w:rPr>
          <w:rFonts w:ascii="Times New Roman" w:hAnsi="Times New Roman" w:cs="Times New Roman"/>
          <w:sz w:val="24"/>
          <w:szCs w:val="24"/>
        </w:rPr>
        <w:t xml:space="preserve">, the Secretary may lower the required percentage described in paragraph (c)(2)(iii) of this section, based on an assessment of the availability of sufficient </w:t>
      </w:r>
      <w:r w:rsidR="00843B0A" w:rsidRPr="00C1694A">
        <w:rPr>
          <w:rFonts w:ascii="Times New Roman" w:hAnsi="Times New Roman" w:cs="Times New Roman"/>
          <w:sz w:val="24"/>
          <w:szCs w:val="24"/>
        </w:rPr>
        <w:t xml:space="preserve">funding </w:t>
      </w:r>
      <w:r w:rsidRPr="00C1694A">
        <w:rPr>
          <w:rFonts w:ascii="Times New Roman" w:hAnsi="Times New Roman" w:cs="Times New Roman"/>
          <w:sz w:val="24"/>
          <w:szCs w:val="24"/>
        </w:rPr>
        <w:t>to mitigate a substantial reduction in funded enrollment; and,</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On or before February 1, 2020, the Secretary may lower the required percentage described in paragraph (c)(2)(iv) of this section, based on an assessment of the availability of sufficient </w:t>
      </w:r>
      <w:r w:rsidR="00843B0A" w:rsidRPr="00C1694A">
        <w:rPr>
          <w:rFonts w:ascii="Times New Roman" w:hAnsi="Times New Roman" w:cs="Times New Roman"/>
          <w:sz w:val="24"/>
          <w:szCs w:val="24"/>
        </w:rPr>
        <w:t xml:space="preserve">funding </w:t>
      </w:r>
      <w:r w:rsidRPr="00C1694A">
        <w:rPr>
          <w:rFonts w:ascii="Times New Roman" w:hAnsi="Times New Roman" w:cs="Times New Roman"/>
          <w:sz w:val="24"/>
          <w:szCs w:val="24"/>
        </w:rPr>
        <w:t>to mitigate a substantial reduction in funded enrollment.</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7853C9" w:rsidRPr="00C1694A" w:rsidRDefault="007853C9" w:rsidP="00AC521C">
      <w:pPr>
        <w:spacing w:after="0" w:line="480" w:lineRule="auto"/>
        <w:ind w:firstLine="720"/>
        <w:rPr>
          <w:rFonts w:ascii="Times New Roman" w:eastAsia="Times New Roman" w:hAnsi="Times New Roman" w:cs="Times New Roman"/>
          <w:sz w:val="24"/>
          <w:szCs w:val="24"/>
        </w:rPr>
      </w:pPr>
      <w:r w:rsidRPr="00C1694A">
        <w:rPr>
          <w:rFonts w:ascii="Times New Roman" w:hAnsi="Times New Roman" w:cs="Times New Roman"/>
          <w:sz w:val="24"/>
          <w:szCs w:val="24"/>
        </w:rPr>
        <w:t>(4)</w:t>
      </w:r>
      <w:r w:rsidRPr="00C1694A">
        <w:rPr>
          <w:rFonts w:ascii="Times New Roman" w:eastAsia="Times New Roman" w:hAnsi="Times New Roman" w:cs="Times New Roman"/>
          <w:sz w:val="24"/>
          <w:szCs w:val="24"/>
        </w:rPr>
        <w:t xml:space="preserve"> </w:t>
      </w:r>
      <w:r w:rsidR="00193BA5" w:rsidRPr="00C1694A">
        <w:rPr>
          <w:rFonts w:ascii="Times New Roman" w:eastAsia="Times New Roman" w:hAnsi="Times New Roman" w:cs="Times New Roman"/>
          <w:sz w:val="24"/>
          <w:szCs w:val="24"/>
          <w:u w:val="single"/>
        </w:rPr>
        <w:t>Extension.</w:t>
      </w:r>
      <w:r w:rsidR="00193BA5" w:rsidRPr="00C1694A">
        <w:rPr>
          <w:rFonts w:ascii="Times New Roman" w:eastAsia="Times New Roman" w:hAnsi="Times New Roman" w:cs="Times New Roman"/>
          <w:sz w:val="24"/>
          <w:szCs w:val="24"/>
        </w:rPr>
        <w:t xml:space="preserve">  </w:t>
      </w:r>
      <w:r w:rsidRPr="00C1694A">
        <w:rPr>
          <w:rFonts w:ascii="Times New Roman" w:eastAsia="Calibri" w:hAnsi="Times New Roman" w:cs="Times New Roman"/>
          <w:sz w:val="24"/>
          <w:szCs w:val="24"/>
        </w:rPr>
        <w:t xml:space="preserve">If an extension is necessary to ensure </w:t>
      </w:r>
      <w:r w:rsidRPr="00C1694A">
        <w:rPr>
          <w:rFonts w:ascii="Times New Roman" w:eastAsia="Times New Roman" w:hAnsi="Times New Roman" w:cs="Times New Roman"/>
          <w:bCs/>
          <w:sz w:val="24"/>
          <w:szCs w:val="24"/>
        </w:rPr>
        <w:t xml:space="preserve">children enrolled in the program </w:t>
      </w:r>
      <w:r w:rsidR="00FF76B5" w:rsidRPr="009E5900">
        <w:rPr>
          <w:rFonts w:ascii="Times New Roman" w:eastAsia="Times New Roman" w:hAnsi="Times New Roman" w:cs="Times New Roman"/>
          <w:bCs/>
          <w:sz w:val="24"/>
          <w:szCs w:val="24"/>
        </w:rPr>
        <w:t xml:space="preserve">on </w:t>
      </w:r>
      <w:r w:rsidR="00FF76B5" w:rsidRPr="00303FFC">
        <w:rPr>
          <w:rFonts w:ascii="Times New Roman" w:eastAsia="Times New Roman" w:hAnsi="Times New Roman" w:cs="Times New Roman"/>
          <w:bCs/>
          <w:sz w:val="24"/>
          <w:szCs w:val="24"/>
        </w:rPr>
        <w:t>[</w:t>
      </w:r>
      <w:r w:rsidR="00FF76B5" w:rsidRPr="001E00C8">
        <w:rPr>
          <w:rFonts w:ascii="Times New Roman" w:eastAsia="Times New Roman" w:hAnsi="Times New Roman" w:cs="Times New Roman"/>
          <w:bCs/>
          <w:sz w:val="24"/>
          <w:szCs w:val="24"/>
        </w:rPr>
        <w:t>insert date 60 days after date of publication in the Federal Register</w:t>
      </w:r>
      <w:r w:rsidR="00FF76B5" w:rsidRPr="009E5900">
        <w:rPr>
          <w:rFonts w:ascii="Times New Roman" w:eastAsia="Times New Roman" w:hAnsi="Times New Roman" w:cs="Times New Roman"/>
          <w:bCs/>
          <w:sz w:val="24"/>
          <w:szCs w:val="24"/>
        </w:rPr>
        <w:t>]</w:t>
      </w:r>
      <w:r w:rsidRPr="00C1694A" w:rsidDel="00A50E19">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rPr>
        <w:t xml:space="preserve">are not displaced from the Early Head Start or Head Start program, </w:t>
      </w:r>
      <w:r w:rsidRPr="00C1694A">
        <w:rPr>
          <w:rFonts w:ascii="Times New Roman" w:eastAsia="Times New Roman" w:hAnsi="Times New Roman" w:cs="Times New Roman"/>
          <w:sz w:val="24"/>
          <w:szCs w:val="24"/>
        </w:rPr>
        <w:t>a program may request a one</w:t>
      </w:r>
      <w:r w:rsidR="00193BA5" w:rsidRPr="00C1694A">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year extension from the responsible HHS official of the requirements outlined in </w:t>
      </w:r>
      <w:r w:rsidR="00D322EB">
        <w:rPr>
          <w:rFonts w:ascii="Times New Roman" w:eastAsia="Times New Roman" w:hAnsi="Times New Roman" w:cs="Times New Roman"/>
          <w:sz w:val="24"/>
          <w:szCs w:val="24"/>
        </w:rPr>
        <w:t xml:space="preserve">paragraphs </w:t>
      </w:r>
      <w:r w:rsidRPr="00C1694A">
        <w:rPr>
          <w:rFonts w:ascii="Times New Roman" w:eastAsia="Calibri" w:hAnsi="Times New Roman" w:cs="Times New Roman"/>
          <w:sz w:val="24"/>
          <w:szCs w:val="24"/>
        </w:rPr>
        <w:t>(c)(1) and (c)(2)(iii)</w:t>
      </w:r>
      <w:r w:rsidR="00D322EB">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w:t>
      </w:r>
    </w:p>
    <w:p w:rsidR="007853C9" w:rsidRPr="00C1694A" w:rsidRDefault="007853C9"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t>
      </w:r>
      <w:r w:rsidR="007853C9" w:rsidRPr="00C1694A">
        <w:rPr>
          <w:rFonts w:ascii="Times New Roman" w:hAnsi="Times New Roman" w:cs="Times New Roman"/>
          <w:sz w:val="24"/>
          <w:szCs w:val="24"/>
        </w:rPr>
        <w:t>5</w:t>
      </w:r>
      <w:r w:rsidRPr="00C1694A">
        <w:rPr>
          <w:rFonts w:ascii="Times New Roman" w:hAnsi="Times New Roman" w:cs="Times New Roman"/>
          <w:sz w:val="24"/>
          <w:szCs w:val="24"/>
        </w:rPr>
        <w:t xml:space="preserve">) </w:t>
      </w:r>
      <w:r w:rsidRPr="00C1694A">
        <w:rPr>
          <w:rFonts w:ascii="Times New Roman" w:hAnsi="Times New Roman" w:cs="Times New Roman"/>
          <w:sz w:val="24"/>
          <w:szCs w:val="24"/>
          <w:u w:val="single"/>
        </w:rPr>
        <w:t>Exemption for Migrant or Seasonal Head Start programs.</w:t>
      </w:r>
      <w:r w:rsidRPr="00C1694A">
        <w:rPr>
          <w:rFonts w:ascii="Times New Roman" w:hAnsi="Times New Roman" w:cs="Times New Roman"/>
          <w:sz w:val="24"/>
          <w:szCs w:val="24"/>
        </w:rPr>
        <w:t xml:space="preserve">  A Migrant or Seasonal program is not subject to the requirements described in </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1302.21(c)(1) or (2), but must make every effort to provide as many days and hours of service as possible to each child and family. </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w:t>
      </w:r>
      <w:r w:rsidR="007853C9" w:rsidRPr="00C1694A">
        <w:rPr>
          <w:rFonts w:ascii="Times New Roman" w:hAnsi="Times New Roman" w:cs="Times New Roman"/>
          <w:sz w:val="24"/>
          <w:szCs w:val="24"/>
        </w:rPr>
        <w:t>6</w:t>
      </w:r>
      <w:r w:rsidRPr="00C1694A">
        <w:rPr>
          <w:rFonts w:ascii="Times New Roman" w:hAnsi="Times New Roman" w:cs="Times New Roman"/>
          <w:sz w:val="24"/>
          <w:szCs w:val="24"/>
        </w:rPr>
        <w:t xml:space="preserve">) </w:t>
      </w:r>
      <w:r w:rsidRPr="00C1694A">
        <w:rPr>
          <w:rFonts w:ascii="Times New Roman" w:hAnsi="Times New Roman" w:cs="Times New Roman"/>
          <w:sz w:val="24"/>
          <w:szCs w:val="24"/>
          <w:u w:val="single"/>
        </w:rPr>
        <w:t>Calendar planning.</w:t>
      </w:r>
      <w:r w:rsidRPr="00C1694A">
        <w:rPr>
          <w:rFonts w:ascii="Times New Roman" w:hAnsi="Times New Roman" w:cs="Times New Roman"/>
          <w:sz w:val="24"/>
          <w:szCs w:val="24"/>
        </w:rPr>
        <w:t xml:space="preserve">  A program must:</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(i) Plan </w:t>
      </w:r>
      <w:r w:rsidR="003B2FC1" w:rsidRPr="00C1694A">
        <w:rPr>
          <w:rFonts w:ascii="Times New Roman" w:hAnsi="Times New Roman" w:cs="Times New Roman"/>
          <w:sz w:val="24"/>
          <w:szCs w:val="24"/>
        </w:rPr>
        <w:t xml:space="preserve">its </w:t>
      </w:r>
      <w:r w:rsidRPr="00C1694A">
        <w:rPr>
          <w:rFonts w:ascii="Times New Roman" w:hAnsi="Times New Roman" w:cs="Times New Roman"/>
          <w:sz w:val="24"/>
          <w:szCs w:val="24"/>
        </w:rPr>
        <w:t>year using a reasonable estimate of the number of days during a year that classes may be closed due to problems such as inclement weather; and,</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(ii) Make every effort to schedule makeup days using existing resources if hours of planned class operations fall below the number required per year.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(d) </w:t>
      </w:r>
      <w:r w:rsidRPr="00C1694A">
        <w:rPr>
          <w:rFonts w:ascii="Times New Roman" w:eastAsia="Calibri" w:hAnsi="Times New Roman" w:cs="Times New Roman"/>
          <w:sz w:val="24"/>
          <w:szCs w:val="24"/>
          <w:u w:val="single"/>
        </w:rPr>
        <w:t>Licensing and square footage requirements</w:t>
      </w:r>
      <w:r w:rsidRPr="00C1694A">
        <w:rPr>
          <w:rFonts w:ascii="Times New Roman" w:eastAsia="Calibri" w:hAnsi="Times New Roman" w:cs="Times New Roman"/>
          <w:i/>
          <w:sz w:val="24"/>
          <w:szCs w:val="24"/>
        </w:rPr>
        <w:t xml:space="preserve">.  </w:t>
      </w:r>
      <w:r w:rsidRPr="00C1694A">
        <w:rPr>
          <w:rFonts w:ascii="Times New Roman" w:eastAsia="Calibri" w:hAnsi="Times New Roman" w:cs="Times New Roman"/>
          <w:sz w:val="24"/>
          <w:szCs w:val="24"/>
        </w:rPr>
        <w:t xml:space="preserve">(1) The facilities used by a program must meet state, tribal, or local licensing requirements, even if exempted by the licensing entity.  When state, tribal, or local requirements vary from Head Start requirements, the most stringent provision takes precedence.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(2) A center-based program must have at least 35 square feet of usable indoor space per child available for the care and use of children (exclusive of bathrooms, halls, kitchen, staff rooms, and storage places) and at least 75 square feet of usable outdoor play space per child.</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(3) A program that operates two or more groups within an area must ensure clearly defined, safe divisions to separate groups.  A program must ensure such spaces are learning environments that facilitate the implementation of the requirements in subpart C</w:t>
      </w:r>
      <w:r w:rsidR="00FC45C5">
        <w:rPr>
          <w:rFonts w:ascii="Times New Roman" w:eastAsia="Calibri" w:hAnsi="Times New Roman" w:cs="Times New Roman"/>
          <w:sz w:val="24"/>
          <w:szCs w:val="24"/>
        </w:rPr>
        <w:t xml:space="preserve"> of this part</w:t>
      </w:r>
      <w:r w:rsidRPr="00C1694A">
        <w:rPr>
          <w:rFonts w:ascii="Times New Roman" w:eastAsia="Calibri" w:hAnsi="Times New Roman" w:cs="Times New Roman"/>
          <w:sz w:val="24"/>
          <w:szCs w:val="24"/>
        </w:rPr>
        <w:t>.  The divisions must limit noise transfer from one group to another to prevent disruption of an effective learning environment.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§1302.22 Home-based option.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Pr="00C1694A">
        <w:rPr>
          <w:rFonts w:ascii="Times New Roman" w:hAnsi="Times New Roman" w:cs="Times New Roman"/>
          <w:sz w:val="24"/>
          <w:szCs w:val="24"/>
          <w:u w:val="single"/>
        </w:rPr>
        <w:t>Setting.</w:t>
      </w:r>
      <w:r w:rsidRPr="00C1694A">
        <w:rPr>
          <w:rFonts w:ascii="Times New Roman" w:hAnsi="Times New Roman" w:cs="Times New Roman"/>
          <w:sz w:val="24"/>
          <w:szCs w:val="24"/>
        </w:rPr>
        <w:t xml:space="preserve"> The home-based option delivers the full range of services, consistent with §1302.20(b), through visits with the child's parents, primarily in the child's home and through group socialization opportunities in a Head Start classroom, community facility, home, or on field trips.  </w:t>
      </w:r>
      <w:r w:rsidR="00E23885" w:rsidRPr="00C1694A">
        <w:rPr>
          <w:rFonts w:ascii="Times New Roman" w:hAnsi="Times New Roman" w:cs="Times New Roman"/>
          <w:sz w:val="24"/>
          <w:szCs w:val="24"/>
        </w:rPr>
        <w:t>For Early Head Start programs</w:t>
      </w:r>
      <w:r w:rsidR="00D8252F" w:rsidRPr="00C1694A">
        <w:rPr>
          <w:rFonts w:ascii="Times New Roman" w:hAnsi="Times New Roman" w:cs="Times New Roman"/>
          <w:sz w:val="24"/>
          <w:szCs w:val="24"/>
        </w:rPr>
        <w:t>,</w:t>
      </w:r>
      <w:r w:rsidR="00E23885" w:rsidRPr="00C1694A">
        <w:rPr>
          <w:rFonts w:ascii="Times New Roman" w:hAnsi="Times New Roman" w:cs="Times New Roman"/>
          <w:sz w:val="24"/>
          <w:szCs w:val="24"/>
        </w:rPr>
        <w:t xml:space="preserve"> the home-based option may be used to deliver services to some or all of a program’s enrolled children.  For Head Start programs, the home-based option may only be used to deliver services to a portion of a program’s enrolled children.</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Caseload.</w:t>
      </w:r>
      <w:r w:rsidRPr="00C1694A">
        <w:rPr>
          <w:rFonts w:ascii="Times New Roman" w:hAnsi="Times New Roman" w:cs="Times New Roman"/>
          <w:sz w:val="24"/>
          <w:szCs w:val="24"/>
        </w:rPr>
        <w:t xml:space="preserve">  A program that implements a home-based option must maintain an average caseload of 10 to 12 families per home visitor with a maximum of 12 families for any individual home visitor. </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Service duration</w:t>
      </w:r>
      <w:r w:rsidR="00D322EB">
        <w:rPr>
          <w:rFonts w:ascii="Times New Roman" w:hAnsi="Times New Roman" w:cs="Times New Roman"/>
          <w:sz w:val="24"/>
          <w:szCs w:val="24"/>
        </w:rPr>
        <w:t>--</w:t>
      </w:r>
      <w:r w:rsidRPr="00C1694A">
        <w:rPr>
          <w:rFonts w:ascii="Times New Roman" w:hAnsi="Times New Roman" w:cs="Times New Roman"/>
          <w:sz w:val="24"/>
          <w:szCs w:val="24"/>
        </w:rPr>
        <w:t xml:space="preserve">(1) </w:t>
      </w:r>
      <w:r w:rsidRPr="00C1694A">
        <w:rPr>
          <w:rFonts w:ascii="Times New Roman" w:hAnsi="Times New Roman" w:cs="Times New Roman"/>
          <w:sz w:val="24"/>
          <w:szCs w:val="24"/>
          <w:u w:val="single"/>
        </w:rPr>
        <w:t>Early Head Start</w:t>
      </w:r>
      <w:r w:rsidRPr="00C1694A">
        <w:rPr>
          <w:rFonts w:ascii="Times New Roman" w:hAnsi="Times New Roman" w:cs="Times New Roman"/>
          <w:sz w:val="24"/>
          <w:szCs w:val="24"/>
        </w:rPr>
        <w:t xml:space="preserve">. </w:t>
      </w:r>
      <w:r w:rsidR="00C757F4" w:rsidRPr="00C1694A">
        <w:rPr>
          <w:rFonts w:ascii="Times New Roman" w:hAnsi="Times New Roman" w:cs="Times New Roman"/>
          <w:sz w:val="24"/>
          <w:szCs w:val="24"/>
        </w:rPr>
        <w:t xml:space="preserve">By August 1, 2017, an </w:t>
      </w:r>
      <w:r w:rsidRPr="00C1694A">
        <w:rPr>
          <w:rFonts w:ascii="Times New Roman" w:hAnsi="Times New Roman" w:cs="Times New Roman"/>
          <w:sz w:val="24"/>
          <w:szCs w:val="24"/>
        </w:rPr>
        <w:t>Early Head Start home-based program must:</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(i) Provide one home visit per week per family that lasts at least an hour and a half and provide a minimum of 46 visits per year; and,</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Provide, at a minimum, 22 group socialization activities distributed over the course of the program year.</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(2) </w:t>
      </w:r>
      <w:r w:rsidRPr="00C1694A">
        <w:rPr>
          <w:rFonts w:ascii="Times New Roman" w:hAnsi="Times New Roman" w:cs="Times New Roman"/>
          <w:sz w:val="24"/>
          <w:szCs w:val="24"/>
          <w:u w:val="single"/>
        </w:rPr>
        <w:t>Head Start.</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A Head Start home-based program must:</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 w:val="left" w:pos="297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(i) Provide one home visit per week per family that lasts at least an hour and a half and provide a minimum of 32 visits per year; and,</w:t>
      </w:r>
    </w:p>
    <w:p w:rsidR="00C03FE8" w:rsidRPr="00C1694A" w:rsidRDefault="00C03FE8" w:rsidP="00AC521C">
      <w:pPr>
        <w:pStyle w:val="ListParagraph"/>
        <w:tabs>
          <w:tab w:val="left" w:pos="360"/>
          <w:tab w:val="left" w:pos="2970"/>
        </w:tabs>
        <w:spacing w:after="0" w:line="480" w:lineRule="auto"/>
        <w:ind w:left="0"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Provide, at a minimum, 16 group socialization activities distributed over the course of the program year.</w:t>
      </w:r>
    </w:p>
    <w:p w:rsidR="00C03FE8" w:rsidRPr="00C1694A" w:rsidRDefault="00C03FE8" w:rsidP="00AC521C">
      <w:pPr>
        <w:spacing w:after="0" w:line="480" w:lineRule="auto"/>
        <w:ind w:firstLine="720"/>
        <w:rPr>
          <w:rFonts w:ascii="Times New Roman" w:hAnsi="Times New Roman" w:cs="Times New Roman"/>
          <w:sz w:val="24"/>
          <w:szCs w:val="24"/>
        </w:rPr>
      </w:pPr>
    </w:p>
    <w:p w:rsidR="00D322EB"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w:t>
      </w:r>
      <w:r w:rsidRPr="00C1694A">
        <w:rPr>
          <w:rFonts w:ascii="Times New Roman" w:hAnsi="Times New Roman" w:cs="Times New Roman"/>
          <w:sz w:val="24"/>
          <w:szCs w:val="24"/>
          <w:u w:val="single"/>
        </w:rPr>
        <w:t>Meeting minimum requirements.</w:t>
      </w:r>
      <w:r w:rsidRPr="00C1694A">
        <w:rPr>
          <w:rFonts w:ascii="Times New Roman" w:hAnsi="Times New Roman" w:cs="Times New Roman"/>
          <w:sz w:val="24"/>
          <w:szCs w:val="24"/>
        </w:rPr>
        <w:t xml:space="preserve"> A program that implements a home-based option must: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Make up planned home visits or scheduled group socialization activities that were canceled by the program, and to the extent possible attempt to make up planned home visits canceled by the family, when this is necessary to meet the minimums described in paragraphs (c)(1) and (2)</w:t>
      </w:r>
      <w:r w:rsidR="00D322EB">
        <w:rPr>
          <w:rFonts w:ascii="Times New Roman" w:hAnsi="Times New Roman" w:cs="Times New Roman"/>
          <w:sz w:val="24"/>
          <w:szCs w:val="24"/>
        </w:rPr>
        <w:t xml:space="preserve"> of this section</w:t>
      </w:r>
      <w:r w:rsidRPr="00C1694A">
        <w:rPr>
          <w:rFonts w:ascii="Times New Roman" w:hAnsi="Times New Roman" w:cs="Times New Roman"/>
          <w:sz w:val="24"/>
          <w:szCs w:val="24"/>
        </w:rPr>
        <w:t>;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Not replace home visits or scheduled group socialization activities for medical or social service appointments for the purposes of meeting the minimum requirements described in paragraphs </w:t>
      </w:r>
      <w:r w:rsidR="00D322EB">
        <w:rPr>
          <w:rFonts w:ascii="Times New Roman" w:hAnsi="Times New Roman" w:cs="Times New Roman"/>
          <w:sz w:val="24"/>
          <w:szCs w:val="24"/>
        </w:rPr>
        <w:t>(c)</w:t>
      </w:r>
      <w:r w:rsidRPr="00C1694A">
        <w:rPr>
          <w:rFonts w:ascii="Times New Roman" w:hAnsi="Times New Roman" w:cs="Times New Roman"/>
          <w:sz w:val="24"/>
          <w:szCs w:val="24"/>
        </w:rPr>
        <w:t>(1) and (2)</w:t>
      </w:r>
      <w:r w:rsidR="00D322EB">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(d) </w:t>
      </w:r>
      <w:r w:rsidRPr="00C1694A">
        <w:rPr>
          <w:rFonts w:ascii="Times New Roman" w:hAnsi="Times New Roman" w:cs="Times New Roman"/>
          <w:sz w:val="24"/>
          <w:szCs w:val="24"/>
          <w:u w:val="single"/>
        </w:rPr>
        <w:t>Safety requirements</w:t>
      </w:r>
      <w:r w:rsidRPr="00C1694A">
        <w:rPr>
          <w:rFonts w:ascii="Times New Roman" w:hAnsi="Times New Roman" w:cs="Times New Roman"/>
          <w:sz w:val="24"/>
          <w:szCs w:val="24"/>
        </w:rPr>
        <w:t>. The areas for learning, playing, sleeping, toileting, preparing food, and eating in facilities used for group socializations in the home-based option must meet the safety standards described in §1302.47(1)(ii)</w:t>
      </w:r>
      <w:r w:rsidR="00FC45C5">
        <w:rPr>
          <w:rFonts w:ascii="Times New Roman" w:hAnsi="Times New Roman" w:cs="Times New Roman"/>
          <w:sz w:val="24"/>
          <w:szCs w:val="24"/>
        </w:rPr>
        <w:t xml:space="preserve"> through </w:t>
      </w:r>
      <w:r w:rsidRPr="00C1694A">
        <w:rPr>
          <w:rFonts w:ascii="Times New Roman" w:hAnsi="Times New Roman" w:cs="Times New Roman"/>
          <w:sz w:val="24"/>
          <w:szCs w:val="24"/>
        </w:rPr>
        <w:t>(viii).</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§1302.23 Family child care option.</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w:t>
      </w:r>
      <w:r w:rsidRPr="00C1694A">
        <w:rPr>
          <w:rFonts w:ascii="Times New Roman" w:hAnsi="Times New Roman" w:cs="Times New Roman"/>
          <w:sz w:val="24"/>
          <w:szCs w:val="24"/>
        </w:rPr>
        <w:t>a)</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u w:val="single"/>
        </w:rPr>
        <w:t>Setting.</w:t>
      </w:r>
      <w:r w:rsidRPr="00C1694A">
        <w:rPr>
          <w:rFonts w:ascii="Times New Roman" w:hAnsi="Times New Roman" w:cs="Times New Roman"/>
          <w:sz w:val="24"/>
          <w:szCs w:val="24"/>
        </w:rPr>
        <w:t xml:space="preserve"> The family child care program option delivers the full range of services, consistent with §1302.20(b).  Education and child development services are primarily delivered by a family child care provider in their home or other family-like setting.  A program may choose to offer the family child care option if:</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(1) The program has a legally binding agreement with one or more family child care provider(s) that clearly defines the roles, rights, and responsibilities of each party, or the program is the employer of the family child care provider, and ensures children and families enrolled in this option receive the full range of services described in subparts C, D, E, F, and G</w:t>
      </w:r>
      <w:r w:rsidR="00D322EB">
        <w:rPr>
          <w:rFonts w:ascii="Times New Roman" w:hAnsi="Times New Roman" w:cs="Times New Roman"/>
          <w:sz w:val="24"/>
          <w:szCs w:val="24"/>
        </w:rPr>
        <w:t xml:space="preserve"> of this part</w:t>
      </w:r>
      <w:r w:rsidRPr="00C1694A">
        <w:rPr>
          <w:rFonts w:ascii="Times New Roman" w:hAnsi="Times New Roman" w:cs="Times New Roman"/>
          <w:sz w:val="24"/>
          <w:szCs w:val="24"/>
        </w:rPr>
        <w:t>; and,</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(2) The program ensures family child care homes are available that can accommodate children and families with disabilities. </w:t>
      </w: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(b)</w:t>
      </w:r>
      <w:r w:rsidRPr="00C1694A">
        <w:rPr>
          <w:rFonts w:ascii="Times New Roman" w:eastAsia="Calibri" w:hAnsi="Times New Roman" w:cs="Times New Roman"/>
          <w:i/>
          <w:sz w:val="24"/>
          <w:szCs w:val="24"/>
        </w:rPr>
        <w:t xml:space="preserve"> </w:t>
      </w:r>
      <w:r w:rsidRPr="00C1694A">
        <w:rPr>
          <w:rFonts w:ascii="Times New Roman" w:eastAsia="Calibri" w:hAnsi="Times New Roman" w:cs="Times New Roman"/>
          <w:sz w:val="24"/>
          <w:szCs w:val="24"/>
          <w:u w:val="single"/>
        </w:rPr>
        <w:t>Ratios and group size.</w:t>
      </w:r>
      <w:r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 xml:space="preserve">(1) A program that operates the family child care option where Head Start children are enrolled must ensure group size does not exceed the limits specified in this section.  If the family child care provider’s own children under the age of </w:t>
      </w:r>
      <w:r w:rsidR="00344656" w:rsidRPr="00C1694A">
        <w:rPr>
          <w:rFonts w:ascii="Times New Roman" w:hAnsi="Times New Roman" w:cs="Times New Roman"/>
          <w:sz w:val="24"/>
          <w:szCs w:val="24"/>
        </w:rPr>
        <w:t xml:space="preserve">six </w:t>
      </w:r>
      <w:r w:rsidRPr="00C1694A">
        <w:rPr>
          <w:rFonts w:ascii="Times New Roman" w:hAnsi="Times New Roman" w:cs="Times New Roman"/>
          <w:sz w:val="24"/>
          <w:szCs w:val="24"/>
        </w:rPr>
        <w:t xml:space="preserve">are present, they must be included in the group size.  </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When there is one family child care provider, the maximum group size is six children and no more than two of the six may be under 24 months of age. When there is a provider and an assistant, the maximum group size is twelve children with no more than four of the twelve children under 24 months of age.</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(3) One family child care provider may care for up to four children </w:t>
      </w:r>
      <w:r w:rsidR="00344656" w:rsidRPr="00C1694A">
        <w:rPr>
          <w:rFonts w:ascii="Times New Roman" w:hAnsi="Times New Roman" w:cs="Times New Roman"/>
          <w:sz w:val="24"/>
          <w:szCs w:val="24"/>
        </w:rPr>
        <w:t xml:space="preserve">younger than </w:t>
      </w:r>
      <w:r w:rsidRPr="00C1694A">
        <w:rPr>
          <w:rFonts w:ascii="Times New Roman" w:hAnsi="Times New Roman" w:cs="Times New Roman"/>
          <w:sz w:val="24"/>
          <w:szCs w:val="24"/>
        </w:rPr>
        <w:t>36 months of age with a maximum group size of four children, and no more than two of the four children may be under 18 months of age.</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(4) A program must maintain appropriate ratios during all hours of program operation. A program must ensure providers have systems to ensure the safety of any child not within view for any period.  A program must make substitute staff and assistant providers </w:t>
      </w:r>
      <w:r w:rsidR="003B2FC1" w:rsidRPr="00C1694A">
        <w:rPr>
          <w:rFonts w:ascii="Times New Roman" w:hAnsi="Times New Roman" w:cs="Times New Roman"/>
          <w:sz w:val="24"/>
          <w:szCs w:val="24"/>
        </w:rPr>
        <w:t xml:space="preserve">available </w:t>
      </w:r>
      <w:r w:rsidRPr="00C1694A">
        <w:rPr>
          <w:rFonts w:ascii="Times New Roman" w:hAnsi="Times New Roman" w:cs="Times New Roman"/>
          <w:sz w:val="24"/>
          <w:szCs w:val="24"/>
        </w:rPr>
        <w:t xml:space="preserve">with the necessary training and experience to ensure quality services to children are not interrupted.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tabs>
          <w:tab w:val="left" w:pos="0"/>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Service duration.</w:t>
      </w:r>
      <w:r w:rsidRPr="00C1694A">
        <w:rPr>
          <w:rFonts w:ascii="Times New Roman" w:hAnsi="Times New Roman" w:cs="Times New Roman"/>
          <w:sz w:val="24"/>
          <w:szCs w:val="24"/>
        </w:rPr>
        <w:t xml:space="preserve"> Whether family child care option services are provided directly or via contractual arrangement, a program must ensure family child care providers operate sufficient hours to meet the child care needs of families</w:t>
      </w:r>
      <w:r w:rsidR="00984C0D" w:rsidRPr="00C1694A">
        <w:rPr>
          <w:rFonts w:ascii="Times New Roman" w:hAnsi="Times New Roman" w:cs="Times New Roman"/>
          <w:sz w:val="24"/>
          <w:szCs w:val="24"/>
        </w:rPr>
        <w:t xml:space="preserve"> and not less than 1,380 hours per year</w:t>
      </w:r>
      <w:r w:rsidRPr="00C1694A">
        <w:rPr>
          <w:rFonts w:ascii="Times New Roman" w:hAnsi="Times New Roman" w:cs="Times New Roman"/>
          <w:sz w:val="24"/>
          <w:szCs w:val="24"/>
        </w:rPr>
        <w:t xml:space="preserve">. </w:t>
      </w:r>
    </w:p>
    <w:p w:rsidR="00C03FE8" w:rsidRPr="00C1694A" w:rsidRDefault="00C03FE8" w:rsidP="00AC521C">
      <w:pPr>
        <w:tabs>
          <w:tab w:val="left" w:pos="0"/>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Licensing requirements</w:t>
      </w:r>
      <w:r w:rsidRPr="00C1694A">
        <w:rPr>
          <w:rFonts w:ascii="Times New Roman" w:hAnsi="Times New Roman" w:cs="Times New Roman"/>
          <w:sz w:val="24"/>
          <w:szCs w:val="24"/>
        </w:rPr>
        <w:t>.  A family child-care provider must be licensed by the state, tribal, or local entity to provide services in their home or family</w:t>
      </w:r>
      <w:r w:rsidR="003B2FC1" w:rsidRPr="00C1694A">
        <w:rPr>
          <w:rFonts w:ascii="Times New Roman" w:hAnsi="Times New Roman" w:cs="Times New Roman"/>
          <w:sz w:val="24"/>
          <w:szCs w:val="24"/>
        </w:rPr>
        <w:t>-</w:t>
      </w:r>
      <w:r w:rsidRPr="00C1694A">
        <w:rPr>
          <w:rFonts w:ascii="Times New Roman" w:hAnsi="Times New Roman" w:cs="Times New Roman"/>
          <w:sz w:val="24"/>
          <w:szCs w:val="24"/>
        </w:rPr>
        <w:t>like setting.  When state, tribal, or local requirements vary from Head Start requirements, the most stringent provision applies.</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0"/>
          <w:tab w:val="left" w:pos="360"/>
        </w:tabs>
        <w:spacing w:after="0" w:line="480" w:lineRule="auto"/>
        <w:ind w:firstLine="720"/>
        <w:rPr>
          <w:rFonts w:ascii="Times New Roman" w:hAnsi="Times New Roman" w:cs="Times New Roman"/>
          <w:sz w:val="24"/>
          <w:szCs w:val="24"/>
        </w:rPr>
      </w:pPr>
      <w:r w:rsidRPr="00C1694A" w:rsidDel="00480F4A">
        <w:rPr>
          <w:rFonts w:ascii="Times New Roman" w:hAnsi="Times New Roman" w:cs="Times New Roman"/>
          <w:sz w:val="24"/>
          <w:szCs w:val="24"/>
        </w:rPr>
        <w:t xml:space="preserve"> </w:t>
      </w:r>
      <w:r w:rsidRPr="00C1694A">
        <w:rPr>
          <w:rFonts w:ascii="Times New Roman" w:hAnsi="Times New Roman" w:cs="Times New Roman"/>
          <w:sz w:val="24"/>
          <w:szCs w:val="24"/>
        </w:rPr>
        <w:t xml:space="preserve">(e) </w:t>
      </w:r>
      <w:r w:rsidRPr="00C1694A">
        <w:rPr>
          <w:rFonts w:ascii="Times New Roman" w:hAnsi="Times New Roman" w:cs="Times New Roman"/>
          <w:sz w:val="24"/>
          <w:szCs w:val="24"/>
          <w:u w:val="single"/>
        </w:rPr>
        <w:t>Child development specialist.</w:t>
      </w:r>
      <w:r w:rsidRPr="00C1694A">
        <w:rPr>
          <w:rFonts w:ascii="Times New Roman" w:hAnsi="Times New Roman" w:cs="Times New Roman"/>
          <w:sz w:val="24"/>
          <w:szCs w:val="24"/>
        </w:rPr>
        <w:t xml:space="preserve">  A program that offers the family child care option must provide a child development specialist to support family child care providers and ensure the provision of quality services at each family child care home.  Child development specialists must:</w:t>
      </w:r>
    </w:p>
    <w:p w:rsidR="00C03FE8" w:rsidRPr="00C1694A" w:rsidRDefault="00C03FE8" w:rsidP="00AC521C">
      <w:pPr>
        <w:tabs>
          <w:tab w:val="left" w:pos="0"/>
          <w:tab w:val="left" w:pos="360"/>
        </w:tabs>
        <w:spacing w:after="0" w:line="480" w:lineRule="auto"/>
        <w:ind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(1) Conduct regular visits to each home, some of which are unannounced, not less than once every two weeks; </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Periodically verify compliance with either contract requirements or agency policy; </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(3) Facilitate ongoing communication between program staff, family child care providers, and enrolled families; and,</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(4) Provide recommendations for technical assistance and support the family child care provider in developing relationships with other child care professionals.</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§1302.24 Locally-designed program option variations.</w:t>
      </w: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eastAsia="Calibri" w:hAnsi="Times New Roman" w:cs="Times New Roman"/>
          <w:sz w:val="24"/>
          <w:szCs w:val="24"/>
        </w:rPr>
        <w:t>(a)</w:t>
      </w:r>
      <w:r w:rsidRPr="00C1694A">
        <w:rPr>
          <w:rFonts w:ascii="Times New Roman" w:eastAsia="Calibri" w:hAnsi="Times New Roman" w:cs="Times New Roman"/>
          <w:i/>
          <w:sz w:val="24"/>
          <w:szCs w:val="24"/>
        </w:rPr>
        <w:t xml:space="preserve"> </w:t>
      </w:r>
      <w:r w:rsidR="00FF76B5">
        <w:rPr>
          <w:rFonts w:ascii="Times New Roman" w:eastAsia="Calibri" w:hAnsi="Times New Roman" w:cs="Times New Roman"/>
          <w:sz w:val="24"/>
          <w:szCs w:val="24"/>
          <w:u w:val="single"/>
        </w:rPr>
        <w:t>Waiver option</w:t>
      </w:r>
      <w:r w:rsidRPr="00C1694A">
        <w:rPr>
          <w:rFonts w:ascii="Times New Roman" w:eastAsia="Calibri" w:hAnsi="Times New Roman" w:cs="Times New Roman"/>
          <w:sz w:val="24"/>
          <w:szCs w:val="24"/>
          <w:u w:val="single"/>
        </w:rPr>
        <w:t>.</w:t>
      </w:r>
      <w:r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Programs may request to operate a locally-designed program option, including a combination of program options, to better meet the unique needs of their communities or to demonstrate or test alternative approaches for providing program services.  In order to operate a locally-designed program option, programs must seek a waiver as described in this section and must deliver the full range of services, consistent with §1302.20(b), and demonstrate how any change to their program design is consistent with achieving program goals in subpart J</w:t>
      </w:r>
      <w:r w:rsidR="00D322EB">
        <w:rPr>
          <w:rFonts w:ascii="Times New Roman" w:hAnsi="Times New Roman" w:cs="Times New Roman"/>
          <w:sz w:val="24"/>
          <w:szCs w:val="24"/>
        </w:rPr>
        <w:t xml:space="preserve"> of this part</w:t>
      </w:r>
      <w:r w:rsidRPr="00C1694A">
        <w:rPr>
          <w:rFonts w:ascii="Times New Roman" w:hAnsi="Times New Roman" w:cs="Times New Roman"/>
          <w:sz w:val="24"/>
          <w:szCs w:val="24"/>
        </w:rPr>
        <w:t xml:space="preserve">. </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(b)</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u w:val="single"/>
        </w:rPr>
        <w:t>Request for approval.</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A program’s request to operate a locally-designed variation may be approved by the responsible HHS official through the end of a program’s current grant or, if the request is submitted through a grant application for an upcoming project period, for the project period of the new award.  Such approval may be revoked based on progress toward program goals as described in §1302.102 and monitoring as described in §1304.2.</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(c)</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u w:val="single"/>
        </w:rPr>
        <w:t>Waiver requirements.</w:t>
      </w:r>
      <w:r w:rsidRPr="00C1694A">
        <w:rPr>
          <w:rFonts w:ascii="Times New Roman" w:hAnsi="Times New Roman" w:cs="Times New Roman"/>
          <w:sz w:val="24"/>
          <w:szCs w:val="24"/>
        </w:rPr>
        <w:t xml:space="preserve">  (1)</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The responsible HHS official may waive one or more of the requirements contained in §</w:t>
      </w:r>
      <w:r w:rsidRPr="00C1694A">
        <w:rPr>
          <w:rFonts w:ascii="Times New Roman" w:eastAsia="Calibri" w:hAnsi="Times New Roman" w:cs="Times New Roman"/>
          <w:sz w:val="24"/>
          <w:szCs w:val="24"/>
        </w:rPr>
        <w:t xml:space="preserve">1302.21(b), (c)(1)(i), </w:t>
      </w:r>
      <w:r w:rsidR="004A52CB">
        <w:rPr>
          <w:rFonts w:ascii="Times New Roman" w:eastAsia="Calibri" w:hAnsi="Times New Roman" w:cs="Times New Roman"/>
          <w:sz w:val="24"/>
          <w:szCs w:val="24"/>
        </w:rPr>
        <w:t xml:space="preserve">and </w:t>
      </w:r>
      <w:r w:rsidRPr="00C1694A">
        <w:rPr>
          <w:rFonts w:ascii="Times New Roman" w:eastAsia="Calibri" w:hAnsi="Times New Roman" w:cs="Times New Roman"/>
          <w:sz w:val="24"/>
          <w:szCs w:val="24"/>
        </w:rPr>
        <w:t xml:space="preserve">(c)(2)(iii) and (iv); </w:t>
      </w:r>
      <w:r w:rsidRPr="00C1694A">
        <w:rPr>
          <w:rFonts w:ascii="Times New Roman" w:hAnsi="Times New Roman" w:cs="Times New Roman"/>
          <w:sz w:val="24"/>
          <w:szCs w:val="24"/>
        </w:rPr>
        <w:t>§</w:t>
      </w:r>
      <w:r w:rsidRPr="00C1694A">
        <w:rPr>
          <w:rFonts w:ascii="Times New Roman" w:eastAsia="Calibri" w:hAnsi="Times New Roman" w:cs="Times New Roman"/>
          <w:sz w:val="24"/>
          <w:szCs w:val="24"/>
        </w:rPr>
        <w:t>1302.22</w:t>
      </w:r>
      <w:r w:rsidR="00BD40D9" w:rsidRPr="00C1694A">
        <w:rPr>
          <w:rFonts w:ascii="Times New Roman" w:eastAsia="Calibri" w:hAnsi="Times New Roman" w:cs="Times New Roman"/>
          <w:sz w:val="24"/>
          <w:szCs w:val="24"/>
        </w:rPr>
        <w:t>(a) through</w:t>
      </w:r>
      <w:r w:rsidRPr="00C1694A">
        <w:rPr>
          <w:rFonts w:ascii="Times New Roman" w:eastAsia="Calibri" w:hAnsi="Times New Roman" w:cs="Times New Roman"/>
          <w:sz w:val="24"/>
          <w:szCs w:val="24"/>
        </w:rPr>
        <w:t xml:space="preserve"> (c); and </w:t>
      </w:r>
      <w:r w:rsidRPr="00C1694A">
        <w:rPr>
          <w:rFonts w:ascii="Times New Roman" w:hAnsi="Times New Roman" w:cs="Times New Roman"/>
          <w:sz w:val="24"/>
          <w:szCs w:val="24"/>
        </w:rPr>
        <w:t>§</w:t>
      </w:r>
      <w:r w:rsidRPr="00C1694A">
        <w:rPr>
          <w:rFonts w:ascii="Times New Roman" w:eastAsia="Calibri" w:hAnsi="Times New Roman" w:cs="Times New Roman"/>
          <w:sz w:val="24"/>
          <w:szCs w:val="24"/>
        </w:rPr>
        <w:t>1302.23(b)</w:t>
      </w:r>
      <w:r w:rsidR="00E6357F">
        <w:rPr>
          <w:rFonts w:ascii="Times New Roman" w:eastAsia="Calibri" w:hAnsi="Times New Roman" w:cs="Times New Roman"/>
          <w:sz w:val="24"/>
          <w:szCs w:val="24"/>
        </w:rPr>
        <w:t xml:space="preserve"> and (c)</w:t>
      </w:r>
      <w:r w:rsidRPr="00C1694A">
        <w:rPr>
          <w:rFonts w:ascii="Times New Roman" w:eastAsia="Calibri" w:hAnsi="Times New Roman" w:cs="Times New Roman"/>
          <w:sz w:val="24"/>
          <w:szCs w:val="24"/>
        </w:rPr>
        <w:t>, but may not waive ratios or group size for children under 24 months</w:t>
      </w:r>
      <w:r w:rsidRPr="00C1694A">
        <w:rPr>
          <w:rFonts w:ascii="Times New Roman" w:hAnsi="Times New Roman" w:cs="Times New Roman"/>
          <w:sz w:val="24"/>
          <w:szCs w:val="24"/>
        </w:rPr>
        <w:t xml:space="preserve">. </w:t>
      </w:r>
      <w:r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 xml:space="preserve">Center-based locally-designed options must meet the minimums described in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640(k)(1) of the Act for center-based programs.  </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hAnsi="Times New Roman" w:cs="Times New Roman"/>
          <w:sz w:val="24"/>
          <w:szCs w:val="24"/>
        </w:rPr>
        <w:t xml:space="preserve">(2) </w:t>
      </w:r>
      <w:r w:rsidRPr="00C1694A">
        <w:rPr>
          <w:rFonts w:ascii="Times New Roman" w:eastAsia="Calibri" w:hAnsi="Times New Roman" w:cs="Times New Roman"/>
          <w:sz w:val="24"/>
          <w:szCs w:val="24"/>
        </w:rPr>
        <w:t xml:space="preserve">If the responsible HHS official determines a waiver of group size </w:t>
      </w:r>
      <w:r w:rsidR="006C07E2" w:rsidRPr="00C1694A">
        <w:rPr>
          <w:rFonts w:ascii="Times New Roman" w:eastAsia="Calibri" w:hAnsi="Times New Roman" w:cs="Times New Roman"/>
          <w:sz w:val="24"/>
          <w:szCs w:val="24"/>
        </w:rPr>
        <w:t xml:space="preserve">for center-based services </w:t>
      </w:r>
      <w:r w:rsidRPr="00C1694A">
        <w:rPr>
          <w:rFonts w:ascii="Times New Roman" w:eastAsia="Calibri" w:hAnsi="Times New Roman" w:cs="Times New Roman"/>
          <w:sz w:val="24"/>
          <w:szCs w:val="24"/>
        </w:rPr>
        <w:t xml:space="preserve">would better meet the needs of children and families in a community, the group size may not exceed the limits below: </w:t>
      </w:r>
    </w:p>
    <w:p w:rsidR="00B7239C" w:rsidRPr="00C1694A" w:rsidRDefault="00B7239C"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(i) </w:t>
      </w:r>
      <w:r w:rsidRPr="00C1694A">
        <w:rPr>
          <w:rFonts w:ascii="Times New Roman" w:hAnsi="Times New Roman" w:cs="Times New Roman"/>
          <w:sz w:val="24"/>
          <w:szCs w:val="24"/>
        </w:rPr>
        <w:t xml:space="preserve">A </w:t>
      </w:r>
      <w:r w:rsidR="001B14AF" w:rsidRPr="00C1694A">
        <w:rPr>
          <w:rFonts w:ascii="Times New Roman" w:hAnsi="Times New Roman" w:cs="Times New Roman"/>
          <w:sz w:val="24"/>
          <w:szCs w:val="24"/>
        </w:rPr>
        <w:t xml:space="preserve">group </w:t>
      </w:r>
      <w:r w:rsidRPr="00C1694A">
        <w:rPr>
          <w:rFonts w:ascii="Times New Roman" w:hAnsi="Times New Roman" w:cs="Times New Roman"/>
          <w:sz w:val="24"/>
          <w:szCs w:val="24"/>
        </w:rPr>
        <w:t>that serves children 24 to 36 months of age must have no more than ten children; and,</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(ii) A </w:t>
      </w:r>
      <w:r w:rsidR="001B14AF" w:rsidRPr="00C1694A">
        <w:rPr>
          <w:rFonts w:ascii="Times New Roman" w:hAnsi="Times New Roman" w:cs="Times New Roman"/>
          <w:sz w:val="24"/>
          <w:szCs w:val="24"/>
        </w:rPr>
        <w:t xml:space="preserve">group </w:t>
      </w:r>
      <w:r w:rsidRPr="00C1694A">
        <w:rPr>
          <w:rFonts w:ascii="Times New Roman" w:hAnsi="Times New Roman" w:cs="Times New Roman"/>
          <w:sz w:val="24"/>
          <w:szCs w:val="24"/>
        </w:rPr>
        <w:t>that serves predomina</w:t>
      </w:r>
      <w:r w:rsidR="00280574" w:rsidRPr="00C1694A">
        <w:rPr>
          <w:rFonts w:ascii="Times New Roman" w:hAnsi="Times New Roman" w:cs="Times New Roman"/>
          <w:sz w:val="24"/>
          <w:szCs w:val="24"/>
        </w:rPr>
        <w:t>n</w:t>
      </w:r>
      <w:r w:rsidRPr="00C1694A">
        <w:rPr>
          <w:rFonts w:ascii="Times New Roman" w:hAnsi="Times New Roman" w:cs="Times New Roman"/>
          <w:sz w:val="24"/>
          <w:szCs w:val="24"/>
        </w:rPr>
        <w:t xml:space="preserve">tly </w:t>
      </w:r>
      <w:r w:rsidR="00344656" w:rsidRPr="00C1694A">
        <w:rPr>
          <w:rFonts w:ascii="Times New Roman" w:hAnsi="Times New Roman" w:cs="Times New Roman"/>
          <w:sz w:val="24"/>
          <w:szCs w:val="24"/>
        </w:rPr>
        <w:t>three</w:t>
      </w:r>
      <w:r w:rsidRPr="00C1694A">
        <w:rPr>
          <w:rFonts w:ascii="Times New Roman" w:hAnsi="Times New Roman" w:cs="Times New Roman"/>
          <w:sz w:val="24"/>
          <w:szCs w:val="24"/>
        </w:rPr>
        <w:t xml:space="preserve">-year-old children must have no more than twenty children; and, </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(iii) A </w:t>
      </w:r>
      <w:r w:rsidR="001B14AF" w:rsidRPr="00C1694A">
        <w:rPr>
          <w:rFonts w:ascii="Times New Roman" w:hAnsi="Times New Roman" w:cs="Times New Roman"/>
          <w:sz w:val="24"/>
          <w:szCs w:val="24"/>
        </w:rPr>
        <w:t xml:space="preserve">group </w:t>
      </w:r>
      <w:r w:rsidRPr="00C1694A">
        <w:rPr>
          <w:rFonts w:ascii="Times New Roman" w:hAnsi="Times New Roman" w:cs="Times New Roman"/>
          <w:sz w:val="24"/>
          <w:szCs w:val="24"/>
        </w:rPr>
        <w:t>that serves predomina</w:t>
      </w:r>
      <w:r w:rsidR="00280574" w:rsidRPr="00C1694A">
        <w:rPr>
          <w:rFonts w:ascii="Times New Roman" w:hAnsi="Times New Roman" w:cs="Times New Roman"/>
          <w:sz w:val="24"/>
          <w:szCs w:val="24"/>
        </w:rPr>
        <w:t>n</w:t>
      </w:r>
      <w:r w:rsidRPr="00C1694A">
        <w:rPr>
          <w:rFonts w:ascii="Times New Roman" w:hAnsi="Times New Roman" w:cs="Times New Roman"/>
          <w:sz w:val="24"/>
          <w:szCs w:val="24"/>
        </w:rPr>
        <w:t xml:space="preserve">tly </w:t>
      </w:r>
      <w:r w:rsidR="00344656" w:rsidRPr="00C1694A">
        <w:rPr>
          <w:rFonts w:ascii="Times New Roman" w:hAnsi="Times New Roman" w:cs="Times New Roman"/>
          <w:sz w:val="24"/>
          <w:szCs w:val="24"/>
        </w:rPr>
        <w:t>four</w:t>
      </w:r>
      <w:r w:rsidRPr="00C1694A">
        <w:rPr>
          <w:rFonts w:ascii="Times New Roman" w:hAnsi="Times New Roman" w:cs="Times New Roman"/>
          <w:sz w:val="24"/>
          <w:szCs w:val="24"/>
        </w:rPr>
        <w:t>-year-old children must have no more than twenty-four children.</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(3) If the responsible HHS official approves a waiver to allow a program to operate below the minimums described in §1302.21(c)(2)(iii) or (iv), a program must meet the requirements described in §1302.21(c)(2)(i), or in the case of a double session variation, a program must meet the requirements described in §1302.21(c)(2)(ii).</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3B7DB3"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hAnsi="Times New Roman" w:cs="Times New Roman"/>
          <w:sz w:val="24"/>
          <w:szCs w:val="24"/>
        </w:rPr>
        <w:t>(4) In order to receive a waiver</w:t>
      </w:r>
      <w:r w:rsidR="005F7FAA" w:rsidRPr="00C1694A">
        <w:rPr>
          <w:rFonts w:ascii="Times New Roman" w:hAnsi="Times New Roman" w:cs="Times New Roman"/>
          <w:sz w:val="24"/>
          <w:szCs w:val="24"/>
        </w:rPr>
        <w:t xml:space="preserve"> under this section</w:t>
      </w:r>
      <w:r w:rsidRPr="00C1694A">
        <w:rPr>
          <w:rFonts w:ascii="Times New Roman" w:hAnsi="Times New Roman" w:cs="Times New Roman"/>
          <w:sz w:val="24"/>
          <w:szCs w:val="24"/>
        </w:rPr>
        <w:t>, a program must provide supporting evidence that demonstrates t</w:t>
      </w:r>
      <w:r w:rsidRPr="00C1694A">
        <w:rPr>
          <w:rFonts w:ascii="Times New Roman" w:eastAsia="Calibri" w:hAnsi="Times New Roman" w:cs="Times New Roman"/>
          <w:sz w:val="24"/>
          <w:szCs w:val="24"/>
        </w:rPr>
        <w:t>he locally-designed variation</w:t>
      </w:r>
      <w:r w:rsidR="00940A65" w:rsidRPr="00C1694A">
        <w:rPr>
          <w:rFonts w:ascii="Times New Roman" w:eastAsia="Calibri" w:hAnsi="Times New Roman" w:cs="Times New Roman"/>
          <w:sz w:val="24"/>
          <w:szCs w:val="24"/>
        </w:rPr>
        <w:t xml:space="preserve"> effectively supports appropriate development and progress in children’s early learning outcomes.</w:t>
      </w:r>
    </w:p>
    <w:p w:rsidR="003B7DB3" w:rsidRPr="00C1694A" w:rsidRDefault="003B7DB3"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3B7DB3" w:rsidRPr="00C1694A" w:rsidRDefault="00940A65"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(5</w:t>
      </w:r>
      <w:r w:rsidR="003B7DB3" w:rsidRPr="00C1694A">
        <w:rPr>
          <w:rFonts w:ascii="Times New Roman" w:hAnsi="Times New Roman" w:cs="Times New Roman"/>
          <w:sz w:val="24"/>
          <w:szCs w:val="24"/>
        </w:rPr>
        <w:t xml:space="preserve">) </w:t>
      </w:r>
      <w:r w:rsidRPr="00C1694A">
        <w:rPr>
          <w:rFonts w:ascii="Times New Roman" w:hAnsi="Times New Roman" w:cs="Times New Roman"/>
          <w:sz w:val="24"/>
          <w:szCs w:val="24"/>
        </w:rPr>
        <w:t>In order to receive a waiver</w:t>
      </w:r>
      <w:r w:rsidR="003B7DB3" w:rsidRPr="00C1694A">
        <w:rPr>
          <w:rFonts w:ascii="Times New Roman" w:hAnsi="Times New Roman" w:cs="Times New Roman"/>
          <w:sz w:val="24"/>
          <w:szCs w:val="24"/>
        </w:rPr>
        <w:t xml:space="preserve"> of service duration,</w:t>
      </w:r>
      <w:r w:rsidR="003B7DB3"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a program must meet the requirement in paragraph (c)(4)</w:t>
      </w:r>
      <w:r w:rsidR="00D322EB">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provide supporting evidence </w:t>
      </w:r>
      <w:r w:rsidR="005F7FAA" w:rsidRPr="00C1694A">
        <w:rPr>
          <w:rFonts w:ascii="Times New Roman" w:hAnsi="Times New Roman" w:cs="Times New Roman"/>
          <w:sz w:val="24"/>
          <w:szCs w:val="24"/>
        </w:rPr>
        <w:t xml:space="preserve">that it </w:t>
      </w:r>
      <w:r w:rsidR="00C03FE8" w:rsidRPr="00C1694A">
        <w:rPr>
          <w:rFonts w:ascii="Times New Roman" w:eastAsia="Calibri" w:hAnsi="Times New Roman" w:cs="Times New Roman"/>
          <w:sz w:val="24"/>
          <w:szCs w:val="24"/>
        </w:rPr>
        <w:t xml:space="preserve">better meets the needs of </w:t>
      </w:r>
      <w:r w:rsidR="004133D8" w:rsidRPr="00C1694A">
        <w:rPr>
          <w:rFonts w:ascii="Times New Roman" w:eastAsia="Calibri" w:hAnsi="Times New Roman" w:cs="Times New Roman"/>
          <w:sz w:val="24"/>
          <w:szCs w:val="24"/>
        </w:rPr>
        <w:t>parents</w:t>
      </w:r>
      <w:r w:rsidR="00C03FE8" w:rsidRPr="00C1694A">
        <w:rPr>
          <w:rFonts w:ascii="Times New Roman" w:eastAsia="Calibri" w:hAnsi="Times New Roman" w:cs="Times New Roman"/>
          <w:sz w:val="24"/>
          <w:szCs w:val="24"/>
        </w:rPr>
        <w:t xml:space="preserve"> than the</w:t>
      </w:r>
      <w:r w:rsidR="00B7239C" w:rsidRPr="00C1694A">
        <w:rPr>
          <w:rFonts w:ascii="Times New Roman" w:eastAsia="Calibri" w:hAnsi="Times New Roman" w:cs="Times New Roman"/>
          <w:sz w:val="24"/>
          <w:szCs w:val="24"/>
        </w:rPr>
        <w:t xml:space="preserve"> applicable service duration</w:t>
      </w:r>
      <w:r w:rsidR="00C03FE8" w:rsidRPr="00C1694A">
        <w:rPr>
          <w:rFonts w:ascii="Times New Roman" w:eastAsia="Calibri" w:hAnsi="Times New Roman" w:cs="Times New Roman"/>
          <w:sz w:val="24"/>
          <w:szCs w:val="24"/>
        </w:rPr>
        <w:t xml:space="preserve"> </w:t>
      </w:r>
      <w:r w:rsidR="005C08CF" w:rsidRPr="00C1694A">
        <w:rPr>
          <w:rFonts w:ascii="Times New Roman" w:eastAsia="Calibri" w:hAnsi="Times New Roman" w:cs="Times New Roman"/>
          <w:sz w:val="24"/>
          <w:szCs w:val="24"/>
        </w:rPr>
        <w:t xml:space="preserve">minimums </w:t>
      </w:r>
      <w:r w:rsidR="00C03FE8" w:rsidRPr="00C1694A">
        <w:rPr>
          <w:rFonts w:ascii="Times New Roman" w:eastAsia="Calibri" w:hAnsi="Times New Roman" w:cs="Times New Roman"/>
          <w:sz w:val="24"/>
          <w:szCs w:val="24"/>
        </w:rPr>
        <w:t>described in §1302.21</w:t>
      </w:r>
      <w:r w:rsidR="00B7239C" w:rsidRPr="00C1694A">
        <w:rPr>
          <w:rFonts w:ascii="Times New Roman" w:eastAsia="Calibri" w:hAnsi="Times New Roman" w:cs="Times New Roman"/>
          <w:sz w:val="24"/>
          <w:szCs w:val="24"/>
        </w:rPr>
        <w:t>(c)(1)</w:t>
      </w:r>
      <w:r w:rsidR="004A52CB">
        <w:rPr>
          <w:rFonts w:ascii="Times New Roman" w:eastAsia="Calibri" w:hAnsi="Times New Roman" w:cs="Times New Roman"/>
          <w:sz w:val="24"/>
          <w:szCs w:val="24"/>
        </w:rPr>
        <w:t xml:space="preserve"> and</w:t>
      </w:r>
      <w:r w:rsidR="00B7239C" w:rsidRPr="00C1694A">
        <w:rPr>
          <w:rFonts w:ascii="Times New Roman" w:eastAsia="Calibri" w:hAnsi="Times New Roman" w:cs="Times New Roman"/>
          <w:sz w:val="24"/>
          <w:szCs w:val="24"/>
        </w:rPr>
        <w:t xml:space="preserve"> (c)(2)(iii) </w:t>
      </w:r>
      <w:r w:rsidR="005C08CF" w:rsidRPr="00C1694A">
        <w:rPr>
          <w:rFonts w:ascii="Times New Roman" w:eastAsia="Calibri" w:hAnsi="Times New Roman" w:cs="Times New Roman"/>
          <w:sz w:val="24"/>
          <w:szCs w:val="24"/>
        </w:rPr>
        <w:t>and</w:t>
      </w:r>
      <w:r w:rsidR="00B7239C" w:rsidRPr="00C1694A">
        <w:rPr>
          <w:rFonts w:ascii="Times New Roman" w:eastAsia="Calibri" w:hAnsi="Times New Roman" w:cs="Times New Roman"/>
          <w:sz w:val="24"/>
          <w:szCs w:val="24"/>
        </w:rPr>
        <w:t xml:space="preserve"> (iv)</w:t>
      </w:r>
      <w:r w:rsidR="005C08CF" w:rsidRPr="00C1694A">
        <w:rPr>
          <w:rFonts w:ascii="Times New Roman" w:eastAsia="Calibri" w:hAnsi="Times New Roman" w:cs="Times New Roman"/>
          <w:sz w:val="24"/>
          <w:szCs w:val="24"/>
        </w:rPr>
        <w:t>,</w:t>
      </w:r>
      <w:r w:rsidR="00C03FE8" w:rsidRPr="00C1694A">
        <w:rPr>
          <w:rFonts w:ascii="Times New Roman" w:eastAsia="Calibri" w:hAnsi="Times New Roman" w:cs="Times New Roman"/>
          <w:sz w:val="24"/>
          <w:szCs w:val="24"/>
        </w:rPr>
        <w:t xml:space="preserve"> </w:t>
      </w:r>
      <w:r w:rsidR="005C08CF" w:rsidRPr="00C1694A">
        <w:rPr>
          <w:rFonts w:ascii="Times New Roman" w:eastAsia="Calibri" w:hAnsi="Times New Roman" w:cs="Times New Roman"/>
          <w:sz w:val="24"/>
          <w:szCs w:val="24"/>
        </w:rPr>
        <w:t>or</w:t>
      </w:r>
      <w:r w:rsidR="00B7239C" w:rsidRPr="00C1694A">
        <w:rPr>
          <w:rFonts w:ascii="Times New Roman" w:eastAsia="Calibri" w:hAnsi="Times New Roman" w:cs="Times New Roman"/>
          <w:sz w:val="24"/>
          <w:szCs w:val="24"/>
        </w:rPr>
        <w:t xml:space="preserve"> </w:t>
      </w:r>
      <w:r w:rsidR="005C08CF" w:rsidRPr="00C1694A">
        <w:rPr>
          <w:rFonts w:ascii="Times New Roman" w:eastAsia="Calibri" w:hAnsi="Times New Roman" w:cs="Times New Roman"/>
          <w:sz w:val="24"/>
          <w:szCs w:val="24"/>
        </w:rPr>
        <w:t>§</w:t>
      </w:r>
      <w:r w:rsidR="00C03FE8" w:rsidRPr="00C1694A">
        <w:rPr>
          <w:rFonts w:ascii="Times New Roman" w:eastAsia="Calibri" w:hAnsi="Times New Roman" w:cs="Times New Roman"/>
          <w:sz w:val="24"/>
          <w:szCs w:val="24"/>
        </w:rPr>
        <w:t>1302.2</w:t>
      </w:r>
      <w:r w:rsidR="00B7239C" w:rsidRPr="00C1694A">
        <w:rPr>
          <w:rFonts w:ascii="Times New Roman" w:eastAsia="Calibri" w:hAnsi="Times New Roman" w:cs="Times New Roman"/>
          <w:sz w:val="24"/>
          <w:szCs w:val="24"/>
        </w:rPr>
        <w:t>2(c)</w:t>
      </w:r>
      <w:r w:rsidRPr="00C1694A">
        <w:rPr>
          <w:rFonts w:ascii="Times New Roman" w:eastAsia="Calibri" w:hAnsi="Times New Roman" w:cs="Times New Roman"/>
          <w:sz w:val="24"/>
          <w:szCs w:val="24"/>
        </w:rPr>
        <w:t>,</w:t>
      </w:r>
      <w:r w:rsidR="003B7DB3" w:rsidRPr="00C1694A">
        <w:rPr>
          <w:rFonts w:ascii="Times New Roman" w:hAnsi="Times New Roman" w:cs="Times New Roman"/>
          <w:sz w:val="24"/>
          <w:szCs w:val="24"/>
        </w:rPr>
        <w:t xml:space="preserve"> and </w:t>
      </w:r>
      <w:r w:rsidR="009F51B2" w:rsidRPr="00C1694A">
        <w:rPr>
          <w:rFonts w:ascii="Times New Roman" w:hAnsi="Times New Roman" w:cs="Times New Roman"/>
          <w:sz w:val="24"/>
        </w:rPr>
        <w:t xml:space="preserve">assess </w:t>
      </w:r>
      <w:r w:rsidR="006E4B6C" w:rsidRPr="00C1694A">
        <w:rPr>
          <w:rFonts w:ascii="Times New Roman" w:hAnsi="Times New Roman" w:cs="Times New Roman"/>
          <w:sz w:val="24"/>
        </w:rPr>
        <w:t>the effectiveness of the variation</w:t>
      </w:r>
      <w:r w:rsidRPr="00C1694A">
        <w:rPr>
          <w:rFonts w:ascii="Times New Roman" w:hAnsi="Times New Roman" w:cs="Times New Roman"/>
          <w:sz w:val="24"/>
        </w:rPr>
        <w:t xml:space="preserve"> in </w:t>
      </w:r>
      <w:r w:rsidRPr="00C1694A">
        <w:rPr>
          <w:rFonts w:ascii="Times New Roman" w:eastAsia="Calibri" w:hAnsi="Times New Roman" w:cs="Times New Roman"/>
          <w:sz w:val="24"/>
          <w:szCs w:val="24"/>
        </w:rPr>
        <w:t>supporting appropriate development and progress in children’s early learning outcomes</w:t>
      </w:r>
      <w:r w:rsidR="006E4B6C" w:rsidRPr="00C1694A">
        <w:rPr>
          <w:rFonts w:ascii="Times New Roman" w:hAnsi="Times New Roman" w:cs="Times New Roman"/>
          <w:sz w:val="24"/>
        </w:rPr>
        <w:t>.</w:t>
      </w:r>
      <w:r w:rsidRPr="00C1694A">
        <w:rPr>
          <w:rFonts w:ascii="Times New Roman" w:hAnsi="Times New Roman" w:cs="Times New Roman"/>
          <w:sz w:val="24"/>
        </w:rPr>
        <w:t xml:space="preserve">  </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Transition from previously approved program options</w:t>
      </w:r>
      <w:r w:rsidRPr="00C1694A">
        <w:rPr>
          <w:rFonts w:ascii="Times New Roman" w:hAnsi="Times New Roman" w:cs="Times New Roman"/>
          <w:sz w:val="24"/>
          <w:szCs w:val="24"/>
        </w:rPr>
        <w:t xml:space="preserve">. If, </w:t>
      </w:r>
      <w:r w:rsidRPr="00C1694A">
        <w:rPr>
          <w:rFonts w:ascii="Times New Roman" w:eastAsia="Calibri" w:hAnsi="Times New Roman" w:cs="Times New Roman"/>
          <w:sz w:val="24"/>
          <w:szCs w:val="24"/>
        </w:rPr>
        <w:t xml:space="preserve">before </w:t>
      </w:r>
      <w:r w:rsidR="0032545E" w:rsidRPr="009E5900">
        <w:rPr>
          <w:rFonts w:ascii="Times New Roman" w:eastAsia="Calibri" w:hAnsi="Times New Roman" w:cs="Times New Roman"/>
          <w:sz w:val="24"/>
          <w:szCs w:val="24"/>
        </w:rPr>
        <w:t>[</w:t>
      </w:r>
      <w:r w:rsidR="0032545E" w:rsidRPr="001E00C8">
        <w:rPr>
          <w:rFonts w:ascii="Times New Roman" w:eastAsia="Times New Roman" w:hAnsi="Times New Roman" w:cs="Times New Roman"/>
          <w:bCs/>
          <w:sz w:val="24"/>
          <w:szCs w:val="24"/>
        </w:rPr>
        <w:t>insert date 60 days after date of publication in the Federal Register]</w:t>
      </w:r>
      <w:r w:rsidRPr="00C1694A">
        <w:rPr>
          <w:rFonts w:ascii="Times New Roman" w:eastAsia="Calibri" w:hAnsi="Times New Roman" w:cs="Times New Roman"/>
          <w:sz w:val="24"/>
          <w:szCs w:val="24"/>
        </w:rPr>
        <w:t>,</w:t>
      </w:r>
      <w:r w:rsidRPr="00C1694A">
        <w:rPr>
          <w:rFonts w:ascii="Times New Roman" w:hAnsi="Times New Roman" w:cs="Times New Roman"/>
          <w:sz w:val="24"/>
          <w:szCs w:val="24"/>
        </w:rPr>
        <w:t xml:space="preserve"> a program was approved to operate a program option that is no longer allowable under </w:t>
      </w:r>
      <w:r w:rsidRPr="00C1694A">
        <w:rPr>
          <w:rFonts w:ascii="Times New Roman" w:eastAsia="Calibri" w:hAnsi="Times New Roman" w:cs="Times New Roman"/>
          <w:sz w:val="24"/>
          <w:szCs w:val="24"/>
        </w:rPr>
        <w:t>§§1302.21 through 1302.23, a program may continue to operate that model until July 31, 2018</w:t>
      </w:r>
      <w:r w:rsidR="00CF780D">
        <w:rPr>
          <w:rFonts w:ascii="Times New Roman" w:eastAsia="Calibri" w:hAnsi="Times New Roman" w:cs="Times New Roman"/>
          <w:sz w:val="24"/>
          <w:szCs w:val="24"/>
        </w:rPr>
        <w:t>.</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t>Subpart C</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Education and Child Development Program Services</w:t>
      </w:r>
    </w:p>
    <w:p w:rsidR="00C03FE8" w:rsidRPr="00C1694A" w:rsidRDefault="00C03FE8" w:rsidP="00AC521C">
      <w:pPr>
        <w:spacing w:after="0" w:line="480" w:lineRule="auto"/>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§1302.30 </w:t>
      </w:r>
      <w:r w:rsidR="0032545E">
        <w:rPr>
          <w:rFonts w:ascii="Times New Roman" w:hAnsi="Times New Roman" w:cs="Times New Roman"/>
          <w:b/>
          <w:sz w:val="24"/>
          <w:szCs w:val="24"/>
        </w:rPr>
        <w:t>Purpose</w:t>
      </w:r>
      <w:r w:rsidRPr="00C1694A">
        <w:rPr>
          <w:rFonts w:ascii="Times New Roman" w:hAnsi="Times New Roman" w:cs="Times New Roman"/>
          <w:b/>
          <w:sz w:val="24"/>
          <w:szCs w:val="24"/>
        </w:rPr>
        <w:t>.</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w:t>
      </w:r>
      <w:r w:rsidR="00831F1C" w:rsidRPr="00C1694A">
        <w:rPr>
          <w:rFonts w:ascii="Times New Roman" w:hAnsi="Times New Roman" w:cs="Times New Roman"/>
          <w:sz w:val="24"/>
          <w:szCs w:val="24"/>
        </w:rPr>
        <w:t>ll</w:t>
      </w:r>
      <w:r w:rsidRPr="00C1694A">
        <w:rPr>
          <w:rFonts w:ascii="Times New Roman" w:hAnsi="Times New Roman" w:cs="Times New Roman"/>
          <w:sz w:val="24"/>
          <w:szCs w:val="24"/>
        </w:rPr>
        <w:t xml:space="preserve"> </w:t>
      </w:r>
      <w:r w:rsidR="00986B8F" w:rsidRPr="00C1694A">
        <w:rPr>
          <w:rFonts w:ascii="Times New Roman" w:hAnsi="Times New Roman" w:cs="Times New Roman"/>
          <w:sz w:val="24"/>
          <w:szCs w:val="24"/>
        </w:rPr>
        <w:t>p</w:t>
      </w:r>
      <w:r w:rsidRPr="00C1694A">
        <w:rPr>
          <w:rFonts w:ascii="Times New Roman" w:hAnsi="Times New Roman" w:cs="Times New Roman"/>
          <w:sz w:val="24"/>
          <w:szCs w:val="24"/>
        </w:rPr>
        <w:t>rogram</w:t>
      </w:r>
      <w:r w:rsidR="00831F1C" w:rsidRPr="00C1694A">
        <w:rPr>
          <w:rFonts w:ascii="Times New Roman" w:hAnsi="Times New Roman" w:cs="Times New Roman"/>
          <w:sz w:val="24"/>
          <w:szCs w:val="24"/>
        </w:rPr>
        <w:t>s</w:t>
      </w:r>
      <w:r w:rsidRPr="00C1694A">
        <w:rPr>
          <w:rFonts w:ascii="Times New Roman" w:hAnsi="Times New Roman" w:cs="Times New Roman"/>
          <w:sz w:val="24"/>
          <w:szCs w:val="24"/>
        </w:rPr>
        <w:t xml:space="preserve"> must provide high-quality early education and child development services, including for children with disabilities</w:t>
      </w:r>
      <w:r w:rsidR="00025DB9" w:rsidRPr="00C1694A">
        <w:rPr>
          <w:rFonts w:ascii="Times New Roman" w:hAnsi="Times New Roman" w:cs="Times New Roman"/>
          <w:sz w:val="24"/>
          <w:szCs w:val="24"/>
        </w:rPr>
        <w:t>,</w:t>
      </w:r>
      <w:r w:rsidRPr="00C1694A">
        <w:rPr>
          <w:rFonts w:ascii="Times New Roman" w:hAnsi="Times New Roman" w:cs="Times New Roman"/>
          <w:sz w:val="24"/>
          <w:szCs w:val="24"/>
        </w:rPr>
        <w:t xml:space="preserve"> that promote children’s cognitive, social, and emotional growth for later success in school.  A </w:t>
      </w:r>
      <w:r w:rsidR="00986B8F" w:rsidRPr="00C1694A">
        <w:rPr>
          <w:rFonts w:ascii="Times New Roman" w:hAnsi="Times New Roman" w:cs="Times New Roman"/>
          <w:sz w:val="24"/>
          <w:szCs w:val="24"/>
        </w:rPr>
        <w:t xml:space="preserve">center-based or family child care </w:t>
      </w:r>
      <w:r w:rsidRPr="00C1694A">
        <w:rPr>
          <w:rFonts w:ascii="Times New Roman" w:hAnsi="Times New Roman" w:cs="Times New Roman"/>
          <w:sz w:val="24"/>
          <w:szCs w:val="24"/>
        </w:rPr>
        <w:t>program must embed responsive and effective teacher-child interactions</w:t>
      </w:r>
      <w:r w:rsidR="00986B8F" w:rsidRPr="00C1694A">
        <w:rPr>
          <w:rFonts w:ascii="Times New Roman" w:hAnsi="Times New Roman" w:cs="Times New Roman"/>
          <w:sz w:val="24"/>
          <w:szCs w:val="24"/>
        </w:rPr>
        <w:t>. A home-based program must promote secure parent-child relationships and help parents provide high-quality early learning experiences</w:t>
      </w:r>
      <w:r w:rsidR="00831F1C" w:rsidRPr="00C1694A">
        <w:rPr>
          <w:rFonts w:ascii="Times New Roman" w:hAnsi="Times New Roman" w:cs="Times New Roman"/>
          <w:sz w:val="24"/>
          <w:szCs w:val="24"/>
        </w:rPr>
        <w:t>.  All programs must</w:t>
      </w:r>
      <w:r w:rsidR="00986B8F" w:rsidRPr="00C1694A">
        <w:rPr>
          <w:rFonts w:ascii="Times New Roman" w:hAnsi="Times New Roman" w:cs="Times New Roman"/>
          <w:sz w:val="24"/>
          <w:szCs w:val="24"/>
        </w:rPr>
        <w:t xml:space="preserve"> </w:t>
      </w:r>
      <w:r w:rsidR="00831F1C" w:rsidRPr="00C1694A">
        <w:rPr>
          <w:rFonts w:ascii="Times New Roman" w:hAnsi="Times New Roman" w:cs="Times New Roman"/>
          <w:sz w:val="24"/>
          <w:szCs w:val="24"/>
        </w:rPr>
        <w:t>implement</w:t>
      </w:r>
      <w:r w:rsidRPr="00C1694A">
        <w:rPr>
          <w:rFonts w:ascii="Times New Roman" w:hAnsi="Times New Roman" w:cs="Times New Roman"/>
          <w:sz w:val="24"/>
          <w:szCs w:val="24"/>
        </w:rPr>
        <w:t xml:space="preserve"> a research-based curriculum, and screening and assessment procedures that support individualization and growth in the areas of development described in the </w:t>
      </w:r>
      <w:r w:rsidRPr="00C1694A">
        <w:rPr>
          <w:rFonts w:ascii="Times New Roman" w:hAnsi="Times New Roman" w:cs="Times New Roman"/>
          <w:sz w:val="24"/>
          <w:szCs w:val="24"/>
          <w:u w:val="single"/>
        </w:rPr>
        <w:t>Head Start Early Learning Outcomes Framework: Ages Birth to Five</w:t>
      </w:r>
      <w:r w:rsidRPr="00C1694A">
        <w:rPr>
          <w:rFonts w:ascii="Times New Roman" w:hAnsi="Times New Roman" w:cs="Times New Roman"/>
          <w:sz w:val="24"/>
          <w:szCs w:val="24"/>
        </w:rPr>
        <w:t xml:space="preserve"> and support family engagement in children’s learning and development.  A program must deliver developmentally, culturally, and linguistically appropriate learning experiences in language, literacy, mathematics, social and emotional functioning, approaches to learning, science, physical skills, and creative arts.  To deliver such high-quality early education and child development services, a</w:t>
      </w:r>
      <w:r w:rsidR="00831F1C" w:rsidRPr="00C1694A">
        <w:rPr>
          <w:rFonts w:ascii="Times New Roman" w:hAnsi="Times New Roman" w:cs="Times New Roman"/>
          <w:sz w:val="24"/>
          <w:szCs w:val="24"/>
        </w:rPr>
        <w:t xml:space="preserve"> center-based or family child care</w:t>
      </w:r>
      <w:r w:rsidRPr="00C1694A">
        <w:rPr>
          <w:rFonts w:ascii="Times New Roman" w:hAnsi="Times New Roman" w:cs="Times New Roman"/>
          <w:sz w:val="24"/>
          <w:szCs w:val="24"/>
        </w:rPr>
        <w:t xml:space="preserve"> program must implement, at a minimum, the elements contained in §§1302.31 through 1302.34</w:t>
      </w:r>
      <w:r w:rsidR="00831F1C" w:rsidRPr="00C1694A">
        <w:rPr>
          <w:rFonts w:ascii="Times New Roman" w:hAnsi="Times New Roman" w:cs="Times New Roman"/>
          <w:sz w:val="24"/>
          <w:szCs w:val="24"/>
        </w:rPr>
        <w:t>, and a home-based program must implement, at a minimum, the elements in §§1302.33 and 1302.35</w:t>
      </w:r>
      <w:r w:rsidRPr="00C1694A">
        <w:rPr>
          <w:rFonts w:ascii="Times New Roman" w:hAnsi="Times New Roman" w:cs="Times New Roman"/>
          <w:sz w:val="24"/>
          <w:szCs w:val="24"/>
        </w:rPr>
        <w:t>.</w:t>
      </w:r>
    </w:p>
    <w:p w:rsidR="00986B8F" w:rsidRPr="00C1694A" w:rsidRDefault="00986B8F"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§1302.31 Teaching and the learning environment.</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 xml:space="preserve">(a) </w:t>
      </w:r>
      <w:r w:rsidRPr="00C1694A">
        <w:rPr>
          <w:rFonts w:ascii="Times New Roman" w:hAnsi="Times New Roman" w:cs="Times New Roman"/>
          <w:bCs/>
          <w:sz w:val="24"/>
          <w:szCs w:val="24"/>
          <w:u w:val="single"/>
        </w:rPr>
        <w:t>Teaching and the learning environment.</w:t>
      </w:r>
      <w:r w:rsidRPr="00C1694A">
        <w:rPr>
          <w:rFonts w:ascii="Times New Roman" w:hAnsi="Times New Roman" w:cs="Times New Roman"/>
          <w:bCs/>
          <w:sz w:val="24"/>
          <w:szCs w:val="24"/>
        </w:rPr>
        <w:t xml:space="preserve">  A center-based and family child care program must ensure teachers and other relevant staff provide responsive care, effective teaching, and an organized learning environment that promotes healthy development and children’s skill growth aligned with </w:t>
      </w:r>
      <w:r w:rsidRPr="00DC44D0">
        <w:rPr>
          <w:rFonts w:ascii="Times New Roman" w:hAnsi="Times New Roman" w:cs="Times New Roman"/>
          <w:bCs/>
          <w:sz w:val="24"/>
          <w:szCs w:val="24"/>
        </w:rPr>
        <w:t>the</w:t>
      </w:r>
      <w:r w:rsidRPr="00DC44D0">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Ages</w:t>
      </w:r>
      <w:r w:rsidRPr="00C1694A">
        <w:rPr>
          <w:rFonts w:ascii="Times New Roman" w:eastAsia="Times New Roman" w:hAnsi="Times New Roman" w:cs="Times New Roman"/>
          <w:sz w:val="24"/>
          <w:szCs w:val="24"/>
          <w:u w:val="single"/>
        </w:rPr>
        <w:t xml:space="preserve"> Birth</w:t>
      </w:r>
      <w:r w:rsidR="00074148" w:rsidRPr="00C1694A">
        <w:rPr>
          <w:rFonts w:ascii="Times New Roman" w:eastAsia="Times New Roman" w:hAnsi="Times New Roman" w:cs="Times New Roman"/>
          <w:sz w:val="24"/>
          <w:szCs w:val="24"/>
          <w:u w:val="single"/>
        </w:rPr>
        <w:t xml:space="preserve"> to Five</w:t>
      </w:r>
      <w:r w:rsidRPr="00C1694A">
        <w:rPr>
          <w:rFonts w:ascii="Times New Roman" w:hAnsi="Times New Roman" w:cs="Times New Roman"/>
          <w:bCs/>
          <w:sz w:val="24"/>
          <w:szCs w:val="24"/>
        </w:rPr>
        <w:t xml:space="preserve">, including for children with disabilities. A program must also support implementation of such environment with integration of regular and ongoing supervision and a system of individualized and ongoing professional development, as appropriate.  This includes, at a minimum, the practices described in </w:t>
      </w:r>
      <w:r w:rsidR="00D322EB">
        <w:rPr>
          <w:rFonts w:ascii="Times New Roman" w:hAnsi="Times New Roman" w:cs="Times New Roman"/>
          <w:bCs/>
          <w:sz w:val="24"/>
          <w:szCs w:val="24"/>
        </w:rPr>
        <w:t xml:space="preserve">paragraphs </w:t>
      </w:r>
      <w:r w:rsidRPr="00C1694A">
        <w:rPr>
          <w:rFonts w:ascii="Times New Roman" w:hAnsi="Times New Roman" w:cs="Times New Roman"/>
          <w:bCs/>
          <w:sz w:val="24"/>
          <w:szCs w:val="24"/>
        </w:rPr>
        <w:t>(b) through (e)</w:t>
      </w:r>
      <w:r w:rsidR="00D322EB">
        <w:rPr>
          <w:rFonts w:ascii="Times New Roman" w:hAnsi="Times New Roman" w:cs="Times New Roman"/>
          <w:bCs/>
          <w:sz w:val="24"/>
          <w:szCs w:val="24"/>
        </w:rPr>
        <w:t xml:space="preserve"> of this section</w:t>
      </w:r>
      <w:r w:rsidRPr="00C1694A">
        <w:rPr>
          <w:rFonts w:ascii="Times New Roman" w:hAnsi="Times New Roman" w:cs="Times New Roman"/>
          <w:bCs/>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Effective teaching practices</w:t>
      </w:r>
      <w:r w:rsidRPr="00C1694A">
        <w:rPr>
          <w:rFonts w:ascii="Times New Roman" w:hAnsi="Times New Roman" w:cs="Times New Roman"/>
          <w:sz w:val="24"/>
          <w:szCs w:val="24"/>
        </w:rPr>
        <w:t>.  (1)</w:t>
      </w:r>
      <w:r w:rsidRPr="00C1694A">
        <w:rPr>
          <w:rFonts w:ascii="Times New Roman" w:hAnsi="Times New Roman" w:cs="Times New Roman"/>
          <w:iCs/>
          <w:sz w:val="24"/>
          <w:szCs w:val="24"/>
        </w:rPr>
        <w:t xml:space="preserve"> </w:t>
      </w:r>
      <w:r w:rsidRPr="00C1694A">
        <w:rPr>
          <w:rFonts w:ascii="Times New Roman" w:hAnsi="Times New Roman" w:cs="Times New Roman"/>
          <w:sz w:val="24"/>
          <w:szCs w:val="24"/>
        </w:rPr>
        <w:t>Teaching practices must: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Emphasize nurturing and responsive practices, interactions, and environments that foster trust and emotional security; are communication and language rich; promote critical thinking and problem-solving; social, emotional, behavioral, and language development; provide supportive feedback for learning; motivate continued effort; and support all children’s engagement in learning experiences and activities;</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Focus on promoting growth in the developmental progressions described in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xml:space="preserve">: Ages </w:t>
      </w:r>
      <w:r w:rsidRPr="00C1694A">
        <w:rPr>
          <w:rFonts w:ascii="Times New Roman" w:eastAsia="Times New Roman" w:hAnsi="Times New Roman" w:cs="Times New Roman"/>
          <w:sz w:val="24"/>
          <w:szCs w:val="24"/>
          <w:u w:val="single"/>
        </w:rPr>
        <w:t>Birth</w:t>
      </w:r>
      <w:r w:rsidR="00074148" w:rsidRPr="00C1694A">
        <w:rPr>
          <w:rFonts w:ascii="Times New Roman" w:eastAsia="Times New Roman" w:hAnsi="Times New Roman" w:cs="Times New Roman"/>
          <w:sz w:val="24"/>
          <w:szCs w:val="24"/>
          <w:u w:val="single"/>
        </w:rPr>
        <w:t xml:space="preserve"> to Five</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by aligning with and using the Framework and the curricula as described in §1302.32 to direct planning of organized activities, schedules, lesson plans, and the implementation of high-quality early learning experiences that are responsive to and build upon each child’s individual pattern of development and learning;</w:t>
      </w:r>
    </w:p>
    <w:p w:rsidR="00C03FE8" w:rsidRPr="00C1694A" w:rsidRDefault="00C03FE8" w:rsidP="00AC521C">
      <w:pPr>
        <w:spacing w:after="0" w:line="480" w:lineRule="auto"/>
        <w:ind w:firstLine="720"/>
        <w:rPr>
          <w:rFonts w:ascii="Times New Roman" w:hAnsi="Times New Roman" w:cs="Times New Roman"/>
          <w:sz w:val="24"/>
          <w:szCs w:val="24"/>
        </w:rPr>
      </w:pPr>
      <w:r w:rsidRPr="00C1694A" w:rsidDel="00013226">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(iii) Integrate child assessment data in individual and group planning;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(iv) Include developmentally appropriate learning experiences in language, literacy, social and emotional development, math, science, social studies, creative arts, and physical development that are focused toward achieving progress outlined in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xml:space="preserve">: Ages </w:t>
      </w:r>
      <w:r w:rsidRPr="00C1694A">
        <w:rPr>
          <w:rFonts w:ascii="Times New Roman" w:eastAsia="Times New Roman" w:hAnsi="Times New Roman" w:cs="Times New Roman"/>
          <w:sz w:val="24"/>
          <w:szCs w:val="24"/>
          <w:u w:val="single"/>
        </w:rPr>
        <w:t>Birth</w:t>
      </w:r>
      <w:r w:rsidR="00074148" w:rsidRPr="00C1694A">
        <w:rPr>
          <w:rFonts w:ascii="Times New Roman" w:eastAsia="Times New Roman" w:hAnsi="Times New Roman" w:cs="Times New Roman"/>
          <w:sz w:val="24"/>
          <w:szCs w:val="24"/>
          <w:u w:val="single"/>
        </w:rPr>
        <w:t xml:space="preserve"> to Five</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For dual language learners, a program must recognize bilingualism and biliteracy as strengths and implement research-based teaching practices that support their development. These practices must: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For an infant or toddler dual language learner, include teaching practices that focus on the development of the home language, when there is a teacher with appropriate language competency, and experiences that expose the child to English;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For a preschool age dual language learner, include teaching practices that focus on both English language acquisition and the continued development of the home language; </w:t>
      </w:r>
      <w:r w:rsidR="0068444C" w:rsidRPr="00C1694A">
        <w:rPr>
          <w:rFonts w:ascii="Times New Roman" w:hAnsi="Times New Roman" w:cs="Times New Roman"/>
          <w:sz w:val="24"/>
          <w:szCs w:val="24"/>
        </w:rPr>
        <w:t>or</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(iii) If staff do not speak the home language of all children in the learning environment, include steps to support the development of the home language for dual language learners</w:t>
      </w:r>
      <w:r w:rsidR="00806188"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such as having </w:t>
      </w:r>
      <w:r w:rsidR="009A2F2C" w:rsidRPr="00C1694A">
        <w:rPr>
          <w:rFonts w:ascii="Times New Roman" w:hAnsi="Times New Roman" w:cs="Times New Roman"/>
          <w:sz w:val="24"/>
          <w:szCs w:val="24"/>
        </w:rPr>
        <w:t xml:space="preserve">culturally and linguistically </w:t>
      </w:r>
      <w:r w:rsidRPr="00C1694A">
        <w:rPr>
          <w:rFonts w:ascii="Times New Roman" w:hAnsi="Times New Roman" w:cs="Times New Roman"/>
          <w:sz w:val="24"/>
          <w:szCs w:val="24"/>
        </w:rPr>
        <w:t>appropriate materials available</w:t>
      </w:r>
      <w:r w:rsidR="00984C0D" w:rsidRPr="00C1694A">
        <w:rPr>
          <w:rFonts w:ascii="Times New Roman" w:hAnsi="Times New Roman" w:cs="Times New Roman"/>
          <w:sz w:val="24"/>
          <w:szCs w:val="24"/>
        </w:rPr>
        <w:t xml:space="preserve"> </w:t>
      </w:r>
      <w:r w:rsidR="00806188" w:rsidRPr="00C1694A">
        <w:rPr>
          <w:rFonts w:ascii="Times New Roman" w:hAnsi="Times New Roman" w:cs="Times New Roman"/>
          <w:sz w:val="24"/>
          <w:szCs w:val="24"/>
        </w:rPr>
        <w:t>and</w:t>
      </w:r>
      <w:r w:rsidRPr="00C1694A">
        <w:rPr>
          <w:rFonts w:ascii="Times New Roman" w:hAnsi="Times New Roman" w:cs="Times New Roman"/>
          <w:sz w:val="24"/>
          <w:szCs w:val="24"/>
        </w:rPr>
        <w:t xml:space="preserve"> other evidence-based strategies.</w:t>
      </w:r>
      <w:r w:rsidR="00984C0D" w:rsidRPr="00C1694A">
        <w:rPr>
          <w:rFonts w:ascii="Times New Roman" w:hAnsi="Times New Roman" w:cs="Times New Roman"/>
          <w:sz w:val="24"/>
          <w:szCs w:val="24"/>
        </w:rPr>
        <w:t xml:space="preserve"> Programs </w:t>
      </w:r>
      <w:r w:rsidR="00806188" w:rsidRPr="00C1694A">
        <w:rPr>
          <w:rFonts w:ascii="Times New Roman" w:hAnsi="Times New Roman" w:cs="Times New Roman"/>
          <w:sz w:val="24"/>
          <w:szCs w:val="24"/>
        </w:rPr>
        <w:t>must</w:t>
      </w:r>
      <w:r w:rsidR="008E4C5A" w:rsidRPr="00C1694A">
        <w:rPr>
          <w:rFonts w:ascii="Times New Roman" w:hAnsi="Times New Roman" w:cs="Times New Roman"/>
          <w:sz w:val="24"/>
          <w:szCs w:val="24"/>
        </w:rPr>
        <w:t xml:space="preserve"> </w:t>
      </w:r>
      <w:r w:rsidR="00583B5F" w:rsidRPr="00C1694A">
        <w:rPr>
          <w:rFonts w:ascii="Times New Roman" w:hAnsi="Times New Roman" w:cs="Times New Roman"/>
          <w:sz w:val="24"/>
          <w:szCs w:val="24"/>
        </w:rPr>
        <w:t>work to identify</w:t>
      </w:r>
      <w:r w:rsidR="00984C0D" w:rsidRPr="00C1694A">
        <w:rPr>
          <w:rFonts w:ascii="Times New Roman" w:hAnsi="Times New Roman" w:cs="Times New Roman"/>
          <w:sz w:val="24"/>
          <w:szCs w:val="24"/>
        </w:rPr>
        <w:t xml:space="preserve"> volunteers</w:t>
      </w:r>
      <w:r w:rsidR="00583B5F" w:rsidRPr="00C1694A">
        <w:rPr>
          <w:rFonts w:ascii="Times New Roman" w:hAnsi="Times New Roman" w:cs="Times New Roman"/>
          <w:sz w:val="24"/>
          <w:szCs w:val="24"/>
        </w:rPr>
        <w:t xml:space="preserve"> </w:t>
      </w:r>
      <w:r w:rsidR="00984C0D" w:rsidRPr="00C1694A">
        <w:rPr>
          <w:rFonts w:ascii="Times New Roman" w:hAnsi="Times New Roman" w:cs="Times New Roman"/>
          <w:sz w:val="24"/>
          <w:szCs w:val="24"/>
        </w:rPr>
        <w:t xml:space="preserve">who speak </w:t>
      </w:r>
      <w:r w:rsidR="00806188" w:rsidRPr="00C1694A">
        <w:rPr>
          <w:rFonts w:ascii="Times New Roman" w:hAnsi="Times New Roman" w:cs="Times New Roman"/>
          <w:sz w:val="24"/>
          <w:szCs w:val="24"/>
        </w:rPr>
        <w:t xml:space="preserve">children’s home language/s </w:t>
      </w:r>
      <w:r w:rsidR="00583B5F" w:rsidRPr="00C1694A">
        <w:rPr>
          <w:rFonts w:ascii="Times New Roman" w:hAnsi="Times New Roman" w:cs="Times New Roman"/>
          <w:sz w:val="24"/>
          <w:szCs w:val="24"/>
        </w:rPr>
        <w:t xml:space="preserve">who could be trained to work in the classroom </w:t>
      </w:r>
      <w:r w:rsidR="00806188" w:rsidRPr="00C1694A">
        <w:rPr>
          <w:rFonts w:ascii="Times New Roman" w:hAnsi="Times New Roman" w:cs="Times New Roman"/>
          <w:sz w:val="24"/>
          <w:szCs w:val="24"/>
        </w:rPr>
        <w:t xml:space="preserve">to </w:t>
      </w:r>
      <w:r w:rsidR="00583B5F" w:rsidRPr="00C1694A">
        <w:rPr>
          <w:rFonts w:ascii="Times New Roman" w:hAnsi="Times New Roman" w:cs="Times New Roman"/>
          <w:sz w:val="24"/>
          <w:szCs w:val="24"/>
        </w:rPr>
        <w:t>support children’s</w:t>
      </w:r>
      <w:r w:rsidR="00806188" w:rsidRPr="00C1694A">
        <w:rPr>
          <w:rFonts w:ascii="Times New Roman" w:hAnsi="Times New Roman" w:cs="Times New Roman"/>
          <w:sz w:val="24"/>
          <w:szCs w:val="24"/>
        </w:rPr>
        <w:t xml:space="preserve"> </w:t>
      </w:r>
      <w:r w:rsidR="00583B5F" w:rsidRPr="00C1694A">
        <w:rPr>
          <w:rFonts w:ascii="Times New Roman" w:hAnsi="Times New Roman" w:cs="Times New Roman"/>
          <w:sz w:val="24"/>
          <w:szCs w:val="24"/>
        </w:rPr>
        <w:t>continued development of</w:t>
      </w:r>
      <w:r w:rsidR="00806188" w:rsidRPr="00C1694A">
        <w:rPr>
          <w:rFonts w:ascii="Times New Roman" w:hAnsi="Times New Roman" w:cs="Times New Roman"/>
          <w:sz w:val="24"/>
          <w:szCs w:val="24"/>
        </w:rPr>
        <w:t xml:space="preserve"> </w:t>
      </w:r>
      <w:r w:rsidR="00984C0D" w:rsidRPr="00C1694A">
        <w:rPr>
          <w:rFonts w:ascii="Times New Roman" w:hAnsi="Times New Roman" w:cs="Times New Roman"/>
          <w:sz w:val="24"/>
          <w:szCs w:val="24"/>
        </w:rPr>
        <w:t>the home language</w:t>
      </w:r>
      <w:r w:rsidR="008E4C5A"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 xml:space="preserve">(c) </w:t>
      </w:r>
      <w:r w:rsidRPr="00C1694A">
        <w:rPr>
          <w:rFonts w:ascii="Times New Roman" w:hAnsi="Times New Roman" w:cs="Times New Roman"/>
          <w:bCs/>
          <w:sz w:val="24"/>
          <w:szCs w:val="24"/>
          <w:u w:val="single"/>
        </w:rPr>
        <w:t xml:space="preserve">Learning </w:t>
      </w:r>
      <w:r w:rsidR="00BB7F34" w:rsidRPr="00C1694A">
        <w:rPr>
          <w:rFonts w:ascii="Times New Roman" w:hAnsi="Times New Roman" w:cs="Times New Roman"/>
          <w:bCs/>
          <w:sz w:val="24"/>
          <w:szCs w:val="24"/>
          <w:u w:val="single"/>
        </w:rPr>
        <w:t>e</w:t>
      </w:r>
      <w:r w:rsidRPr="00C1694A">
        <w:rPr>
          <w:rFonts w:ascii="Times New Roman" w:hAnsi="Times New Roman" w:cs="Times New Roman"/>
          <w:bCs/>
          <w:sz w:val="24"/>
          <w:szCs w:val="24"/>
          <w:u w:val="single"/>
        </w:rPr>
        <w:t>nvironment.</w:t>
      </w:r>
      <w:r w:rsidRPr="00C1694A">
        <w:rPr>
          <w:rFonts w:ascii="Times New Roman" w:hAnsi="Times New Roman" w:cs="Times New Roman"/>
          <w:i/>
          <w:sz w:val="24"/>
          <w:szCs w:val="24"/>
        </w:rPr>
        <w:t xml:space="preserve"> </w:t>
      </w:r>
      <w:r w:rsidRPr="00C1694A">
        <w:rPr>
          <w:rFonts w:ascii="Times New Roman" w:hAnsi="Times New Roman" w:cs="Times New Roman"/>
          <w:bCs/>
          <w:sz w:val="24"/>
          <w:szCs w:val="24"/>
        </w:rPr>
        <w:t xml:space="preserve"> A program must ensure teachers</w:t>
      </w:r>
      <w:r w:rsidRPr="00C1694A">
        <w:rPr>
          <w:rStyle w:val="CommentReference"/>
          <w:rFonts w:ascii="Times New Roman" w:hAnsi="Times New Roman" w:cs="Times New Roman"/>
          <w:sz w:val="24"/>
          <w:szCs w:val="24"/>
        </w:rPr>
        <w:t xml:space="preserve"> </w:t>
      </w:r>
      <w:r w:rsidRPr="00C1694A">
        <w:rPr>
          <w:rFonts w:ascii="Times New Roman" w:hAnsi="Times New Roman" w:cs="Times New Roman"/>
          <w:bCs/>
          <w:sz w:val="24"/>
          <w:szCs w:val="24"/>
        </w:rPr>
        <w:t>implement well-organized learning environments with developmentally appropriate schedules, lesson plans, and indoor and outdoor learning experiences that provide adequate opportunities for choice, play, exploration, and experimentation among a variety of learning, sensory, and motor experiences and:</w:t>
      </w:r>
    </w:p>
    <w:p w:rsidR="00C03FE8" w:rsidRPr="00C1694A" w:rsidRDefault="00C03FE8" w:rsidP="00AC521C">
      <w:pPr>
        <w:pStyle w:val="ListParagraph"/>
        <w:spacing w:after="0" w:line="480" w:lineRule="auto"/>
        <w:ind w:left="0" w:firstLine="720"/>
        <w:rPr>
          <w:rFonts w:ascii="Times New Roman" w:hAnsi="Times New Roman" w:cs="Times New Roman"/>
          <w:bCs/>
          <w:sz w:val="24"/>
          <w:szCs w:val="24"/>
        </w:rPr>
      </w:pPr>
    </w:p>
    <w:p w:rsidR="00C03FE8" w:rsidRPr="00C1694A" w:rsidRDefault="00C03FE8" w:rsidP="00AC521C">
      <w:pPr>
        <w:pStyle w:val="ListParagraph"/>
        <w:spacing w:after="0" w:line="480" w:lineRule="auto"/>
        <w:ind w:left="0" w:firstLine="720"/>
        <w:rPr>
          <w:rFonts w:ascii="Times New Roman" w:hAnsi="Times New Roman" w:cs="Times New Roman"/>
          <w:sz w:val="24"/>
          <w:szCs w:val="24"/>
        </w:rPr>
      </w:pPr>
      <w:r w:rsidRPr="00C1694A">
        <w:rPr>
          <w:rFonts w:ascii="Times New Roman" w:hAnsi="Times New Roman" w:cs="Times New Roman"/>
          <w:bCs/>
          <w:sz w:val="24"/>
          <w:szCs w:val="24"/>
        </w:rPr>
        <w:t>(1) F</w:t>
      </w:r>
      <w:r w:rsidRPr="00C1694A">
        <w:rPr>
          <w:rFonts w:ascii="Times New Roman" w:hAnsi="Times New Roman" w:cs="Times New Roman"/>
          <w:sz w:val="24"/>
          <w:szCs w:val="24"/>
        </w:rPr>
        <w:t>or infants and toddlers, promote relational learning and include individualized and small group activities that integrate appropriate daily routines into a flexible schedule of learning experiences; and,</w:t>
      </w:r>
    </w:p>
    <w:p w:rsidR="00C03FE8" w:rsidRPr="00C1694A" w:rsidRDefault="00C03FE8" w:rsidP="00AC521C">
      <w:pPr>
        <w:pStyle w:val="ListParagraph"/>
        <w:spacing w:after="0" w:line="480" w:lineRule="auto"/>
        <w:ind w:left="0" w:firstLine="720"/>
        <w:rPr>
          <w:rFonts w:ascii="Times New Roman" w:hAnsi="Times New Roman" w:cs="Times New Roman"/>
          <w:bCs/>
          <w:sz w:val="24"/>
          <w:szCs w:val="24"/>
        </w:rPr>
      </w:pPr>
    </w:p>
    <w:p w:rsidR="00C03FE8" w:rsidRPr="00C1694A" w:rsidRDefault="00C03FE8" w:rsidP="00AC521C">
      <w:pPr>
        <w:pStyle w:val="ListParagraph"/>
        <w:spacing w:after="0" w:line="480" w:lineRule="auto"/>
        <w:ind w:left="0" w:firstLine="720"/>
        <w:rPr>
          <w:rFonts w:ascii="Times New Roman" w:hAnsi="Times New Roman" w:cs="Times New Roman"/>
          <w:bCs/>
          <w:sz w:val="24"/>
          <w:szCs w:val="24"/>
        </w:rPr>
      </w:pPr>
      <w:r w:rsidRPr="00C1694A">
        <w:rPr>
          <w:rFonts w:ascii="Times New Roman" w:hAnsi="Times New Roman" w:cs="Times New Roman"/>
          <w:bCs/>
          <w:sz w:val="24"/>
          <w:szCs w:val="24"/>
        </w:rPr>
        <w:t>(2) For preschool age children, include teacher-directed and child-initiated activities, active and quiet learning activities, and opportunities for individual, small group, and large group learning activities.</w:t>
      </w:r>
    </w:p>
    <w:p w:rsidR="00C03FE8" w:rsidRPr="00C1694A" w:rsidRDefault="00C03FE8" w:rsidP="00AC521C">
      <w:pPr>
        <w:pStyle w:val="ListParagraph"/>
        <w:spacing w:after="0" w:line="480" w:lineRule="auto"/>
        <w:ind w:left="0" w:firstLine="720"/>
        <w:rPr>
          <w:rFonts w:ascii="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bCs/>
          <w:sz w:val="24"/>
          <w:szCs w:val="24"/>
        </w:rPr>
        <w:t xml:space="preserve">(d) </w:t>
      </w:r>
      <w:r w:rsidRPr="00C1694A">
        <w:rPr>
          <w:rFonts w:ascii="Times New Roman" w:hAnsi="Times New Roman" w:cs="Times New Roman"/>
          <w:bCs/>
          <w:sz w:val="24"/>
          <w:szCs w:val="24"/>
          <w:u w:val="single"/>
        </w:rPr>
        <w:t>Materials and space for learning.</w:t>
      </w:r>
      <w:r w:rsidRPr="00C1694A">
        <w:rPr>
          <w:rFonts w:ascii="Times New Roman" w:hAnsi="Times New Roman" w:cs="Times New Roman"/>
          <w:bCs/>
          <w:sz w:val="24"/>
          <w:szCs w:val="24"/>
        </w:rPr>
        <w:t xml:space="preserve">  To support implementation of the curriculum and the requirements described in paragraphs (a), (b), (c), and (e) </w:t>
      </w:r>
      <w:r w:rsidR="004A52CB">
        <w:rPr>
          <w:rFonts w:ascii="Times New Roman" w:hAnsi="Times New Roman" w:cs="Times New Roman"/>
          <w:bCs/>
          <w:sz w:val="24"/>
          <w:szCs w:val="24"/>
        </w:rPr>
        <w:t xml:space="preserve">of this section </w:t>
      </w:r>
      <w:r w:rsidRPr="00C1694A">
        <w:rPr>
          <w:rFonts w:ascii="Times New Roman" w:hAnsi="Times New Roman" w:cs="Times New Roman"/>
          <w:bCs/>
          <w:sz w:val="24"/>
          <w:szCs w:val="24"/>
        </w:rPr>
        <w:t xml:space="preserve">a program must provide age-appropriate equipment, materials, supplies and physical space for indoor and outdoor learning environments, including functional space. The equipment, materials and supplies must include any necessary accommodations and the space must be accessible to children with disabilities.  Programs must change materials intentionally and periodically to support children’s interests, development, and learning.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w:t>
      </w:r>
      <w:r w:rsidRPr="00C1694A">
        <w:rPr>
          <w:rFonts w:ascii="Times New Roman" w:hAnsi="Times New Roman" w:cs="Times New Roman"/>
          <w:sz w:val="24"/>
          <w:szCs w:val="24"/>
          <w:u w:val="single"/>
        </w:rPr>
        <w:t>Promoting learning through approaches to rest, meals, routines, and physical activity.</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(1) A program must implement an intentional, age appropriate approach to accommodate children’s need to nap or rest, and that, for preschool age children in a program</w:t>
      </w:r>
      <w:r w:rsidR="009A2F2C" w:rsidRPr="00C1694A">
        <w:rPr>
          <w:rFonts w:ascii="Times New Roman" w:hAnsi="Times New Roman" w:cs="Times New Roman"/>
          <w:sz w:val="24"/>
          <w:szCs w:val="24"/>
        </w:rPr>
        <w:t xml:space="preserve"> that operates </w:t>
      </w:r>
      <w:r w:rsidR="003B687F" w:rsidRPr="00C1694A">
        <w:rPr>
          <w:rFonts w:ascii="Times New Roman" w:hAnsi="Times New Roman" w:cs="Times New Roman"/>
          <w:sz w:val="24"/>
          <w:szCs w:val="24"/>
        </w:rPr>
        <w:t xml:space="preserve">for </w:t>
      </w:r>
      <w:r w:rsidR="009A2F2C" w:rsidRPr="00C1694A">
        <w:rPr>
          <w:rFonts w:ascii="Times New Roman" w:hAnsi="Times New Roman" w:cs="Times New Roman"/>
          <w:sz w:val="24"/>
          <w:szCs w:val="24"/>
        </w:rPr>
        <w:t>6 hours or longer per day</w:t>
      </w:r>
      <w:r w:rsidRPr="00C1694A">
        <w:rPr>
          <w:rFonts w:ascii="Times New Roman" w:hAnsi="Times New Roman" w:cs="Times New Roman"/>
          <w:sz w:val="24"/>
          <w:szCs w:val="24"/>
        </w:rPr>
        <w:t xml:space="preserve"> provides a regular time every day at which preschool age children are encouraged but not forced to rest or nap.  A program must provide alternative quiet learning activities for children who do not need or want to rest or nap.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A program must implement snack and meal times in ways that support development and learning. </w:t>
      </w:r>
      <w:r w:rsidR="007C0D42" w:rsidRPr="00C1694A">
        <w:rPr>
          <w:rFonts w:ascii="Times New Roman" w:hAnsi="Times New Roman" w:cs="Times New Roman"/>
          <w:sz w:val="24"/>
          <w:szCs w:val="24"/>
        </w:rPr>
        <w:t xml:space="preserve">For bottle-fed infants, this approach must include holding infants during feeding to support socialization. </w:t>
      </w:r>
      <w:r w:rsidRPr="00C1694A">
        <w:rPr>
          <w:rFonts w:ascii="Times New Roman" w:hAnsi="Times New Roman" w:cs="Times New Roman"/>
          <w:sz w:val="24"/>
          <w:szCs w:val="24"/>
        </w:rPr>
        <w:t>Snack and meal times must be structured and used as learning opportunities that support teaching staff-child interactions and foster communication and conversations that contribute to a child’s learning, development, and socialization. Programs are encouraged to meet this requirement with family style meals when developmentally appropriate. A program must also provide sufficient time for children to eat, not use food as reward or punishment, and not force children to finish their food.</w:t>
      </w:r>
    </w:p>
    <w:p w:rsidR="00C03FE8" w:rsidRPr="00C1694A" w:rsidRDefault="00C03FE8" w:rsidP="00AC521C">
      <w:pPr>
        <w:tabs>
          <w:tab w:val="left" w:pos="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A program must approach routines, such as hand washing and diapering, and transitions between activities, as opportunities for strengthening development, learning, and skill growth.</w:t>
      </w:r>
    </w:p>
    <w:p w:rsidR="00C03FE8" w:rsidRPr="00C1694A" w:rsidRDefault="00C03FE8" w:rsidP="00AC521C">
      <w:pPr>
        <w:tabs>
          <w:tab w:val="left" w:pos="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0"/>
        </w:tabs>
        <w:spacing w:after="0" w:line="480" w:lineRule="auto"/>
        <w:ind w:firstLine="720"/>
        <w:rPr>
          <w:rFonts w:ascii="Times New Roman" w:eastAsia="Times New Roman" w:hAnsi="Times New Roman" w:cs="Times New Roman"/>
          <w:bCs/>
          <w:sz w:val="24"/>
          <w:szCs w:val="24"/>
        </w:rPr>
      </w:pPr>
      <w:r w:rsidRPr="00C1694A">
        <w:rPr>
          <w:rFonts w:ascii="Times New Roman" w:hAnsi="Times New Roman" w:cs="Times New Roman"/>
          <w:sz w:val="24"/>
          <w:szCs w:val="24"/>
        </w:rPr>
        <w:t>(4) A program must recognize physical activity as important to learning and integrate intentional movement and physical activity into curricular activities and daily routines in ways that support health and learning. A program must not use physical activity as reward or punishment.</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§1302.32 Curricula.</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 xml:space="preserve">(a) </w:t>
      </w:r>
      <w:r w:rsidRPr="00C1694A">
        <w:rPr>
          <w:rFonts w:ascii="Times New Roman" w:hAnsi="Times New Roman" w:cs="Times New Roman"/>
          <w:sz w:val="24"/>
          <w:szCs w:val="24"/>
          <w:u w:val="single"/>
        </w:rPr>
        <w:t>Curricula.</w:t>
      </w:r>
      <w:r w:rsidRPr="00C1694A">
        <w:rPr>
          <w:rFonts w:ascii="Times New Roman" w:hAnsi="Times New Roman" w:cs="Times New Roman"/>
          <w:sz w:val="24"/>
          <w:szCs w:val="24"/>
        </w:rPr>
        <w:t xml:space="preserve"> (1) Center-based and family child care programs must implement developmentally appropriate research-based early childhood curricula</w:t>
      </w:r>
      <w:r w:rsidRPr="00C1694A">
        <w:rPr>
          <w:rStyle w:val="CommentReference"/>
          <w:rFonts w:ascii="Times New Roman" w:hAnsi="Times New Roman" w:cs="Times New Roman"/>
          <w:sz w:val="24"/>
          <w:szCs w:val="24"/>
        </w:rPr>
        <w:t xml:space="preserve">, </w:t>
      </w:r>
      <w:r w:rsidRPr="00C1694A">
        <w:rPr>
          <w:rFonts w:ascii="Times New Roman" w:hAnsi="Times New Roman" w:cs="Times New Roman"/>
          <w:sz w:val="24"/>
          <w:szCs w:val="24"/>
        </w:rPr>
        <w:t xml:space="preserve">including additional curricular enhancements, as appropriate that: </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Are based on scientifically valid research and have standardized training procedures and curriculum materials to support implementation;</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Are aligned with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xml:space="preserve">: Ages </w:t>
      </w:r>
      <w:r w:rsidRPr="00C1694A">
        <w:rPr>
          <w:rFonts w:ascii="Times New Roman" w:eastAsia="Times New Roman" w:hAnsi="Times New Roman" w:cs="Times New Roman"/>
          <w:sz w:val="24"/>
          <w:szCs w:val="24"/>
          <w:u w:val="single"/>
        </w:rPr>
        <w:t>Birth</w:t>
      </w:r>
      <w:r w:rsidR="00074148" w:rsidRPr="00C1694A">
        <w:rPr>
          <w:rFonts w:ascii="Times New Roman" w:eastAsia="Times New Roman" w:hAnsi="Times New Roman" w:cs="Times New Roman"/>
          <w:sz w:val="24"/>
          <w:szCs w:val="24"/>
          <w:u w:val="single"/>
        </w:rPr>
        <w:t xml:space="preserve"> to Five</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and, as appropriate, state early learning and development standards; and are sufficiently content-rich to promote measurable progress toward development and learning outlined in the Framework; and,</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(iii) Have an organized developmental scope and sequence that include plans and materials for learning experiences based on developmental progressions and how children learn.</w:t>
      </w:r>
    </w:p>
    <w:p w:rsidR="00C03FE8" w:rsidRPr="00C1694A" w:rsidRDefault="00C03FE8" w:rsidP="00AC521C">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(2) A program must support staff to effectively implement curricula and at a minimum monitor curriculum implementation and fidelity, and provide support, feedback, and supervision for continuous improvement of its implementation through the system of training and professional development. </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000C79E0" w:rsidRPr="00C1694A">
        <w:rPr>
          <w:rFonts w:ascii="Times New Roman" w:hAnsi="Times New Roman" w:cs="Times New Roman"/>
          <w:sz w:val="24"/>
          <w:szCs w:val="24"/>
          <w:u w:val="single"/>
        </w:rPr>
        <w:t>Adaptation</w:t>
      </w:r>
      <w:r w:rsidRPr="00C1694A">
        <w:rPr>
          <w:rFonts w:ascii="Times New Roman" w:hAnsi="Times New Roman" w:cs="Times New Roman"/>
          <w:sz w:val="24"/>
          <w:szCs w:val="24"/>
          <w:u w:val="single"/>
        </w:rPr>
        <w:t>.</w:t>
      </w:r>
      <w:r w:rsidRPr="00C1694A">
        <w:rPr>
          <w:rFonts w:ascii="Times New Roman" w:hAnsi="Times New Roman" w:cs="Times New Roman"/>
          <w:sz w:val="24"/>
          <w:szCs w:val="24"/>
        </w:rPr>
        <w:t xml:space="preserve"> </w:t>
      </w:r>
      <w:r w:rsidR="0004739D" w:rsidRPr="00C1694A">
        <w:rPr>
          <w:rFonts w:ascii="Times New Roman" w:hAnsi="Times New Roman" w:cs="Times New Roman"/>
          <w:sz w:val="24"/>
          <w:szCs w:val="24"/>
        </w:rPr>
        <w:t xml:space="preserve"> </w:t>
      </w:r>
      <w:r w:rsidRPr="00C1694A">
        <w:rPr>
          <w:rFonts w:ascii="Times New Roman" w:hAnsi="Times New Roman" w:cs="Times New Roman"/>
          <w:sz w:val="24"/>
          <w:szCs w:val="24"/>
        </w:rPr>
        <w:t>A program that chooses to make significant adaptations to a curriculum or a curriculum enhancement described in paragraph (a)(1)</w:t>
      </w:r>
      <w:r w:rsidR="004A52CB">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to better meet the needs of one or more specific populations must use</w:t>
      </w:r>
      <w:r w:rsidRPr="00C1694A" w:rsidDel="00CB6FCF">
        <w:rPr>
          <w:rFonts w:ascii="Times New Roman" w:hAnsi="Times New Roman" w:cs="Times New Roman"/>
          <w:sz w:val="24"/>
          <w:szCs w:val="24"/>
        </w:rPr>
        <w:t xml:space="preserve"> </w:t>
      </w:r>
      <w:r w:rsidRPr="00C1694A">
        <w:rPr>
          <w:rFonts w:ascii="Times New Roman" w:hAnsi="Times New Roman" w:cs="Times New Roman"/>
          <w:sz w:val="24"/>
          <w:szCs w:val="24"/>
        </w:rPr>
        <w:t xml:space="preserve">an </w:t>
      </w:r>
      <w:r w:rsidR="00D86132" w:rsidRPr="00C1694A">
        <w:rPr>
          <w:rFonts w:ascii="Times New Roman" w:hAnsi="Times New Roman" w:cs="Times New Roman"/>
          <w:sz w:val="24"/>
          <w:szCs w:val="24"/>
        </w:rPr>
        <w:t xml:space="preserve">external </w:t>
      </w:r>
      <w:r w:rsidRPr="00C1694A">
        <w:rPr>
          <w:rFonts w:ascii="Times New Roman" w:hAnsi="Times New Roman" w:cs="Times New Roman"/>
          <w:sz w:val="24"/>
          <w:szCs w:val="24"/>
        </w:rPr>
        <w:t xml:space="preserve">early childhood education curriculum or content area expert to develop such significant adaptations. A program must </w:t>
      </w:r>
      <w:r w:rsidR="00315408" w:rsidRPr="00C1694A">
        <w:rPr>
          <w:rFonts w:ascii="Times New Roman" w:hAnsi="Times New Roman" w:cs="Times New Roman"/>
          <w:sz w:val="24"/>
          <w:szCs w:val="24"/>
        </w:rPr>
        <w:t xml:space="preserve">assess whether </w:t>
      </w:r>
      <w:r w:rsidRPr="00C1694A">
        <w:rPr>
          <w:rFonts w:ascii="Times New Roman" w:hAnsi="Times New Roman" w:cs="Times New Roman"/>
          <w:sz w:val="24"/>
          <w:szCs w:val="24"/>
        </w:rPr>
        <w:t xml:space="preserve">the adaptation </w:t>
      </w:r>
      <w:r w:rsidR="00315408" w:rsidRPr="00C1694A">
        <w:rPr>
          <w:rFonts w:ascii="Times New Roman" w:hAnsi="Times New Roman" w:cs="Times New Roman"/>
          <w:sz w:val="24"/>
          <w:szCs w:val="24"/>
        </w:rPr>
        <w:t xml:space="preserve">adequately facilitates progress toward </w:t>
      </w:r>
      <w:r w:rsidRPr="00C1694A">
        <w:rPr>
          <w:rFonts w:ascii="Times New Roman" w:hAnsi="Times New Roman" w:cs="Times New Roman"/>
          <w:sz w:val="24"/>
          <w:szCs w:val="24"/>
        </w:rPr>
        <w:t>meeting school readiness goals</w:t>
      </w:r>
      <w:r w:rsidR="00315408" w:rsidRPr="00C1694A">
        <w:rPr>
          <w:rFonts w:ascii="Times New Roman" w:hAnsi="Times New Roman" w:cs="Times New Roman"/>
          <w:sz w:val="24"/>
          <w:szCs w:val="24"/>
        </w:rPr>
        <w:t>,</w:t>
      </w:r>
      <w:r w:rsidRPr="00C1694A">
        <w:rPr>
          <w:rFonts w:ascii="Times New Roman" w:hAnsi="Times New Roman" w:cs="Times New Roman"/>
          <w:sz w:val="24"/>
          <w:szCs w:val="24"/>
        </w:rPr>
        <w:t xml:space="preserve"> consistent with the process described in </w:t>
      </w:r>
      <w:r w:rsidR="00315408" w:rsidRPr="00C1694A">
        <w:rPr>
          <w:rFonts w:ascii="Times New Roman" w:hAnsi="Times New Roman" w:cs="Times New Roman"/>
          <w:sz w:val="24"/>
          <w:szCs w:val="24"/>
        </w:rPr>
        <w:t>§1302.102(b) and (c)</w:t>
      </w:r>
      <w:r w:rsidRPr="00C1694A">
        <w:rPr>
          <w:rFonts w:ascii="Times New Roman" w:hAnsi="Times New Roman" w:cs="Times New Roman"/>
          <w:sz w:val="24"/>
          <w:szCs w:val="24"/>
        </w:rPr>
        <w:t>.</w:t>
      </w:r>
      <w:r w:rsidR="00D57162" w:rsidRPr="00C1694A">
        <w:rPr>
          <w:rFonts w:ascii="Times New Roman" w:hAnsi="Times New Roman" w:cs="Times New Roman"/>
          <w:sz w:val="24"/>
          <w:szCs w:val="24"/>
        </w:rPr>
        <w:t xml:space="preserve">  Programs are encouraged to partner with outside evaluators in assessing such adaptations.</w:t>
      </w:r>
    </w:p>
    <w:p w:rsidR="00C03FE8" w:rsidRPr="00C1694A" w:rsidRDefault="00C03FE8" w:rsidP="00AC521C">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widowControl w:val="0"/>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§1302.33 Child screenings and assessment</w:t>
      </w:r>
      <w:r w:rsidR="00AF22B5" w:rsidRPr="00C1694A">
        <w:rPr>
          <w:rFonts w:ascii="Times New Roman" w:hAnsi="Times New Roman" w:cs="Times New Roman"/>
          <w:b/>
          <w:sz w:val="24"/>
          <w:szCs w:val="24"/>
        </w:rPr>
        <w:t>s</w:t>
      </w:r>
      <w:r w:rsidRPr="00C1694A">
        <w:rPr>
          <w:rFonts w:ascii="Times New Roman" w:hAnsi="Times New Roman" w:cs="Times New Roman"/>
          <w:b/>
          <w:sz w:val="24"/>
          <w:szCs w:val="24"/>
        </w:rPr>
        <w:t>.</w:t>
      </w:r>
    </w:p>
    <w:p w:rsidR="00C03FE8" w:rsidRPr="00C1694A" w:rsidRDefault="00C03FE8" w:rsidP="00AC521C">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bCs/>
          <w:sz w:val="24"/>
          <w:szCs w:val="24"/>
        </w:rPr>
        <w:t xml:space="preserve">(a) </w:t>
      </w:r>
      <w:r w:rsidRPr="00C1694A">
        <w:rPr>
          <w:rFonts w:ascii="Times New Roman" w:hAnsi="Times New Roman" w:cs="Times New Roman"/>
          <w:sz w:val="24"/>
          <w:szCs w:val="24"/>
          <w:u w:val="single"/>
        </w:rPr>
        <w:t>Screening.</w:t>
      </w:r>
      <w:r w:rsidRPr="00C1694A">
        <w:rPr>
          <w:rFonts w:ascii="Times New Roman" w:eastAsia="Times New Roman" w:hAnsi="Times New Roman" w:cs="Times New Roman"/>
          <w:bCs/>
          <w:sz w:val="24"/>
          <w:szCs w:val="24"/>
        </w:rPr>
        <w:t xml:space="preserve"> </w:t>
      </w:r>
      <w:r w:rsidRPr="00C1694A">
        <w:rPr>
          <w:rFonts w:ascii="Times New Roman" w:hAnsi="Times New Roman" w:cs="Times New Roman"/>
          <w:sz w:val="24"/>
          <w:szCs w:val="24"/>
        </w:rPr>
        <w:t xml:space="preserve">(1) In collaboration with each child’s parent and with parental consent, a program must complete or obtain a current developmental screening to identify concerns regarding a child’s developmental, behavioral, motor, language, social, cognitive, and emotional skills within 45 calendar days of when the child first attends the program or, for the home-based program option, receives a home visit.  A program that operates for 90 days or less must complete or obtain a current developmental screening within 30 calendar days of when the child first attends the program.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A program must use one or more research-based developmental standardized screening tools to complete the screening.  A program must use as part of the screening additional information from family members, teachers, and relevant staff familiar with the child’s typical behavior.</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If warranted through screening and additional relevant information and with direct guidance from a mental health or child development professional a program must, with the parent’s consent, promptly and appropriately address any needs identified through:</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w:t>
      </w:r>
      <w:r w:rsidR="00A234E6" w:rsidRPr="00C1694A">
        <w:rPr>
          <w:rFonts w:ascii="Times New Roman" w:hAnsi="Times New Roman" w:cs="Times New Roman"/>
          <w:sz w:val="24"/>
          <w:szCs w:val="24"/>
        </w:rPr>
        <w:t>R</w:t>
      </w:r>
      <w:r w:rsidRPr="00C1694A">
        <w:rPr>
          <w:rFonts w:ascii="Times New Roman" w:hAnsi="Times New Roman" w:cs="Times New Roman"/>
          <w:sz w:val="24"/>
          <w:szCs w:val="24"/>
        </w:rPr>
        <w:t>eferral to the local agency responsible for implementing IDEA for a formal evaluation to assess the child’s eligibility for services under IDEA</w:t>
      </w:r>
      <w:r w:rsidR="00A234E6" w:rsidRPr="00C1694A">
        <w:rPr>
          <w:rFonts w:ascii="Times New Roman" w:hAnsi="Times New Roman" w:cs="Times New Roman"/>
          <w:sz w:val="24"/>
          <w:szCs w:val="24"/>
        </w:rPr>
        <w:t xml:space="preserve"> as soon as possible, and not to exceed timelines required under IDEA</w:t>
      </w:r>
      <w:r w:rsidRPr="00C1694A">
        <w:rPr>
          <w:rFonts w:ascii="Times New Roman" w:hAnsi="Times New Roman" w:cs="Times New Roman"/>
          <w:sz w:val="24"/>
          <w:szCs w:val="24"/>
        </w:rPr>
        <w:t xml:space="preserve">; and,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Partnership with the child’s parents and the relevant local agency to support families through the formal evaluation process.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If a child is determined to be eligible for services under IDEA, the program must partner with parents and the local agency responsible for implementing IDEA, as appropriate, and deliver the services in subpart F</w:t>
      </w:r>
      <w:r w:rsidR="004A52CB">
        <w:rPr>
          <w:rFonts w:ascii="Times New Roman" w:hAnsi="Times New Roman" w:cs="Times New Roman"/>
          <w:sz w:val="24"/>
          <w:szCs w:val="24"/>
        </w:rPr>
        <w:t xml:space="preserve"> of this part</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985699" w:rsidRDefault="00985699" w:rsidP="00AC521C">
      <w:pPr>
        <w:spacing w:line="480" w:lineRule="auto"/>
      </w:pPr>
      <w:r>
        <w:rPr>
          <w:rFonts w:ascii="Times New Roman" w:hAnsi="Times New Roman" w:cs="Times New Roman"/>
          <w:sz w:val="24"/>
          <w:szCs w:val="24"/>
        </w:rPr>
        <w:tab/>
      </w:r>
      <w:r w:rsidR="008A55FA" w:rsidRPr="00C1694A">
        <w:rPr>
          <w:rFonts w:ascii="Times New Roman" w:hAnsi="Times New Roman" w:cs="Times New Roman"/>
          <w:sz w:val="24"/>
          <w:szCs w:val="24"/>
        </w:rPr>
        <w:t>(5) If, after the formal evaluation described in paragraph (a)(3)(i)</w:t>
      </w:r>
      <w:r w:rsidR="004A52CB">
        <w:rPr>
          <w:rFonts w:ascii="Times New Roman" w:hAnsi="Times New Roman" w:cs="Times New Roman"/>
          <w:sz w:val="24"/>
          <w:szCs w:val="24"/>
        </w:rPr>
        <w:t xml:space="preserve"> of this section</w:t>
      </w:r>
      <w:r w:rsidR="008A55FA" w:rsidRPr="00C1694A">
        <w:rPr>
          <w:rFonts w:ascii="Times New Roman" w:hAnsi="Times New Roman" w:cs="Times New Roman"/>
          <w:sz w:val="24"/>
          <w:szCs w:val="24"/>
        </w:rPr>
        <w:t xml:space="preserve">, the local agency responsible for implementing IDEA determines the child is not </w:t>
      </w:r>
      <w:r w:rsidRPr="00C1694A">
        <w:rPr>
          <w:rFonts w:ascii="Times New Roman" w:hAnsi="Times New Roman" w:cs="Times New Roman"/>
          <w:sz w:val="24"/>
          <w:szCs w:val="24"/>
        </w:rPr>
        <w:t>eligible for</w:t>
      </w:r>
      <w:r>
        <w:rPr>
          <w:rFonts w:ascii="Times New Roman" w:hAnsi="Times New Roman" w:cs="Times New Roman"/>
          <w:sz w:val="24"/>
          <w:szCs w:val="24"/>
        </w:rPr>
        <w:t xml:space="preserve"> early intervention or</w:t>
      </w:r>
      <w:r w:rsidRPr="00C1694A">
        <w:rPr>
          <w:rFonts w:ascii="Times New Roman" w:hAnsi="Times New Roman" w:cs="Times New Roman"/>
          <w:sz w:val="24"/>
          <w:szCs w:val="24"/>
        </w:rPr>
        <w:t xml:space="preserve"> special education and related services under IDEA,</w:t>
      </w:r>
      <w:r>
        <w:t xml:space="preserve"> </w:t>
      </w:r>
      <w:r w:rsidR="008A55FA" w:rsidRPr="00C1694A">
        <w:rPr>
          <w:rFonts w:ascii="Times New Roman" w:hAnsi="Times New Roman" w:cs="Times New Roman"/>
          <w:sz w:val="24"/>
          <w:szCs w:val="24"/>
        </w:rPr>
        <w:t>the program must:</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Seek guidance from a mental health or child development professional to determine if the formal evaluation shows the child has a significant delay in one or more areas of development that </w:t>
      </w:r>
      <w:r w:rsidR="002F0A0D" w:rsidRPr="00C1694A">
        <w:rPr>
          <w:rFonts w:ascii="Times New Roman" w:hAnsi="Times New Roman" w:cs="Times New Roman"/>
          <w:sz w:val="24"/>
          <w:szCs w:val="24"/>
        </w:rPr>
        <w:t xml:space="preserve">is </w:t>
      </w:r>
      <w:r w:rsidRPr="00C1694A">
        <w:rPr>
          <w:rFonts w:ascii="Times New Roman" w:hAnsi="Times New Roman" w:cs="Times New Roman"/>
          <w:sz w:val="24"/>
          <w:szCs w:val="24"/>
        </w:rPr>
        <w:t>likely to interfere with the child’s development and school readiness;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If the child has a significant delay, partner with parents to help </w:t>
      </w:r>
      <w:r w:rsidR="002F0A0D" w:rsidRPr="00C1694A">
        <w:rPr>
          <w:rFonts w:ascii="Times New Roman" w:hAnsi="Times New Roman" w:cs="Times New Roman"/>
          <w:sz w:val="24"/>
          <w:szCs w:val="24"/>
        </w:rPr>
        <w:t xml:space="preserve">the </w:t>
      </w:r>
      <w:r w:rsidRPr="00C1694A">
        <w:rPr>
          <w:rFonts w:ascii="Times New Roman" w:hAnsi="Times New Roman" w:cs="Times New Roman"/>
          <w:sz w:val="24"/>
          <w:szCs w:val="24"/>
        </w:rPr>
        <w:t>famil</w:t>
      </w:r>
      <w:r w:rsidR="002F0A0D" w:rsidRPr="00C1694A">
        <w:rPr>
          <w:rFonts w:ascii="Times New Roman" w:hAnsi="Times New Roman" w:cs="Times New Roman"/>
          <w:sz w:val="24"/>
          <w:szCs w:val="24"/>
        </w:rPr>
        <w:t>y</w:t>
      </w:r>
      <w:r w:rsidRPr="00C1694A">
        <w:rPr>
          <w:rFonts w:ascii="Times New Roman" w:hAnsi="Times New Roman" w:cs="Times New Roman"/>
          <w:sz w:val="24"/>
          <w:szCs w:val="24"/>
        </w:rPr>
        <w:t xml:space="preserve"> access services and supports to help address the child’s identified needs. </w:t>
      </w:r>
    </w:p>
    <w:p w:rsidR="00C03FE8" w:rsidRPr="00C1694A" w:rsidRDefault="00C03FE8" w:rsidP="00AC521C">
      <w:pPr>
        <w:spacing w:after="0" w:line="480" w:lineRule="auto"/>
        <w:ind w:firstLine="720"/>
        <w:rPr>
          <w:rFonts w:ascii="Times New Roman" w:hAnsi="Times New Roman" w:cs="Times New Roman"/>
          <w:sz w:val="24"/>
          <w:szCs w:val="24"/>
        </w:rPr>
      </w:pPr>
    </w:p>
    <w:p w:rsidR="001049EF" w:rsidRPr="00C1694A" w:rsidRDefault="008A55FA"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Such additional services and supports may be available through a child’s health insurance or it may be appropriate </w:t>
      </w:r>
      <w:r w:rsidR="00037E6C">
        <w:rPr>
          <w:rFonts w:ascii="Times New Roman" w:hAnsi="Times New Roman" w:cs="Times New Roman"/>
          <w:sz w:val="24"/>
          <w:szCs w:val="24"/>
        </w:rPr>
        <w:t xml:space="preserve">for the program </w:t>
      </w:r>
      <w:r w:rsidRPr="00C1694A">
        <w:rPr>
          <w:rFonts w:ascii="Times New Roman" w:hAnsi="Times New Roman" w:cs="Times New Roman"/>
          <w:sz w:val="24"/>
          <w:szCs w:val="24"/>
        </w:rPr>
        <w:t xml:space="preserve">to </w:t>
      </w:r>
      <w:r w:rsidR="00037E6C">
        <w:rPr>
          <w:rFonts w:ascii="Times New Roman" w:hAnsi="Times New Roman" w:cs="Times New Roman"/>
          <w:sz w:val="24"/>
          <w:szCs w:val="24"/>
        </w:rPr>
        <w:t xml:space="preserve">provide needed services and supports </w:t>
      </w:r>
      <w:r w:rsidRPr="00C1694A">
        <w:rPr>
          <w:rFonts w:ascii="Times New Roman" w:hAnsi="Times New Roman" w:cs="Times New Roman"/>
          <w:sz w:val="24"/>
          <w:szCs w:val="24"/>
        </w:rPr>
        <w:t xml:space="preserve">under </w:t>
      </w:r>
      <w:r w:rsidR="001A3EB0">
        <w:rPr>
          <w:rFonts w:ascii="Times New Roman" w:hAnsi="Times New Roman" w:cs="Times New Roman"/>
          <w:sz w:val="24"/>
          <w:szCs w:val="24"/>
        </w:rPr>
        <w:t>s</w:t>
      </w:r>
      <w:r w:rsidRPr="00C1694A">
        <w:rPr>
          <w:rFonts w:ascii="Times New Roman" w:hAnsi="Times New Roman" w:cs="Times New Roman"/>
          <w:sz w:val="24"/>
          <w:szCs w:val="24"/>
        </w:rPr>
        <w:t>ection 504 of the Rehabilitation Act if the child satisfies the definition of disability in 29 U.S.C. section 705(9)(b) of the Rehabilitation Act</w:t>
      </w:r>
      <w:r w:rsidR="00037E6C">
        <w:rPr>
          <w:rFonts w:ascii="Times New Roman" w:hAnsi="Times New Roman" w:cs="Times New Roman"/>
          <w:sz w:val="24"/>
          <w:szCs w:val="24"/>
        </w:rPr>
        <w:t xml:space="preserve">, </w:t>
      </w:r>
      <w:r w:rsidR="00037E6C" w:rsidRPr="00C1694A">
        <w:rPr>
          <w:rFonts w:ascii="Times New Roman" w:hAnsi="Times New Roman" w:cs="Times New Roman"/>
          <w:sz w:val="24"/>
          <w:szCs w:val="24"/>
        </w:rPr>
        <w:t>to ensure that the child who satisfies the definition of disability in 29 U.S.C. 705(9)(b) of the Rehabilitation Act is not excluded from the program on the basis of disability</w:t>
      </w: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00FA3925" w:rsidRPr="00C1694A">
        <w:rPr>
          <w:rFonts w:ascii="Times New Roman" w:hAnsi="Times New Roman" w:cs="Times New Roman"/>
          <w:sz w:val="24"/>
          <w:szCs w:val="24"/>
        </w:rPr>
        <w:t>A</w:t>
      </w:r>
      <w:r w:rsidRPr="00C1694A">
        <w:rPr>
          <w:rFonts w:ascii="Times New Roman" w:hAnsi="Times New Roman" w:cs="Times New Roman"/>
          <w:sz w:val="24"/>
          <w:szCs w:val="24"/>
        </w:rPr>
        <w:t xml:space="preserve"> program may use program funds for such services and supports when no other sources of funding are available.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Assessment for individualization.</w:t>
      </w:r>
      <w:r w:rsidRPr="00C1694A">
        <w:rPr>
          <w:rFonts w:ascii="Times New Roman" w:hAnsi="Times New Roman" w:cs="Times New Roman"/>
          <w:sz w:val="24"/>
          <w:szCs w:val="24"/>
        </w:rPr>
        <w:t xml:space="preserve"> (1) A program must conduct standardized and structured assessments, which may be observation-based or direct, for each child that provide ongoing information to evaluate the child’s developmental level and progress in outcomes aligned to the goals described in the </w:t>
      </w:r>
      <w:r w:rsidRPr="00C1694A">
        <w:rPr>
          <w:rFonts w:ascii="Times New Roman" w:hAnsi="Times New Roman" w:cs="Times New Roman"/>
          <w:sz w:val="24"/>
          <w:szCs w:val="24"/>
          <w:u w:val="single"/>
        </w:rPr>
        <w:t>Head Start Early Learning Child Outcomes Framework</w:t>
      </w:r>
      <w:r w:rsidR="00BF51A8" w:rsidRPr="00C1694A">
        <w:rPr>
          <w:rFonts w:ascii="Times New Roman" w:hAnsi="Times New Roman" w:cs="Times New Roman"/>
          <w:sz w:val="24"/>
          <w:szCs w:val="24"/>
          <w:u w:val="single"/>
        </w:rPr>
        <w:t>: Ages</w:t>
      </w:r>
      <w:r w:rsidRPr="00C1694A">
        <w:rPr>
          <w:rFonts w:ascii="Times New Roman" w:hAnsi="Times New Roman" w:cs="Times New Roman"/>
          <w:sz w:val="24"/>
          <w:szCs w:val="24"/>
          <w:u w:val="single"/>
        </w:rPr>
        <w:t xml:space="preserve"> Birth</w:t>
      </w:r>
      <w:r w:rsidR="00BF51A8" w:rsidRPr="00C1694A">
        <w:rPr>
          <w:rFonts w:ascii="Times New Roman" w:hAnsi="Times New Roman" w:cs="Times New Roman"/>
          <w:sz w:val="24"/>
          <w:szCs w:val="24"/>
          <w:u w:val="single"/>
        </w:rPr>
        <w:t xml:space="preserve"> to Five</w:t>
      </w:r>
      <w:r w:rsidRPr="00C1694A">
        <w:rPr>
          <w:rFonts w:ascii="Times New Roman" w:hAnsi="Times New Roman" w:cs="Times New Roman"/>
          <w:sz w:val="24"/>
          <w:szCs w:val="24"/>
        </w:rPr>
        <w:t xml:space="preserve">.  Such assessments must result in usable information for teachers, home visitors, and parents and be conducted with sufficient frequency to allow for individualization within the program year.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A program must regularly use information from paragraph (b)(1) </w:t>
      </w:r>
      <w:r w:rsidR="001C4D23">
        <w:rPr>
          <w:rFonts w:ascii="Times New Roman" w:hAnsi="Times New Roman" w:cs="Times New Roman"/>
          <w:sz w:val="24"/>
          <w:szCs w:val="24"/>
        </w:rPr>
        <w:t xml:space="preserve">of this section </w:t>
      </w:r>
      <w:r w:rsidR="002F0A0D" w:rsidRPr="00C1694A">
        <w:rPr>
          <w:rFonts w:ascii="Times New Roman" w:hAnsi="Times New Roman" w:cs="Times New Roman"/>
          <w:sz w:val="24"/>
          <w:szCs w:val="24"/>
        </w:rPr>
        <w:t xml:space="preserve">along </w:t>
      </w:r>
      <w:r w:rsidRPr="00C1694A">
        <w:rPr>
          <w:rFonts w:ascii="Times New Roman" w:hAnsi="Times New Roman" w:cs="Times New Roman"/>
          <w:sz w:val="24"/>
          <w:szCs w:val="24"/>
        </w:rPr>
        <w:t>with informal teacher observations and additional information from family and staff, as relevant, to determine a child’s strengths and needs, inform and adjust strategies to better support individualized learning and improve teaching practices in center-based and family child care settings</w:t>
      </w:r>
      <w:r w:rsidR="00EA15A1">
        <w:rPr>
          <w:rFonts w:ascii="Times New Roman" w:hAnsi="Times New Roman" w:cs="Times New Roman"/>
          <w:sz w:val="24"/>
          <w:szCs w:val="24"/>
        </w:rPr>
        <w:t>,</w:t>
      </w:r>
      <w:r w:rsidRPr="00C1694A">
        <w:rPr>
          <w:rFonts w:ascii="Times New Roman" w:hAnsi="Times New Roman" w:cs="Times New Roman"/>
          <w:sz w:val="24"/>
          <w:szCs w:val="24"/>
        </w:rPr>
        <w:t xml:space="preserve"> and improve home visit strategies in home</w:t>
      </w:r>
      <w:r w:rsidR="002F0A0D" w:rsidRPr="00C1694A">
        <w:rPr>
          <w:rFonts w:ascii="Times New Roman" w:hAnsi="Times New Roman" w:cs="Times New Roman"/>
          <w:sz w:val="24"/>
          <w:szCs w:val="24"/>
        </w:rPr>
        <w:t>-</w:t>
      </w:r>
      <w:r w:rsidRPr="00C1694A">
        <w:rPr>
          <w:rFonts w:ascii="Times New Roman" w:hAnsi="Times New Roman" w:cs="Times New Roman"/>
          <w:sz w:val="24"/>
          <w:szCs w:val="24"/>
        </w:rPr>
        <w:t xml:space="preserve">based models.  </w:t>
      </w:r>
    </w:p>
    <w:p w:rsidR="00C03FE8" w:rsidRPr="00C1694A" w:rsidRDefault="00C03FE8" w:rsidP="00AC521C">
      <w:pPr>
        <w:pStyle w:val="bodytext"/>
        <w:shd w:val="clear" w:color="auto" w:fill="FFFFFF"/>
        <w:spacing w:before="0" w:beforeAutospacing="0" w:after="0" w:afterAutospacing="0" w:line="480" w:lineRule="auto"/>
        <w:ind w:firstLine="720"/>
        <w:rPr>
          <w:rFonts w:ascii="Times New Roman" w:hAnsi="Times New Roman" w:cs="Times New Roman"/>
          <w:sz w:val="24"/>
          <w:szCs w:val="24"/>
        </w:rPr>
      </w:pPr>
    </w:p>
    <w:p w:rsidR="00C03FE8" w:rsidRPr="00C1694A" w:rsidRDefault="00C03FE8" w:rsidP="00AC521C">
      <w:pPr>
        <w:pStyle w:val="bodytext"/>
        <w:shd w:val="clear" w:color="auto" w:fill="FFFFFF"/>
        <w:spacing w:before="0" w:beforeAutospacing="0" w:after="0" w:afterAutospacing="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If warranted from the information gathered from paragraphs (b)(1) and (2)</w:t>
      </w:r>
      <w:r w:rsidR="004A52CB">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and with direct guidance from a mental health or child development professional and a parent’s consent, a program must refer the child to the local agency responsible for implementing IDEA for a formal evaluation to assess a child’s eligibility for services under IDEA.</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Characteristics of screenings and assessments.</w:t>
      </w:r>
      <w:r w:rsidRPr="00C1694A">
        <w:rPr>
          <w:rFonts w:ascii="Times New Roman" w:hAnsi="Times New Roman" w:cs="Times New Roman"/>
          <w:sz w:val="24"/>
          <w:szCs w:val="24"/>
        </w:rPr>
        <w:t xml:space="preserve"> (1) Screenings and assessments must be valid and reliable for the population and purpose for which they will be used, including by being conducted by qualified and trained personnel, and being age, developmentally, culturally and linguistically appropriate</w:t>
      </w:r>
      <w:r w:rsidR="001D7E22"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appropriate for children with disabilities, as needed.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If a program serves a child who speaks a language other than English</w:t>
      </w:r>
      <w:r w:rsidR="001D7E22" w:rsidRPr="00C1694A">
        <w:rPr>
          <w:rFonts w:ascii="Times New Roman" w:eastAsia="Times New Roman" w:hAnsi="Times New Roman" w:cs="Times New Roman"/>
          <w:sz w:val="24"/>
          <w:szCs w:val="24"/>
        </w:rPr>
        <w:t>,</w:t>
      </w:r>
      <w:r w:rsidR="008C5654" w:rsidRPr="00C1694A">
        <w:rPr>
          <w:rFonts w:ascii="Times New Roman" w:eastAsia="Times New Roman" w:hAnsi="Times New Roman" w:cs="Times New Roman"/>
          <w:sz w:val="24"/>
          <w:szCs w:val="24"/>
        </w:rPr>
        <w:t xml:space="preserve"> a program must use</w:t>
      </w:r>
      <w:r w:rsidRPr="00C1694A">
        <w:rPr>
          <w:rFonts w:ascii="Times New Roman" w:eastAsia="Times New Roman" w:hAnsi="Times New Roman" w:cs="Times New Roman"/>
          <w:sz w:val="24"/>
          <w:szCs w:val="24"/>
        </w:rPr>
        <w:t xml:space="preserve"> qualified bilingual staff</w:t>
      </w:r>
      <w:r w:rsidR="008C5654" w:rsidRPr="00C1694A">
        <w:rPr>
          <w:rFonts w:ascii="Times New Roman" w:eastAsia="Times New Roman" w:hAnsi="Times New Roman" w:cs="Times New Roman"/>
          <w:sz w:val="24"/>
          <w:szCs w:val="24"/>
        </w:rPr>
        <w:t>, contractor, or consultant to</w:t>
      </w:r>
      <w:r w:rsidRPr="00C1694A">
        <w:rPr>
          <w:rFonts w:ascii="Times New Roman" w:eastAsia="Times New Roman" w:hAnsi="Times New Roman" w:cs="Times New Roman"/>
          <w:sz w:val="24"/>
          <w:szCs w:val="24"/>
        </w:rPr>
        <w:t>:</w:t>
      </w:r>
    </w:p>
    <w:p w:rsidR="00776F4B" w:rsidRPr="00C1694A" w:rsidRDefault="008C5654" w:rsidP="00AC521C">
      <w:pPr>
        <w:tabs>
          <w:tab w:val="left" w:pos="750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sidDel="00DD3BC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 xml:space="preserve">(i) Assess language skills in English and </w:t>
      </w:r>
      <w:r w:rsidR="001D7E22" w:rsidRPr="00C1694A">
        <w:rPr>
          <w:rFonts w:ascii="Times New Roman" w:eastAsia="Times New Roman" w:hAnsi="Times New Roman" w:cs="Times New Roman"/>
          <w:sz w:val="24"/>
          <w:szCs w:val="24"/>
        </w:rPr>
        <w:t xml:space="preserve">in </w:t>
      </w:r>
      <w:r w:rsidRPr="00C1694A">
        <w:rPr>
          <w:rFonts w:ascii="Times New Roman" w:eastAsia="Times New Roman" w:hAnsi="Times New Roman" w:cs="Times New Roman"/>
          <w:sz w:val="24"/>
          <w:szCs w:val="24"/>
        </w:rPr>
        <w:t>the child’s home language, to assess both the child’s progress in the home language and in English language acquisition;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Conduct screenings and assessments for domains other than language skills in the language or languages that best capture the child’s development and skills in the specific domain;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(iii) Ensure those conducting the screening or assessment</w:t>
      </w:r>
      <w:r w:rsidR="0099038A"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know and understand the child’s language and culture and have sufficient skill level in the child’s home language to accurately administer the screening or assessment and to record and understand the child’s responses, interactions, and communications.</w:t>
      </w:r>
    </w:p>
    <w:p w:rsidR="008C5654" w:rsidRPr="00C1694A" w:rsidRDefault="008C5654" w:rsidP="00AC521C">
      <w:pPr>
        <w:spacing w:after="0" w:line="480" w:lineRule="auto"/>
        <w:ind w:firstLine="720"/>
        <w:rPr>
          <w:rFonts w:ascii="Times New Roman" w:eastAsia="Times New Roman" w:hAnsi="Times New Roman" w:cs="Times New Roman"/>
          <w:sz w:val="24"/>
          <w:szCs w:val="24"/>
        </w:rPr>
      </w:pPr>
    </w:p>
    <w:p w:rsidR="008C5654" w:rsidRPr="00C1694A" w:rsidRDefault="008C5654"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If a program serves a child who speaks a language other than English and qualified bilingual staff, contractors, or consultants are not able </w:t>
      </w:r>
      <w:r w:rsidR="00B231D8" w:rsidRPr="00C1694A">
        <w:rPr>
          <w:rFonts w:ascii="Times New Roman" w:eastAsia="Times New Roman" w:hAnsi="Times New Roman" w:cs="Times New Roman"/>
          <w:sz w:val="24"/>
          <w:szCs w:val="24"/>
        </w:rPr>
        <w:t xml:space="preserve">to </w:t>
      </w:r>
      <w:r w:rsidRPr="00C1694A">
        <w:rPr>
          <w:rFonts w:ascii="Times New Roman" w:eastAsia="Times New Roman" w:hAnsi="Times New Roman" w:cs="Times New Roman"/>
          <w:sz w:val="24"/>
          <w:szCs w:val="24"/>
        </w:rPr>
        <w:t xml:space="preserve">conduct screenings and assessments, a program must use an interpreter in conjunction with a qualified staff person to conduct screenings and assessments as described in paragraphs </w:t>
      </w:r>
      <w:r w:rsidR="004A52CB">
        <w:rPr>
          <w:rFonts w:ascii="Times New Roman" w:eastAsia="Times New Roman" w:hAnsi="Times New Roman" w:cs="Times New Roman"/>
          <w:sz w:val="24"/>
          <w:szCs w:val="24"/>
        </w:rPr>
        <w:t>(c)</w:t>
      </w:r>
      <w:r w:rsidRPr="00C1694A">
        <w:rPr>
          <w:rFonts w:ascii="Times New Roman" w:eastAsia="Times New Roman" w:hAnsi="Times New Roman" w:cs="Times New Roman"/>
          <w:sz w:val="24"/>
          <w:szCs w:val="24"/>
        </w:rPr>
        <w:t>(2)(i) through (iii)</w:t>
      </w:r>
      <w:r w:rsidR="004A52CB">
        <w:rPr>
          <w:rFonts w:ascii="Times New Roman" w:eastAsia="Times New Roman" w:hAnsi="Times New Roman" w:cs="Times New Roman"/>
          <w:sz w:val="24"/>
          <w:szCs w:val="24"/>
        </w:rPr>
        <w:t xml:space="preserve"> of this section</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w:t>
      </w:r>
      <w:r w:rsidR="008C5654" w:rsidRPr="00C1694A">
        <w:rPr>
          <w:rFonts w:ascii="Times New Roman" w:eastAsia="Times New Roman" w:hAnsi="Times New Roman" w:cs="Times New Roman"/>
          <w:sz w:val="24"/>
          <w:szCs w:val="24"/>
        </w:rPr>
        <w:t>4</w:t>
      </w:r>
      <w:r w:rsidRPr="00C1694A">
        <w:rPr>
          <w:rFonts w:ascii="Times New Roman" w:eastAsia="Times New Roman" w:hAnsi="Times New Roman" w:cs="Times New Roman"/>
          <w:sz w:val="24"/>
          <w:szCs w:val="24"/>
        </w:rPr>
        <w:t>) If a program serves a child who speaks a language other than English and can demonstrate</w:t>
      </w:r>
      <w:r w:rsidR="008C5654" w:rsidRPr="00C1694A">
        <w:rPr>
          <w:rFonts w:ascii="Times New Roman" w:eastAsia="Times New Roman" w:hAnsi="Times New Roman" w:cs="Times New Roman"/>
          <w:sz w:val="24"/>
          <w:szCs w:val="24"/>
        </w:rPr>
        <w:t xml:space="preserve"> that</w:t>
      </w:r>
      <w:r w:rsidRPr="00C1694A">
        <w:rPr>
          <w:rFonts w:ascii="Times New Roman" w:eastAsia="Times New Roman" w:hAnsi="Times New Roman" w:cs="Times New Roman"/>
          <w:sz w:val="24"/>
          <w:szCs w:val="24"/>
        </w:rPr>
        <w:t xml:space="preserve"> there is not a qualified bilingual staff person or interpreter</w:t>
      </w:r>
      <w:r w:rsidR="008C5654" w:rsidRPr="00C1694A">
        <w:rPr>
          <w:rFonts w:ascii="Times New Roman" w:eastAsia="Times New Roman" w:hAnsi="Times New Roman" w:cs="Times New Roman"/>
          <w:sz w:val="24"/>
          <w:szCs w:val="24"/>
        </w:rPr>
        <w:t xml:space="preserve">, </w:t>
      </w:r>
      <w:r w:rsidR="001D7E22" w:rsidRPr="00C1694A">
        <w:rPr>
          <w:rFonts w:ascii="Times New Roman" w:eastAsia="Times New Roman" w:hAnsi="Times New Roman" w:cs="Times New Roman"/>
          <w:sz w:val="24"/>
          <w:szCs w:val="24"/>
        </w:rPr>
        <w:t xml:space="preserve">then </w:t>
      </w:r>
      <w:r w:rsidR="00DC2253" w:rsidRPr="00C1694A">
        <w:rPr>
          <w:rFonts w:ascii="Times New Roman" w:eastAsia="Times New Roman" w:hAnsi="Times New Roman" w:cs="Times New Roman"/>
          <w:sz w:val="24"/>
          <w:szCs w:val="24"/>
        </w:rPr>
        <w:t xml:space="preserve">screenings and assessments </w:t>
      </w:r>
      <w:r w:rsidR="001D7E22" w:rsidRPr="00C1694A">
        <w:rPr>
          <w:rFonts w:ascii="Times New Roman" w:eastAsia="Times New Roman" w:hAnsi="Times New Roman" w:cs="Times New Roman"/>
          <w:sz w:val="24"/>
          <w:szCs w:val="24"/>
        </w:rPr>
        <w:t xml:space="preserve">may </w:t>
      </w:r>
      <w:r w:rsidR="00DC2253" w:rsidRPr="00C1694A">
        <w:rPr>
          <w:rFonts w:ascii="Times New Roman" w:eastAsia="Times New Roman" w:hAnsi="Times New Roman" w:cs="Times New Roman"/>
          <w:sz w:val="24"/>
          <w:szCs w:val="24"/>
        </w:rPr>
        <w:t>be conducted in English</w:t>
      </w:r>
      <w:r w:rsidR="00BD5E89" w:rsidRPr="00C1694A">
        <w:rPr>
          <w:rFonts w:ascii="Times New Roman" w:eastAsia="Times New Roman" w:hAnsi="Times New Roman" w:cs="Times New Roman"/>
          <w:sz w:val="24"/>
          <w:szCs w:val="24"/>
        </w:rPr>
        <w:t xml:space="preserve">.  In such a case, </w:t>
      </w:r>
      <w:r w:rsidR="0094175D" w:rsidRPr="00C1694A">
        <w:rPr>
          <w:rFonts w:ascii="Times New Roman" w:eastAsia="Times New Roman" w:hAnsi="Times New Roman" w:cs="Times New Roman"/>
          <w:sz w:val="24"/>
          <w:szCs w:val="24"/>
        </w:rPr>
        <w:t xml:space="preserve">a program </w:t>
      </w:r>
      <w:r w:rsidR="00DC2253" w:rsidRPr="00C1694A">
        <w:rPr>
          <w:rFonts w:ascii="Times New Roman" w:eastAsia="Times New Roman" w:hAnsi="Times New Roman" w:cs="Times New Roman"/>
          <w:sz w:val="24"/>
          <w:szCs w:val="24"/>
        </w:rPr>
        <w:t xml:space="preserve">must </w:t>
      </w:r>
      <w:r w:rsidR="0094175D" w:rsidRPr="00C1694A">
        <w:rPr>
          <w:rFonts w:ascii="Times New Roman" w:eastAsia="Times New Roman" w:hAnsi="Times New Roman" w:cs="Times New Roman"/>
          <w:sz w:val="24"/>
          <w:szCs w:val="24"/>
        </w:rPr>
        <w:t xml:space="preserve">also gather and use </w:t>
      </w:r>
      <w:r w:rsidRPr="00C1694A">
        <w:rPr>
          <w:rFonts w:ascii="Times New Roman" w:eastAsia="Times New Roman" w:hAnsi="Times New Roman" w:cs="Times New Roman"/>
          <w:sz w:val="24"/>
          <w:szCs w:val="24"/>
        </w:rPr>
        <w:t>other information</w:t>
      </w:r>
      <w:r w:rsidR="00BD5E89" w:rsidRPr="00C1694A">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including </w:t>
      </w:r>
      <w:r w:rsidR="00284BF2" w:rsidRPr="00C1694A">
        <w:rPr>
          <w:rFonts w:ascii="Times New Roman" w:eastAsia="Times New Roman" w:hAnsi="Times New Roman" w:cs="Times New Roman"/>
          <w:sz w:val="24"/>
          <w:szCs w:val="24"/>
        </w:rPr>
        <w:t xml:space="preserve">structured </w:t>
      </w:r>
      <w:r w:rsidR="0094175D" w:rsidRPr="00C1694A">
        <w:rPr>
          <w:rFonts w:ascii="Times New Roman" w:eastAsia="Times New Roman" w:hAnsi="Times New Roman" w:cs="Times New Roman"/>
          <w:sz w:val="24"/>
          <w:szCs w:val="24"/>
        </w:rPr>
        <w:t xml:space="preserve">observations </w:t>
      </w:r>
      <w:r w:rsidR="00284BF2" w:rsidRPr="00C1694A">
        <w:rPr>
          <w:rFonts w:ascii="Times New Roman" w:eastAsia="Times New Roman" w:hAnsi="Times New Roman" w:cs="Times New Roman"/>
          <w:sz w:val="24"/>
          <w:szCs w:val="24"/>
        </w:rPr>
        <w:t>over time</w:t>
      </w:r>
      <w:r w:rsidR="0094175D" w:rsidRPr="00C1694A">
        <w:rPr>
          <w:rFonts w:ascii="Times New Roman" w:eastAsia="Times New Roman" w:hAnsi="Times New Roman" w:cs="Times New Roman"/>
          <w:sz w:val="24"/>
          <w:szCs w:val="24"/>
        </w:rPr>
        <w:t xml:space="preserve"> and </w:t>
      </w:r>
      <w:r w:rsidRPr="00C1694A">
        <w:rPr>
          <w:rFonts w:ascii="Times New Roman" w:eastAsia="Times New Roman" w:hAnsi="Times New Roman" w:cs="Times New Roman"/>
          <w:sz w:val="24"/>
          <w:szCs w:val="24"/>
        </w:rPr>
        <w:t xml:space="preserve">information gathered </w:t>
      </w:r>
      <w:r w:rsidR="00BD5E89" w:rsidRPr="00C1694A">
        <w:rPr>
          <w:rFonts w:ascii="Times New Roman" w:eastAsia="Times New Roman" w:hAnsi="Times New Roman" w:cs="Times New Roman"/>
          <w:sz w:val="24"/>
          <w:szCs w:val="24"/>
        </w:rPr>
        <w:t xml:space="preserve">in a child’s home language </w:t>
      </w:r>
      <w:r w:rsidRPr="00C1694A">
        <w:rPr>
          <w:rFonts w:ascii="Times New Roman" w:eastAsia="Times New Roman" w:hAnsi="Times New Roman" w:cs="Times New Roman"/>
          <w:sz w:val="24"/>
          <w:szCs w:val="24"/>
        </w:rPr>
        <w:t>from the family</w:t>
      </w:r>
      <w:r w:rsidR="00BD5E89" w:rsidRPr="00C1694A">
        <w:rPr>
          <w:rFonts w:ascii="Times New Roman" w:eastAsia="Times New Roman" w:hAnsi="Times New Roman" w:cs="Times New Roman"/>
          <w:sz w:val="24"/>
          <w:szCs w:val="24"/>
        </w:rPr>
        <w:t>, for</w:t>
      </w:r>
      <w:r w:rsidR="0094175D" w:rsidRPr="00C1694A">
        <w:rPr>
          <w:rFonts w:ascii="Times New Roman" w:eastAsia="Times New Roman" w:hAnsi="Times New Roman" w:cs="Times New Roman"/>
          <w:sz w:val="24"/>
          <w:szCs w:val="24"/>
        </w:rPr>
        <w:t xml:space="preserve"> use</w:t>
      </w:r>
      <w:r w:rsidRPr="00C1694A">
        <w:rPr>
          <w:rFonts w:ascii="Times New Roman" w:eastAsia="Times New Roman" w:hAnsi="Times New Roman" w:cs="Times New Roman"/>
          <w:sz w:val="24"/>
          <w:szCs w:val="24"/>
        </w:rPr>
        <w:t xml:space="preserve"> </w:t>
      </w:r>
      <w:r w:rsidR="00BD5E89" w:rsidRPr="00C1694A">
        <w:rPr>
          <w:rFonts w:ascii="Times New Roman" w:eastAsia="Times New Roman" w:hAnsi="Times New Roman" w:cs="Times New Roman"/>
          <w:sz w:val="24"/>
          <w:szCs w:val="24"/>
        </w:rPr>
        <w:t xml:space="preserve">in </w:t>
      </w:r>
      <w:r w:rsidR="0094175D" w:rsidRPr="00C1694A">
        <w:rPr>
          <w:rFonts w:ascii="Times New Roman" w:eastAsia="Times New Roman" w:hAnsi="Times New Roman" w:cs="Times New Roman"/>
          <w:sz w:val="24"/>
          <w:szCs w:val="24"/>
        </w:rPr>
        <w:t>evaluat</w:t>
      </w:r>
      <w:r w:rsidR="00BD5E89" w:rsidRPr="00C1694A">
        <w:rPr>
          <w:rFonts w:ascii="Times New Roman" w:eastAsia="Times New Roman" w:hAnsi="Times New Roman" w:cs="Times New Roman"/>
          <w:sz w:val="24"/>
          <w:szCs w:val="24"/>
        </w:rPr>
        <w:t>ing</w:t>
      </w:r>
      <w:r w:rsidR="0094175D" w:rsidRPr="00C1694A">
        <w:rPr>
          <w:rFonts w:ascii="Times New Roman" w:eastAsia="Times New Roman" w:hAnsi="Times New Roman" w:cs="Times New Roman"/>
          <w:sz w:val="24"/>
          <w:szCs w:val="24"/>
        </w:rPr>
        <w:t xml:space="preserve"> the child’s development and progress</w:t>
      </w:r>
      <w:r w:rsidRPr="00C1694A">
        <w:rPr>
          <w:rFonts w:ascii="Times New Roman" w:eastAsia="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0C79E0" w:rsidP="00AC521C">
      <w:pPr>
        <w:spacing w:line="480" w:lineRule="auto"/>
        <w:rPr>
          <w:rFonts w:ascii="Times New Roman" w:hAnsi="Times New Roman" w:cs="Times New Roman"/>
        </w:rPr>
      </w:pPr>
      <w:r w:rsidRPr="00C1694A">
        <w:rPr>
          <w:rFonts w:ascii="Times New Roman" w:hAnsi="Times New Roman" w:cs="Times New Roman"/>
          <w:sz w:val="24"/>
          <w:szCs w:val="24"/>
        </w:rPr>
        <w:tab/>
      </w:r>
      <w:r w:rsidR="00C03FE8" w:rsidRPr="00C1694A">
        <w:rPr>
          <w:rFonts w:ascii="Times New Roman" w:hAnsi="Times New Roman" w:cs="Times New Roman"/>
          <w:sz w:val="24"/>
          <w:szCs w:val="24"/>
        </w:rPr>
        <w:t xml:space="preserve">(d) </w:t>
      </w:r>
      <w:r w:rsidR="00C03FE8" w:rsidRPr="00C1694A">
        <w:rPr>
          <w:rFonts w:ascii="Times New Roman" w:hAnsi="Times New Roman" w:cs="Times New Roman"/>
          <w:sz w:val="24"/>
          <w:szCs w:val="24"/>
          <w:u w:val="single"/>
        </w:rPr>
        <w:t>Prohibitions on use of screening and assessment data.</w:t>
      </w:r>
      <w:r w:rsidR="00C03FE8" w:rsidRPr="00C1694A">
        <w:rPr>
          <w:rFonts w:ascii="Times New Roman" w:hAnsi="Times New Roman" w:cs="Times New Roman"/>
          <w:sz w:val="24"/>
          <w:szCs w:val="24"/>
        </w:rPr>
        <w:t xml:space="preserve">  The use of screening and assessment items and data on any screening or assessment authorized under this subchapter by any agent of the federal government is prohibited for the purposes of ranking, comparing, or otherwise evaluating individual children for purposes other than research, training, or technical assistance</w:t>
      </w:r>
      <w:r w:rsidR="00490BD5" w:rsidRPr="00C1694A">
        <w:rPr>
          <w:rFonts w:ascii="Times New Roman" w:hAnsi="Times New Roman" w:cs="Times New Roman"/>
          <w:sz w:val="24"/>
          <w:szCs w:val="24"/>
        </w:rPr>
        <w:t>,</w:t>
      </w:r>
      <w:r w:rsidR="00C03FE8" w:rsidRPr="00C1694A">
        <w:rPr>
          <w:rFonts w:ascii="Times New Roman" w:hAnsi="Times New Roman" w:cs="Times New Roman"/>
          <w:sz w:val="24"/>
          <w:szCs w:val="24"/>
        </w:rPr>
        <w:t xml:space="preserve"> and is prohibited for the purposes of providing rewards or sanctions for individual children or </w:t>
      </w:r>
      <w:r w:rsidR="001049EF" w:rsidRPr="00C1694A">
        <w:rPr>
          <w:rFonts w:ascii="Times New Roman" w:hAnsi="Times New Roman" w:cs="Times New Roman"/>
          <w:sz w:val="24"/>
          <w:szCs w:val="24"/>
        </w:rPr>
        <w:t>staff.</w:t>
      </w:r>
      <w:r w:rsidR="00C03FE8" w:rsidRPr="00C1694A">
        <w:rPr>
          <w:rFonts w:ascii="Times New Roman" w:hAnsi="Times New Roman" w:cs="Times New Roman"/>
          <w:sz w:val="24"/>
          <w:szCs w:val="24"/>
        </w:rPr>
        <w:t xml:space="preserve">  </w:t>
      </w:r>
      <w:r w:rsidR="00C03FE8" w:rsidRPr="00C1694A">
        <w:rPr>
          <w:rFonts w:ascii="Times New Roman" w:hAnsi="Times New Roman" w:cs="Times New Roman"/>
          <w:bCs/>
          <w:sz w:val="24"/>
          <w:szCs w:val="24"/>
        </w:rPr>
        <w:t xml:space="preserve">A </w:t>
      </w:r>
      <w:r w:rsidR="00C03FE8" w:rsidRPr="00C1694A">
        <w:rPr>
          <w:rFonts w:ascii="Times New Roman" w:hAnsi="Times New Roman" w:cs="Times New Roman"/>
          <w:sz w:val="24"/>
          <w:szCs w:val="24"/>
        </w:rPr>
        <w:t>program must not use</w:t>
      </w:r>
      <w:r w:rsidR="00C03FE8" w:rsidRPr="00C1694A">
        <w:rPr>
          <w:rFonts w:ascii="Times New Roman" w:hAnsi="Times New Roman" w:cs="Times New Roman"/>
          <w:bCs/>
          <w:sz w:val="24"/>
          <w:szCs w:val="24"/>
        </w:rPr>
        <w:t xml:space="preserve"> screening or assessments to exclude children from enrollment or participation</w:t>
      </w:r>
      <w:r w:rsidR="00C03FE8"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§1302.34 Parent and family engagement in education and child development services.</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bCs/>
          <w:sz w:val="24"/>
          <w:szCs w:val="24"/>
        </w:rPr>
        <w:t>(a)</w:t>
      </w:r>
      <w:r w:rsidRPr="00C1694A">
        <w:rPr>
          <w:rFonts w:ascii="Times New Roman" w:hAnsi="Times New Roman" w:cs="Times New Roman"/>
          <w:i/>
          <w:sz w:val="24"/>
          <w:szCs w:val="24"/>
        </w:rPr>
        <w:t xml:space="preserve"> </w:t>
      </w:r>
      <w:r w:rsidR="0032545E">
        <w:rPr>
          <w:rFonts w:ascii="Times New Roman" w:hAnsi="Times New Roman" w:cs="Times New Roman"/>
          <w:sz w:val="24"/>
          <w:szCs w:val="24"/>
          <w:u w:val="single"/>
        </w:rPr>
        <w:t>Purpose</w:t>
      </w:r>
      <w:r w:rsidRPr="00C1694A">
        <w:rPr>
          <w:rFonts w:ascii="Times New Roman" w:hAnsi="Times New Roman" w:cs="Times New Roman"/>
          <w:sz w:val="24"/>
          <w:szCs w:val="24"/>
          <w:u w:val="single"/>
        </w:rPr>
        <w:t>.</w:t>
      </w:r>
      <w:r w:rsidRPr="00C1694A">
        <w:rPr>
          <w:rFonts w:ascii="Times New Roman" w:hAnsi="Times New Roman" w:cs="Times New Roman"/>
          <w:sz w:val="24"/>
          <w:szCs w:val="24"/>
        </w:rPr>
        <w:t xml:space="preserve">  Center-based and family child care programs must structure education and child development services to recognize parents’ roles as children’s lifelong educators, and to encourage parents to engage in their child’s education.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Engaging parents and family members.</w:t>
      </w:r>
      <w:r w:rsidRPr="00C1694A">
        <w:rPr>
          <w:rFonts w:ascii="Times New Roman" w:hAnsi="Times New Roman" w:cs="Times New Roman"/>
          <w:sz w:val="24"/>
          <w:szCs w:val="24"/>
        </w:rPr>
        <w:t xml:space="preserve">  A program must offer opportunities for parents and family members to be involved in the program’s education services and implement policies to ensure:</w:t>
      </w:r>
    </w:p>
    <w:p w:rsidR="00C03FE8" w:rsidRPr="00C1694A" w:rsidRDefault="00C03FE8" w:rsidP="00AC521C">
      <w:pPr>
        <w:spacing w:after="0" w:line="480" w:lineRule="auto"/>
        <w:ind w:firstLine="720"/>
        <w:rPr>
          <w:rFonts w:ascii="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bCs/>
          <w:sz w:val="24"/>
          <w:szCs w:val="24"/>
        </w:rPr>
        <w:t xml:space="preserve">(1) </w:t>
      </w:r>
      <w:r w:rsidRPr="00C1694A">
        <w:rPr>
          <w:rFonts w:ascii="Times New Roman" w:hAnsi="Times New Roman" w:cs="Times New Roman"/>
          <w:sz w:val="24"/>
          <w:szCs w:val="24"/>
        </w:rPr>
        <w:t>The program’s settings are open to parents during all program hours;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Teachers regularly communicate with parents to ensure they are well-informed about their child’s routines, activities, and behavior;</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Teachers hold parent conferences, as needed, but no less than two times per program year, to enhance the knowledge and understanding of both staff and parents of the child’s education and developmental progress and activities in the program;</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hAnsi="Times New Roman" w:cs="Times New Roman"/>
          <w:sz w:val="24"/>
          <w:szCs w:val="24"/>
        </w:rPr>
        <w:t>(4)</w:t>
      </w:r>
      <w:r w:rsidRPr="00C1694A">
        <w:rPr>
          <w:rFonts w:ascii="Times New Roman" w:eastAsia="Times New Roman" w:hAnsi="Times New Roman" w:cs="Times New Roman"/>
          <w:bCs/>
          <w:sz w:val="24"/>
          <w:szCs w:val="24"/>
        </w:rPr>
        <w:t xml:space="preserve"> P</w:t>
      </w:r>
      <w:r w:rsidRPr="00C1694A">
        <w:rPr>
          <w:rFonts w:ascii="Times New Roman" w:hAnsi="Times New Roman" w:cs="Times New Roman"/>
          <w:sz w:val="24"/>
          <w:szCs w:val="24"/>
        </w:rPr>
        <w:t>arents have the opportunity to learn about and to provide feedback on selected curricula and instructional materials used in the program;</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bCs/>
          <w:sz w:val="24"/>
          <w:szCs w:val="24"/>
        </w:rPr>
        <w:t xml:space="preserve">(5) Parents and family members have opportunities to volunteer in the class and during group activities;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(6) Teachers inform parents, about the purposes of and the results from screenings and assessments and discuss their child’s progress; </w:t>
      </w:r>
    </w:p>
    <w:p w:rsidR="00C03FE8" w:rsidRPr="00C1694A" w:rsidRDefault="00C03FE8" w:rsidP="00AC521C">
      <w:pPr>
        <w:tabs>
          <w:tab w:val="left" w:pos="0"/>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0"/>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(7) Teachers, except those described in paragraph (b)(8)</w:t>
      </w:r>
      <w:r w:rsidR="004A52CB">
        <w:rPr>
          <w:rFonts w:ascii="Times New Roman" w:hAnsi="Times New Roman" w:cs="Times New Roman"/>
          <w:sz w:val="24"/>
          <w:szCs w:val="24"/>
        </w:rPr>
        <w:t xml:space="preserve"> of this section</w:t>
      </w:r>
      <w:r w:rsidRPr="00C1694A">
        <w:rPr>
          <w:rFonts w:ascii="Times New Roman" w:hAnsi="Times New Roman" w:cs="Times New Roman"/>
          <w:sz w:val="24"/>
          <w:szCs w:val="24"/>
        </w:rPr>
        <w:t>, conduct at least two home visits per program year for each family, including one before the program year begins, if feasible, to engage the parents in the child’s learning and development, except that such visits may take place at a program site or another safe location that affords privacy at the parent’s request, or if a visit to the home presents significant safety hazards for staff; and,</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eastAsia="Calibri" w:hAnsi="Times New Roman" w:cs="Times New Roman"/>
          <w:sz w:val="24"/>
          <w:szCs w:val="24"/>
        </w:rPr>
      </w:pPr>
      <w:r w:rsidRPr="00C1694A">
        <w:rPr>
          <w:rFonts w:ascii="Times New Roman" w:hAnsi="Times New Roman" w:cs="Times New Roman"/>
          <w:sz w:val="24"/>
          <w:szCs w:val="24"/>
        </w:rPr>
        <w:t xml:space="preserve">(8) Teachers that serve migrant or seasonal families make every effort to conduct home visits to engage the family in the child’s learning and development.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§1302.35 Education in home-based programs.</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 xml:space="preserve">(a) </w:t>
      </w:r>
      <w:r w:rsidR="0032545E">
        <w:rPr>
          <w:rFonts w:ascii="Times New Roman" w:eastAsia="Times New Roman" w:hAnsi="Times New Roman" w:cs="Times New Roman"/>
          <w:iCs/>
          <w:sz w:val="24"/>
          <w:szCs w:val="24"/>
          <w:u w:val="single"/>
        </w:rPr>
        <w:t>Purpose</w:t>
      </w:r>
      <w:r w:rsidRPr="00C1694A">
        <w:rPr>
          <w:rFonts w:ascii="Times New Roman" w:eastAsia="Times New Roman" w:hAnsi="Times New Roman" w:cs="Times New Roman"/>
          <w:iCs/>
          <w:sz w:val="24"/>
          <w:szCs w:val="24"/>
          <w:u w:val="single"/>
        </w:rPr>
        <w:t>.</w:t>
      </w:r>
      <w:r w:rsidRPr="00C1694A">
        <w:rPr>
          <w:rFonts w:ascii="Times New Roman" w:eastAsia="Times New Roman" w:hAnsi="Times New Roman" w:cs="Times New Roman"/>
          <w:sz w:val="24"/>
          <w:szCs w:val="24"/>
        </w:rPr>
        <w:t xml:space="preserve">  A home-based program must provide home visits and group socialization activities that promote secure parent-child relationships and help parents provide high-quality early learning experiences in language, literacy, mathematics, social and emotional functioning, approaches to learning, science, physical skills, and creative arts.  A program must implement a </w:t>
      </w:r>
      <w:r w:rsidRPr="00C1694A">
        <w:rPr>
          <w:rFonts w:ascii="Times New Roman" w:hAnsi="Times New Roman" w:cs="Times New Roman"/>
          <w:sz w:val="24"/>
          <w:szCs w:val="24"/>
        </w:rPr>
        <w:t>research-based curriculum that</w:t>
      </w:r>
      <w:r w:rsidRPr="00C1694A">
        <w:rPr>
          <w:rFonts w:ascii="Times New Roman" w:eastAsia="Times New Roman" w:hAnsi="Times New Roman" w:cs="Times New Roman"/>
          <w:sz w:val="24"/>
          <w:szCs w:val="24"/>
        </w:rPr>
        <w:t xml:space="preserve"> delivers developmentally, linguistically, and culturally appropriate home visits and group socialization activities</w:t>
      </w:r>
      <w:r w:rsidRPr="00C1694A">
        <w:rPr>
          <w:rFonts w:ascii="Times New Roman" w:hAnsi="Times New Roman" w:cs="Times New Roman"/>
          <w:sz w:val="24"/>
          <w:szCs w:val="24"/>
        </w:rPr>
        <w:t xml:space="preserve"> that support children’s cognitive, social, and emotional growth for later success in school</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Home-based program design.</w:t>
      </w:r>
      <w:r w:rsidRPr="00C1694A">
        <w:rPr>
          <w:rFonts w:ascii="Times New Roman" w:hAnsi="Times New Roman" w:cs="Times New Roman"/>
          <w:sz w:val="24"/>
          <w:szCs w:val="24"/>
        </w:rPr>
        <w:t xml:space="preserve">  A home-based program must ensure all home visits are:</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Planned jointly by the home visitor and parents, and reflect the critical role of parents in the early learning and development of their children</w:t>
      </w:r>
      <w:r w:rsidR="007F020F" w:rsidRPr="00C1694A">
        <w:rPr>
          <w:rFonts w:ascii="Times New Roman" w:hAnsi="Times New Roman" w:cs="Times New Roman"/>
          <w:sz w:val="24"/>
          <w:szCs w:val="24"/>
        </w:rPr>
        <w:t>, including that the home visitor is able to effectively communicate</w:t>
      </w:r>
      <w:r w:rsidR="007969D5" w:rsidRPr="00C1694A">
        <w:rPr>
          <w:rFonts w:ascii="Times New Roman" w:hAnsi="Times New Roman" w:cs="Times New Roman"/>
          <w:sz w:val="24"/>
          <w:szCs w:val="24"/>
        </w:rPr>
        <w:t xml:space="preserve"> with the parent</w:t>
      </w:r>
      <w:r w:rsidR="007F020F" w:rsidRPr="00C1694A">
        <w:rPr>
          <w:rFonts w:ascii="Times New Roman" w:hAnsi="Times New Roman" w:cs="Times New Roman"/>
          <w:sz w:val="24"/>
          <w:szCs w:val="24"/>
        </w:rPr>
        <w:t>, directly or through an interpreter</w:t>
      </w: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Planned using information from ongoing assessments that individualize learning experiences;</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(3) Scheduled with sufficient time to serve all enrolled children in the home and conducted with parents and are not conducted when only babysitters or other temporary caregivers are present</w:t>
      </w:r>
      <w:r w:rsidRPr="00C1694A">
        <w:rPr>
          <w:rStyle w:val="CommentReference"/>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r w:rsidRPr="00C1694A" w:rsidDel="00A65C45">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Scheduled</w:t>
      </w:r>
      <w:r w:rsidRPr="00C1694A" w:rsidDel="00A65C45">
        <w:rPr>
          <w:rFonts w:ascii="Times New Roman" w:hAnsi="Times New Roman" w:cs="Times New Roman"/>
          <w:sz w:val="24"/>
          <w:szCs w:val="24"/>
        </w:rPr>
        <w:t xml:space="preserve"> </w:t>
      </w:r>
      <w:r w:rsidRPr="00C1694A">
        <w:rPr>
          <w:rFonts w:ascii="Times New Roman" w:hAnsi="Times New Roman" w:cs="Times New Roman"/>
          <w:sz w:val="24"/>
          <w:szCs w:val="24"/>
        </w:rPr>
        <w:t>with sufficient time and appropriate staff to ensure effective delivery of services described in subparts D, E, F, and G</w:t>
      </w:r>
      <w:r w:rsidR="004A52CB">
        <w:rPr>
          <w:rFonts w:ascii="Times New Roman" w:hAnsi="Times New Roman" w:cs="Times New Roman"/>
          <w:sz w:val="24"/>
          <w:szCs w:val="24"/>
        </w:rPr>
        <w:t xml:space="preserve"> of this part</w:t>
      </w:r>
      <w:r w:rsidRPr="00C1694A">
        <w:rPr>
          <w:rFonts w:ascii="Times New Roman" w:hAnsi="Times New Roman" w:cs="Times New Roman"/>
          <w:sz w:val="24"/>
          <w:szCs w:val="24"/>
        </w:rPr>
        <w:t xml:space="preserve"> through home visiting, to the extent possible.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Home visit experiences.</w:t>
      </w:r>
      <w:r w:rsidRPr="00C1694A">
        <w:rPr>
          <w:rFonts w:ascii="Times New Roman" w:hAnsi="Times New Roman" w:cs="Times New Roman"/>
          <w:sz w:val="24"/>
          <w:szCs w:val="24"/>
        </w:rPr>
        <w:t xml:space="preserve">  A program that operates the home-based option must ensure all home visits focus on </w:t>
      </w:r>
      <w:r w:rsidRPr="00C1694A">
        <w:rPr>
          <w:rFonts w:ascii="Times New Roman" w:hAnsi="Times New Roman" w:cs="Times New Roman"/>
          <w:bCs/>
          <w:sz w:val="24"/>
          <w:szCs w:val="24"/>
        </w:rPr>
        <w:t xml:space="preserve">promoting high-quality early learning experiences in the home and growth towards the goals described in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Ages</w:t>
      </w:r>
      <w:r w:rsidRPr="00C1694A">
        <w:rPr>
          <w:rFonts w:ascii="Times New Roman" w:eastAsia="Times New Roman" w:hAnsi="Times New Roman" w:cs="Times New Roman"/>
          <w:sz w:val="24"/>
          <w:szCs w:val="24"/>
          <w:u w:val="single"/>
        </w:rPr>
        <w:t xml:space="preserve"> Birth</w:t>
      </w:r>
      <w:r w:rsidR="00074148" w:rsidRPr="00C1694A">
        <w:rPr>
          <w:rFonts w:ascii="Times New Roman" w:eastAsia="Times New Roman" w:hAnsi="Times New Roman" w:cs="Times New Roman"/>
          <w:sz w:val="24"/>
          <w:szCs w:val="24"/>
          <w:u w:val="single"/>
        </w:rPr>
        <w:t xml:space="preserve"> to Five</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 xml:space="preserve">and must use </w:t>
      </w:r>
      <w:r w:rsidRPr="00C1694A">
        <w:rPr>
          <w:rFonts w:ascii="Times New Roman" w:hAnsi="Times New Roman" w:cs="Times New Roman"/>
          <w:bCs/>
          <w:sz w:val="24"/>
          <w:szCs w:val="24"/>
        </w:rPr>
        <w:t>such goals and the curriculum to plan home visit activities that implement</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Age and developmentally appropriate, structured child-focused learning experiences;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Strategies and activities that promote parents’ ability to support the child’s cognitive, social, emotional, language, literacy, and physical development;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Strategies and activities that promote the</w:t>
      </w:r>
      <w:r w:rsidRPr="00C1694A">
        <w:rPr>
          <w:rFonts w:ascii="Times New Roman" w:hAnsi="Times New Roman" w:cs="Times New Roman"/>
          <w:bCs/>
          <w:sz w:val="24"/>
          <w:szCs w:val="24"/>
        </w:rPr>
        <w:t xml:space="preserve"> home as a learning environment that is safe, nurturing, responsive, and language- and communication- rich</w:t>
      </w: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Research-based strategies and activities for children who are dual language learners that recognize bilingualism and biliteracy as strengths,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F</w:t>
      </w:r>
      <w:r w:rsidR="007969D5" w:rsidRPr="00C1694A">
        <w:rPr>
          <w:rFonts w:ascii="Times New Roman" w:hAnsi="Times New Roman" w:cs="Times New Roman"/>
          <w:sz w:val="24"/>
          <w:szCs w:val="24"/>
        </w:rPr>
        <w:t>or infants and toddlers, f</w:t>
      </w:r>
      <w:r w:rsidRPr="00C1694A">
        <w:rPr>
          <w:rFonts w:ascii="Times New Roman" w:hAnsi="Times New Roman" w:cs="Times New Roman"/>
          <w:sz w:val="24"/>
          <w:szCs w:val="24"/>
        </w:rPr>
        <w:t>ocus on the development of the home language, while providing experiences that expose both parents and children to English;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F</w:t>
      </w:r>
      <w:r w:rsidR="00504BDA" w:rsidRPr="00C1694A">
        <w:rPr>
          <w:rFonts w:ascii="Times New Roman" w:hAnsi="Times New Roman" w:cs="Times New Roman"/>
          <w:sz w:val="24"/>
          <w:szCs w:val="24"/>
        </w:rPr>
        <w:t>or preschoolers, f</w:t>
      </w:r>
      <w:r w:rsidRPr="00C1694A">
        <w:rPr>
          <w:rFonts w:ascii="Times New Roman" w:hAnsi="Times New Roman" w:cs="Times New Roman"/>
          <w:sz w:val="24"/>
          <w:szCs w:val="24"/>
        </w:rPr>
        <w:t>ocus on both English language acquisition and the continued development of the home language;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(5) Follow-up with the families to discuss learning experiences provided in the home between each visit, address concerns, and inform strategies to promote progress toward school readiness goals.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 xml:space="preserve">Home-based </w:t>
      </w:r>
      <w:r w:rsidRPr="00C1694A">
        <w:rPr>
          <w:rStyle w:val="Emphasis"/>
          <w:rFonts w:ascii="Times New Roman" w:hAnsi="Times New Roman" w:cs="Times New Roman"/>
          <w:i w:val="0"/>
          <w:sz w:val="24"/>
          <w:szCs w:val="24"/>
          <w:u w:val="single"/>
        </w:rPr>
        <w:t>curriculum.</w:t>
      </w:r>
      <w:r w:rsidRPr="00C1694A">
        <w:rPr>
          <w:rStyle w:val="Emphasis"/>
          <w:rFonts w:ascii="Times New Roman" w:hAnsi="Times New Roman" w:cs="Times New Roman"/>
          <w:i w:val="0"/>
          <w:sz w:val="24"/>
          <w:szCs w:val="24"/>
        </w:rPr>
        <w:t xml:space="preserve">  A program that operates the home-based option</w:t>
      </w:r>
      <w:r w:rsidRPr="00C1694A">
        <w:rPr>
          <w:rStyle w:val="Emphasis"/>
          <w:rFonts w:ascii="Times New Roman" w:hAnsi="Times New Roman" w:cs="Times New Roman"/>
          <w:sz w:val="24"/>
          <w:szCs w:val="24"/>
        </w:rPr>
        <w:t xml:space="preserve"> </w:t>
      </w:r>
      <w:r w:rsidRPr="00C1694A">
        <w:rPr>
          <w:rFonts w:ascii="Times New Roman" w:hAnsi="Times New Roman" w:cs="Times New Roman"/>
          <w:sz w:val="24"/>
          <w:szCs w:val="24"/>
        </w:rPr>
        <w:t>must:</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Ensure home-visiting and group socializations implement a developmentally appropriate research-based early childhood home-based curriculum that: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Promotes the parent’s role as the child’s teacher through experiences focused on the parent-child relationship and, as appropriate, the family’s traditions, cultur</w:t>
      </w:r>
      <w:r w:rsidR="001D2BD6" w:rsidRPr="00C1694A">
        <w:rPr>
          <w:rFonts w:ascii="Times New Roman" w:hAnsi="Times New Roman" w:cs="Times New Roman"/>
          <w:sz w:val="24"/>
          <w:szCs w:val="24"/>
        </w:rPr>
        <w:t>e</w:t>
      </w:r>
      <w:r w:rsidRPr="00C1694A">
        <w:rPr>
          <w:rFonts w:ascii="Times New Roman" w:hAnsi="Times New Roman" w:cs="Times New Roman"/>
          <w:sz w:val="24"/>
          <w:szCs w:val="24"/>
        </w:rPr>
        <w:t>, values, and beliefs;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Aligns with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xml:space="preserve">: Ages </w:t>
      </w:r>
      <w:r w:rsidRPr="00C1694A">
        <w:rPr>
          <w:rFonts w:ascii="Times New Roman" w:eastAsia="Times New Roman" w:hAnsi="Times New Roman" w:cs="Times New Roman"/>
          <w:sz w:val="24"/>
          <w:szCs w:val="24"/>
          <w:u w:val="single"/>
        </w:rPr>
        <w:t>Birth</w:t>
      </w:r>
      <w:r w:rsidR="00074148" w:rsidRPr="00C1694A">
        <w:rPr>
          <w:rFonts w:ascii="Times New Roman" w:eastAsia="Times New Roman" w:hAnsi="Times New Roman" w:cs="Times New Roman"/>
          <w:sz w:val="24"/>
          <w:szCs w:val="24"/>
          <w:u w:val="single"/>
        </w:rPr>
        <w:t xml:space="preserve"> to Five</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 xml:space="preserve">and, as appropriate, state early learning standards, and, is sufficiently content-rich within the </w:t>
      </w:r>
      <w:r w:rsidRPr="00C1694A">
        <w:rPr>
          <w:rFonts w:ascii="Times New Roman" w:eastAsia="Times New Roman" w:hAnsi="Times New Roman" w:cs="Times New Roman"/>
          <w:sz w:val="24"/>
          <w:szCs w:val="24"/>
        </w:rPr>
        <w:t xml:space="preserve">Framework </w:t>
      </w:r>
      <w:r w:rsidRPr="00C1694A">
        <w:rPr>
          <w:rFonts w:ascii="Times New Roman" w:hAnsi="Times New Roman" w:cs="Times New Roman"/>
          <w:sz w:val="24"/>
          <w:szCs w:val="24"/>
        </w:rPr>
        <w:t>to promote measurable progress toward goals outlined in the Framework; and,</w:t>
      </w:r>
    </w:p>
    <w:p w:rsidR="00C03FE8" w:rsidRPr="00C1694A" w:rsidRDefault="00C03FE8" w:rsidP="00AC521C">
      <w:pPr>
        <w:pStyle w:val="ListParagraph"/>
        <w:tabs>
          <w:tab w:val="left" w:pos="270"/>
        </w:tabs>
        <w:spacing w:after="0" w:line="480" w:lineRule="auto"/>
        <w:ind w:left="0"/>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rPr>
        <w:tab/>
      </w:r>
    </w:p>
    <w:p w:rsidR="00C03FE8" w:rsidRPr="00C1694A" w:rsidRDefault="00C03FE8" w:rsidP="00AC521C">
      <w:pPr>
        <w:pStyle w:val="ListParagraph"/>
        <w:tabs>
          <w:tab w:val="left" w:pos="270"/>
        </w:tabs>
        <w:spacing w:after="0" w:line="480" w:lineRule="auto"/>
        <w:ind w:left="0"/>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rPr>
        <w:tab/>
        <w:t>(iii) Has an organized developmental scope and sequence that includes plans and materials for learning experiences based on developmental progressions and how children learn.</w:t>
      </w:r>
    </w:p>
    <w:p w:rsidR="00C03FE8" w:rsidRPr="00C1694A" w:rsidRDefault="00C03FE8" w:rsidP="00AC521C">
      <w:pPr>
        <w:pStyle w:val="ListParagraph"/>
        <w:tabs>
          <w:tab w:val="left" w:pos="270"/>
        </w:tabs>
        <w:spacing w:after="0" w:line="480" w:lineRule="auto"/>
        <w:ind w:left="0"/>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rPr>
        <w:tab/>
      </w:r>
    </w:p>
    <w:p w:rsidR="00C03FE8" w:rsidRPr="00C1694A" w:rsidRDefault="00C03FE8" w:rsidP="00AC521C">
      <w:pPr>
        <w:pStyle w:val="ListParagraph"/>
        <w:tabs>
          <w:tab w:val="left" w:pos="270"/>
        </w:tabs>
        <w:spacing w:after="0" w:line="480" w:lineRule="auto"/>
        <w:ind w:left="0"/>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rPr>
        <w:tab/>
      </w:r>
      <w:r w:rsidRPr="00C1694A">
        <w:rPr>
          <w:rFonts w:ascii="Times New Roman" w:eastAsia="Times New Roman" w:hAnsi="Times New Roman" w:cs="Times New Roman"/>
          <w:sz w:val="24"/>
          <w:szCs w:val="24"/>
        </w:rPr>
        <w:t>(2) Support staff in the effective implementation of the curriculum and at a minimum monitor curriculum implementation and fidelity, and provide support, feedback, and supervision for continuous improvement of its implementation through the system of training and professional development. </w:t>
      </w:r>
    </w:p>
    <w:p w:rsidR="00C03FE8" w:rsidRPr="00C1694A" w:rsidRDefault="00C03FE8" w:rsidP="00AC521C">
      <w:pPr>
        <w:pStyle w:val="ListParagraph"/>
        <w:widowControl w:val="0"/>
        <w:tabs>
          <w:tab w:val="left" w:pos="360"/>
        </w:tabs>
        <w:autoSpaceDE w:val="0"/>
        <w:autoSpaceDN w:val="0"/>
        <w:adjustRightInd w:val="0"/>
        <w:spacing w:after="0" w:line="480" w:lineRule="auto"/>
        <w:ind w:left="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If a program chooses to make significant adaptations to a curriculum or curriculum enhancement to better meet the needs of one or more specific populations, a program must:</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Partner with early childhood education curriculum or content experts; and,</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w:t>
      </w:r>
      <w:r w:rsidR="00C61514" w:rsidRPr="00C1694A">
        <w:rPr>
          <w:rFonts w:ascii="Times New Roman" w:hAnsi="Times New Roman" w:cs="Times New Roman"/>
          <w:sz w:val="24"/>
          <w:szCs w:val="24"/>
        </w:rPr>
        <w:t xml:space="preserve">Assess whether </w:t>
      </w:r>
      <w:r w:rsidRPr="00C1694A">
        <w:rPr>
          <w:rFonts w:ascii="Times New Roman" w:hAnsi="Times New Roman" w:cs="Times New Roman"/>
          <w:sz w:val="24"/>
          <w:szCs w:val="24"/>
        </w:rPr>
        <w:t xml:space="preserve">the adaptation </w:t>
      </w:r>
      <w:r w:rsidR="00C61514" w:rsidRPr="00C1694A">
        <w:rPr>
          <w:rFonts w:ascii="Times New Roman" w:hAnsi="Times New Roman" w:cs="Times New Roman"/>
          <w:sz w:val="24"/>
          <w:szCs w:val="24"/>
        </w:rPr>
        <w:t xml:space="preserve">adequately facilitates progress toward </w:t>
      </w:r>
      <w:r w:rsidRPr="00C1694A">
        <w:rPr>
          <w:rFonts w:ascii="Times New Roman" w:hAnsi="Times New Roman" w:cs="Times New Roman"/>
          <w:sz w:val="24"/>
          <w:szCs w:val="24"/>
        </w:rPr>
        <w:t xml:space="preserve">meeting school readiness goals consistent with the process described in </w:t>
      </w:r>
      <w:r w:rsidR="00C61514" w:rsidRPr="00C1694A">
        <w:rPr>
          <w:rFonts w:ascii="Times New Roman" w:hAnsi="Times New Roman" w:cs="Times New Roman"/>
          <w:sz w:val="24"/>
          <w:szCs w:val="24"/>
        </w:rPr>
        <w:t>§1302.102(b) and (c)</w:t>
      </w:r>
      <w:r w:rsidRPr="00C1694A">
        <w:rPr>
          <w:rFonts w:ascii="Times New Roman" w:hAnsi="Times New Roman" w:cs="Times New Roman"/>
          <w:sz w:val="24"/>
          <w:szCs w:val="24"/>
        </w:rPr>
        <w:t>.</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pStyle w:val="ListParagraph"/>
        <w:widowControl w:val="0"/>
        <w:tabs>
          <w:tab w:val="left" w:pos="360"/>
        </w:tabs>
        <w:autoSpaceDE w:val="0"/>
        <w:autoSpaceDN w:val="0"/>
        <w:adjustRightInd w:val="0"/>
        <w:spacing w:after="0" w:line="480" w:lineRule="auto"/>
        <w:ind w:left="0"/>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rPr>
        <w:tab/>
        <w:t xml:space="preserve">(4) </w:t>
      </w:r>
      <w:r w:rsidRPr="00C1694A">
        <w:rPr>
          <w:rFonts w:ascii="Times New Roman" w:eastAsia="Times New Roman" w:hAnsi="Times New Roman" w:cs="Times New Roman"/>
          <w:bCs/>
          <w:sz w:val="24"/>
          <w:szCs w:val="24"/>
        </w:rPr>
        <w:t>Provide parents with an</w:t>
      </w:r>
      <w:r w:rsidRPr="00C1694A">
        <w:rPr>
          <w:rFonts w:ascii="Times New Roman" w:hAnsi="Times New Roman" w:cs="Times New Roman"/>
          <w:sz w:val="24"/>
          <w:szCs w:val="24"/>
        </w:rPr>
        <w:t xml:space="preserve"> opportunity to review selected curricula and instructional materials used in the program.</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w:t>
      </w:r>
      <w:r w:rsidRPr="00C1694A">
        <w:rPr>
          <w:rFonts w:ascii="Times New Roman" w:hAnsi="Times New Roman" w:cs="Times New Roman"/>
          <w:sz w:val="24"/>
          <w:szCs w:val="24"/>
          <w:u w:val="single"/>
        </w:rPr>
        <w:t>Group socialization.</w:t>
      </w:r>
      <w:r w:rsidRPr="00C1694A">
        <w:rPr>
          <w:rFonts w:ascii="Times New Roman" w:hAnsi="Times New Roman" w:cs="Times New Roman"/>
          <w:sz w:val="24"/>
          <w:szCs w:val="24"/>
        </w:rPr>
        <w:t xml:space="preserve"> (1) A program that operates the home-based option must ensure group socializations are planned jointly with families, conducted with both child and parent participation, occur in a classroom, community facility, home or field trip setting, as appropriate.</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Group socializations must be structured to:</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Provide age appropriate activities for participating children that are intentionally aligned to school readiness goals,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Ages</w:t>
      </w:r>
      <w:r w:rsidRPr="00C1694A">
        <w:rPr>
          <w:rFonts w:ascii="Times New Roman" w:eastAsia="Times New Roman" w:hAnsi="Times New Roman" w:cs="Times New Roman"/>
          <w:sz w:val="24"/>
          <w:szCs w:val="24"/>
          <w:u w:val="single"/>
        </w:rPr>
        <w:t xml:space="preserve"> Birth</w:t>
      </w:r>
      <w:r w:rsidR="00074148" w:rsidRPr="00C1694A">
        <w:rPr>
          <w:rFonts w:ascii="Times New Roman" w:eastAsia="Times New Roman" w:hAnsi="Times New Roman" w:cs="Times New Roman"/>
          <w:sz w:val="24"/>
          <w:szCs w:val="24"/>
          <w:u w:val="single"/>
        </w:rPr>
        <w:t xml:space="preserve"> to Five</w:t>
      </w:r>
      <w:r w:rsidRPr="00C1694A">
        <w:rPr>
          <w:rFonts w:ascii="Times New Roman" w:hAnsi="Times New Roman" w:cs="Times New Roman"/>
          <w:sz w:val="24"/>
          <w:szCs w:val="24"/>
        </w:rPr>
        <w:t xml:space="preserve"> and the home-based curriculum; and,</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Encourage parents to share experiences related to their children’s development with other parents in order to strengthen parent-child relationships and to help promote parents understanding of child development; </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eastAsia="Calibri" w:hAnsi="Times New Roman" w:cs="Times New Roman"/>
          <w:sz w:val="24"/>
          <w:szCs w:val="24"/>
        </w:rPr>
      </w:pPr>
      <w:r w:rsidRPr="00C1694A">
        <w:rPr>
          <w:rFonts w:ascii="Times New Roman" w:hAnsi="Times New Roman" w:cs="Times New Roman"/>
          <w:sz w:val="24"/>
          <w:szCs w:val="24"/>
        </w:rPr>
        <w:t>(3) For parents with preschoolers, group socializations also must provide opportunities for parents to participate in activities</w:t>
      </w:r>
      <w:r w:rsidR="00522F49" w:rsidRPr="00C1694A">
        <w:rPr>
          <w:rFonts w:ascii="Times New Roman" w:hAnsi="Times New Roman" w:cs="Times New Roman"/>
          <w:sz w:val="24"/>
          <w:szCs w:val="24"/>
        </w:rPr>
        <w:t xml:space="preserve"> that support parenting skill development or family partnership goals identified in </w:t>
      </w:r>
      <w:r w:rsidR="003C14CC" w:rsidRPr="00C1694A">
        <w:rPr>
          <w:rFonts w:ascii="Times New Roman" w:eastAsia="Calibri" w:hAnsi="Times New Roman" w:cs="Times New Roman"/>
          <w:sz w:val="24"/>
          <w:szCs w:val="24"/>
        </w:rPr>
        <w:t>§</w:t>
      </w:r>
      <w:r w:rsidR="003C14CC" w:rsidRPr="00C1694A">
        <w:rPr>
          <w:rFonts w:ascii="Times New Roman" w:hAnsi="Times New Roman" w:cs="Times New Roman"/>
          <w:sz w:val="24"/>
          <w:szCs w:val="24"/>
        </w:rPr>
        <w:t>1302.52(c)</w:t>
      </w:r>
      <w:r w:rsidRPr="00C1694A">
        <w:rPr>
          <w:rFonts w:ascii="Times New Roman" w:hAnsi="Times New Roman" w:cs="Times New Roman"/>
          <w:sz w:val="24"/>
          <w:szCs w:val="24"/>
        </w:rPr>
        <w:t>, as appropriate and must emphasize peer group interactions designed to promote children’s social, emotional and language development, and progress towards school readiness goals, while encouraging parents to observe and actively participate in activities, as appropriate.</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(f) </w:t>
      </w:r>
      <w:r w:rsidRPr="00C1694A">
        <w:rPr>
          <w:rFonts w:ascii="Times New Roman" w:eastAsia="Calibri" w:hAnsi="Times New Roman" w:cs="Times New Roman"/>
          <w:sz w:val="24"/>
          <w:szCs w:val="24"/>
          <w:u w:val="single"/>
        </w:rPr>
        <w:t>Screening and assessments.</w:t>
      </w:r>
      <w:r w:rsidRPr="00C1694A">
        <w:rPr>
          <w:rFonts w:ascii="Times New Roman" w:eastAsia="Calibri" w:hAnsi="Times New Roman" w:cs="Times New Roman"/>
          <w:sz w:val="24"/>
          <w:szCs w:val="24"/>
        </w:rPr>
        <w:t xml:space="preserve"> A program that operates the home-based option must implement provisions in §1302.33 and inform parents about the purposes of and the results from screenings and assessments and discuss their child's progress.</w:t>
      </w:r>
    </w:p>
    <w:p w:rsidR="00C03FE8" w:rsidRPr="00C1694A" w:rsidRDefault="00C03FE8" w:rsidP="00AC521C">
      <w:pPr>
        <w:spacing w:after="0" w:line="480" w:lineRule="auto"/>
        <w:rPr>
          <w:rFonts w:ascii="Times New Roman" w:eastAsia="Calibri"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§1302.36 Tribal language preservation and revitalization.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program that serves American Indian and Alaska Native children may integrate efforts to preserve, revitalize, restore, or maintain the tribal language for these children into program services.</w:t>
      </w:r>
      <w:r w:rsidR="00BF51A8" w:rsidRPr="00C1694A">
        <w:rPr>
          <w:rFonts w:ascii="Times New Roman" w:hAnsi="Times New Roman" w:cs="Times New Roman"/>
          <w:sz w:val="24"/>
          <w:szCs w:val="24"/>
        </w:rPr>
        <w:t xml:space="preserve">  Such language preservation and revitalization efforts may include full immersion in the tribal language for the majority of the hours of planned class operations.</w:t>
      </w:r>
      <w:r w:rsidR="00776F4B" w:rsidRPr="00C1694A">
        <w:rPr>
          <w:rFonts w:ascii="Times New Roman" w:hAnsi="Times New Roman" w:cs="Times New Roman"/>
          <w:sz w:val="24"/>
          <w:szCs w:val="24"/>
        </w:rPr>
        <w:t xml:space="preserve">  </w:t>
      </w:r>
      <w:r w:rsidR="00862539" w:rsidRPr="00C1694A">
        <w:rPr>
          <w:rFonts w:ascii="Times New Roman" w:hAnsi="Times New Roman" w:cs="Times New Roman"/>
          <w:sz w:val="24"/>
          <w:szCs w:val="24"/>
        </w:rPr>
        <w:t>If children’s home language is English, e</w:t>
      </w:r>
      <w:r w:rsidR="00776F4B" w:rsidRPr="00C1694A">
        <w:rPr>
          <w:rFonts w:ascii="Times New Roman" w:hAnsi="Times New Roman" w:cs="Times New Roman"/>
          <w:sz w:val="24"/>
          <w:szCs w:val="24"/>
        </w:rPr>
        <w:t>xposure to English as described in §1302.31(b)(2)(i) and (ii) is not required.</w:t>
      </w:r>
    </w:p>
    <w:p w:rsidR="00C03FE8" w:rsidRPr="00C1694A" w:rsidRDefault="00C03FE8" w:rsidP="00AC521C">
      <w:pPr>
        <w:spacing w:after="0" w:line="480" w:lineRule="auto"/>
        <w:rPr>
          <w:rFonts w:ascii="Times New Roman" w:eastAsia="Calibri" w:hAnsi="Times New Roman" w:cs="Times New Roman"/>
          <w:b/>
          <w:sz w:val="24"/>
          <w:szCs w:val="24"/>
        </w:rPr>
      </w:pPr>
    </w:p>
    <w:p w:rsidR="00344656" w:rsidRPr="00C1694A" w:rsidRDefault="00344656" w:rsidP="00AC521C">
      <w:pPr>
        <w:spacing w:after="0" w:line="480" w:lineRule="auto"/>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t>Subpart D</w:t>
      </w:r>
      <w:r w:rsidR="008B15CA" w:rsidRPr="00C1694A">
        <w:rPr>
          <w:rFonts w:ascii="Times New Roman" w:eastAsia="Calibri" w:hAnsi="Times New Roman" w:cs="Times New Roman"/>
          <w:sz w:val="24"/>
          <w:szCs w:val="24"/>
        </w:rPr>
        <w:t>—</w:t>
      </w:r>
      <w:r w:rsidRPr="00C1694A">
        <w:rPr>
          <w:rFonts w:ascii="Times New Roman" w:eastAsia="Calibri" w:hAnsi="Times New Roman" w:cs="Times New Roman"/>
          <w:b/>
          <w:sz w:val="24"/>
          <w:szCs w:val="24"/>
        </w:rPr>
        <w:t>Health Program Services</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§1302.40 </w:t>
      </w:r>
      <w:r w:rsidR="0032545E">
        <w:rPr>
          <w:rFonts w:ascii="Times New Roman" w:hAnsi="Times New Roman" w:cs="Times New Roman"/>
          <w:b/>
          <w:sz w:val="24"/>
          <w:szCs w:val="24"/>
        </w:rPr>
        <w:t>Purpose</w:t>
      </w:r>
      <w:r w:rsidRPr="00C1694A">
        <w:rPr>
          <w:rFonts w:ascii="Times New Roman" w:hAnsi="Times New Roman" w:cs="Times New Roman"/>
          <w:b/>
          <w:sz w:val="24"/>
          <w:szCs w:val="24"/>
        </w:rPr>
        <w:t xml:space="preserv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(a) A program must provide high-quality health, oral health, mental health, and nutrition services that are developmentally, culturally, and linguistically appropriate and that will support each child’s growth and school readiness.</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(b) </w:t>
      </w:r>
      <w:r w:rsidRPr="00C1694A">
        <w:rPr>
          <w:rFonts w:ascii="Times New Roman" w:eastAsia="Times New Roman" w:hAnsi="Times New Roman" w:cs="Times New Roman"/>
          <w:sz w:val="24"/>
          <w:szCs w:val="24"/>
        </w:rPr>
        <w:t>A program must establish and maintain a Health Services Advisory Committee that includes Head Start parents, professionals, and other volunteers from the community.</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eastAsia="Calibri" w:hAnsi="Times New Roman" w:cs="Times New Roman"/>
          <w:sz w:val="24"/>
          <w:szCs w:val="24"/>
        </w:rPr>
      </w:pPr>
      <w:r w:rsidRPr="00C1694A">
        <w:rPr>
          <w:rFonts w:ascii="Times New Roman" w:hAnsi="Times New Roman" w:cs="Times New Roman"/>
          <w:b/>
          <w:sz w:val="24"/>
          <w:szCs w:val="24"/>
        </w:rPr>
        <w:t>§1302.41 Collaboration and communication with parents</w:t>
      </w:r>
      <w:r w:rsidRPr="00C1694A">
        <w:rPr>
          <w:rFonts w:ascii="Times New Roman" w:eastAsia="Calibri" w:hAnsi="Times New Roman" w:cs="Times New Roman"/>
          <w:sz w:val="24"/>
          <w:szCs w:val="24"/>
        </w:rPr>
        <w:t>.</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(a) For all activities described in this part, programs must collaborate with parents as partners in the health and well-being of their children in a linguistically and culturally appropriate manner and communicate with parents about their child’s health needs and development concerns in a timely and effective manner.</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(b) At a minimum, a program must:</w:t>
      </w: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(1) Obtain advance authorization from the parent or other person with legal authority for all health and developmental procedures administered through the program or by contract or agreement, and, maintain written documentation if they refuse to give authorization for health services; and,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Share with parents the policies for health emergencies that require rapid response on the part of staff or immediate medical attention.</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§1302.42 Child health status and care.</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eastAsia="Calibri" w:hAnsi="Times New Roman" w:cs="Times New Roman"/>
          <w:sz w:val="24"/>
          <w:szCs w:val="24"/>
        </w:rPr>
        <w:tab/>
      </w:r>
    </w:p>
    <w:p w:rsidR="00C03FE8" w:rsidRPr="00C1694A" w:rsidRDefault="00C03FE8" w:rsidP="00AC521C">
      <w:pPr>
        <w:tabs>
          <w:tab w:val="left" w:pos="0"/>
          <w:tab w:val="left" w:pos="360"/>
        </w:tabs>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(a)  </w:t>
      </w:r>
      <w:r w:rsidRPr="00C1694A">
        <w:rPr>
          <w:rFonts w:ascii="Times New Roman" w:hAnsi="Times New Roman" w:cs="Times New Roman"/>
          <w:sz w:val="24"/>
          <w:szCs w:val="24"/>
          <w:u w:val="single"/>
        </w:rPr>
        <w:t>Source of health care</w:t>
      </w:r>
      <w:r w:rsidRPr="00C1694A">
        <w:rPr>
          <w:rFonts w:ascii="Times New Roman" w:hAnsi="Times New Roman" w:cs="Times New Roman"/>
          <w:sz w:val="24"/>
          <w:szCs w:val="24"/>
        </w:rPr>
        <w:t>.</w:t>
      </w:r>
      <w:r w:rsidRPr="00C1694A">
        <w:rPr>
          <w:rFonts w:ascii="Times New Roman" w:eastAsia="Calibri" w:hAnsi="Times New Roman" w:cs="Times New Roman"/>
          <w:sz w:val="24"/>
          <w:szCs w:val="24"/>
        </w:rPr>
        <w:t xml:space="preserve">  </w:t>
      </w:r>
      <w:r w:rsidRPr="00C1694A">
        <w:rPr>
          <w:rFonts w:ascii="Times New Roman" w:hAnsi="Times New Roman" w:cs="Times New Roman"/>
          <w:sz w:val="24"/>
          <w:szCs w:val="24"/>
        </w:rPr>
        <w:t xml:space="preserve">(1) A program, within 30 calendar days after the child first attends the program or, for the home-based program option, receives a home visit, must consult with parents to determine whether each child has ongoing sources of continuous, accessible health care – provided by a health care professional that maintains the child’s ongoing health record and is not primarily a source of emergency or urgent care – and health insurance coverage.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If the child does not have such a source of ongoing care and health insurance coverage</w:t>
      </w:r>
      <w:r w:rsidR="00862539" w:rsidRPr="00C1694A">
        <w:rPr>
          <w:rFonts w:ascii="Times New Roman" w:hAnsi="Times New Roman" w:cs="Times New Roman"/>
          <w:sz w:val="24"/>
          <w:szCs w:val="24"/>
        </w:rPr>
        <w:t xml:space="preserve"> or access to care through the Indian Health Service</w:t>
      </w:r>
      <w:r w:rsidRPr="00C1694A">
        <w:rPr>
          <w:rFonts w:ascii="Times New Roman" w:hAnsi="Times New Roman" w:cs="Times New Roman"/>
          <w:sz w:val="24"/>
          <w:szCs w:val="24"/>
        </w:rPr>
        <w:t>, the program must assist families in accessing a source of care and health insurance that will meet these criteria, as quickly as possible.</w:t>
      </w:r>
    </w:p>
    <w:p w:rsidR="00C03FE8" w:rsidRPr="00C1694A" w:rsidRDefault="00C03FE8" w:rsidP="00AC521C">
      <w:pPr>
        <w:pStyle w:val="ListParagraph"/>
        <w:spacing w:after="0" w:line="480" w:lineRule="auto"/>
        <w:ind w:left="0"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Ensuring up-to-date child health status</w:t>
      </w:r>
      <w:r w:rsidRPr="00C1694A">
        <w:rPr>
          <w:rFonts w:ascii="Times New Roman" w:hAnsi="Times New Roman" w:cs="Times New Roman"/>
          <w:sz w:val="24"/>
          <w:szCs w:val="24"/>
        </w:rPr>
        <w:t>.  (1) Within 90 calendar days after the child first attends the program or, for the home-based program option, receives a home visit, with the exceptions noted in paragraph (b)(3)</w:t>
      </w:r>
      <w:r w:rsidR="004A52CB">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a program must: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Obtain determinations from health care and oral health care professionals as to whether or not the child is up-to-date on a schedule of age appropriate preventive and primary medical and oral health care, based on: the well-child visits and dental periodicity schedules as prescribed by the Early and Periodic Screening, Diagnosis, and Treatment (EPSDT) program of the Medicaid agency of the state in which they operate, immunization recommendations issued by the Centers for Disease Control and Prevention, and any additional recommendations from the local Health Services Advisory Committee that are based on prevalent community health problems;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Assist parents with making arrangements to bring the child up-to-date as quickly as possible; and, if necessary, directly facilitate provision of health services to bring the child up-to-date with parent consent as described in §1302.41(b)(1).</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Within 45 calendar days </w:t>
      </w:r>
      <w:r w:rsidRPr="00C1694A">
        <w:rPr>
          <w:rFonts w:ascii="Times New Roman" w:hAnsi="Times New Roman" w:cs="Times New Roman"/>
          <w:sz w:val="24"/>
          <w:szCs w:val="24"/>
        </w:rPr>
        <w:t>after the child first attends the program or, for the home-based program option, receives a home visit</w:t>
      </w:r>
      <w:r w:rsidRPr="00C1694A">
        <w:rPr>
          <w:rFonts w:ascii="Times New Roman" w:eastAsia="Times New Roman" w:hAnsi="Times New Roman" w:cs="Times New Roman"/>
          <w:sz w:val="24"/>
          <w:szCs w:val="24"/>
        </w:rPr>
        <w:t>, a program must either obtain or perform evidence-based vision and hearing screenings.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If a program operates for 90 days or less, it has 30 days from the date the child </w:t>
      </w:r>
      <w:r w:rsidRPr="00C1694A">
        <w:rPr>
          <w:rFonts w:ascii="Times New Roman" w:hAnsi="Times New Roman" w:cs="Times New Roman"/>
          <w:sz w:val="24"/>
          <w:szCs w:val="24"/>
        </w:rPr>
        <w:t xml:space="preserve">first attends the program </w:t>
      </w:r>
      <w:r w:rsidRPr="00C1694A">
        <w:rPr>
          <w:rFonts w:ascii="Times New Roman" w:eastAsia="Times New Roman" w:hAnsi="Times New Roman" w:cs="Times New Roman"/>
          <w:sz w:val="24"/>
          <w:szCs w:val="24"/>
        </w:rPr>
        <w:t>to satisfy paragraphs (b)(1) and (2)</w:t>
      </w:r>
      <w:r w:rsidR="004A52CB">
        <w:rPr>
          <w:rFonts w:ascii="Times New Roman" w:eastAsia="Times New Roman" w:hAnsi="Times New Roman" w:cs="Times New Roman"/>
          <w:sz w:val="24"/>
          <w:szCs w:val="24"/>
        </w:rPr>
        <w:t xml:space="preserve"> of this section</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A program must identify each child’s nutritional health needs, taking into account available health information, including the child’s health records, and family and staff concerns, including special dietary requirements, food allergies, and community nutrition issues as identified through the community assessment or by the Health Services Advisory Committee.</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Ongoing care</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 xml:space="preserve">(1) </w:t>
      </w:r>
      <w:r w:rsidRPr="00C1694A">
        <w:rPr>
          <w:rFonts w:ascii="Times New Roman" w:hAnsi="Times New Roman" w:cs="Times New Roman"/>
          <w:bCs/>
          <w:sz w:val="24"/>
          <w:szCs w:val="24"/>
        </w:rPr>
        <w:t xml:space="preserve">A program must </w:t>
      </w:r>
      <w:r w:rsidRPr="00C1694A">
        <w:rPr>
          <w:rFonts w:ascii="Times New Roman" w:hAnsi="Times New Roman" w:cs="Times New Roman"/>
          <w:sz w:val="24"/>
          <w:szCs w:val="24"/>
        </w:rPr>
        <w:t xml:space="preserve">help parents continue to follow recommended schedules of well-child </w:t>
      </w:r>
      <w:r w:rsidRPr="00C1694A">
        <w:rPr>
          <w:rFonts w:ascii="Times New Roman" w:hAnsi="Times New Roman" w:cs="Times New Roman"/>
          <w:bCs/>
          <w:sz w:val="24"/>
          <w:szCs w:val="24"/>
        </w:rPr>
        <w:t xml:space="preserve">and oral health </w:t>
      </w:r>
      <w:r w:rsidRPr="00C1694A">
        <w:rPr>
          <w:rFonts w:ascii="Times New Roman" w:hAnsi="Times New Roman" w:cs="Times New Roman"/>
          <w:sz w:val="24"/>
          <w:szCs w:val="24"/>
        </w:rPr>
        <w:t>care.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w:t>
      </w:r>
      <w:r w:rsidRPr="00C1694A">
        <w:rPr>
          <w:rFonts w:ascii="Times New Roman" w:hAnsi="Times New Roman" w:cs="Times New Roman"/>
          <w:bCs/>
          <w:sz w:val="24"/>
          <w:szCs w:val="24"/>
        </w:rPr>
        <w:t xml:space="preserve">A program must </w:t>
      </w:r>
      <w:r w:rsidRPr="00C1694A">
        <w:rPr>
          <w:rFonts w:ascii="Times New Roman" w:hAnsi="Times New Roman" w:cs="Times New Roman"/>
          <w:sz w:val="24"/>
          <w:szCs w:val="24"/>
        </w:rPr>
        <w:t xml:space="preserve">implement periodic observations or other appropriate strategies for program staff and parents to identify any new or recurring </w:t>
      </w:r>
      <w:r w:rsidR="007C0D42" w:rsidRPr="00C1694A">
        <w:rPr>
          <w:rFonts w:ascii="Times New Roman" w:hAnsi="Times New Roman" w:cs="Times New Roman"/>
          <w:sz w:val="24"/>
          <w:szCs w:val="24"/>
        </w:rPr>
        <w:t xml:space="preserve">developmental, </w:t>
      </w:r>
      <w:r w:rsidRPr="00C1694A">
        <w:rPr>
          <w:rFonts w:ascii="Times New Roman" w:hAnsi="Times New Roman" w:cs="Times New Roman"/>
          <w:sz w:val="24"/>
          <w:szCs w:val="24"/>
        </w:rPr>
        <w:t>medical, oral, or mental health concerns.</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w:t>
      </w:r>
      <w:r w:rsidRPr="00C1694A">
        <w:rPr>
          <w:rFonts w:ascii="Times New Roman" w:hAnsi="Times New Roman" w:cs="Times New Roman"/>
          <w:bCs/>
          <w:sz w:val="24"/>
          <w:szCs w:val="24"/>
        </w:rPr>
        <w:t xml:space="preserve">A program must </w:t>
      </w:r>
      <w:r w:rsidRPr="00C1694A">
        <w:rPr>
          <w:rFonts w:ascii="Times New Roman" w:hAnsi="Times New Roman" w:cs="Times New Roman"/>
          <w:sz w:val="24"/>
          <w:szCs w:val="24"/>
        </w:rPr>
        <w:t>facilitate and monitor necessary oral health preventive care, treatment and follow-up, including topical fluoride treatments.  In communities where there is a lack of adequate fluoride available through the water supply and for every child with moderate to severe tooth decay, a program must also facilitate fluoride supplements, and other necessary preventive measures, and further oral health treatment as recommended by the oral health professional.</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(d) </w:t>
      </w:r>
      <w:r w:rsidRPr="00C1694A">
        <w:rPr>
          <w:rFonts w:ascii="Times New Roman" w:eastAsia="Calibri" w:hAnsi="Times New Roman" w:cs="Times New Roman"/>
          <w:sz w:val="24"/>
          <w:szCs w:val="24"/>
          <w:u w:val="single"/>
        </w:rPr>
        <w:t>Extended follow-up care</w:t>
      </w:r>
      <w:r w:rsidRPr="00C1694A">
        <w:rPr>
          <w:rFonts w:ascii="Times New Roman" w:eastAsia="Calibri" w:hAnsi="Times New Roman" w:cs="Times New Roman"/>
          <w:i/>
          <w:sz w:val="24"/>
          <w:szCs w:val="24"/>
        </w:rPr>
        <w:t>.</w:t>
      </w:r>
      <w:r w:rsidRPr="00C1694A">
        <w:rPr>
          <w:rFonts w:ascii="Times New Roman" w:hAnsi="Times New Roman" w:cs="Times New Roman"/>
          <w:sz w:val="24"/>
          <w:szCs w:val="24"/>
        </w:rPr>
        <w:t xml:space="preserve"> (1) A program must facilitate further diagnostic testing, e</w:t>
      </w:r>
      <w:r w:rsidR="007C0D42" w:rsidRPr="00C1694A">
        <w:rPr>
          <w:rFonts w:ascii="Times New Roman" w:hAnsi="Times New Roman" w:cs="Times New Roman"/>
          <w:sz w:val="24"/>
          <w:szCs w:val="24"/>
        </w:rPr>
        <w:t xml:space="preserve">valuation, </w:t>
      </w:r>
      <w:r w:rsidRPr="00C1694A">
        <w:rPr>
          <w:rFonts w:ascii="Times New Roman" w:hAnsi="Times New Roman" w:cs="Times New Roman"/>
          <w:sz w:val="24"/>
          <w:szCs w:val="24"/>
        </w:rPr>
        <w:t>treatment,</w:t>
      </w:r>
      <w:r w:rsidR="007C0D42" w:rsidRPr="00C1694A">
        <w:rPr>
          <w:rFonts w:ascii="Times New Roman" w:hAnsi="Times New Roman" w:cs="Times New Roman"/>
          <w:sz w:val="24"/>
          <w:szCs w:val="24"/>
        </w:rPr>
        <w:t xml:space="preserve"> and follow-up plan,</w:t>
      </w:r>
      <w:r w:rsidRPr="00C1694A">
        <w:rPr>
          <w:rFonts w:ascii="Times New Roman" w:hAnsi="Times New Roman" w:cs="Times New Roman"/>
          <w:sz w:val="24"/>
          <w:szCs w:val="24"/>
        </w:rPr>
        <w:t xml:space="preserve"> as appropriate, by a licensed or certified professional for each child with a health </w:t>
      </w:r>
      <w:r w:rsidR="007C0D42" w:rsidRPr="00C1694A">
        <w:rPr>
          <w:rFonts w:ascii="Times New Roman" w:hAnsi="Times New Roman" w:cs="Times New Roman"/>
          <w:sz w:val="24"/>
          <w:szCs w:val="24"/>
        </w:rPr>
        <w:t xml:space="preserve">problem </w:t>
      </w:r>
      <w:r w:rsidRPr="00C1694A">
        <w:rPr>
          <w:rFonts w:ascii="Times New Roman" w:hAnsi="Times New Roman" w:cs="Times New Roman"/>
          <w:sz w:val="24"/>
          <w:szCs w:val="24"/>
        </w:rPr>
        <w:t xml:space="preserve">or developmental </w:t>
      </w:r>
      <w:r w:rsidR="007C0D42" w:rsidRPr="00C1694A">
        <w:rPr>
          <w:rFonts w:ascii="Times New Roman" w:hAnsi="Times New Roman" w:cs="Times New Roman"/>
          <w:sz w:val="24"/>
          <w:szCs w:val="24"/>
        </w:rPr>
        <w:t>delay</w:t>
      </w:r>
      <w:r w:rsidRPr="00C1694A">
        <w:rPr>
          <w:rFonts w:ascii="Times New Roman" w:hAnsi="Times New Roman" w:cs="Times New Roman"/>
          <w:sz w:val="24"/>
          <w:szCs w:val="24"/>
        </w:rPr>
        <w:t>, such as elevated lead levels or abnormal hearing or vision results that may affect child’s development, learning, or behavior.</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A program must develop a system to track referrals and services provided and monitor the implementation of a follow-up plan to meet any treatment needs associated with a health, oral health, social and emotional, or developmental problem.</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A program must assist parents, as needed, in obtaining any prescribed medications, aids or equipment for medical and oral health conditions.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w:t>
      </w:r>
      <w:r w:rsidRPr="00C1694A">
        <w:rPr>
          <w:rFonts w:ascii="Times New Roman" w:hAnsi="Times New Roman" w:cs="Times New Roman"/>
          <w:sz w:val="24"/>
          <w:szCs w:val="24"/>
          <w:u w:val="single"/>
        </w:rPr>
        <w:t>Use of funds</w:t>
      </w:r>
      <w:r w:rsidRPr="00C1694A">
        <w:rPr>
          <w:rFonts w:ascii="Times New Roman" w:hAnsi="Times New Roman" w:cs="Times New Roman"/>
          <w:i/>
          <w:sz w:val="24"/>
          <w:szCs w:val="24"/>
        </w:rPr>
        <w:t>.</w:t>
      </w:r>
      <w:r w:rsidRPr="00C1694A">
        <w:rPr>
          <w:rFonts w:ascii="Times New Roman" w:hAnsi="Times New Roman" w:cs="Times New Roman"/>
          <w:sz w:val="24"/>
          <w:szCs w:val="24"/>
        </w:rPr>
        <w:t xml:space="preserve">  (1) A program must use program funds for the provision of diapers and formula for enrolled children during the program day.</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A program may use program funds for professional medical and oral health services when no other source of funding is available. When program funds are used for such services, grantee and delegate agencies must have written documentation of their efforts to access other available sources of funding.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§1302.43 Oral health practices.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program must promote effective oral health hygiene by ensuring all children with teeth are assisted by appropriate staff, or volunteers, if available, in brushing their teeth with toothpaste containing fluoride once daily.</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§1302.44 Child nutrition.</w:t>
      </w:r>
      <w:r w:rsidRPr="00C1694A" w:rsidDel="001E5102">
        <w:rPr>
          <w:rFonts w:ascii="Times New Roman" w:hAnsi="Times New Roman" w:cs="Times New Roman"/>
          <w:b/>
          <w:sz w:val="24"/>
          <w:szCs w:val="24"/>
        </w:rPr>
        <w:t xml:space="preserve">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Pr="00C1694A">
        <w:rPr>
          <w:rFonts w:ascii="Times New Roman" w:hAnsi="Times New Roman" w:cs="Times New Roman"/>
          <w:sz w:val="24"/>
          <w:szCs w:val="24"/>
          <w:u w:val="single"/>
        </w:rPr>
        <w:t>Nutrition service requirements.</w:t>
      </w:r>
      <w:r w:rsidRPr="00C1694A">
        <w:rPr>
          <w:rFonts w:ascii="Times New Roman" w:hAnsi="Times New Roman" w:cs="Times New Roman"/>
          <w:sz w:val="24"/>
          <w:szCs w:val="24"/>
        </w:rPr>
        <w:t xml:space="preserve">  (1) A program must design and implement nutrition services that are culturally and developmentally appropriate, meet the nutritional needs of and accommodate the feeding requirements of each child, including children with special dietary needs and children with disabilities.  </w:t>
      </w:r>
      <w:r w:rsidR="001049EF" w:rsidRPr="00C1694A">
        <w:rPr>
          <w:rFonts w:ascii="Times New Roman" w:hAnsi="Times New Roman" w:cs="Times New Roman"/>
          <w:sz w:val="24"/>
          <w:szCs w:val="24"/>
        </w:rPr>
        <w:t>Family style meals are encouraged as described in §1302.31(e)(2).</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Specifically, a program must: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Ensure each child in a program that operates for fewer than </w:t>
      </w:r>
      <w:r w:rsidR="00344656" w:rsidRPr="00C1694A">
        <w:rPr>
          <w:rFonts w:ascii="Times New Roman" w:hAnsi="Times New Roman" w:cs="Times New Roman"/>
          <w:sz w:val="24"/>
          <w:szCs w:val="24"/>
        </w:rPr>
        <w:t xml:space="preserve">six </w:t>
      </w:r>
      <w:r w:rsidRPr="00C1694A">
        <w:rPr>
          <w:rFonts w:ascii="Times New Roman" w:hAnsi="Times New Roman" w:cs="Times New Roman"/>
          <w:sz w:val="24"/>
          <w:szCs w:val="24"/>
        </w:rPr>
        <w:t xml:space="preserve">hours per day receives meals and snacks that provide </w:t>
      </w:r>
      <w:r w:rsidR="00BD40D9" w:rsidRPr="00C1694A">
        <w:rPr>
          <w:rFonts w:ascii="Times New Roman" w:hAnsi="Times New Roman" w:cs="Times New Roman"/>
          <w:sz w:val="24"/>
          <w:szCs w:val="24"/>
        </w:rPr>
        <w:t>one third to one half</w:t>
      </w:r>
      <w:r w:rsidRPr="00C1694A">
        <w:rPr>
          <w:rFonts w:ascii="Times New Roman" w:hAnsi="Times New Roman" w:cs="Times New Roman"/>
          <w:sz w:val="24"/>
          <w:szCs w:val="24"/>
        </w:rPr>
        <w:t xml:space="preserve"> of the child’s daily nutritional needs;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Ensure each child in a program that operates for </w:t>
      </w:r>
      <w:r w:rsidR="00344656" w:rsidRPr="00C1694A">
        <w:rPr>
          <w:rFonts w:ascii="Times New Roman" w:hAnsi="Times New Roman" w:cs="Times New Roman"/>
          <w:sz w:val="24"/>
          <w:szCs w:val="24"/>
        </w:rPr>
        <w:t>six</w:t>
      </w:r>
      <w:r w:rsidRPr="00C1694A">
        <w:rPr>
          <w:rFonts w:ascii="Times New Roman" w:hAnsi="Times New Roman" w:cs="Times New Roman"/>
          <w:sz w:val="24"/>
          <w:szCs w:val="24"/>
        </w:rPr>
        <w:t xml:space="preserve"> hours or more per day receives meals and snacks that provide one half to two thirds of the child’s daily nutritional needs, depending upon the length of the program day;</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(iii) Serve </w:t>
      </w:r>
      <w:r w:rsidR="00344656" w:rsidRPr="00C1694A">
        <w:rPr>
          <w:rFonts w:ascii="Times New Roman" w:hAnsi="Times New Roman" w:cs="Times New Roman"/>
          <w:sz w:val="24"/>
          <w:szCs w:val="24"/>
        </w:rPr>
        <w:t>three</w:t>
      </w:r>
      <w:r w:rsidRPr="00C1694A">
        <w:rPr>
          <w:rFonts w:ascii="Times New Roman" w:hAnsi="Times New Roman" w:cs="Times New Roman"/>
          <w:sz w:val="24"/>
          <w:szCs w:val="24"/>
        </w:rPr>
        <w:t xml:space="preserve">- to </w:t>
      </w:r>
      <w:r w:rsidR="00344656" w:rsidRPr="00C1694A">
        <w:rPr>
          <w:rFonts w:ascii="Times New Roman" w:hAnsi="Times New Roman" w:cs="Times New Roman"/>
          <w:sz w:val="24"/>
          <w:szCs w:val="24"/>
        </w:rPr>
        <w:t>five</w:t>
      </w:r>
      <w:r w:rsidRPr="00C1694A">
        <w:rPr>
          <w:rFonts w:ascii="Times New Roman" w:hAnsi="Times New Roman" w:cs="Times New Roman"/>
          <w:sz w:val="24"/>
          <w:szCs w:val="24"/>
        </w:rPr>
        <w:t xml:space="preserve">-year-olds meals and snacks that conform to USDA requirements in 7 CFR parts 210, 220, and 226, and are high in nutrients and low in fat, sugar, and salt;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(iv) Feed infants and toddlers according to their individual developmental readiness and feeding skills as recommended in USDA requirements outlined in 7 CFR parts 210, 220, and 226, and ensure infants and young toddlers are fed on demand to the extent possible;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(v) Ensure bottle-fed infants are never laid down to sleep with a bottle;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(vi) Serve all children in morning center-based settings who have not received breakfast upon arrival at the program a nourishing breakfast;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(vii) Provide appropriate healthy snacks and meals to each child during group socialization activities in the home-based option;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(viii) Promote breastfeeding, including providing facilities to properly store and handle breast milk and make accommodations, as necessary, for mothers who wish to breastfeed during program hours, and if necessary, provide referrals to lactation consultants or counselors;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(ix) Make safe drinking water available to children during the program day.</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Payment sources.</w:t>
      </w:r>
      <w:r w:rsidRPr="00C1694A">
        <w:rPr>
          <w:rFonts w:ascii="Times New Roman" w:hAnsi="Times New Roman" w:cs="Times New Roman"/>
          <w:sz w:val="24"/>
          <w:szCs w:val="24"/>
        </w:rPr>
        <w:t xml:space="preserve">  A program must use funds from USDA Food, Nutrition, and Consumer Services child nutrition programs as the primary source of payment for meal services.  Early Head Start and Head Start funds may be used to cover those allowable costs not covered by the USDA.</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rPr>
      </w:pPr>
      <w:r w:rsidRPr="00C1694A">
        <w:rPr>
          <w:rFonts w:ascii="Times New Roman" w:hAnsi="Times New Roman" w:cs="Times New Roman"/>
          <w:b/>
          <w:sz w:val="24"/>
        </w:rPr>
        <w:t xml:space="preserve">§1302.45 Child mental health and social and emotional well-being.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(a) </w:t>
      </w:r>
      <w:r w:rsidRPr="00C1694A">
        <w:rPr>
          <w:rFonts w:ascii="Times New Roman" w:eastAsia="Times New Roman" w:hAnsi="Times New Roman" w:cs="Times New Roman"/>
          <w:bCs/>
          <w:sz w:val="24"/>
          <w:szCs w:val="24"/>
          <w:u w:val="single"/>
        </w:rPr>
        <w:t>Wellness promotion.</w:t>
      </w:r>
      <w:r w:rsidRPr="00C1694A">
        <w:rPr>
          <w:rFonts w:ascii="Times New Roman" w:eastAsia="Times New Roman" w:hAnsi="Times New Roman" w:cs="Times New Roman"/>
          <w:bCs/>
          <w:sz w:val="24"/>
          <w:szCs w:val="24"/>
        </w:rPr>
        <w:t xml:space="preserve">  To support a program-wide culture that promotes children’s mental health, social and emotional well-being, and overall health, a program must:</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(1) Provide supports for effective classroom management</w:t>
      </w:r>
      <w:r w:rsidR="005D11AA" w:rsidRPr="00C1694A">
        <w:rPr>
          <w:rFonts w:ascii="Times New Roman" w:eastAsia="Times New Roman" w:hAnsi="Times New Roman" w:cs="Times New Roman"/>
          <w:bCs/>
          <w:sz w:val="24"/>
          <w:szCs w:val="24"/>
        </w:rPr>
        <w:t xml:space="preserve"> and positive learning environments</w:t>
      </w:r>
      <w:r w:rsidRPr="00C1694A">
        <w:rPr>
          <w:rFonts w:ascii="Times New Roman" w:eastAsia="Times New Roman" w:hAnsi="Times New Roman" w:cs="Times New Roman"/>
          <w:bCs/>
          <w:sz w:val="24"/>
          <w:szCs w:val="24"/>
        </w:rPr>
        <w:t xml:space="preserve">; supportive teacher practices; and, strategies for supporting children with challenging behaviors and other social, emotional, and mental health concerns;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(2) Secure mental health consultation services on a schedule of sufficient and consistent frequency to ensure a mental health consultant is available to partner with staff and families in a timely and effective manner;</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(3) Obtain parental consent for mental health consultation services at enrollment; and,</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(4) Build community partnerships to facilitate access to additional mental health resources and services, as needed.</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(b) </w:t>
      </w:r>
      <w:r w:rsidRPr="00C1694A">
        <w:rPr>
          <w:rFonts w:ascii="Times New Roman" w:eastAsia="Times New Roman" w:hAnsi="Times New Roman" w:cs="Times New Roman"/>
          <w:bCs/>
          <w:sz w:val="24"/>
          <w:szCs w:val="24"/>
          <w:u w:val="single"/>
        </w:rPr>
        <w:t>Mental health consultants</w:t>
      </w:r>
      <w:r w:rsidRPr="00C1694A">
        <w:rPr>
          <w:rFonts w:ascii="Times New Roman" w:eastAsia="Times New Roman" w:hAnsi="Times New Roman" w:cs="Times New Roman"/>
          <w:bCs/>
          <w:i/>
          <w:sz w:val="24"/>
          <w:szCs w:val="24"/>
        </w:rPr>
        <w:t xml:space="preserve">.  </w:t>
      </w:r>
      <w:r w:rsidRPr="00C1694A">
        <w:rPr>
          <w:rFonts w:ascii="Times New Roman" w:eastAsia="Times New Roman" w:hAnsi="Times New Roman" w:cs="Times New Roman"/>
          <w:bCs/>
          <w:sz w:val="24"/>
          <w:szCs w:val="24"/>
        </w:rPr>
        <w:t>A program must ensure mental health consultants assist:</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 The program to implement strategies to identify and support children with mental health and social and emotional concerns;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(2) Teachers, including family child care providers, to improve classroom management and teacher practices through strategies that include using classroom observations and consultations to address teacher and individual child needs</w:t>
      </w:r>
      <w:r w:rsidR="003F5443" w:rsidRPr="00C1694A">
        <w:rPr>
          <w:rFonts w:ascii="Times New Roman" w:eastAsia="Times New Roman" w:hAnsi="Times New Roman" w:cs="Times New Roman"/>
          <w:bCs/>
          <w:sz w:val="24"/>
          <w:szCs w:val="24"/>
        </w:rPr>
        <w:t xml:space="preserve"> and creating  physical and cultural environments that promote positive mental health and social and emotional functioning</w:t>
      </w:r>
      <w:r w:rsidR="003F5443" w:rsidRPr="00C1694A">
        <w:rPr>
          <w:rFonts w:ascii="Times New Roman" w:hAnsi="Times New Roman" w:cs="Times New Roman"/>
        </w:rPr>
        <w:t xml:space="preserve"> </w:t>
      </w:r>
      <w:r w:rsidRPr="00C1694A">
        <w:rPr>
          <w:rFonts w:ascii="Times New Roman" w:eastAsia="Times New Roman" w:hAnsi="Times New Roman" w:cs="Times New Roman"/>
          <w:bCs/>
          <w:sz w:val="24"/>
          <w:szCs w:val="24"/>
        </w:rPr>
        <w:t>;</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(3) Other staff, including home visitors, to meet children’s mental health and social and emotional needs through strategies that include observation and consultation;</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(4) Staff to address prevalent child mental health concerns, including internalizing problems such as appearing withdrawn and externalizing problems such as challenging behaviors; and,</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(5) In helping </w:t>
      </w:r>
      <w:r w:rsidR="00405273" w:rsidRPr="00C1694A">
        <w:rPr>
          <w:rFonts w:ascii="Times New Roman" w:eastAsia="Times New Roman" w:hAnsi="Times New Roman" w:cs="Times New Roman"/>
          <w:bCs/>
          <w:sz w:val="24"/>
          <w:szCs w:val="24"/>
        </w:rPr>
        <w:t>both</w:t>
      </w:r>
      <w:r w:rsidRPr="00C1694A">
        <w:rPr>
          <w:rFonts w:ascii="Times New Roman" w:eastAsia="Times New Roman" w:hAnsi="Times New Roman" w:cs="Times New Roman"/>
          <w:bCs/>
          <w:sz w:val="24"/>
          <w:szCs w:val="24"/>
        </w:rPr>
        <w:t xml:space="preserve"> parents </w:t>
      </w:r>
      <w:r w:rsidR="00984C0D" w:rsidRPr="00C1694A">
        <w:rPr>
          <w:rFonts w:ascii="Times New Roman" w:eastAsia="Times New Roman" w:hAnsi="Times New Roman" w:cs="Times New Roman"/>
          <w:bCs/>
          <w:sz w:val="24"/>
          <w:szCs w:val="24"/>
        </w:rPr>
        <w:t xml:space="preserve">and staff </w:t>
      </w:r>
      <w:r w:rsidRPr="00C1694A">
        <w:rPr>
          <w:rFonts w:ascii="Times New Roman" w:eastAsia="Times New Roman" w:hAnsi="Times New Roman" w:cs="Times New Roman"/>
          <w:bCs/>
          <w:sz w:val="24"/>
          <w:szCs w:val="24"/>
        </w:rPr>
        <w:t>to understand mental health and access mental health interventions, if needed.</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(6) In the implementation of the policies to limit suspension and prohibit expulsion as described in </w:t>
      </w:r>
      <w:r w:rsidRPr="00C1694A">
        <w:rPr>
          <w:rFonts w:ascii="Times New Roman" w:hAnsi="Times New Roman" w:cs="Times New Roman"/>
          <w:sz w:val="24"/>
        </w:rPr>
        <w:t>§</w:t>
      </w:r>
      <w:r w:rsidRPr="00C1694A">
        <w:rPr>
          <w:rFonts w:ascii="Times New Roman" w:eastAsia="Times New Roman" w:hAnsi="Times New Roman" w:cs="Times New Roman"/>
          <w:bCs/>
          <w:sz w:val="24"/>
          <w:szCs w:val="24"/>
        </w:rPr>
        <w:t>1302.17.</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line="480" w:lineRule="auto"/>
        <w:rPr>
          <w:rFonts w:ascii="Times New Roman" w:hAnsi="Times New Roman" w:cs="Times New Roman"/>
          <w:b/>
          <w:sz w:val="24"/>
          <w:szCs w:val="24"/>
        </w:rPr>
      </w:pPr>
      <w:r w:rsidRPr="00C1694A">
        <w:rPr>
          <w:rFonts w:ascii="Times New Roman" w:hAnsi="Times New Roman" w:cs="Times New Roman"/>
          <w:b/>
          <w:sz w:val="24"/>
          <w:szCs w:val="24"/>
        </w:rPr>
        <w:t>§1302.46 Family support services for health, nutrition, and mental health.</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(a) </w:t>
      </w:r>
      <w:r w:rsidRPr="00C1694A">
        <w:rPr>
          <w:rFonts w:ascii="Times New Roman" w:eastAsia="Times New Roman" w:hAnsi="Times New Roman" w:cs="Times New Roman"/>
          <w:bCs/>
          <w:sz w:val="24"/>
          <w:szCs w:val="24"/>
          <w:u w:val="single"/>
        </w:rPr>
        <w:t>Parent collaboration</w:t>
      </w:r>
      <w:r w:rsidRPr="00C1694A">
        <w:rPr>
          <w:rFonts w:ascii="Times New Roman" w:eastAsia="Times New Roman" w:hAnsi="Times New Roman" w:cs="Times New Roman"/>
          <w:bCs/>
          <w:sz w:val="24"/>
          <w:szCs w:val="24"/>
        </w:rPr>
        <w:t xml:space="preserve">. Programs must collaborate with parents to promote children’s health and well-being by providing medical, oral, nutrition and mental health education support services that are understandable to individuals, including individuals with low health literacy.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(b) </w:t>
      </w:r>
      <w:r w:rsidRPr="00C1694A">
        <w:rPr>
          <w:rFonts w:ascii="Times New Roman" w:eastAsia="Times New Roman" w:hAnsi="Times New Roman" w:cs="Times New Roman"/>
          <w:bCs/>
          <w:sz w:val="24"/>
          <w:szCs w:val="24"/>
          <w:u w:val="single"/>
        </w:rPr>
        <w:t>Opportunities</w:t>
      </w:r>
      <w:r w:rsidRPr="00C1694A">
        <w:rPr>
          <w:rFonts w:ascii="Times New Roman" w:eastAsia="Times New Roman" w:hAnsi="Times New Roman" w:cs="Times New Roman"/>
          <w:bCs/>
          <w:sz w:val="24"/>
          <w:szCs w:val="24"/>
        </w:rPr>
        <w:t>. (1) Such collaboration must include opportunities for parents to:</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(i) Learn about preventive medical and oral health care, emergency first aid, environmental hazards, and </w:t>
      </w:r>
      <w:r w:rsidR="003C319C" w:rsidRPr="00C1694A">
        <w:rPr>
          <w:rFonts w:ascii="Times New Roman" w:eastAsia="Times New Roman" w:hAnsi="Times New Roman" w:cs="Times New Roman"/>
          <w:bCs/>
          <w:sz w:val="24"/>
          <w:szCs w:val="24"/>
        </w:rPr>
        <w:t xml:space="preserve">health and </w:t>
      </w:r>
      <w:r w:rsidRPr="00C1694A">
        <w:rPr>
          <w:rFonts w:ascii="Times New Roman" w:eastAsia="Times New Roman" w:hAnsi="Times New Roman" w:cs="Times New Roman"/>
          <w:bCs/>
          <w:sz w:val="24"/>
          <w:szCs w:val="24"/>
        </w:rPr>
        <w:t>safety practices for the home</w:t>
      </w:r>
      <w:r w:rsidR="003C319C" w:rsidRPr="00C1694A">
        <w:rPr>
          <w:rFonts w:ascii="Times New Roman" w:eastAsia="Times New Roman" w:hAnsi="Times New Roman" w:cs="Times New Roman"/>
          <w:bCs/>
          <w:sz w:val="24"/>
          <w:szCs w:val="24"/>
        </w:rPr>
        <w:t xml:space="preserve"> including health and developmental consequences of tobacco products use and exposure to lead, and safe sleep</w:t>
      </w:r>
      <w:r w:rsidRPr="00C1694A">
        <w:rPr>
          <w:rFonts w:ascii="Times New Roman" w:eastAsia="Times New Roman" w:hAnsi="Times New Roman" w:cs="Times New Roman"/>
          <w:bCs/>
          <w:sz w:val="24"/>
          <w:szCs w:val="24"/>
        </w:rPr>
        <w:t>;</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(ii) Discuss their child’s nutritional status with staff, including the importance of physical activity, healthy eating, and the negative health consequences of sugar-sweetened beverages, and how to select and prepare nutritious foods that meet the family’s nutrition and food budget needs;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(iii) Learn about healthy pregnancy and postpartum care, as appropriate, including breastfeeding support and treatment options for parental mental health or substance abuse problems</w:t>
      </w:r>
      <w:r w:rsidR="003F5443" w:rsidRPr="00C1694A">
        <w:rPr>
          <w:rFonts w:ascii="Times New Roman" w:eastAsia="Times New Roman" w:hAnsi="Times New Roman" w:cs="Times New Roman"/>
          <w:bCs/>
          <w:sz w:val="24"/>
          <w:szCs w:val="24"/>
        </w:rPr>
        <w:t>, including perinatal depression</w:t>
      </w:r>
      <w:r w:rsidRPr="00C1694A">
        <w:rPr>
          <w:rFonts w:ascii="Times New Roman" w:eastAsia="Times New Roman" w:hAnsi="Times New Roman" w:cs="Times New Roman"/>
          <w:bCs/>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(iv) Discuss with staff and identify issues related to child mental health and social and emotional well-being, including observations and any concerns about their child’s mental health, typical and atypical behavior and development, and how to appropriately respond to their child and promote their child’s social and emotional development; and,</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rPr>
      </w:pPr>
      <w:r w:rsidRPr="00C1694A">
        <w:rPr>
          <w:rFonts w:ascii="Times New Roman" w:eastAsia="Times New Roman" w:hAnsi="Times New Roman" w:cs="Times New Roman"/>
          <w:bCs/>
          <w:sz w:val="24"/>
        </w:rPr>
        <w:t>(v) Learn about appropriate vehicle and pedestrian safety for keeping children safe.</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(2) A program must provide ongoing support to assist parents’ navigation through health systems to meet the general health and specifically identified needs of their children and must assist parents: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 In understanding how to access health insurance for themselves and their families, including information about private and public health insurance and designated enrollment periods;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(ii) In understanding the results of diagnostic and treatment procedures as well as plans for ongoing care; and,</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rPr>
      </w:pPr>
      <w:r w:rsidRPr="00C1694A">
        <w:rPr>
          <w:rFonts w:ascii="Times New Roman" w:eastAsia="Times New Roman" w:hAnsi="Times New Roman" w:cs="Times New Roman"/>
          <w:bCs/>
          <w:sz w:val="24"/>
          <w:szCs w:val="24"/>
        </w:rPr>
        <w:t>(iii) In familiarizing their children with services they will receive while enrolled in the program and</w:t>
      </w:r>
      <w:r w:rsidRPr="00C1694A">
        <w:rPr>
          <w:rFonts w:ascii="Times New Roman" w:hAnsi="Times New Roman" w:cs="Times New Roman"/>
          <w:sz w:val="24"/>
        </w:rPr>
        <w:t xml:space="preserve"> to enroll and participate in a system of ongoing family health care. </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hAnsi="Times New Roman" w:cs="Times New Roman"/>
          <w:b/>
          <w:sz w:val="24"/>
          <w:szCs w:val="24"/>
        </w:rPr>
        <w:t xml:space="preserve">§1302.47 Safety practices.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 </w:t>
      </w: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(a) A program must establish, train staff on, implement, and enforce a system of health and safety practices that ensure children are kept safe at all times. A program should consult </w:t>
      </w:r>
      <w:r w:rsidRPr="00C1694A">
        <w:rPr>
          <w:rFonts w:ascii="Times New Roman" w:eastAsia="Times New Roman" w:hAnsi="Times New Roman" w:cs="Times New Roman"/>
          <w:bCs/>
          <w:sz w:val="24"/>
          <w:szCs w:val="24"/>
          <w:u w:val="single"/>
        </w:rPr>
        <w:t>Caring for our Children Basics</w:t>
      </w:r>
      <w:r w:rsidR="0032545E">
        <w:rPr>
          <w:rFonts w:ascii="Times New Roman" w:eastAsia="Times New Roman" w:hAnsi="Times New Roman" w:cs="Times New Roman"/>
          <w:bCs/>
          <w:sz w:val="24"/>
          <w:szCs w:val="24"/>
        </w:rPr>
        <w:t xml:space="preserve">, </w:t>
      </w:r>
      <w:r w:rsidR="0032545E" w:rsidRPr="001E00C8">
        <w:rPr>
          <w:rFonts w:ascii="Times New Roman" w:eastAsia="Times New Roman" w:hAnsi="Times New Roman" w:cs="Times New Roman"/>
          <w:bCs/>
          <w:sz w:val="24"/>
          <w:szCs w:val="24"/>
        </w:rPr>
        <w:t xml:space="preserve">available at </w:t>
      </w:r>
      <w:hyperlink r:id="rId9" w:history="1">
        <w:r w:rsidR="0032545E" w:rsidRPr="00763C15">
          <w:rPr>
            <w:rStyle w:val="Hyperlink"/>
            <w:rFonts w:ascii="Times New Roman" w:eastAsia="Times New Roman" w:hAnsi="Times New Roman" w:cs="Times New Roman"/>
            <w:bCs/>
            <w:sz w:val="24"/>
            <w:szCs w:val="24"/>
          </w:rPr>
          <w:t>http://www.acf.hhs.gov/sites/default/files/ecd/caring_for_our_children_basics.pdf</w:t>
        </w:r>
      </w:hyperlink>
      <w:r w:rsidR="0032545E">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bCs/>
          <w:sz w:val="24"/>
          <w:szCs w:val="24"/>
        </w:rPr>
        <w:t xml:space="preserve"> for additional information to develop and implement adequate safety policies and practices described in this part. </w:t>
      </w: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bCs/>
          <w:sz w:val="24"/>
          <w:szCs w:val="24"/>
        </w:rPr>
      </w:pP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(b) A program must develop and implement a system of management, including ongoing training, oversight, correction and continuous improvement in accordance with §1302.102, that includes policies and practices to ensure all facilities, equipment and materials, background checks, safety training, safety and hygiene practices and administrative safety procedures are adequate to ensure child safety. This system must ensure:   </w:t>
      </w:r>
    </w:p>
    <w:p w:rsidR="00C03FE8" w:rsidRPr="00C1694A" w:rsidRDefault="00C03FE8"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 </w:t>
      </w:r>
      <w:r w:rsidRPr="00C1694A">
        <w:rPr>
          <w:rFonts w:ascii="Times New Roman" w:hAnsi="Times New Roman" w:cs="Times New Roman"/>
          <w:sz w:val="24"/>
          <w:szCs w:val="24"/>
          <w:u w:val="single"/>
        </w:rPr>
        <w:t>Facilities.</w:t>
      </w:r>
      <w:r w:rsidRPr="00C1694A">
        <w:rPr>
          <w:rFonts w:ascii="Times New Roman" w:eastAsia="Times New Roman" w:hAnsi="Times New Roman" w:cs="Times New Roman"/>
          <w:bCs/>
          <w:sz w:val="24"/>
          <w:szCs w:val="24"/>
        </w:rPr>
        <w:t xml:space="preserve"> </w:t>
      </w:r>
      <w:r w:rsidR="00344656" w:rsidRPr="00C1694A">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bCs/>
          <w:sz w:val="24"/>
          <w:szCs w:val="24"/>
        </w:rPr>
        <w:t>All facilities where children are served, including areas for learning, playing, sleeping, toileting, and eating are, at a minimum:</w:t>
      </w: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(i) Meet licensing requirements in accordance with </w:t>
      </w:r>
      <w:r w:rsidRPr="00C1694A">
        <w:rPr>
          <w:rFonts w:ascii="Times New Roman" w:hAnsi="Times New Roman" w:cs="Times New Roman"/>
          <w:sz w:val="24"/>
          <w:szCs w:val="24"/>
        </w:rPr>
        <w:t>§§</w:t>
      </w:r>
      <w:r w:rsidRPr="00C1694A">
        <w:rPr>
          <w:rFonts w:ascii="Times New Roman" w:eastAsia="Times New Roman" w:hAnsi="Times New Roman" w:cs="Times New Roman"/>
          <w:bCs/>
          <w:sz w:val="24"/>
          <w:szCs w:val="24"/>
        </w:rPr>
        <w:t>1302.21(d)(1) and 1302.23(d);</w:t>
      </w: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(ii) Clean and free from pests;</w:t>
      </w: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(iii) Free from pollutants, hazards and toxins that are accessible to children and could endanger children’s safety;</w:t>
      </w: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(iv) Designed to prevent child injury and free from hazards, including choking, strangulation, electrical, and drowning hazards, hazards posed by appliances and all other safety hazards;</w:t>
      </w: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(v) Well lit, including emergency lighting; </w:t>
      </w: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(vi) Equipped with safety supplies that are readily accessible to staff, including, at a minimum, fully-equipped and up-to-date first aid kits and appropriate fire safety supplies;  </w:t>
      </w:r>
    </w:p>
    <w:p w:rsidR="00C03FE8" w:rsidRPr="00C1694A" w:rsidRDefault="00C03FE8" w:rsidP="00AC521C">
      <w:pPr>
        <w:tabs>
          <w:tab w:val="left" w:pos="360"/>
        </w:tabs>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(vii) Free from firearms or other weapons that are accessible to children;</w:t>
      </w:r>
    </w:p>
    <w:p w:rsidR="00C03FE8" w:rsidRPr="00C1694A" w:rsidRDefault="00C03FE8" w:rsidP="00AC521C">
      <w:pPr>
        <w:tabs>
          <w:tab w:val="left" w:pos="360"/>
        </w:tabs>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bCs/>
          <w:sz w:val="24"/>
          <w:szCs w:val="24"/>
        </w:rPr>
        <w:t>(viii) Designed to separate t</w:t>
      </w:r>
      <w:r w:rsidRPr="00C1694A">
        <w:rPr>
          <w:rFonts w:ascii="Times New Roman" w:hAnsi="Times New Roman" w:cs="Times New Roman"/>
          <w:sz w:val="24"/>
          <w:szCs w:val="24"/>
        </w:rPr>
        <w:t>oileting and diapering areas from areas for preparing food, cooking, eating, or children’s activities;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(ix) Kept safe through an ongoing system of preventative maintenance.</w:t>
      </w: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(2) </w:t>
      </w:r>
      <w:r w:rsidRPr="00C1694A">
        <w:rPr>
          <w:rFonts w:ascii="Times New Roman" w:hAnsi="Times New Roman" w:cs="Times New Roman"/>
          <w:sz w:val="24"/>
          <w:szCs w:val="24"/>
          <w:u w:val="single"/>
        </w:rPr>
        <w:t>Equipment and materials</w:t>
      </w:r>
      <w:r w:rsidRPr="00C1694A">
        <w:rPr>
          <w:rFonts w:ascii="Times New Roman" w:eastAsia="Times New Roman" w:hAnsi="Times New Roman" w:cs="Times New Roman"/>
          <w:bCs/>
          <w:sz w:val="24"/>
          <w:szCs w:val="24"/>
        </w:rPr>
        <w:t xml:space="preserve">. Indoor and outdoor play equipment, cribs, cots, </w:t>
      </w:r>
      <w:r w:rsidR="00D42C8C">
        <w:rPr>
          <w:rFonts w:ascii="Times New Roman" w:eastAsia="Times New Roman" w:hAnsi="Times New Roman" w:cs="Times New Roman"/>
          <w:bCs/>
          <w:sz w:val="24"/>
          <w:szCs w:val="24"/>
        </w:rPr>
        <w:t>feeding</w:t>
      </w:r>
      <w:r w:rsidR="00D42C8C" w:rsidRPr="00C1694A">
        <w:rPr>
          <w:rFonts w:ascii="Times New Roman" w:eastAsia="Times New Roman" w:hAnsi="Times New Roman" w:cs="Times New Roman"/>
          <w:bCs/>
          <w:sz w:val="24"/>
          <w:szCs w:val="24"/>
        </w:rPr>
        <w:t xml:space="preserve"> </w:t>
      </w:r>
      <w:r w:rsidR="00004D19" w:rsidRPr="00C1694A">
        <w:rPr>
          <w:rFonts w:ascii="Times New Roman" w:eastAsia="Times New Roman" w:hAnsi="Times New Roman" w:cs="Times New Roman"/>
          <w:bCs/>
          <w:sz w:val="24"/>
          <w:szCs w:val="24"/>
        </w:rPr>
        <w:t>chair</w:t>
      </w:r>
      <w:r w:rsidR="00D42C8C">
        <w:rPr>
          <w:rFonts w:ascii="Times New Roman" w:eastAsia="Times New Roman" w:hAnsi="Times New Roman" w:cs="Times New Roman"/>
          <w:bCs/>
          <w:sz w:val="24"/>
          <w:szCs w:val="24"/>
        </w:rPr>
        <w:t>s</w:t>
      </w:r>
      <w:r w:rsidR="00004D19" w:rsidRPr="00C1694A">
        <w:rPr>
          <w:rFonts w:ascii="Times New Roman" w:eastAsia="Times New Roman" w:hAnsi="Times New Roman" w:cs="Times New Roman"/>
          <w:bCs/>
          <w:sz w:val="24"/>
          <w:szCs w:val="24"/>
        </w:rPr>
        <w:t xml:space="preserve">, strollers, </w:t>
      </w:r>
      <w:r w:rsidR="003070D6" w:rsidRPr="00C1694A">
        <w:rPr>
          <w:rFonts w:ascii="Times New Roman" w:eastAsia="Times New Roman" w:hAnsi="Times New Roman" w:cs="Times New Roman"/>
          <w:bCs/>
          <w:sz w:val="24"/>
          <w:szCs w:val="24"/>
        </w:rPr>
        <w:t>and other</w:t>
      </w:r>
      <w:r w:rsidR="00B26E5E" w:rsidRPr="00C1694A">
        <w:rPr>
          <w:rFonts w:ascii="Times New Roman" w:eastAsia="Times New Roman" w:hAnsi="Times New Roman" w:cs="Times New Roman"/>
          <w:bCs/>
          <w:sz w:val="24"/>
          <w:szCs w:val="24"/>
        </w:rPr>
        <w:t xml:space="preserve"> equipment</w:t>
      </w:r>
      <w:r w:rsidR="003070D6" w:rsidRPr="00C1694A">
        <w:rPr>
          <w:rFonts w:ascii="Times New Roman" w:eastAsia="Times New Roman" w:hAnsi="Times New Roman" w:cs="Times New Roman"/>
          <w:bCs/>
          <w:sz w:val="24"/>
          <w:szCs w:val="24"/>
        </w:rPr>
        <w:t xml:space="preserve"> used in the care of enrolled children</w:t>
      </w:r>
      <w:r w:rsidR="00B26E5E" w:rsidRPr="00C1694A">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bCs/>
          <w:sz w:val="24"/>
          <w:szCs w:val="24"/>
        </w:rPr>
        <w:t>and as applicable, other equipment and materials meet standards set by the Consumer Product Safety Commission (CPSC) or the American Society for Testing and Materials, International (ASTM)</w:t>
      </w:r>
      <w:r w:rsidR="00E34090" w:rsidRPr="00C1694A">
        <w:rPr>
          <w:rFonts w:ascii="Times New Roman" w:eastAsia="Times New Roman" w:hAnsi="Times New Roman" w:cs="Times New Roman"/>
          <w:bCs/>
          <w:sz w:val="24"/>
          <w:szCs w:val="24"/>
        </w:rPr>
        <w:t>. All equipment and materials must</w:t>
      </w:r>
      <w:r w:rsidRPr="00C1694A">
        <w:rPr>
          <w:rFonts w:ascii="Times New Roman" w:eastAsia="Times New Roman" w:hAnsi="Times New Roman" w:cs="Times New Roman"/>
          <w:bCs/>
          <w:sz w:val="24"/>
          <w:szCs w:val="24"/>
        </w:rPr>
        <w:t xml:space="preserve"> at a minimum: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(i) </w:t>
      </w:r>
      <w:r w:rsidR="00E34090" w:rsidRPr="00C1694A">
        <w:rPr>
          <w:rFonts w:ascii="Times New Roman" w:eastAsia="Times New Roman" w:hAnsi="Times New Roman" w:cs="Times New Roman"/>
          <w:bCs/>
          <w:sz w:val="24"/>
          <w:szCs w:val="24"/>
        </w:rPr>
        <w:t xml:space="preserve">Be </w:t>
      </w:r>
      <w:r w:rsidRPr="00C1694A">
        <w:rPr>
          <w:rFonts w:ascii="Times New Roman" w:eastAsia="Times New Roman" w:hAnsi="Times New Roman" w:cs="Times New Roman"/>
          <w:bCs/>
          <w:sz w:val="24"/>
          <w:szCs w:val="24"/>
        </w:rPr>
        <w:t xml:space="preserve">clean and safe for children’s use and are appropriately disinfected;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(ii) </w:t>
      </w:r>
      <w:r w:rsidR="00E34090" w:rsidRPr="00C1694A">
        <w:rPr>
          <w:rFonts w:ascii="Times New Roman" w:eastAsia="Times New Roman" w:hAnsi="Times New Roman" w:cs="Times New Roman"/>
          <w:bCs/>
          <w:sz w:val="24"/>
          <w:szCs w:val="24"/>
        </w:rPr>
        <w:t xml:space="preserve">Be </w:t>
      </w:r>
      <w:r w:rsidRPr="00C1694A">
        <w:rPr>
          <w:rFonts w:ascii="Times New Roman" w:eastAsia="Times New Roman" w:hAnsi="Times New Roman" w:cs="Times New Roman"/>
          <w:bCs/>
          <w:sz w:val="24"/>
          <w:szCs w:val="24"/>
        </w:rPr>
        <w:t xml:space="preserve">accessible only to children for whom they are age appropriate;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(iii) </w:t>
      </w:r>
      <w:r w:rsidR="00E34090" w:rsidRPr="00C1694A">
        <w:rPr>
          <w:rFonts w:ascii="Times New Roman" w:eastAsia="Times New Roman" w:hAnsi="Times New Roman" w:cs="Times New Roman"/>
          <w:bCs/>
          <w:sz w:val="24"/>
          <w:szCs w:val="24"/>
        </w:rPr>
        <w:t xml:space="preserve">Be </w:t>
      </w:r>
      <w:r w:rsidRPr="00C1694A">
        <w:rPr>
          <w:rFonts w:ascii="Times New Roman" w:eastAsia="Times New Roman" w:hAnsi="Times New Roman" w:cs="Times New Roman"/>
          <w:bCs/>
          <w:sz w:val="24"/>
          <w:szCs w:val="24"/>
        </w:rPr>
        <w:t xml:space="preserve">designed to ensure appropriate supervision of children at all times;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(iv) Allow for the separation of infants and toddlers from preschoolers during play in center-based programs; and,</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(v) </w:t>
      </w:r>
      <w:r w:rsidR="00E34090" w:rsidRPr="00C1694A">
        <w:rPr>
          <w:rFonts w:ascii="Times New Roman" w:eastAsia="Times New Roman" w:hAnsi="Times New Roman" w:cs="Times New Roman"/>
          <w:bCs/>
          <w:sz w:val="24"/>
          <w:szCs w:val="24"/>
        </w:rPr>
        <w:t xml:space="preserve">Be </w:t>
      </w:r>
      <w:r w:rsidRPr="00C1694A">
        <w:rPr>
          <w:rFonts w:ascii="Times New Roman" w:eastAsia="Times New Roman" w:hAnsi="Times New Roman" w:cs="Times New Roman"/>
          <w:bCs/>
          <w:sz w:val="24"/>
          <w:szCs w:val="24"/>
        </w:rPr>
        <w:t>kept safe through an ongoing system of preventative maintenance.</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45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(3) </w:t>
      </w:r>
      <w:r w:rsidRPr="00C1694A">
        <w:rPr>
          <w:rFonts w:ascii="Times New Roman" w:hAnsi="Times New Roman" w:cs="Times New Roman"/>
          <w:sz w:val="24"/>
          <w:szCs w:val="24"/>
          <w:u w:val="single"/>
        </w:rPr>
        <w:t>Background checks</w:t>
      </w:r>
      <w:r w:rsidRPr="00C1694A">
        <w:rPr>
          <w:rFonts w:ascii="Times New Roman" w:eastAsia="Times New Roman" w:hAnsi="Times New Roman" w:cs="Times New Roman"/>
          <w:bCs/>
          <w:sz w:val="24"/>
          <w:szCs w:val="24"/>
        </w:rPr>
        <w:t xml:space="preserve">. All staff have complete background checks in accordance with </w:t>
      </w:r>
      <w:r w:rsidRPr="00C1694A">
        <w:rPr>
          <w:rFonts w:ascii="Times New Roman" w:hAnsi="Times New Roman" w:cs="Times New Roman"/>
          <w:sz w:val="24"/>
          <w:szCs w:val="24"/>
        </w:rPr>
        <w:t>§</w:t>
      </w:r>
      <w:r w:rsidRPr="00C1694A">
        <w:rPr>
          <w:rFonts w:ascii="Times New Roman" w:eastAsia="Times New Roman" w:hAnsi="Times New Roman" w:cs="Times New Roman"/>
          <w:bCs/>
          <w:sz w:val="24"/>
          <w:szCs w:val="24"/>
        </w:rPr>
        <w:t xml:space="preserve">1302.90(b). </w:t>
      </w:r>
    </w:p>
    <w:p w:rsidR="00C03FE8" w:rsidRPr="00C1694A" w:rsidRDefault="00C03FE8" w:rsidP="00AC521C">
      <w:pPr>
        <w:tabs>
          <w:tab w:val="left" w:pos="450"/>
        </w:tabs>
        <w:spacing w:after="0" w:line="480" w:lineRule="auto"/>
        <w:rPr>
          <w:rFonts w:ascii="Times New Roman" w:eastAsia="Times New Roman" w:hAnsi="Times New Roman" w:cs="Times New Roman"/>
          <w:bCs/>
          <w:sz w:val="24"/>
          <w:szCs w:val="24"/>
        </w:rPr>
      </w:pPr>
    </w:p>
    <w:p w:rsidR="00C03FE8" w:rsidRPr="00C1694A" w:rsidRDefault="00C03FE8" w:rsidP="00AC521C">
      <w:pPr>
        <w:tabs>
          <w:tab w:val="left" w:pos="45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(4) </w:t>
      </w:r>
      <w:r w:rsidRPr="00C1694A">
        <w:rPr>
          <w:rFonts w:ascii="Times New Roman" w:hAnsi="Times New Roman" w:cs="Times New Roman"/>
          <w:sz w:val="24"/>
          <w:szCs w:val="24"/>
          <w:u w:val="single"/>
        </w:rPr>
        <w:t>Safety training</w:t>
      </w:r>
      <w:r w:rsidR="006D50B8">
        <w:rPr>
          <w:rFonts w:ascii="Times New Roman" w:eastAsia="Times New Roman" w:hAnsi="Times New Roman" w:cs="Times New Roman"/>
          <w:bCs/>
          <w:sz w:val="24"/>
          <w:szCs w:val="24"/>
        </w:rPr>
        <w:t>--</w:t>
      </w:r>
      <w:r w:rsidRPr="00C1694A">
        <w:rPr>
          <w:rFonts w:ascii="Times New Roman" w:eastAsia="Times New Roman" w:hAnsi="Times New Roman" w:cs="Times New Roman"/>
          <w:bCs/>
          <w:sz w:val="24"/>
          <w:szCs w:val="24"/>
        </w:rPr>
        <w:t xml:space="preserve">(i) </w:t>
      </w:r>
      <w:r w:rsidRPr="00C1694A">
        <w:rPr>
          <w:rFonts w:ascii="Times New Roman" w:eastAsia="Times New Roman" w:hAnsi="Times New Roman" w:cs="Times New Roman"/>
          <w:bCs/>
          <w:sz w:val="24"/>
          <w:szCs w:val="24"/>
          <w:u w:val="single"/>
        </w:rPr>
        <w:t>Staff with regular child contact</w:t>
      </w:r>
      <w:r w:rsidRPr="00C1694A">
        <w:rPr>
          <w:rFonts w:ascii="Times New Roman" w:eastAsia="Times New Roman" w:hAnsi="Times New Roman" w:cs="Times New Roman"/>
          <w:bCs/>
          <w:sz w:val="24"/>
          <w:szCs w:val="24"/>
        </w:rPr>
        <w:t>. All staff with regular child contact have initial orientation training within three months of hire and ongoing training in all state, local, tribal, federal and program-developed health, safety and child care requirements to ensure the safety of children in their care; including, at a minimum, and as appropriate based on staff roles and ages of children they work with, training in:</w:t>
      </w:r>
    </w:p>
    <w:p w:rsidR="00C03FE8" w:rsidRPr="00C1694A" w:rsidRDefault="00C03FE8" w:rsidP="00AC521C">
      <w:pPr>
        <w:tabs>
          <w:tab w:val="left" w:pos="450"/>
        </w:tabs>
        <w:spacing w:after="0" w:line="480" w:lineRule="auto"/>
        <w:rPr>
          <w:rFonts w:ascii="Times New Roman" w:eastAsia="Times New Roman" w:hAnsi="Times New Roman" w:cs="Times New Roman"/>
          <w:bCs/>
          <w:sz w:val="24"/>
          <w:szCs w:val="24"/>
        </w:rPr>
      </w:pP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eastAsia="Times New Roman" w:hAnsi="Times New Roman" w:cs="Times New Roman"/>
          <w:bCs/>
          <w:sz w:val="24"/>
          <w:szCs w:val="24"/>
        </w:rPr>
        <w:tab/>
      </w:r>
      <w:r w:rsidR="00C03FE8" w:rsidRPr="00C1694A">
        <w:rPr>
          <w:rFonts w:ascii="Times New Roman" w:eastAsia="Times New Roman" w:hAnsi="Times New Roman" w:cs="Times New Roman"/>
          <w:bCs/>
          <w:sz w:val="24"/>
          <w:szCs w:val="24"/>
        </w:rPr>
        <w:t xml:space="preserve">(A) </w:t>
      </w:r>
      <w:r w:rsidR="0087097D" w:rsidRPr="00C1694A">
        <w:rPr>
          <w:rFonts w:ascii="Times New Roman" w:hAnsi="Times New Roman" w:cs="Times New Roman"/>
          <w:sz w:val="24"/>
          <w:szCs w:val="24"/>
        </w:rPr>
        <w:t>The prevention and control of infectious diseases</w:t>
      </w:r>
      <w:r w:rsidRPr="00C1694A">
        <w:rPr>
          <w:rFonts w:ascii="Times New Roman" w:hAnsi="Times New Roman" w:cs="Times New Roman"/>
          <w:sz w:val="24"/>
          <w:szCs w:val="24"/>
        </w:rPr>
        <w:t>;</w:t>
      </w:r>
      <w:r w:rsidR="0087097D" w:rsidRPr="00C1694A">
        <w:rPr>
          <w:rFonts w:ascii="Times New Roman" w:hAnsi="Times New Roman" w:cs="Times New Roman"/>
          <w:sz w:val="24"/>
          <w:szCs w:val="24"/>
        </w:rPr>
        <w:t xml:space="preserve">   </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 xml:space="preserve">(B) Prevention of sudden infant death syndrome and </w:t>
      </w:r>
      <w:r w:rsidRPr="00C1694A">
        <w:rPr>
          <w:rFonts w:ascii="Times New Roman" w:hAnsi="Times New Roman" w:cs="Times New Roman"/>
          <w:sz w:val="24"/>
          <w:szCs w:val="24"/>
        </w:rPr>
        <w:t>use of safe sleeping practices;</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(C) Administration of medication, consistent with sta</w:t>
      </w:r>
      <w:r w:rsidRPr="00C1694A">
        <w:rPr>
          <w:rFonts w:ascii="Times New Roman" w:hAnsi="Times New Roman" w:cs="Times New Roman"/>
          <w:sz w:val="24"/>
          <w:szCs w:val="24"/>
        </w:rPr>
        <w:t xml:space="preserve">ndards for parental consent;   </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(D) Prevention and response to emergencies due to food and allergic rea</w:t>
      </w:r>
      <w:r w:rsidRPr="00C1694A">
        <w:rPr>
          <w:rFonts w:ascii="Times New Roman" w:hAnsi="Times New Roman" w:cs="Times New Roman"/>
          <w:sz w:val="24"/>
          <w:szCs w:val="24"/>
        </w:rPr>
        <w:t>ctions;</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(E) Building and physical premises safety, including identification of and protection from hazards, bodies of</w:t>
      </w:r>
      <w:r w:rsidRPr="00C1694A">
        <w:rPr>
          <w:rFonts w:ascii="Times New Roman" w:hAnsi="Times New Roman" w:cs="Times New Roman"/>
          <w:sz w:val="24"/>
          <w:szCs w:val="24"/>
        </w:rPr>
        <w:t xml:space="preserve"> water, and vehicular traffic; </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 xml:space="preserve">(F) Prevention of shaken baby syndrome, abusive head </w:t>
      </w:r>
      <w:r w:rsidRPr="00C1694A">
        <w:rPr>
          <w:rFonts w:ascii="Times New Roman" w:hAnsi="Times New Roman" w:cs="Times New Roman"/>
          <w:sz w:val="24"/>
          <w:szCs w:val="24"/>
        </w:rPr>
        <w:t>trauma, and child maltreatment;</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(G) Emergency preparedness and response planning for emergencies</w:t>
      </w:r>
      <w:r w:rsidRPr="00C1694A">
        <w:rPr>
          <w:rFonts w:ascii="Times New Roman" w:hAnsi="Times New Roman" w:cs="Times New Roman"/>
          <w:sz w:val="24"/>
          <w:szCs w:val="24"/>
        </w:rPr>
        <w:t>;</w:t>
      </w:r>
      <w:r w:rsidR="0087097D" w:rsidRPr="00C1694A">
        <w:rPr>
          <w:rFonts w:ascii="Times New Roman" w:hAnsi="Times New Roman" w:cs="Times New Roman"/>
          <w:sz w:val="24"/>
          <w:szCs w:val="24"/>
        </w:rPr>
        <w:t xml:space="preserve"> </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(H) Handling and storage of hazardous materials and the appropria</w:t>
      </w:r>
      <w:r w:rsidRPr="00C1694A">
        <w:rPr>
          <w:rFonts w:ascii="Times New Roman" w:hAnsi="Times New Roman" w:cs="Times New Roman"/>
          <w:sz w:val="24"/>
          <w:szCs w:val="24"/>
        </w:rPr>
        <w:t>te disposal of biocontaminants;</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w:t>
      </w:r>
      <w:r w:rsidR="007C0D42" w:rsidRPr="00C1694A">
        <w:rPr>
          <w:rFonts w:ascii="Times New Roman" w:hAnsi="Times New Roman" w:cs="Times New Roman"/>
          <w:sz w:val="24"/>
          <w:szCs w:val="24"/>
        </w:rPr>
        <w:t>I</w:t>
      </w:r>
      <w:r w:rsidR="0087097D" w:rsidRPr="00C1694A">
        <w:rPr>
          <w:rFonts w:ascii="Times New Roman" w:hAnsi="Times New Roman" w:cs="Times New Roman"/>
          <w:sz w:val="24"/>
          <w:szCs w:val="24"/>
        </w:rPr>
        <w:t>) Appropriate precautions in transp</w:t>
      </w:r>
      <w:r w:rsidRPr="00C1694A">
        <w:rPr>
          <w:rFonts w:ascii="Times New Roman" w:hAnsi="Times New Roman" w:cs="Times New Roman"/>
          <w:sz w:val="24"/>
          <w:szCs w:val="24"/>
        </w:rPr>
        <w:t>orting children, if applicable;</w:t>
      </w:r>
    </w:p>
    <w:p w:rsidR="00785DC3" w:rsidRPr="00C1694A" w:rsidRDefault="00785DC3"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w:t>
      </w:r>
      <w:r w:rsidR="007C0D42" w:rsidRPr="00C1694A">
        <w:rPr>
          <w:rFonts w:ascii="Times New Roman" w:hAnsi="Times New Roman" w:cs="Times New Roman"/>
          <w:sz w:val="24"/>
          <w:szCs w:val="24"/>
        </w:rPr>
        <w:t>J</w:t>
      </w:r>
      <w:r w:rsidR="0087097D" w:rsidRPr="00C1694A">
        <w:rPr>
          <w:rFonts w:ascii="Times New Roman" w:hAnsi="Times New Roman" w:cs="Times New Roman"/>
          <w:sz w:val="24"/>
          <w:szCs w:val="24"/>
        </w:rPr>
        <w:t>) First aid and cardiopulmonary resuscitatio</w:t>
      </w:r>
      <w:r w:rsidRPr="00C1694A">
        <w:rPr>
          <w:rFonts w:ascii="Times New Roman" w:hAnsi="Times New Roman" w:cs="Times New Roman"/>
          <w:sz w:val="24"/>
          <w:szCs w:val="24"/>
        </w:rPr>
        <w:t>n; and,</w:t>
      </w:r>
    </w:p>
    <w:p w:rsidR="00C03FE8" w:rsidRPr="00C1694A" w:rsidRDefault="00785DC3" w:rsidP="00AC521C">
      <w:pPr>
        <w:spacing w:line="480" w:lineRule="auto"/>
        <w:rPr>
          <w:rFonts w:ascii="Times New Roman" w:eastAsia="Times New Roman" w:hAnsi="Times New Roman" w:cs="Times New Roman"/>
          <w:bCs/>
          <w:sz w:val="24"/>
          <w:szCs w:val="24"/>
        </w:rPr>
      </w:pPr>
      <w:r w:rsidRPr="00C1694A">
        <w:rPr>
          <w:rFonts w:ascii="Times New Roman" w:hAnsi="Times New Roman" w:cs="Times New Roman"/>
          <w:sz w:val="24"/>
          <w:szCs w:val="24"/>
        </w:rPr>
        <w:tab/>
      </w:r>
      <w:r w:rsidR="0087097D" w:rsidRPr="00C1694A">
        <w:rPr>
          <w:rFonts w:ascii="Times New Roman" w:hAnsi="Times New Roman" w:cs="Times New Roman"/>
          <w:sz w:val="24"/>
          <w:szCs w:val="24"/>
        </w:rPr>
        <w:t>(</w:t>
      </w:r>
      <w:r w:rsidR="007C0D42" w:rsidRPr="00C1694A">
        <w:rPr>
          <w:rFonts w:ascii="Times New Roman" w:hAnsi="Times New Roman" w:cs="Times New Roman"/>
          <w:sz w:val="24"/>
          <w:szCs w:val="24"/>
        </w:rPr>
        <w:t>K</w:t>
      </w:r>
      <w:r w:rsidR="0087097D" w:rsidRPr="00C1694A">
        <w:rPr>
          <w:rFonts w:ascii="Times New Roman" w:hAnsi="Times New Roman" w:cs="Times New Roman"/>
          <w:sz w:val="24"/>
          <w:szCs w:val="24"/>
        </w:rPr>
        <w:t>) Recognition and reporting of child abuse and neglect, in accordance with the requirement at paragraph (</w:t>
      </w:r>
      <w:r w:rsidR="0032545E">
        <w:rPr>
          <w:rFonts w:ascii="Times New Roman" w:hAnsi="Times New Roman" w:cs="Times New Roman"/>
          <w:sz w:val="24"/>
          <w:szCs w:val="24"/>
        </w:rPr>
        <w:t>b</w:t>
      </w:r>
      <w:r w:rsidR="0087097D" w:rsidRPr="00C1694A">
        <w:rPr>
          <w:rFonts w:ascii="Times New Roman" w:hAnsi="Times New Roman" w:cs="Times New Roman"/>
          <w:sz w:val="24"/>
          <w:szCs w:val="24"/>
        </w:rPr>
        <w:t>)</w:t>
      </w:r>
      <w:r w:rsidR="0032545E">
        <w:rPr>
          <w:rFonts w:ascii="Times New Roman" w:hAnsi="Times New Roman" w:cs="Times New Roman"/>
          <w:sz w:val="24"/>
          <w:szCs w:val="24"/>
        </w:rPr>
        <w:t>(5)</w:t>
      </w:r>
      <w:r w:rsidR="0087097D" w:rsidRPr="00C1694A">
        <w:rPr>
          <w:rFonts w:ascii="Times New Roman" w:hAnsi="Times New Roman" w:cs="Times New Roman"/>
          <w:sz w:val="24"/>
          <w:szCs w:val="24"/>
        </w:rPr>
        <w:t xml:space="preserve"> of this section</w:t>
      </w:r>
      <w:r w:rsidR="006D50B8">
        <w:rPr>
          <w:rFonts w:ascii="Times New Roman" w:hAnsi="Times New Roman" w:cs="Times New Roman"/>
          <w:sz w:val="24"/>
          <w:szCs w:val="24"/>
        </w:rPr>
        <w:t>.</w:t>
      </w:r>
    </w:p>
    <w:p w:rsidR="00C03FE8" w:rsidRPr="00C1694A" w:rsidRDefault="00C03FE8" w:rsidP="00AC521C">
      <w:pPr>
        <w:tabs>
          <w:tab w:val="left" w:pos="45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(ii) </w:t>
      </w:r>
      <w:r w:rsidRPr="00C1694A">
        <w:rPr>
          <w:rFonts w:ascii="Times New Roman" w:eastAsia="Times New Roman" w:hAnsi="Times New Roman" w:cs="Times New Roman"/>
          <w:bCs/>
          <w:sz w:val="24"/>
          <w:szCs w:val="24"/>
          <w:u w:val="single"/>
        </w:rPr>
        <w:t>Staff without regular child contact</w:t>
      </w:r>
      <w:r w:rsidRPr="00C1694A">
        <w:rPr>
          <w:rFonts w:ascii="Times New Roman" w:eastAsia="Times New Roman" w:hAnsi="Times New Roman" w:cs="Times New Roman"/>
          <w:bCs/>
          <w:sz w:val="24"/>
          <w:szCs w:val="24"/>
        </w:rPr>
        <w:t>. All staff with no regular responsibility for or contact with children have initial orientation training within three months of hire; ongoing training in all state, local, tribal, federal and program-developed health and safety requirements applicable to their work; and training in the program’s emergency and disaster preparedness procedures.</w:t>
      </w:r>
    </w:p>
    <w:p w:rsidR="00C03FE8" w:rsidRPr="00C1694A" w:rsidRDefault="00C03FE8" w:rsidP="00AC521C">
      <w:pPr>
        <w:tabs>
          <w:tab w:val="left" w:pos="45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 </w:t>
      </w: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(5) </w:t>
      </w:r>
      <w:r w:rsidRPr="00C1694A">
        <w:rPr>
          <w:rFonts w:ascii="Times New Roman" w:hAnsi="Times New Roman" w:cs="Times New Roman"/>
          <w:sz w:val="24"/>
          <w:szCs w:val="24"/>
          <w:u w:val="single"/>
        </w:rPr>
        <w:t>Safety practices</w:t>
      </w:r>
      <w:r w:rsidRPr="00C1694A">
        <w:rPr>
          <w:rFonts w:ascii="Times New Roman" w:eastAsia="Times New Roman" w:hAnsi="Times New Roman" w:cs="Times New Roman"/>
          <w:bCs/>
          <w:sz w:val="24"/>
          <w:szCs w:val="24"/>
        </w:rPr>
        <w:t>. All staff and consultants follow appropriate practices to keep children safe during all activities, including, at a minimum:</w:t>
      </w: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(i) R</w:t>
      </w:r>
      <w:r w:rsidRPr="00C1694A">
        <w:rPr>
          <w:rFonts w:ascii="Times New Roman" w:hAnsi="Times New Roman" w:cs="Times New Roman"/>
          <w:sz w:val="24"/>
          <w:szCs w:val="24"/>
        </w:rPr>
        <w:t>eporting of suspected or known child abuse and neglect, including that staff comply with applicable federal, state, local, and tribal laws</w:t>
      </w:r>
      <w:r w:rsidRPr="00C1694A">
        <w:rPr>
          <w:rFonts w:ascii="Times New Roman" w:eastAsia="Times New Roman" w:hAnsi="Times New Roman" w:cs="Times New Roman"/>
          <w:bCs/>
          <w:sz w:val="24"/>
          <w:szCs w:val="24"/>
        </w:rPr>
        <w:t>;</w:t>
      </w: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(ii) Safe sleep practices, including ensuring that all sleeping arrangements for children under 18 months of age use firm mattresses or cots, as appropriate, and for children under 12 months, soft bedding materials or toys must not be used;</w:t>
      </w:r>
    </w:p>
    <w:p w:rsidR="00C03FE8" w:rsidRPr="00C1694A" w:rsidRDefault="00C03FE8" w:rsidP="00AC521C">
      <w:pPr>
        <w:pStyle w:val="ListParagraph"/>
        <w:tabs>
          <w:tab w:val="left" w:pos="360"/>
        </w:tabs>
        <w:spacing w:after="0" w:line="480" w:lineRule="auto"/>
        <w:ind w:left="180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(iii) Appropriate indoor and outdoor supervision of children at all times; </w:t>
      </w:r>
    </w:p>
    <w:p w:rsidR="00C03FE8" w:rsidRPr="00C1694A" w:rsidRDefault="00C03FE8" w:rsidP="00AC521C">
      <w:pPr>
        <w:tabs>
          <w:tab w:val="left" w:pos="360"/>
          <w:tab w:val="left" w:pos="450"/>
        </w:tabs>
        <w:spacing w:after="0" w:line="480" w:lineRule="auto"/>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(iv) Only releasing children to an authorized adult, and;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(v) All standards of conduct described in </w:t>
      </w:r>
      <w:r w:rsidRPr="00C1694A">
        <w:rPr>
          <w:rFonts w:ascii="Times New Roman" w:hAnsi="Times New Roman" w:cs="Times New Roman"/>
          <w:sz w:val="24"/>
          <w:szCs w:val="24"/>
        </w:rPr>
        <w:t>§</w:t>
      </w:r>
      <w:r w:rsidRPr="00C1694A">
        <w:rPr>
          <w:rFonts w:ascii="Times New Roman" w:eastAsia="Times New Roman" w:hAnsi="Times New Roman" w:cs="Times New Roman"/>
          <w:bCs/>
          <w:sz w:val="24"/>
          <w:szCs w:val="24"/>
        </w:rPr>
        <w:t xml:space="preserve">1302.90(c). </w:t>
      </w:r>
    </w:p>
    <w:p w:rsidR="00C03FE8" w:rsidRPr="00C1694A" w:rsidRDefault="00C03FE8" w:rsidP="00AC521C">
      <w:pPr>
        <w:tabs>
          <w:tab w:val="left" w:pos="360"/>
        </w:tabs>
        <w:spacing w:after="0" w:line="480" w:lineRule="auto"/>
        <w:contextualSpacing/>
        <w:rPr>
          <w:rFonts w:ascii="Times New Roman" w:hAnsi="Times New Roman" w:cs="Times New Roman"/>
          <w:sz w:val="24"/>
          <w:szCs w:val="24"/>
        </w:rPr>
      </w:pPr>
    </w:p>
    <w:p w:rsidR="00C03FE8" w:rsidRPr="00C1694A" w:rsidRDefault="00C03FE8" w:rsidP="00AC521C">
      <w:pPr>
        <w:tabs>
          <w:tab w:val="left" w:pos="360"/>
        </w:tabs>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b/>
      </w:r>
      <w:r w:rsidRPr="00C1694A">
        <w:rPr>
          <w:rFonts w:ascii="Times New Roman" w:eastAsia="Times New Roman" w:hAnsi="Times New Roman" w:cs="Times New Roman"/>
          <w:bCs/>
          <w:sz w:val="24"/>
          <w:szCs w:val="24"/>
        </w:rPr>
        <w:tab/>
        <w:t xml:space="preserve">(6) </w:t>
      </w:r>
      <w:r w:rsidRPr="00C1694A">
        <w:rPr>
          <w:rFonts w:ascii="Times New Roman" w:hAnsi="Times New Roman" w:cs="Times New Roman"/>
          <w:sz w:val="24"/>
          <w:szCs w:val="24"/>
          <w:u w:val="single"/>
        </w:rPr>
        <w:t>Hygiene practices</w:t>
      </w:r>
      <w:r w:rsidRPr="00C1694A">
        <w:rPr>
          <w:rFonts w:ascii="Times New Roman" w:eastAsia="Times New Roman" w:hAnsi="Times New Roman" w:cs="Times New Roman"/>
          <w:bCs/>
          <w:sz w:val="24"/>
          <w:szCs w:val="24"/>
        </w:rPr>
        <w:t>. All staff systematically and routinely implement hygiene practices that at a minimum ensure:</w:t>
      </w:r>
    </w:p>
    <w:p w:rsidR="00C03FE8" w:rsidRPr="00C1694A" w:rsidRDefault="00C03FE8" w:rsidP="00AC521C">
      <w:pPr>
        <w:tabs>
          <w:tab w:val="left" w:pos="360"/>
        </w:tabs>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Appropriate toileting, hand washing, and diapering procedures are followed;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Safe food preparation; and,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left="720"/>
        <w:rPr>
          <w:rFonts w:ascii="Times New Roman" w:hAnsi="Times New Roman" w:cs="Times New Roman"/>
          <w:sz w:val="24"/>
          <w:szCs w:val="24"/>
        </w:rPr>
      </w:pPr>
      <w:r w:rsidRPr="00C1694A">
        <w:rPr>
          <w:rFonts w:ascii="Times New Roman" w:hAnsi="Times New Roman" w:cs="Times New Roman"/>
          <w:sz w:val="24"/>
          <w:szCs w:val="24"/>
        </w:rPr>
        <w:t>(iii) Exposure to blood and body fluids are handled consistent with standards of the Occupational Safety Health Administration.</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(7) </w:t>
      </w:r>
      <w:r w:rsidRPr="00C1694A">
        <w:rPr>
          <w:rFonts w:ascii="Times New Roman" w:hAnsi="Times New Roman" w:cs="Times New Roman"/>
          <w:sz w:val="24"/>
          <w:szCs w:val="24"/>
          <w:u w:val="single"/>
        </w:rPr>
        <w:t>Administrative safety procedures</w:t>
      </w:r>
      <w:r w:rsidRPr="00C1694A">
        <w:rPr>
          <w:rFonts w:ascii="Times New Roman" w:eastAsia="Times New Roman" w:hAnsi="Times New Roman" w:cs="Times New Roman"/>
          <w:bCs/>
          <w:sz w:val="24"/>
          <w:szCs w:val="24"/>
        </w:rPr>
        <w:t>. Programs establish, follow, and practice, as appropriate, procedures for, at a minimum:</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(i) Emergencies;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(ii) Fire prevention and response;</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(iii) Protection from contagious disease, including appropriate inclusion and exclusion policies for when a child is ill, and from an infectious disease outbreak, including appropriate notifications of any reportable illness;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(iv) The handling, storage, administration, and record of administration of medication;</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(v) Maintaining procedures and systems to ensure children are only released to an authorized adult; and,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(vi) Child specific health care needs and food allergies that include accessible plans of action for emergencies. For food allergies, a program must also post individual child food allergies prominently where staff can view wherever food is served. </w:t>
      </w:r>
    </w:p>
    <w:p w:rsidR="00C03FE8" w:rsidRPr="00C1694A" w:rsidRDefault="00C03FE8" w:rsidP="00AC521C">
      <w:pPr>
        <w:tabs>
          <w:tab w:val="left" w:pos="360"/>
        </w:tabs>
        <w:spacing w:after="0" w:line="480" w:lineRule="auto"/>
        <w:ind w:firstLine="720"/>
        <w:contextualSpacing/>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contextualSpacing/>
        <w:rPr>
          <w:rFonts w:ascii="Times New Roman" w:hAnsi="Times New Roman" w:cs="Times New Roman"/>
          <w:sz w:val="24"/>
          <w:szCs w:val="24"/>
        </w:rPr>
      </w:pPr>
      <w:r w:rsidRPr="00C1694A">
        <w:rPr>
          <w:rFonts w:ascii="Times New Roman" w:eastAsia="Times New Roman" w:hAnsi="Times New Roman" w:cs="Times New Roman"/>
          <w:bCs/>
          <w:sz w:val="24"/>
          <w:szCs w:val="24"/>
        </w:rPr>
        <w:t xml:space="preserve">(8) </w:t>
      </w:r>
      <w:r w:rsidRPr="00C1694A">
        <w:rPr>
          <w:rFonts w:ascii="Times New Roman" w:hAnsi="Times New Roman" w:cs="Times New Roman"/>
          <w:sz w:val="24"/>
          <w:szCs w:val="24"/>
          <w:u w:val="single"/>
        </w:rPr>
        <w:t>Disaster preparedness plan</w:t>
      </w:r>
      <w:r w:rsidRPr="00C1694A">
        <w:rPr>
          <w:rFonts w:ascii="Times New Roman" w:eastAsia="Times New Roman" w:hAnsi="Times New Roman" w:cs="Times New Roman"/>
          <w:bCs/>
          <w:sz w:val="24"/>
          <w:szCs w:val="24"/>
        </w:rPr>
        <w:t>. The program has</w:t>
      </w:r>
      <w:r w:rsidR="00C17697" w:rsidRPr="00C1694A">
        <w:rPr>
          <w:rFonts w:ascii="Times New Roman" w:eastAsia="Times New Roman" w:hAnsi="Times New Roman" w:cs="Times New Roman"/>
          <w:bCs/>
          <w:sz w:val="24"/>
          <w:szCs w:val="24"/>
        </w:rPr>
        <w:t xml:space="preserve"> all-hazards emergency management/</w:t>
      </w:r>
      <w:r w:rsidRPr="00C1694A">
        <w:rPr>
          <w:rFonts w:ascii="Times New Roman" w:hAnsi="Times New Roman" w:cs="Times New Roman"/>
          <w:sz w:val="24"/>
          <w:szCs w:val="24"/>
        </w:rPr>
        <w:t xml:space="preserve">disaster preparedness and response plans for more and less likely events including natural </w:t>
      </w:r>
      <w:r w:rsidR="00C17697" w:rsidRPr="00C1694A">
        <w:rPr>
          <w:rFonts w:ascii="Times New Roman" w:hAnsi="Times New Roman" w:cs="Times New Roman"/>
          <w:sz w:val="24"/>
          <w:szCs w:val="24"/>
        </w:rPr>
        <w:t xml:space="preserve">and manmade </w:t>
      </w:r>
      <w:r w:rsidRPr="00C1694A">
        <w:rPr>
          <w:rFonts w:ascii="Times New Roman" w:hAnsi="Times New Roman" w:cs="Times New Roman"/>
          <w:sz w:val="24"/>
          <w:szCs w:val="24"/>
        </w:rPr>
        <w:t xml:space="preserve">disasters </w:t>
      </w:r>
      <w:r w:rsidR="00C17697" w:rsidRPr="00C1694A">
        <w:rPr>
          <w:rFonts w:ascii="Times New Roman" w:hAnsi="Times New Roman" w:cs="Times New Roman"/>
          <w:sz w:val="24"/>
          <w:szCs w:val="24"/>
        </w:rPr>
        <w:t xml:space="preserve">and emergencies, </w:t>
      </w:r>
      <w:r w:rsidRPr="00C1694A">
        <w:rPr>
          <w:rFonts w:ascii="Times New Roman" w:hAnsi="Times New Roman" w:cs="Times New Roman"/>
          <w:sz w:val="24"/>
          <w:szCs w:val="24"/>
        </w:rPr>
        <w:t>and violence in or near programs.</w:t>
      </w:r>
    </w:p>
    <w:p w:rsidR="00C03FE8" w:rsidRPr="00C1694A" w:rsidRDefault="00C03FE8" w:rsidP="00AC521C">
      <w:pPr>
        <w:spacing w:after="0" w:line="480" w:lineRule="auto"/>
        <w:contextualSpacing/>
        <w:rPr>
          <w:rFonts w:ascii="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(c) A program must report any safety incidents in accordance with </w:t>
      </w:r>
      <w:r w:rsidRPr="00C1694A">
        <w:rPr>
          <w:rFonts w:ascii="Times New Roman" w:hAnsi="Times New Roman" w:cs="Times New Roman"/>
          <w:sz w:val="24"/>
          <w:szCs w:val="24"/>
        </w:rPr>
        <w:t>§</w:t>
      </w:r>
      <w:r w:rsidRPr="00C1694A">
        <w:rPr>
          <w:rFonts w:ascii="Times New Roman" w:eastAsia="Times New Roman" w:hAnsi="Times New Roman" w:cs="Times New Roman"/>
          <w:bCs/>
          <w:sz w:val="24"/>
          <w:szCs w:val="24"/>
        </w:rPr>
        <w:t xml:space="preserve">1302.102(d)(1)(ii). </w:t>
      </w:r>
    </w:p>
    <w:p w:rsidR="00C03FE8" w:rsidRPr="00C1694A" w:rsidRDefault="00C03FE8" w:rsidP="00AC521C">
      <w:pPr>
        <w:spacing w:after="0" w:line="480" w:lineRule="auto"/>
        <w:contextualSpacing/>
        <w:rPr>
          <w:rFonts w:ascii="Times New Roman" w:eastAsia="Times New Roman" w:hAnsi="Times New Roman" w:cs="Times New Roman"/>
          <w:bCs/>
          <w:sz w:val="24"/>
          <w:szCs w:val="24"/>
        </w:rPr>
      </w:pPr>
    </w:p>
    <w:p w:rsidR="00C03FE8" w:rsidRPr="00C1694A" w:rsidRDefault="00C03FE8" w:rsidP="00AC521C">
      <w:pPr>
        <w:spacing w:after="0" w:line="480" w:lineRule="auto"/>
        <w:contextualSpacing/>
        <w:rPr>
          <w:rFonts w:ascii="Times New Roman" w:eastAsia="Times New Roman" w:hAnsi="Times New Roman" w:cs="Times New Roman"/>
          <w:bCs/>
          <w:sz w:val="24"/>
          <w:szCs w:val="24"/>
        </w:rPr>
      </w:pPr>
    </w:p>
    <w:p w:rsidR="00C03FE8" w:rsidRPr="00C1694A" w:rsidRDefault="00C03FE8" w:rsidP="00AC521C">
      <w:pPr>
        <w:spacing w:after="0" w:line="480" w:lineRule="auto"/>
        <w:contextualSpacing/>
        <w:rPr>
          <w:rStyle w:val="title1"/>
          <w:rFonts w:ascii="Times New Roman" w:hAnsi="Times New Roman" w:cs="Times New Roman"/>
          <w:color w:val="auto"/>
        </w:rPr>
      </w:pPr>
      <w:r w:rsidRPr="00C1694A">
        <w:rPr>
          <w:rFonts w:ascii="Times New Roman" w:hAnsi="Times New Roman" w:cs="Times New Roman"/>
          <w:b/>
          <w:sz w:val="24"/>
        </w:rPr>
        <w:t>Subpart E</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rPr>
        <w:t>Family and Community Engagement Program Services</w:t>
      </w:r>
    </w:p>
    <w:p w:rsidR="00C03FE8" w:rsidRPr="00C1694A" w:rsidRDefault="00C03FE8" w:rsidP="00AC521C">
      <w:pPr>
        <w:spacing w:after="0" w:line="480" w:lineRule="auto"/>
        <w:rPr>
          <w:rStyle w:val="title1"/>
          <w:rFonts w:ascii="Times New Roman" w:hAnsi="Times New Roman" w:cs="Times New Roman"/>
          <w:color w:val="auto"/>
          <w:sz w:val="24"/>
        </w:rPr>
      </w:pPr>
    </w:p>
    <w:p w:rsidR="00C03FE8" w:rsidRPr="00C1694A" w:rsidRDefault="00C03FE8" w:rsidP="00AC521C">
      <w:pPr>
        <w:spacing w:after="0" w:line="480" w:lineRule="auto"/>
        <w:rPr>
          <w:rStyle w:val="title1"/>
          <w:rFonts w:ascii="Times New Roman" w:hAnsi="Times New Roman" w:cs="Times New Roman"/>
          <w:b/>
          <w:color w:val="auto"/>
          <w:sz w:val="24"/>
        </w:rPr>
      </w:pPr>
      <w:r w:rsidRPr="00C1694A">
        <w:rPr>
          <w:rStyle w:val="title1"/>
          <w:rFonts w:ascii="Times New Roman" w:hAnsi="Times New Roman" w:cs="Times New Roman"/>
          <w:b/>
          <w:color w:val="auto"/>
          <w:sz w:val="24"/>
          <w:specVanish w:val="0"/>
        </w:rPr>
        <w:t>§1302.50 Family engagement.</w:t>
      </w:r>
    </w:p>
    <w:p w:rsidR="00C03FE8" w:rsidRPr="00C1694A" w:rsidRDefault="00C03FE8" w:rsidP="00AC521C">
      <w:pPr>
        <w:spacing w:after="0" w:line="480" w:lineRule="auto"/>
        <w:rPr>
          <w:rStyle w:val="title1"/>
          <w:rFonts w:ascii="Times New Roman" w:hAnsi="Times New Roman" w:cs="Times New Roman"/>
          <w:color w:val="auto"/>
          <w:sz w:val="24"/>
          <w:szCs w:val="24"/>
        </w:rPr>
      </w:pPr>
    </w:p>
    <w:p w:rsidR="00AE3144" w:rsidRPr="00C1694A" w:rsidRDefault="00C03FE8" w:rsidP="00AC521C">
      <w:pPr>
        <w:spacing w:after="0" w:line="480" w:lineRule="auto"/>
        <w:ind w:firstLine="720"/>
        <w:rPr>
          <w:rStyle w:val="title1"/>
          <w:rFonts w:ascii="Times New Roman" w:hAnsi="Times New Roman" w:cs="Times New Roman"/>
          <w:color w:val="auto"/>
          <w:sz w:val="24"/>
        </w:rPr>
      </w:pPr>
      <w:r w:rsidRPr="00C1694A">
        <w:rPr>
          <w:rStyle w:val="title1"/>
          <w:rFonts w:ascii="Times New Roman" w:hAnsi="Times New Roman" w:cs="Times New Roman"/>
          <w:color w:val="auto"/>
          <w:sz w:val="24"/>
          <w:specVanish w:val="0"/>
        </w:rPr>
        <w:t xml:space="preserve">(a) </w:t>
      </w:r>
      <w:r w:rsidR="0032545E">
        <w:rPr>
          <w:rStyle w:val="title1"/>
          <w:rFonts w:ascii="Times New Roman" w:hAnsi="Times New Roman" w:cs="Times New Roman"/>
          <w:color w:val="auto"/>
          <w:sz w:val="24"/>
          <w:u w:val="single"/>
          <w:specVanish w:val="0"/>
        </w:rPr>
        <w:t>Purpose</w:t>
      </w:r>
      <w:r w:rsidRPr="00C1694A">
        <w:rPr>
          <w:rStyle w:val="title1"/>
          <w:rFonts w:ascii="Times New Roman" w:hAnsi="Times New Roman" w:cs="Times New Roman"/>
          <w:color w:val="auto"/>
          <w:sz w:val="24"/>
          <w:u w:val="single"/>
          <w:specVanish w:val="0"/>
        </w:rPr>
        <w:t>.</w:t>
      </w:r>
      <w:r w:rsidRPr="00C1694A">
        <w:rPr>
          <w:rStyle w:val="title1"/>
          <w:rFonts w:ascii="Times New Roman" w:hAnsi="Times New Roman" w:cs="Times New Roman"/>
          <w:color w:val="auto"/>
          <w:sz w:val="24"/>
          <w:specVanish w:val="0"/>
        </w:rPr>
        <w:t xml:space="preserve">  </w:t>
      </w:r>
      <w:r w:rsidR="00B63FD6" w:rsidRPr="00C1694A">
        <w:rPr>
          <w:rStyle w:val="title1"/>
          <w:rFonts w:ascii="Times New Roman" w:hAnsi="Times New Roman" w:cs="Times New Roman"/>
          <w:color w:val="auto"/>
          <w:sz w:val="24"/>
          <w:specVanish w:val="0"/>
        </w:rPr>
        <w:t xml:space="preserve">A program must integrate parent and family engagement strategies into all systems and program </w:t>
      </w:r>
      <w:r w:rsidR="008A3E83" w:rsidRPr="00C1694A">
        <w:rPr>
          <w:rStyle w:val="title1"/>
          <w:rFonts w:ascii="Times New Roman" w:hAnsi="Times New Roman" w:cs="Times New Roman"/>
          <w:color w:val="auto"/>
          <w:sz w:val="24"/>
          <w:specVanish w:val="0"/>
        </w:rPr>
        <w:t>services</w:t>
      </w:r>
      <w:r w:rsidR="00D86132" w:rsidRPr="00C1694A">
        <w:rPr>
          <w:rStyle w:val="title1"/>
          <w:rFonts w:ascii="Times New Roman" w:hAnsi="Times New Roman" w:cs="Times New Roman"/>
          <w:color w:val="auto"/>
          <w:sz w:val="24"/>
          <w:specVanish w:val="0"/>
        </w:rPr>
        <w:t xml:space="preserve"> to support family well-being and</w:t>
      </w:r>
      <w:r w:rsidRPr="00C1694A">
        <w:rPr>
          <w:rStyle w:val="title1"/>
          <w:rFonts w:ascii="Times New Roman" w:hAnsi="Times New Roman" w:cs="Times New Roman"/>
          <w:color w:val="auto"/>
          <w:sz w:val="24"/>
          <w:specVanish w:val="0"/>
        </w:rPr>
        <w:t xml:space="preserve"> promote </w:t>
      </w:r>
      <w:r w:rsidR="00B63FD6" w:rsidRPr="00C1694A">
        <w:rPr>
          <w:rStyle w:val="title1"/>
          <w:rFonts w:ascii="Times New Roman" w:hAnsi="Times New Roman" w:cs="Times New Roman"/>
          <w:color w:val="auto"/>
          <w:sz w:val="24"/>
          <w:specVanish w:val="0"/>
        </w:rPr>
        <w:t xml:space="preserve">children’s learning and development. </w:t>
      </w:r>
      <w:r w:rsidR="005049F0" w:rsidRPr="00C1694A">
        <w:rPr>
          <w:rStyle w:val="title1"/>
          <w:rFonts w:ascii="Times New Roman" w:hAnsi="Times New Roman" w:cs="Times New Roman"/>
          <w:color w:val="auto"/>
          <w:sz w:val="24"/>
          <w:specVanish w:val="0"/>
        </w:rPr>
        <w:t>Programs are encouraged to develop</w:t>
      </w:r>
      <w:r w:rsidR="009F51B2" w:rsidRPr="00C1694A">
        <w:rPr>
          <w:rStyle w:val="title1"/>
          <w:rFonts w:ascii="Times New Roman" w:hAnsi="Times New Roman" w:cs="Times New Roman"/>
          <w:color w:val="auto"/>
          <w:sz w:val="24"/>
          <w:specVanish w:val="0"/>
        </w:rPr>
        <w:t xml:space="preserve"> innovative two-generation approaches </w:t>
      </w:r>
      <w:r w:rsidR="005049F0" w:rsidRPr="00C1694A">
        <w:rPr>
          <w:rStyle w:val="title1"/>
          <w:rFonts w:ascii="Times New Roman" w:hAnsi="Times New Roman" w:cs="Times New Roman"/>
          <w:color w:val="auto"/>
          <w:sz w:val="24"/>
          <w:specVanish w:val="0"/>
        </w:rPr>
        <w:t>that</w:t>
      </w:r>
      <w:r w:rsidR="009F51B2" w:rsidRPr="00C1694A">
        <w:rPr>
          <w:rStyle w:val="title1"/>
          <w:rFonts w:ascii="Times New Roman" w:hAnsi="Times New Roman" w:cs="Times New Roman"/>
          <w:color w:val="auto"/>
          <w:sz w:val="24"/>
          <w:specVanish w:val="0"/>
        </w:rPr>
        <w:t xml:space="preserve"> address prevalent needs of families across the</w:t>
      </w:r>
      <w:r w:rsidR="005049F0" w:rsidRPr="00C1694A">
        <w:rPr>
          <w:rStyle w:val="title1"/>
          <w:rFonts w:ascii="Times New Roman" w:hAnsi="Times New Roman" w:cs="Times New Roman"/>
          <w:color w:val="auto"/>
          <w:sz w:val="24"/>
          <w:specVanish w:val="0"/>
        </w:rPr>
        <w:t>ir</w:t>
      </w:r>
      <w:r w:rsidR="009F51B2" w:rsidRPr="00C1694A">
        <w:rPr>
          <w:rStyle w:val="title1"/>
          <w:rFonts w:ascii="Times New Roman" w:hAnsi="Times New Roman" w:cs="Times New Roman"/>
          <w:color w:val="auto"/>
          <w:sz w:val="24"/>
          <w:specVanish w:val="0"/>
        </w:rPr>
        <w:t xml:space="preserve"> program that may leverage community partnerships or other funding sources.</w:t>
      </w:r>
    </w:p>
    <w:p w:rsidR="00B63FD6" w:rsidRPr="00C1694A" w:rsidRDefault="00B63FD6"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rPr>
      </w:pPr>
      <w:r w:rsidRPr="00C1694A">
        <w:rPr>
          <w:rStyle w:val="title1"/>
          <w:rFonts w:ascii="Times New Roman" w:hAnsi="Times New Roman" w:cs="Times New Roman"/>
          <w:color w:val="auto"/>
          <w:sz w:val="24"/>
          <w:specVanish w:val="0"/>
        </w:rPr>
        <w:t xml:space="preserve">(b) </w:t>
      </w:r>
      <w:r w:rsidRPr="00C1694A">
        <w:rPr>
          <w:rStyle w:val="title1"/>
          <w:rFonts w:ascii="Times New Roman" w:hAnsi="Times New Roman" w:cs="Times New Roman"/>
          <w:color w:val="auto"/>
          <w:sz w:val="24"/>
          <w:u w:val="single"/>
          <w:specVanish w:val="0"/>
        </w:rPr>
        <w:t>Family engagement approach.</w:t>
      </w:r>
      <w:r w:rsidRPr="00C1694A">
        <w:rPr>
          <w:rStyle w:val="title1"/>
          <w:rFonts w:ascii="Times New Roman" w:hAnsi="Times New Roman" w:cs="Times New Roman"/>
          <w:color w:val="auto"/>
          <w:sz w:val="24"/>
          <w:specVanish w:val="0"/>
        </w:rPr>
        <w:t xml:space="preserve">  </w:t>
      </w:r>
      <w:r w:rsidR="00C63E20" w:rsidRPr="00C1694A">
        <w:rPr>
          <w:rStyle w:val="title1"/>
          <w:rFonts w:ascii="Times New Roman" w:hAnsi="Times New Roman" w:cs="Times New Roman"/>
          <w:color w:val="auto"/>
          <w:sz w:val="24"/>
          <w:specVanish w:val="0"/>
        </w:rPr>
        <w:t>A</w:t>
      </w:r>
      <w:r w:rsidRPr="00C1694A">
        <w:rPr>
          <w:rStyle w:val="title1"/>
          <w:rFonts w:ascii="Times New Roman" w:hAnsi="Times New Roman" w:cs="Times New Roman"/>
          <w:color w:val="auto"/>
          <w:sz w:val="24"/>
          <w:specVanish w:val="0"/>
        </w:rPr>
        <w:t xml:space="preserve"> program must:</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rPr>
      </w:pPr>
      <w:r w:rsidRPr="00C1694A">
        <w:rPr>
          <w:rStyle w:val="title1"/>
          <w:rFonts w:ascii="Times New Roman" w:hAnsi="Times New Roman" w:cs="Times New Roman"/>
          <w:color w:val="auto"/>
          <w:sz w:val="24"/>
          <w:specVanish w:val="0"/>
        </w:rPr>
        <w:t xml:space="preserve">(1) Recognize parents as </w:t>
      </w:r>
      <w:r w:rsidR="00344656" w:rsidRPr="00C1694A">
        <w:rPr>
          <w:rStyle w:val="title1"/>
          <w:rFonts w:ascii="Times New Roman" w:hAnsi="Times New Roman" w:cs="Times New Roman"/>
          <w:color w:val="auto"/>
          <w:sz w:val="24"/>
          <w:specVanish w:val="0"/>
        </w:rPr>
        <w:t xml:space="preserve">their </w:t>
      </w:r>
      <w:r w:rsidRPr="00C1694A">
        <w:rPr>
          <w:rStyle w:val="title1"/>
          <w:rFonts w:ascii="Times New Roman" w:hAnsi="Times New Roman" w:cs="Times New Roman"/>
          <w:color w:val="auto"/>
          <w:sz w:val="24"/>
          <w:specVanish w:val="0"/>
        </w:rPr>
        <w:t>children’s primary teachers and nurturers</w:t>
      </w:r>
      <w:r w:rsidR="008A3E83" w:rsidRPr="00C1694A">
        <w:rPr>
          <w:rStyle w:val="title1"/>
          <w:rFonts w:ascii="Times New Roman" w:hAnsi="Times New Roman" w:cs="Times New Roman"/>
          <w:color w:val="auto"/>
          <w:sz w:val="24"/>
          <w:specVanish w:val="0"/>
        </w:rPr>
        <w:t xml:space="preserve"> and implement intentional strategies to engage parents in their children’s learning and development and support parent-child relationships, including specific strategies for father engagement</w:t>
      </w:r>
      <w:r w:rsidRPr="00C1694A">
        <w:rPr>
          <w:rStyle w:val="title1"/>
          <w:rFonts w:ascii="Times New Roman" w:hAnsi="Times New Roman" w:cs="Times New Roman"/>
          <w:color w:val="auto"/>
          <w:sz w:val="24"/>
          <w:specVanish w:val="0"/>
        </w:rPr>
        <w:t xml:space="preserve">;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rPr>
      </w:pPr>
      <w:r w:rsidRPr="00C1694A">
        <w:rPr>
          <w:rStyle w:val="title1"/>
          <w:rFonts w:ascii="Times New Roman" w:hAnsi="Times New Roman" w:cs="Times New Roman"/>
          <w:color w:val="auto"/>
          <w:sz w:val="24"/>
          <w:specVanish w:val="0"/>
        </w:rPr>
        <w:t xml:space="preserve">(2) Develop relationships with parents and structure services to encourage trust and respectful, ongoing two-way communication between staff and parents to create welcoming program environments that incorporate the unique cultural, ethnic, and linguistic backgrounds of families in the program and community;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rPr>
      </w:pPr>
      <w:r w:rsidRPr="00C1694A">
        <w:rPr>
          <w:rStyle w:val="title1"/>
          <w:rFonts w:ascii="Times New Roman" w:hAnsi="Times New Roman" w:cs="Times New Roman"/>
          <w:color w:val="auto"/>
          <w:sz w:val="24"/>
          <w:specVanish w:val="0"/>
        </w:rPr>
        <w:t xml:space="preserve">(3) </w:t>
      </w:r>
      <w:r w:rsidR="00973F9C" w:rsidRPr="00C1694A">
        <w:rPr>
          <w:rStyle w:val="title1"/>
          <w:rFonts w:ascii="Times New Roman" w:hAnsi="Times New Roman" w:cs="Times New Roman"/>
          <w:color w:val="auto"/>
          <w:sz w:val="24"/>
          <w:specVanish w:val="0"/>
        </w:rPr>
        <w:t xml:space="preserve">Collaborate with families in a family partnership process that identifies needs, interests, strengths, goals, and services and resources that support family well-being, including family safety, health, and economic stability;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rPr>
      </w:pPr>
      <w:r w:rsidRPr="00C1694A">
        <w:rPr>
          <w:rStyle w:val="title1"/>
          <w:rFonts w:ascii="Times New Roman" w:hAnsi="Times New Roman" w:cs="Times New Roman"/>
          <w:color w:val="auto"/>
          <w:sz w:val="24"/>
          <w:specVanish w:val="0"/>
        </w:rPr>
        <w:t>(</w:t>
      </w:r>
      <w:r w:rsidR="005049F0" w:rsidRPr="00C1694A">
        <w:rPr>
          <w:rStyle w:val="title1"/>
          <w:rFonts w:ascii="Times New Roman" w:hAnsi="Times New Roman" w:cs="Times New Roman"/>
          <w:color w:val="auto"/>
          <w:sz w:val="24"/>
          <w:specVanish w:val="0"/>
        </w:rPr>
        <w:t>4</w:t>
      </w:r>
      <w:r w:rsidRPr="00C1694A">
        <w:rPr>
          <w:rStyle w:val="title1"/>
          <w:rFonts w:ascii="Times New Roman" w:hAnsi="Times New Roman" w:cs="Times New Roman"/>
          <w:color w:val="auto"/>
          <w:sz w:val="24"/>
          <w:specVanish w:val="0"/>
        </w:rPr>
        <w:t>) Provide parents with opportunities to participate in the program as employees or volunteers;</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1049EF" w:rsidRPr="00C1694A" w:rsidRDefault="001049EF" w:rsidP="00AC521C">
      <w:pPr>
        <w:spacing w:after="0" w:line="480" w:lineRule="auto"/>
        <w:ind w:firstLine="720"/>
        <w:rPr>
          <w:rStyle w:val="title1"/>
          <w:rFonts w:ascii="Times New Roman" w:hAnsi="Times New Roman" w:cs="Times New Roman"/>
          <w:color w:val="auto"/>
        </w:rPr>
      </w:pPr>
      <w:r w:rsidRPr="00C1694A">
        <w:rPr>
          <w:rStyle w:val="title1"/>
          <w:rFonts w:ascii="Times New Roman" w:hAnsi="Times New Roman" w:cs="Times New Roman"/>
          <w:color w:val="auto"/>
          <w:sz w:val="24"/>
          <w:specVanish w:val="0"/>
        </w:rPr>
        <w:t>(5) Conduct family engagement services in the family’s preferred language, or through an interpreter, to the extent possible, and ensure families have the opportunity to share personal information in an environment in which they feel safe; and,</w:t>
      </w:r>
    </w:p>
    <w:p w:rsidR="001049EF" w:rsidRPr="00C1694A" w:rsidRDefault="001049EF" w:rsidP="00AC521C">
      <w:pPr>
        <w:spacing w:after="0" w:line="480" w:lineRule="auto"/>
        <w:ind w:firstLine="720"/>
        <w:rPr>
          <w:rStyle w:val="title1"/>
          <w:rFonts w:ascii="Times New Roman" w:hAnsi="Times New Roman" w:cs="Times New Roman"/>
          <w:color w:val="auto"/>
          <w:sz w:val="24"/>
        </w:rPr>
      </w:pPr>
    </w:p>
    <w:p w:rsidR="001049EF" w:rsidRPr="00C1694A" w:rsidRDefault="001049EF" w:rsidP="00AC521C">
      <w:pPr>
        <w:spacing w:after="0" w:line="480" w:lineRule="auto"/>
        <w:ind w:firstLine="720"/>
        <w:rPr>
          <w:rFonts w:ascii="Times New Roman" w:hAnsi="Times New Roman" w:cs="Times New Roman"/>
          <w:sz w:val="46"/>
          <w:szCs w:val="46"/>
        </w:rPr>
      </w:pPr>
      <w:r w:rsidRPr="00C1694A">
        <w:rPr>
          <w:rStyle w:val="title1"/>
          <w:rFonts w:ascii="Times New Roman" w:hAnsi="Times New Roman" w:cs="Times New Roman"/>
          <w:color w:val="auto"/>
          <w:sz w:val="24"/>
          <w:specVanish w:val="0"/>
        </w:rPr>
        <w:t>(6) Implement procedures for teachers, home visitors, and family support staff to share information with each other, as appropriate and consistent with the requirements in part 1303</w:t>
      </w:r>
      <w:r w:rsidR="004A52CB">
        <w:rPr>
          <w:rStyle w:val="title1"/>
          <w:rFonts w:ascii="Times New Roman" w:hAnsi="Times New Roman" w:cs="Times New Roman"/>
          <w:color w:val="auto"/>
          <w:sz w:val="24"/>
          <w:specVanish w:val="0"/>
        </w:rPr>
        <w:t>,</w:t>
      </w:r>
      <w:r w:rsidRPr="00C1694A">
        <w:rPr>
          <w:rStyle w:val="title1"/>
          <w:rFonts w:ascii="Times New Roman" w:hAnsi="Times New Roman" w:cs="Times New Roman"/>
          <w:color w:val="auto"/>
          <w:sz w:val="24"/>
          <w:specVanish w:val="0"/>
        </w:rPr>
        <w:t xml:space="preserve"> subpart C, </w:t>
      </w:r>
      <w:r w:rsidR="004A52CB">
        <w:rPr>
          <w:rStyle w:val="title1"/>
          <w:rFonts w:ascii="Times New Roman" w:hAnsi="Times New Roman" w:cs="Times New Roman"/>
          <w:color w:val="auto"/>
          <w:sz w:val="24"/>
          <w:specVanish w:val="0"/>
        </w:rPr>
        <w:t>of this chapter</w:t>
      </w:r>
      <w:r w:rsidR="0032545E">
        <w:rPr>
          <w:rStyle w:val="title1"/>
          <w:rFonts w:ascii="Times New Roman" w:hAnsi="Times New Roman" w:cs="Times New Roman"/>
          <w:color w:val="auto"/>
          <w:sz w:val="24"/>
          <w:specVanish w:val="0"/>
        </w:rPr>
        <w:t>;</w:t>
      </w:r>
      <w:r w:rsidR="004A52CB">
        <w:rPr>
          <w:rStyle w:val="title1"/>
          <w:rFonts w:ascii="Times New Roman" w:hAnsi="Times New Roman" w:cs="Times New Roman"/>
          <w:color w:val="auto"/>
          <w:sz w:val="24"/>
          <w:specVanish w:val="0"/>
        </w:rPr>
        <w:t xml:space="preserve"> </w:t>
      </w:r>
      <w:r w:rsidRPr="00C1694A">
        <w:rPr>
          <w:rStyle w:val="title1"/>
          <w:rFonts w:ascii="Times New Roman" w:hAnsi="Times New Roman" w:cs="Times New Roman"/>
          <w:color w:val="auto"/>
          <w:sz w:val="24"/>
          <w:specVanish w:val="0"/>
        </w:rPr>
        <w:t>FERPA</w:t>
      </w:r>
      <w:r w:rsidR="0032545E">
        <w:rPr>
          <w:rStyle w:val="title1"/>
          <w:rFonts w:ascii="Times New Roman" w:hAnsi="Times New Roman" w:cs="Times New Roman"/>
          <w:color w:val="auto"/>
          <w:sz w:val="24"/>
          <w:specVanish w:val="0"/>
        </w:rPr>
        <w:t>;</w:t>
      </w:r>
      <w:r w:rsidRPr="00C1694A">
        <w:rPr>
          <w:rStyle w:val="title1"/>
          <w:rFonts w:ascii="Times New Roman" w:hAnsi="Times New Roman" w:cs="Times New Roman"/>
          <w:color w:val="auto"/>
          <w:sz w:val="24"/>
          <w:specVanish w:val="0"/>
        </w:rPr>
        <w:t xml:space="preserve"> or IDEA, to ensure coordinated family engagement strategies with children and families in the classroom, home, and community.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rPr>
          <w:rStyle w:val="title1"/>
          <w:rFonts w:ascii="Times New Roman" w:hAnsi="Times New Roman" w:cs="Times New Roman"/>
          <w:b/>
          <w:color w:val="auto"/>
        </w:rPr>
      </w:pPr>
      <w:r w:rsidRPr="00C1694A">
        <w:rPr>
          <w:rStyle w:val="title1"/>
          <w:rFonts w:ascii="Times New Roman" w:hAnsi="Times New Roman" w:cs="Times New Roman"/>
          <w:b/>
          <w:color w:val="auto"/>
          <w:sz w:val="24"/>
          <w:specVanish w:val="0"/>
        </w:rPr>
        <w:t>§1302.51 Parent activities to promote child learning and development.</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1049EF" w:rsidRPr="00C1694A" w:rsidRDefault="00C03FE8" w:rsidP="00AC521C">
      <w:pPr>
        <w:spacing w:after="0" w:line="480" w:lineRule="auto"/>
        <w:ind w:firstLine="720"/>
        <w:rPr>
          <w:rStyle w:val="title1"/>
          <w:rFonts w:ascii="Times New Roman" w:hAnsi="Times New Roman" w:cs="Times New Roman"/>
          <w:color w:val="auto"/>
          <w:sz w:val="24"/>
        </w:rPr>
      </w:pPr>
      <w:r w:rsidRPr="00C1694A">
        <w:rPr>
          <w:rStyle w:val="title1"/>
          <w:rFonts w:ascii="Times New Roman" w:hAnsi="Times New Roman" w:cs="Times New Roman"/>
          <w:color w:val="auto"/>
          <w:sz w:val="24"/>
          <w:specVanish w:val="0"/>
        </w:rPr>
        <w:t xml:space="preserve">(a) A program must promote shared responsibility with parents for children’s early learning and development, and implement family engagement strategies that are designed to foster parental confidence and skills in promoting children’s learning and development. These strategies must include: </w:t>
      </w:r>
    </w:p>
    <w:p w:rsidR="00785DC3" w:rsidRPr="00C1694A" w:rsidRDefault="00785DC3" w:rsidP="00AC521C">
      <w:pPr>
        <w:spacing w:after="0" w:line="480" w:lineRule="auto"/>
        <w:ind w:firstLine="720"/>
        <w:rPr>
          <w:rFonts w:ascii="Times New Roman" w:hAnsi="Times New Roman" w:cs="Times New Roman"/>
        </w:rPr>
      </w:pPr>
    </w:p>
    <w:p w:rsidR="00C03FE8" w:rsidRPr="00C1694A" w:rsidRDefault="001049EF" w:rsidP="00AC521C">
      <w:pPr>
        <w:spacing w:after="0" w:line="480" w:lineRule="auto"/>
        <w:ind w:firstLine="720"/>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pecVanish w:val="0"/>
        </w:rPr>
        <w:t xml:space="preserve"> </w:t>
      </w:r>
      <w:r w:rsidR="00C03FE8" w:rsidRPr="00C1694A">
        <w:rPr>
          <w:rStyle w:val="title1"/>
          <w:rFonts w:ascii="Times New Roman" w:hAnsi="Times New Roman" w:cs="Times New Roman"/>
          <w:color w:val="auto"/>
          <w:sz w:val="24"/>
          <w:specVanish w:val="0"/>
        </w:rPr>
        <w:t xml:space="preserve">(1) </w:t>
      </w:r>
      <w:r w:rsidR="00D86132" w:rsidRPr="00C1694A">
        <w:rPr>
          <w:rStyle w:val="title1"/>
          <w:rFonts w:ascii="Times New Roman" w:hAnsi="Times New Roman" w:cs="Times New Roman"/>
          <w:color w:val="auto"/>
          <w:sz w:val="24"/>
          <w:szCs w:val="24"/>
          <w:specVanish w:val="0"/>
        </w:rPr>
        <w:t>Offering a</w:t>
      </w:r>
      <w:r w:rsidR="00C03FE8" w:rsidRPr="00C1694A">
        <w:rPr>
          <w:rStyle w:val="title1"/>
          <w:rFonts w:ascii="Times New Roman" w:hAnsi="Times New Roman" w:cs="Times New Roman"/>
          <w:color w:val="auto"/>
          <w:sz w:val="24"/>
          <w:szCs w:val="24"/>
          <w:specVanish w:val="0"/>
        </w:rPr>
        <w:t>ctivities that support parent-child relationships and</w:t>
      </w:r>
      <w:r w:rsidRPr="00C1694A">
        <w:rPr>
          <w:rStyle w:val="title1"/>
          <w:rFonts w:ascii="Times New Roman" w:hAnsi="Times New Roman" w:cs="Times New Roman"/>
          <w:color w:val="auto"/>
          <w:sz w:val="24"/>
          <w:szCs w:val="24"/>
          <w:specVanish w:val="0"/>
        </w:rPr>
        <w:t xml:space="preserve"> </w:t>
      </w:r>
      <w:r w:rsidR="00E258EA" w:rsidRPr="00C1694A">
        <w:rPr>
          <w:rStyle w:val="title1"/>
          <w:rFonts w:ascii="Times New Roman" w:hAnsi="Times New Roman" w:cs="Times New Roman"/>
          <w:color w:val="auto"/>
          <w:sz w:val="24"/>
          <w:szCs w:val="24"/>
          <w:specVanish w:val="0"/>
        </w:rPr>
        <w:t xml:space="preserve">child development including </w:t>
      </w:r>
      <w:r w:rsidR="00C03FE8" w:rsidRPr="00C1694A">
        <w:rPr>
          <w:rStyle w:val="title1"/>
          <w:rFonts w:ascii="Times New Roman" w:hAnsi="Times New Roman" w:cs="Times New Roman"/>
          <w:color w:val="auto"/>
          <w:sz w:val="24"/>
          <w:szCs w:val="24"/>
          <w:specVanish w:val="0"/>
        </w:rPr>
        <w:t>language</w:t>
      </w:r>
      <w:r w:rsidR="00E258EA" w:rsidRPr="00C1694A">
        <w:rPr>
          <w:rStyle w:val="title1"/>
          <w:rFonts w:ascii="Times New Roman" w:hAnsi="Times New Roman" w:cs="Times New Roman"/>
          <w:color w:val="auto"/>
          <w:sz w:val="24"/>
          <w:szCs w:val="24"/>
          <w:specVanish w:val="0"/>
        </w:rPr>
        <w:t>, dual language,</w:t>
      </w:r>
      <w:r w:rsidR="00C03FE8" w:rsidRPr="00C1694A">
        <w:rPr>
          <w:rStyle w:val="title1"/>
          <w:rFonts w:ascii="Times New Roman" w:hAnsi="Times New Roman" w:cs="Times New Roman"/>
          <w:color w:val="auto"/>
          <w:sz w:val="24"/>
          <w:szCs w:val="24"/>
          <w:specVanish w:val="0"/>
        </w:rPr>
        <w:t xml:space="preserve"> literacy</w:t>
      </w:r>
      <w:r w:rsidR="007046FF" w:rsidRPr="00C1694A">
        <w:rPr>
          <w:rStyle w:val="title1"/>
          <w:rFonts w:ascii="Times New Roman" w:hAnsi="Times New Roman" w:cs="Times New Roman"/>
          <w:color w:val="auto"/>
          <w:sz w:val="24"/>
          <w:szCs w:val="24"/>
          <w:specVanish w:val="0"/>
        </w:rPr>
        <w:t>,</w:t>
      </w:r>
      <w:r w:rsidR="00C03FE8" w:rsidRPr="00C1694A">
        <w:rPr>
          <w:rStyle w:val="title1"/>
          <w:rFonts w:ascii="Times New Roman" w:hAnsi="Times New Roman" w:cs="Times New Roman"/>
          <w:color w:val="auto"/>
          <w:sz w:val="24"/>
          <w:szCs w:val="24"/>
          <w:specVanish w:val="0"/>
        </w:rPr>
        <w:t xml:space="preserve"> </w:t>
      </w:r>
      <w:r w:rsidR="00E258EA" w:rsidRPr="00C1694A">
        <w:rPr>
          <w:rStyle w:val="title1"/>
          <w:rFonts w:ascii="Times New Roman" w:hAnsi="Times New Roman" w:cs="Times New Roman"/>
          <w:color w:val="auto"/>
          <w:sz w:val="24"/>
          <w:szCs w:val="24"/>
          <w:specVanish w:val="0"/>
        </w:rPr>
        <w:t>and bi</w:t>
      </w:r>
      <w:r w:rsidR="007046FF" w:rsidRPr="00C1694A">
        <w:rPr>
          <w:rStyle w:val="title1"/>
          <w:rFonts w:ascii="Times New Roman" w:hAnsi="Times New Roman" w:cs="Times New Roman"/>
          <w:color w:val="auto"/>
          <w:sz w:val="24"/>
          <w:szCs w:val="24"/>
          <w:specVanish w:val="0"/>
        </w:rPr>
        <w:t>-</w:t>
      </w:r>
      <w:r w:rsidR="00E258EA" w:rsidRPr="00C1694A">
        <w:rPr>
          <w:rStyle w:val="title1"/>
          <w:rFonts w:ascii="Times New Roman" w:hAnsi="Times New Roman" w:cs="Times New Roman"/>
          <w:color w:val="auto"/>
          <w:sz w:val="24"/>
          <w:szCs w:val="24"/>
          <w:specVanish w:val="0"/>
        </w:rPr>
        <w:t xml:space="preserve">literacy </w:t>
      </w:r>
      <w:r w:rsidR="00C03FE8" w:rsidRPr="00C1694A">
        <w:rPr>
          <w:rStyle w:val="title1"/>
          <w:rFonts w:ascii="Times New Roman" w:hAnsi="Times New Roman" w:cs="Times New Roman"/>
          <w:color w:val="auto"/>
          <w:sz w:val="24"/>
          <w:szCs w:val="24"/>
          <w:specVanish w:val="0"/>
        </w:rPr>
        <w:t>development</w:t>
      </w:r>
      <w:r w:rsidR="00DA2401" w:rsidRPr="00C1694A">
        <w:rPr>
          <w:rStyle w:val="title1"/>
          <w:rFonts w:ascii="Times New Roman" w:hAnsi="Times New Roman" w:cs="Times New Roman"/>
          <w:color w:val="auto"/>
          <w:sz w:val="24"/>
          <w:szCs w:val="24"/>
          <w:specVanish w:val="0"/>
        </w:rPr>
        <w:t xml:space="preserve"> </w:t>
      </w:r>
      <w:r w:rsidR="00A56133" w:rsidRPr="00C1694A">
        <w:rPr>
          <w:rStyle w:val="title1"/>
          <w:rFonts w:ascii="Times New Roman" w:hAnsi="Times New Roman" w:cs="Times New Roman"/>
          <w:color w:val="auto"/>
          <w:sz w:val="24"/>
          <w:szCs w:val="24"/>
          <w:specVanish w:val="0"/>
        </w:rPr>
        <w:t>as appropriate</w:t>
      </w:r>
      <w:r w:rsidR="00C03FE8" w:rsidRPr="00C1694A">
        <w:rPr>
          <w:rStyle w:val="title1"/>
          <w:rFonts w:ascii="Times New Roman" w:hAnsi="Times New Roman" w:cs="Times New Roman"/>
          <w:color w:val="auto"/>
          <w:sz w:val="24"/>
          <w:szCs w:val="24"/>
          <w:specVanish w:val="0"/>
        </w:rPr>
        <w:t>;</w:t>
      </w: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 xml:space="preserve">(2) Providing parents with information about the importance of their child’s regular attendance, and partner with them, as necessary, to promote consistent attendance; and, </w:t>
      </w: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(3) For dual language learners, information and resources for parents about the benefits of bilingualism and biliteracy.</w:t>
      </w: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(b</w:t>
      </w:r>
      <w:r w:rsidR="00E41711" w:rsidRPr="00C1694A">
        <w:rPr>
          <w:rStyle w:val="title1"/>
          <w:rFonts w:ascii="Times New Roman" w:hAnsi="Times New Roman" w:cs="Times New Roman"/>
          <w:color w:val="auto"/>
          <w:sz w:val="24"/>
          <w:szCs w:val="24"/>
          <w:specVanish w:val="0"/>
        </w:rPr>
        <w:t xml:space="preserve">) A program must, at a minimum, </w:t>
      </w:r>
      <w:r w:rsidRPr="00C1694A">
        <w:rPr>
          <w:rStyle w:val="title1"/>
          <w:rFonts w:ascii="Times New Roman" w:hAnsi="Times New Roman" w:cs="Times New Roman"/>
          <w:color w:val="auto"/>
          <w:sz w:val="24"/>
          <w:szCs w:val="24"/>
          <w:specVanish w:val="0"/>
        </w:rPr>
        <w:t>offer opportunities for parents to participate in a research-based parenting curriculum that builds on parents’ knowledge and offers parents the opportunity to practice parenting skills to promote children’s learning and development.</w:t>
      </w:r>
      <w:r w:rsidR="00E13DCC" w:rsidRPr="00C1694A">
        <w:rPr>
          <w:rStyle w:val="title1"/>
          <w:rFonts w:ascii="Times New Roman" w:hAnsi="Times New Roman" w:cs="Times New Roman"/>
          <w:color w:val="auto"/>
          <w:sz w:val="24"/>
          <w:szCs w:val="24"/>
          <w:specVanish w:val="0"/>
        </w:rPr>
        <w:t xml:space="preserve">  </w:t>
      </w:r>
      <w:r w:rsidR="00E13DCC" w:rsidRPr="00C1694A">
        <w:rPr>
          <w:rFonts w:ascii="Times New Roman" w:hAnsi="Times New Roman" w:cs="Times New Roman"/>
          <w:sz w:val="24"/>
          <w:szCs w:val="24"/>
        </w:rPr>
        <w:t xml:space="preserve">A program that chooses to make significant adaptations to the parenting curriculum to better meet the needs of one or more specific populations must work with an expert </w:t>
      </w:r>
      <w:r w:rsidR="005049F0" w:rsidRPr="00C1694A">
        <w:rPr>
          <w:rFonts w:ascii="Times New Roman" w:hAnsi="Times New Roman" w:cs="Times New Roman"/>
          <w:sz w:val="24"/>
          <w:szCs w:val="24"/>
        </w:rPr>
        <w:t xml:space="preserve">or experts </w:t>
      </w:r>
      <w:r w:rsidR="00E13DCC" w:rsidRPr="00C1694A">
        <w:rPr>
          <w:rFonts w:ascii="Times New Roman" w:hAnsi="Times New Roman" w:cs="Times New Roman"/>
          <w:sz w:val="24"/>
          <w:szCs w:val="24"/>
        </w:rPr>
        <w:t>to develop such adaptations.</w:t>
      </w: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rPr>
      </w:pPr>
      <w:r w:rsidRPr="00C1694A">
        <w:rPr>
          <w:rStyle w:val="title1"/>
          <w:rFonts w:ascii="Times New Roman" w:hAnsi="Times New Roman" w:cs="Times New Roman"/>
          <w:b/>
          <w:color w:val="auto"/>
          <w:sz w:val="24"/>
          <w:specVanish w:val="0"/>
        </w:rPr>
        <w:t>§1302.52 Family partnership services.</w:t>
      </w: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p>
    <w:p w:rsidR="00C03FE8" w:rsidRPr="00C1694A" w:rsidRDefault="00C03FE8" w:rsidP="00AC521C">
      <w:pPr>
        <w:spacing w:after="0" w:line="480" w:lineRule="auto"/>
        <w:ind w:firstLine="720"/>
        <w:rPr>
          <w:rStyle w:val="title1"/>
          <w:rFonts w:ascii="Times New Roman" w:hAnsi="Times New Roman" w:cs="Times New Roman"/>
          <w:color w:val="auto"/>
        </w:rPr>
      </w:pPr>
      <w:r w:rsidRPr="00C1694A">
        <w:rPr>
          <w:rStyle w:val="title1"/>
          <w:rFonts w:ascii="Times New Roman" w:hAnsi="Times New Roman" w:cs="Times New Roman"/>
          <w:color w:val="auto"/>
          <w:sz w:val="24"/>
          <w:specVanish w:val="0"/>
        </w:rPr>
        <w:t xml:space="preserve">(a) </w:t>
      </w:r>
      <w:r w:rsidRPr="00C1694A">
        <w:rPr>
          <w:rStyle w:val="title1"/>
          <w:rFonts w:ascii="Times New Roman" w:hAnsi="Times New Roman" w:cs="Times New Roman"/>
          <w:color w:val="auto"/>
          <w:sz w:val="24"/>
          <w:u w:val="single"/>
          <w:specVanish w:val="0"/>
        </w:rPr>
        <w:t>Family partnership process</w:t>
      </w:r>
      <w:r w:rsidRPr="00C1694A">
        <w:rPr>
          <w:rStyle w:val="title1"/>
          <w:rFonts w:ascii="Times New Roman" w:hAnsi="Times New Roman" w:cs="Times New Roman"/>
          <w:i/>
          <w:color w:val="auto"/>
          <w:sz w:val="24"/>
          <w:specVanish w:val="0"/>
        </w:rPr>
        <w:t>.</w:t>
      </w:r>
      <w:r w:rsidRPr="00C1694A">
        <w:rPr>
          <w:rStyle w:val="title1"/>
          <w:rFonts w:ascii="Times New Roman" w:hAnsi="Times New Roman" w:cs="Times New Roman"/>
          <w:color w:val="auto"/>
          <w:sz w:val="24"/>
          <w:specVanish w:val="0"/>
        </w:rPr>
        <w:t xml:space="preserve">  A program must implement a family partnership process that includes</w:t>
      </w:r>
      <w:r w:rsidR="00185F67" w:rsidRPr="00C1694A">
        <w:rPr>
          <w:rStyle w:val="title1"/>
          <w:rFonts w:ascii="Times New Roman" w:hAnsi="Times New Roman" w:cs="Times New Roman"/>
          <w:color w:val="auto"/>
          <w:sz w:val="24"/>
          <w:specVanish w:val="0"/>
        </w:rPr>
        <w:t xml:space="preserve"> a family partnership agreement and</w:t>
      </w:r>
      <w:r w:rsidRPr="00C1694A">
        <w:rPr>
          <w:rStyle w:val="title1"/>
          <w:rFonts w:ascii="Times New Roman" w:hAnsi="Times New Roman" w:cs="Times New Roman"/>
          <w:color w:val="auto"/>
          <w:sz w:val="24"/>
          <w:specVanish w:val="0"/>
        </w:rPr>
        <w:t xml:space="preserve"> the activities described in this section to support family well-being, including family safety, health, and economic stability, to support child learning and development</w:t>
      </w:r>
      <w:r w:rsidR="0061087D">
        <w:rPr>
          <w:rStyle w:val="title1"/>
          <w:rFonts w:ascii="Times New Roman" w:hAnsi="Times New Roman" w:cs="Times New Roman"/>
          <w:color w:val="auto"/>
          <w:sz w:val="24"/>
          <w:specVanish w:val="0"/>
        </w:rPr>
        <w:t>, to provide, if applicable, services and supports for children with disabilities,</w:t>
      </w:r>
      <w:r w:rsidRPr="00C1694A">
        <w:rPr>
          <w:rStyle w:val="title1"/>
          <w:rFonts w:ascii="Times New Roman" w:hAnsi="Times New Roman" w:cs="Times New Roman"/>
          <w:color w:val="auto"/>
          <w:sz w:val="24"/>
          <w:specVanish w:val="0"/>
        </w:rPr>
        <w:t xml:space="preserve"> and to foster parental confidence and skills that promote the early learning and development of their children.  The process must be initiated as early in the program year as possible and continue for as long as the family participates in the program, based on parent interest and need.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rPr>
      </w:pPr>
      <w:r w:rsidRPr="00C1694A">
        <w:rPr>
          <w:rStyle w:val="title1"/>
          <w:rFonts w:ascii="Times New Roman" w:hAnsi="Times New Roman" w:cs="Times New Roman"/>
          <w:color w:val="auto"/>
          <w:sz w:val="24"/>
          <w:specVanish w:val="0"/>
        </w:rPr>
        <w:t xml:space="preserve">(b) </w:t>
      </w:r>
      <w:r w:rsidRPr="00C1694A">
        <w:rPr>
          <w:rStyle w:val="title1"/>
          <w:rFonts w:ascii="Times New Roman" w:hAnsi="Times New Roman" w:cs="Times New Roman"/>
          <w:color w:val="auto"/>
          <w:sz w:val="24"/>
          <w:u w:val="single"/>
          <w:specVanish w:val="0"/>
        </w:rPr>
        <w:t>Identification of family strengths and needs.</w:t>
      </w:r>
      <w:r w:rsidRPr="00C1694A">
        <w:rPr>
          <w:rStyle w:val="title1"/>
          <w:rFonts w:ascii="Times New Roman" w:hAnsi="Times New Roman" w:cs="Times New Roman"/>
          <w:color w:val="auto"/>
          <w:sz w:val="24"/>
          <w:specVanish w:val="0"/>
        </w:rPr>
        <w:t xml:space="preserve">  A program must implement intake and family assessment procedures to identify family strengths and needs related to the family engagement outcomes as described in the Head Start Parent Family and Community Engagement Framework, including family well-being, parent-child relationships, families as lifelong educators, families as learners, family engagement in transitions, family connections to peers and the local community, and families as advocates and leaders.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rPr>
      </w:pPr>
      <w:r w:rsidRPr="00C1694A">
        <w:rPr>
          <w:rStyle w:val="title1"/>
          <w:rFonts w:ascii="Times New Roman" w:hAnsi="Times New Roman" w:cs="Times New Roman"/>
          <w:color w:val="auto"/>
          <w:sz w:val="24"/>
          <w:specVanish w:val="0"/>
        </w:rPr>
        <w:t xml:space="preserve">(c) </w:t>
      </w:r>
      <w:r w:rsidRPr="00C1694A">
        <w:rPr>
          <w:rStyle w:val="title1"/>
          <w:rFonts w:ascii="Times New Roman" w:hAnsi="Times New Roman" w:cs="Times New Roman"/>
          <w:color w:val="auto"/>
          <w:sz w:val="24"/>
          <w:u w:val="single"/>
          <w:specVanish w:val="0"/>
        </w:rPr>
        <w:t>Individualized family partnership services.</w:t>
      </w:r>
      <w:r w:rsidRPr="00C1694A">
        <w:rPr>
          <w:rStyle w:val="title1"/>
          <w:rFonts w:ascii="Times New Roman" w:hAnsi="Times New Roman" w:cs="Times New Roman"/>
          <w:color w:val="auto"/>
          <w:sz w:val="24"/>
          <w:specVanish w:val="0"/>
        </w:rPr>
        <w:t xml:space="preserve">  A program must offer individualized family partnership services that: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rPr>
      </w:pPr>
      <w:r w:rsidRPr="00C1694A">
        <w:rPr>
          <w:rStyle w:val="title1"/>
          <w:rFonts w:ascii="Times New Roman" w:hAnsi="Times New Roman" w:cs="Times New Roman"/>
          <w:color w:val="auto"/>
          <w:sz w:val="24"/>
          <w:specVanish w:val="0"/>
        </w:rPr>
        <w:t>(1) Collaborate with families to identify interests, needs, and aspirations related to the family engagement outcomes described in paragraph (b)</w:t>
      </w:r>
      <w:r w:rsidR="00356263">
        <w:rPr>
          <w:rStyle w:val="title1"/>
          <w:rFonts w:ascii="Times New Roman" w:hAnsi="Times New Roman" w:cs="Times New Roman"/>
          <w:color w:val="auto"/>
          <w:sz w:val="24"/>
          <w:specVanish w:val="0"/>
        </w:rPr>
        <w:t xml:space="preserve"> of this section</w:t>
      </w:r>
      <w:r w:rsidRPr="00C1694A">
        <w:rPr>
          <w:rStyle w:val="title1"/>
          <w:rFonts w:ascii="Times New Roman" w:hAnsi="Times New Roman" w:cs="Times New Roman"/>
          <w:color w:val="auto"/>
          <w:sz w:val="24"/>
          <w:specVanish w:val="0"/>
        </w:rPr>
        <w:t xml:space="preserve">;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rPr>
      </w:pPr>
      <w:r w:rsidRPr="00C1694A">
        <w:rPr>
          <w:rStyle w:val="title1"/>
          <w:rFonts w:ascii="Times New Roman" w:hAnsi="Times New Roman" w:cs="Times New Roman"/>
          <w:color w:val="auto"/>
          <w:sz w:val="24"/>
          <w:specVanish w:val="0"/>
        </w:rPr>
        <w:t xml:space="preserve">(2) Help families achieve identified individualized family engagement outcomes; </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(3) Establish and implement a family partnership agreement process</w:t>
      </w:r>
      <w:r w:rsidR="00185F67" w:rsidRPr="00C1694A">
        <w:rPr>
          <w:rStyle w:val="title1"/>
          <w:rFonts w:ascii="Times New Roman" w:hAnsi="Times New Roman" w:cs="Times New Roman"/>
          <w:color w:val="auto"/>
          <w:sz w:val="24"/>
          <w:szCs w:val="24"/>
          <w:specVanish w:val="0"/>
        </w:rPr>
        <w:t xml:space="preserve"> that is jointly developed and shared with parents</w:t>
      </w:r>
      <w:r w:rsidR="0032545E">
        <w:rPr>
          <w:rStyle w:val="title1"/>
          <w:rFonts w:ascii="Times New Roman" w:hAnsi="Times New Roman" w:cs="Times New Roman"/>
          <w:color w:val="auto"/>
          <w:sz w:val="24"/>
          <w:szCs w:val="24"/>
          <w:specVanish w:val="0"/>
        </w:rPr>
        <w:t xml:space="preserve"> in which</w:t>
      </w:r>
      <w:r w:rsidRPr="00C1694A">
        <w:rPr>
          <w:rStyle w:val="title1"/>
          <w:rFonts w:ascii="Times New Roman" w:hAnsi="Times New Roman" w:cs="Times New Roman"/>
          <w:color w:val="auto"/>
          <w:sz w:val="24"/>
          <w:szCs w:val="24"/>
          <w:specVanish w:val="0"/>
        </w:rPr>
        <w:t xml:space="preserve"> staff and families review individual progress, revise goals, evaluate and track whether identified needs and goals are met, and adjust strategies on an ongoing basis, as necessary</w:t>
      </w:r>
      <w:r w:rsidR="007046FF" w:rsidRPr="00C1694A">
        <w:rPr>
          <w:rStyle w:val="title1"/>
          <w:rFonts w:ascii="Times New Roman" w:hAnsi="Times New Roman" w:cs="Times New Roman"/>
          <w:color w:val="auto"/>
          <w:sz w:val="24"/>
          <w:szCs w:val="24"/>
          <w:specVanish w:val="0"/>
        </w:rPr>
        <w:t xml:space="preserve">, </w:t>
      </w:r>
      <w:r w:rsidRPr="00C1694A">
        <w:rPr>
          <w:rStyle w:val="title1"/>
          <w:rFonts w:ascii="Times New Roman" w:hAnsi="Times New Roman" w:cs="Times New Roman"/>
          <w:color w:val="auto"/>
          <w:sz w:val="24"/>
          <w:szCs w:val="24"/>
          <w:specVanish w:val="0"/>
        </w:rPr>
        <w:t>and</w:t>
      </w:r>
      <w:r w:rsidR="007046FF" w:rsidRPr="00C1694A">
        <w:rPr>
          <w:rStyle w:val="title1"/>
          <w:rFonts w:ascii="Times New Roman" w:hAnsi="Times New Roman" w:cs="Times New Roman"/>
          <w:color w:val="auto"/>
          <w:sz w:val="24"/>
          <w:szCs w:val="24"/>
          <w:specVanish w:val="0"/>
        </w:rPr>
        <w:t>;</w:t>
      </w: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(4) Assign</w:t>
      </w:r>
      <w:r w:rsidRPr="00C1694A">
        <w:rPr>
          <w:rStyle w:val="title1"/>
          <w:rFonts w:ascii="Times New Roman" w:hAnsi="Times New Roman" w:cs="Times New Roman"/>
          <w:color w:val="auto"/>
          <w:sz w:val="24"/>
          <w:specVanish w:val="0"/>
        </w:rPr>
        <w:t xml:space="preserve"> staff and resources based on the urgency and intensity of identified family needs and goals</w:t>
      </w:r>
      <w:r w:rsidRPr="00C1694A">
        <w:rPr>
          <w:rStyle w:val="title1"/>
          <w:rFonts w:ascii="Times New Roman" w:hAnsi="Times New Roman" w:cs="Times New Roman"/>
          <w:color w:val="auto"/>
          <w:sz w:val="24"/>
          <w:szCs w:val="24"/>
          <w:specVanish w:val="0"/>
        </w:rPr>
        <w:t>.</w:t>
      </w:r>
    </w:p>
    <w:p w:rsidR="00C03FE8" w:rsidRPr="00C1694A" w:rsidRDefault="00C03FE8" w:rsidP="00AC521C">
      <w:pPr>
        <w:spacing w:after="0" w:line="480" w:lineRule="auto"/>
        <w:ind w:firstLine="720"/>
        <w:rPr>
          <w:rStyle w:val="title1"/>
          <w:rFonts w:ascii="Times New Roman" w:hAnsi="Times New Roman" w:cs="Times New Roman"/>
          <w:color w:val="auto"/>
          <w:sz w:val="24"/>
        </w:rPr>
      </w:pPr>
    </w:p>
    <w:p w:rsidR="00C03FE8" w:rsidRPr="00C1694A" w:rsidRDefault="00C03FE8" w:rsidP="00AC521C">
      <w:pPr>
        <w:spacing w:after="0" w:line="480" w:lineRule="auto"/>
        <w:ind w:firstLine="720"/>
        <w:rPr>
          <w:rStyle w:val="title1"/>
          <w:rFonts w:ascii="Times New Roman" w:hAnsi="Times New Roman" w:cs="Times New Roman"/>
          <w:color w:val="auto"/>
        </w:rPr>
      </w:pPr>
      <w:r w:rsidRPr="00C1694A">
        <w:rPr>
          <w:rStyle w:val="title1"/>
          <w:rFonts w:ascii="Times New Roman" w:hAnsi="Times New Roman" w:cs="Times New Roman"/>
          <w:color w:val="auto"/>
          <w:sz w:val="24"/>
          <w:specVanish w:val="0"/>
        </w:rPr>
        <w:t xml:space="preserve">(d) </w:t>
      </w:r>
      <w:r w:rsidRPr="00C1694A">
        <w:rPr>
          <w:rStyle w:val="title1"/>
          <w:rFonts w:ascii="Times New Roman" w:hAnsi="Times New Roman" w:cs="Times New Roman"/>
          <w:color w:val="auto"/>
          <w:sz w:val="24"/>
          <w:u w:val="single"/>
          <w:specVanish w:val="0"/>
        </w:rPr>
        <w:t>Existing plans and community resources.</w:t>
      </w:r>
      <w:r w:rsidRPr="00C1694A">
        <w:rPr>
          <w:rStyle w:val="title1"/>
          <w:rFonts w:ascii="Times New Roman" w:hAnsi="Times New Roman" w:cs="Times New Roman"/>
          <w:color w:val="auto"/>
          <w:sz w:val="24"/>
          <w:specVanish w:val="0"/>
        </w:rPr>
        <w:t xml:space="preserve">  In implementing this section, a program must take into consideration any existing plans for the family made with other community agencies and availability of other community resources to address family needs, strengths, and goals, in order to avoid duplication of effort.   </w:t>
      </w:r>
    </w:p>
    <w:p w:rsidR="00C03FE8" w:rsidRPr="00C1694A" w:rsidRDefault="00C03FE8" w:rsidP="00AC521C">
      <w:pPr>
        <w:spacing w:after="0" w:line="480" w:lineRule="auto"/>
        <w:ind w:firstLine="720"/>
        <w:rPr>
          <w:rStyle w:val="title1"/>
          <w:rFonts w:ascii="Times New Roman" w:hAnsi="Times New Roman" w:cs="Times New Roman"/>
          <w:color w:val="auto"/>
          <w:sz w:val="28"/>
        </w:rPr>
      </w:pPr>
    </w:p>
    <w:p w:rsidR="00C03FE8" w:rsidRPr="00C1694A" w:rsidRDefault="00C03FE8" w:rsidP="00AC521C">
      <w:pPr>
        <w:spacing w:after="0" w:line="480" w:lineRule="auto"/>
        <w:rPr>
          <w:rStyle w:val="title1"/>
          <w:rFonts w:ascii="Times New Roman" w:hAnsi="Times New Roman" w:cs="Times New Roman"/>
          <w:b/>
          <w:color w:val="auto"/>
          <w:sz w:val="24"/>
        </w:rPr>
      </w:pPr>
      <w:r w:rsidRPr="00C1694A">
        <w:rPr>
          <w:rStyle w:val="title1"/>
          <w:rFonts w:ascii="Times New Roman" w:hAnsi="Times New Roman" w:cs="Times New Roman"/>
          <w:b/>
          <w:color w:val="auto"/>
          <w:sz w:val="24"/>
          <w:specVanish w:val="0"/>
        </w:rPr>
        <w:t>§1302.53 Community partnerships and coordination with other early childhood and education programs.</w:t>
      </w: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sidDel="00D11DC5">
        <w:rPr>
          <w:rFonts w:ascii="Times New Roman" w:hAnsi="Times New Roman" w:cs="Times New Roman"/>
          <w:sz w:val="24"/>
        </w:rPr>
        <w:t xml:space="preserve"> </w:t>
      </w: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Community partnerships.</w:t>
      </w:r>
      <w:r w:rsidRPr="00C1694A">
        <w:rPr>
          <w:rFonts w:ascii="Times New Roman" w:eastAsia="Times New Roman" w:hAnsi="Times New Roman" w:cs="Times New Roman"/>
          <w:i/>
          <w:sz w:val="24"/>
          <w:szCs w:val="24"/>
        </w:rPr>
        <w:t xml:space="preserve">  </w:t>
      </w:r>
      <w:r w:rsidRPr="00C1694A">
        <w:rPr>
          <w:rFonts w:ascii="Times New Roman" w:eastAsia="Times New Roman" w:hAnsi="Times New Roman" w:cs="Times New Roman"/>
          <w:sz w:val="24"/>
          <w:szCs w:val="24"/>
        </w:rPr>
        <w:t>(1) A program must establish ongoing collaborative relationships and partnerships with community organizations such as establishing joint agreements, procedures, or contracts and arranging for onsite delivery of services as appropriate, to facilitate access to community services that are responsive to children’s and families’ needs and family partnership goals, and community needs and resources, as determined by the community assessment.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A program must establish necessary collaborative relationships and partnerships, with community organizations that may include: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 Health care providers, including child and adult mental health professionals, </w:t>
      </w:r>
      <w:r w:rsidR="000C2FB6" w:rsidRPr="00C1694A">
        <w:rPr>
          <w:rFonts w:ascii="Times New Roman" w:eastAsia="Times New Roman" w:hAnsi="Times New Roman" w:cs="Times New Roman"/>
          <w:sz w:val="24"/>
          <w:szCs w:val="24"/>
        </w:rPr>
        <w:t xml:space="preserve">Medicaid managed care networks, </w:t>
      </w:r>
      <w:r w:rsidRPr="00C1694A">
        <w:rPr>
          <w:rFonts w:ascii="Times New Roman" w:eastAsia="Times New Roman" w:hAnsi="Times New Roman" w:cs="Times New Roman"/>
          <w:sz w:val="24"/>
          <w:szCs w:val="24"/>
        </w:rPr>
        <w:t xml:space="preserve">dentists, other health professionals, nutritional service providers, providers of prenatal and postnatal support, and substance abuse treatment providers;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Individuals and agencies that provide services to children with disabilities and their families, elementary schools, state preschool providers, and providers of child care services;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(iii) Family preservation and support services and child protective services and any other agency to which child abuse must be reported under state or tribal law;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(iv) Educational and cultural institutions, such as libraries and museums, for both children and families;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(v) Temporary Assistance for Needy Families, nutrition assistance agencies, workforce development and training programs, adult or family literacy, adult education, and post-secondary education institutions, and agencies or financial institutions that provide asset-building education, products and services to enhance family financial stability and savings;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(vi) Housing assistance agencies and providers of support for children and families experiencing homelessness, including the local educational agency liaison designated under </w:t>
      </w:r>
      <w:r w:rsidR="00705CE0">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ection 722(g)(1)(J)(ii) of the McKinney-Vento Homeless Assistance Act (42 U.S.C. 11431 </w:t>
      </w:r>
      <w:r w:rsidRPr="00AC521C">
        <w:rPr>
          <w:rFonts w:ascii="Times New Roman" w:eastAsia="Times New Roman" w:hAnsi="Times New Roman" w:cs="Times New Roman"/>
          <w:i/>
          <w:sz w:val="24"/>
          <w:szCs w:val="24"/>
        </w:rPr>
        <w:t>et seq</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(vii) Domestic violence prevention and support providers; and,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(viii) </w:t>
      </w:r>
      <w:r w:rsidR="00B26E5E" w:rsidRPr="00C1694A">
        <w:rPr>
          <w:rFonts w:ascii="Times New Roman" w:eastAsia="Times New Roman" w:hAnsi="Times New Roman" w:cs="Times New Roman"/>
          <w:sz w:val="24"/>
          <w:szCs w:val="24"/>
        </w:rPr>
        <w:t>O</w:t>
      </w:r>
      <w:r w:rsidR="007046FF" w:rsidRPr="00C1694A">
        <w:rPr>
          <w:rFonts w:ascii="Times New Roman" w:eastAsia="Times New Roman" w:hAnsi="Times New Roman" w:cs="Times New Roman"/>
          <w:sz w:val="24"/>
          <w:szCs w:val="24"/>
        </w:rPr>
        <w:t>t</w:t>
      </w:r>
      <w:r w:rsidRPr="00C1694A">
        <w:rPr>
          <w:rFonts w:ascii="Times New Roman" w:eastAsia="Times New Roman" w:hAnsi="Times New Roman" w:cs="Times New Roman"/>
          <w:sz w:val="24"/>
          <w:szCs w:val="24"/>
        </w:rPr>
        <w:t>her organizations or businesses that may provide support and resources to families.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hAnsi="Times New Roman" w:cs="Times New Roman"/>
          <w:sz w:val="24"/>
        </w:rPr>
        <w:t xml:space="preserve">(b) </w:t>
      </w:r>
      <w:r w:rsidRPr="00C1694A">
        <w:rPr>
          <w:rFonts w:ascii="Times New Roman" w:eastAsia="Times New Roman" w:hAnsi="Times New Roman" w:cs="Times New Roman"/>
          <w:sz w:val="24"/>
          <w:szCs w:val="24"/>
          <w:u w:val="single"/>
        </w:rPr>
        <w:t>Coordination with other programs and systems.</w:t>
      </w:r>
      <w:r w:rsidRPr="00C1694A">
        <w:rPr>
          <w:rFonts w:ascii="Times New Roman" w:eastAsia="Times New Roman" w:hAnsi="Times New Roman" w:cs="Times New Roman"/>
          <w:sz w:val="24"/>
          <w:szCs w:val="24"/>
        </w:rPr>
        <w:t xml:space="preserve"> A program must take an active role in promoting coordinated systems of comprehensive early childhood services to low-income children and families in their community through communication, cooperation, and the sharing of information among agencies and their community partners, while protecting the privacy of child records in accordance with subpart C of part 1303</w:t>
      </w:r>
      <w:r w:rsidR="004A52CB">
        <w:rPr>
          <w:rFonts w:ascii="Times New Roman" w:eastAsia="Times New Roman" w:hAnsi="Times New Roman" w:cs="Times New Roman"/>
          <w:sz w:val="24"/>
          <w:szCs w:val="24"/>
        </w:rPr>
        <w:t xml:space="preserve"> of this chapter</w:t>
      </w:r>
      <w:r w:rsidRPr="00C1694A">
        <w:rPr>
          <w:rFonts w:ascii="Times New Roman" w:eastAsia="Times New Roman" w:hAnsi="Times New Roman" w:cs="Times New Roman"/>
          <w:sz w:val="24"/>
          <w:szCs w:val="24"/>
        </w:rPr>
        <w:t xml:space="preserve"> and applicable federal, state, local, and tribal laws.  </w:t>
      </w:r>
    </w:p>
    <w:p w:rsidR="00C03FE8" w:rsidRPr="00C1694A" w:rsidRDefault="00C03FE8" w:rsidP="00AC521C">
      <w:pPr>
        <w:spacing w:after="0" w:line="480" w:lineRule="auto"/>
        <w:ind w:firstLine="720"/>
        <w:rPr>
          <w:rFonts w:ascii="Times New Roman" w:hAnsi="Times New Roman" w:cs="Times New Roman"/>
          <w:sz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(1) </w:t>
      </w:r>
      <w:r w:rsidRPr="00C1694A">
        <w:rPr>
          <w:rFonts w:ascii="Times New Roman" w:hAnsi="Times New Roman" w:cs="Times New Roman"/>
          <w:sz w:val="24"/>
          <w:szCs w:val="24"/>
          <w:u w:val="single"/>
        </w:rPr>
        <w:t>Memorandum of understanding.</w:t>
      </w:r>
      <w:r w:rsidRPr="00C1694A">
        <w:rPr>
          <w:rFonts w:ascii="Times New Roman" w:hAnsi="Times New Roman" w:cs="Times New Roman"/>
          <w:i/>
          <w:sz w:val="24"/>
          <w:szCs w:val="24"/>
        </w:rPr>
        <w:t xml:space="preserve"> </w:t>
      </w:r>
      <w:r w:rsidR="00E603E9" w:rsidRPr="00C1694A">
        <w:rPr>
          <w:rFonts w:ascii="Times New Roman" w:hAnsi="Times New Roman" w:cs="Times New Roman"/>
          <w:sz w:val="24"/>
          <w:szCs w:val="24"/>
        </w:rPr>
        <w:t>To support coordination between Head Start and publicly funded preschool programs,</w:t>
      </w:r>
      <w:r w:rsidR="00E603E9" w:rsidRPr="00C1694A">
        <w:rPr>
          <w:rFonts w:ascii="Times New Roman" w:hAnsi="Times New Roman" w:cs="Times New Roman"/>
          <w:i/>
          <w:sz w:val="24"/>
          <w:szCs w:val="24"/>
        </w:rPr>
        <w:t xml:space="preserve"> </w:t>
      </w:r>
      <w:r w:rsidR="00E603E9" w:rsidRPr="00C1694A">
        <w:rPr>
          <w:rFonts w:ascii="Times New Roman" w:hAnsi="Times New Roman" w:cs="Times New Roman"/>
          <w:sz w:val="24"/>
          <w:szCs w:val="24"/>
        </w:rPr>
        <w:t>a</w:t>
      </w:r>
      <w:r w:rsidRPr="00C1694A">
        <w:rPr>
          <w:rFonts w:ascii="Times New Roman" w:hAnsi="Times New Roman" w:cs="Times New Roman"/>
          <w:sz w:val="24"/>
          <w:szCs w:val="24"/>
        </w:rPr>
        <w:t xml:space="preserve"> program must enter into a memorandum of understanding with the appropriate local entity responsible for managing publicly funded preschool programs in the service area of the program, as described in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642(e)(5) of the Act.</w:t>
      </w:r>
    </w:p>
    <w:p w:rsidR="004B3A67" w:rsidRPr="00C1694A" w:rsidRDefault="004B3A67"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w:t>
      </w:r>
      <w:r w:rsidRPr="00C1694A">
        <w:rPr>
          <w:rFonts w:ascii="Times New Roman" w:hAnsi="Times New Roman" w:cs="Times New Roman"/>
          <w:sz w:val="24"/>
          <w:szCs w:val="24"/>
          <w:u w:val="single"/>
        </w:rPr>
        <w:t>Quality Rating and Improvement Systems</w:t>
      </w:r>
      <w:r w:rsidRPr="00C1694A">
        <w:rPr>
          <w:rFonts w:ascii="Times New Roman" w:hAnsi="Times New Roman" w:cs="Times New Roman"/>
          <w:sz w:val="24"/>
          <w:szCs w:val="24"/>
        </w:rPr>
        <w:t xml:space="preserve">. A program, with the exception of American Indian and Alaska Native programs, </w:t>
      </w:r>
      <w:r w:rsidR="00802E33" w:rsidRPr="00C1694A">
        <w:rPr>
          <w:rFonts w:ascii="Times New Roman" w:hAnsi="Times New Roman" w:cs="Times New Roman"/>
          <w:sz w:val="24"/>
          <w:szCs w:val="24"/>
        </w:rPr>
        <w:t>must</w:t>
      </w:r>
      <w:r w:rsidR="007046FF" w:rsidRPr="00C1694A">
        <w:rPr>
          <w:rFonts w:ascii="Times New Roman" w:hAnsi="Times New Roman" w:cs="Times New Roman"/>
          <w:sz w:val="24"/>
          <w:szCs w:val="24"/>
        </w:rPr>
        <w:t xml:space="preserve"> </w:t>
      </w:r>
      <w:r w:rsidRPr="00C1694A">
        <w:rPr>
          <w:rFonts w:ascii="Times New Roman" w:hAnsi="Times New Roman" w:cs="Times New Roman"/>
          <w:sz w:val="24"/>
          <w:szCs w:val="24"/>
        </w:rPr>
        <w:t>participate in its state or local Quality Rating and Improvement System (QRIS) if:</w:t>
      </w:r>
    </w:p>
    <w:p w:rsidR="002D37B2" w:rsidRPr="00C1694A" w:rsidRDefault="002D37B2" w:rsidP="00AC521C">
      <w:pPr>
        <w:spacing w:after="0" w:line="480" w:lineRule="auto"/>
        <w:ind w:firstLine="720"/>
        <w:rPr>
          <w:rFonts w:ascii="Times New Roman" w:hAnsi="Times New Roman" w:cs="Times New Roman"/>
          <w:sz w:val="24"/>
          <w:szCs w:val="24"/>
          <w:highlight w:val="yellow"/>
        </w:rPr>
      </w:pPr>
    </w:p>
    <w:p w:rsidR="002D37B2" w:rsidRPr="00C1694A" w:rsidRDefault="002D37B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Its state or local QRIS accepts Head Start monitoring data to document quality indicators included in the state’s tiered system; </w:t>
      </w:r>
    </w:p>
    <w:p w:rsidR="004B3A67" w:rsidRPr="00C1694A" w:rsidRDefault="004B3A67" w:rsidP="00AC521C">
      <w:pPr>
        <w:spacing w:after="0" w:line="480" w:lineRule="auto"/>
        <w:ind w:firstLine="720"/>
        <w:rPr>
          <w:rFonts w:ascii="Times New Roman" w:hAnsi="Times New Roman" w:cs="Times New Roman"/>
          <w:sz w:val="24"/>
          <w:szCs w:val="24"/>
        </w:rPr>
      </w:pPr>
    </w:p>
    <w:p w:rsidR="007046FF" w:rsidRPr="00C1694A" w:rsidRDefault="002D37B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Participation would not impact a program’s ability to comply with </w:t>
      </w:r>
      <w:r w:rsidR="00490BD5" w:rsidRPr="00C1694A">
        <w:rPr>
          <w:rFonts w:ascii="Times New Roman" w:hAnsi="Times New Roman" w:cs="Times New Roman"/>
          <w:sz w:val="24"/>
          <w:szCs w:val="24"/>
        </w:rPr>
        <w:t xml:space="preserve">the </w:t>
      </w:r>
      <w:r w:rsidRPr="00C1694A">
        <w:rPr>
          <w:rFonts w:ascii="Times New Roman" w:hAnsi="Times New Roman" w:cs="Times New Roman"/>
          <w:sz w:val="24"/>
          <w:szCs w:val="24"/>
        </w:rPr>
        <w:t xml:space="preserve">Head Start </w:t>
      </w:r>
      <w:r w:rsidR="00490BD5" w:rsidRPr="00C1694A">
        <w:rPr>
          <w:rFonts w:ascii="Times New Roman" w:hAnsi="Times New Roman" w:cs="Times New Roman"/>
          <w:sz w:val="24"/>
          <w:szCs w:val="24"/>
        </w:rPr>
        <w:t>Program Performance S</w:t>
      </w:r>
      <w:r w:rsidRPr="00C1694A">
        <w:rPr>
          <w:rFonts w:ascii="Times New Roman" w:hAnsi="Times New Roman" w:cs="Times New Roman"/>
          <w:sz w:val="24"/>
          <w:szCs w:val="24"/>
        </w:rPr>
        <w:t>tandards</w:t>
      </w:r>
      <w:r w:rsidR="007046FF" w:rsidRPr="00C1694A">
        <w:rPr>
          <w:rFonts w:ascii="Times New Roman" w:hAnsi="Times New Roman" w:cs="Times New Roman"/>
          <w:sz w:val="24"/>
          <w:szCs w:val="24"/>
        </w:rPr>
        <w:t>; and</w:t>
      </w:r>
      <w:r w:rsidR="00490BD5" w:rsidRPr="00C1694A">
        <w:rPr>
          <w:rFonts w:ascii="Times New Roman" w:hAnsi="Times New Roman" w:cs="Times New Roman"/>
          <w:sz w:val="24"/>
          <w:szCs w:val="24"/>
        </w:rPr>
        <w:t>,</w:t>
      </w:r>
    </w:p>
    <w:p w:rsidR="004B3A67" w:rsidRPr="00C1694A" w:rsidRDefault="004B3A67" w:rsidP="00AC521C">
      <w:pPr>
        <w:spacing w:after="0" w:line="480" w:lineRule="auto"/>
        <w:ind w:firstLine="720"/>
        <w:rPr>
          <w:rFonts w:ascii="Times New Roman" w:hAnsi="Times New Roman" w:cs="Times New Roman"/>
          <w:sz w:val="24"/>
          <w:szCs w:val="24"/>
        </w:rPr>
      </w:pPr>
    </w:p>
    <w:p w:rsidR="004B3A67" w:rsidRPr="00C1694A" w:rsidRDefault="007046FF"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(iii) The program has not provided the Office of Head Start with a compelling reason not to comply</w:t>
      </w:r>
      <w:r w:rsidR="00BE6FC7" w:rsidRPr="00C1694A">
        <w:rPr>
          <w:rFonts w:ascii="Times New Roman" w:hAnsi="Times New Roman" w:cs="Times New Roman"/>
          <w:sz w:val="24"/>
          <w:szCs w:val="24"/>
        </w:rPr>
        <w:t xml:space="preserve"> with this requirement</w:t>
      </w:r>
      <w:r w:rsidR="00C03FE8"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w:t>
      </w:r>
      <w:r w:rsidRPr="00C1694A">
        <w:rPr>
          <w:rFonts w:ascii="Times New Roman" w:hAnsi="Times New Roman" w:cs="Times New Roman"/>
          <w:sz w:val="24"/>
          <w:szCs w:val="24"/>
          <w:u w:val="single"/>
        </w:rPr>
        <w:t>Data systems</w:t>
      </w:r>
      <w:r w:rsidRPr="00C1694A">
        <w:rPr>
          <w:rFonts w:ascii="Times New Roman" w:hAnsi="Times New Roman" w:cs="Times New Roman"/>
          <w:sz w:val="24"/>
          <w:szCs w:val="24"/>
        </w:rPr>
        <w:t>. A program, with the exception of American Indian and Alaska Native programs</w:t>
      </w:r>
      <w:r w:rsidR="00CA4CA2" w:rsidRPr="00C1694A">
        <w:rPr>
          <w:rFonts w:ascii="Times New Roman" w:hAnsi="Times New Roman" w:cs="Times New Roman"/>
          <w:sz w:val="24"/>
          <w:szCs w:val="24"/>
        </w:rPr>
        <w:t xml:space="preserve"> unless they would like to and to the extent practicable</w:t>
      </w:r>
      <w:r w:rsidRPr="00C1694A">
        <w:rPr>
          <w:rFonts w:ascii="Times New Roman" w:hAnsi="Times New Roman" w:cs="Times New Roman"/>
          <w:sz w:val="24"/>
          <w:szCs w:val="24"/>
        </w:rPr>
        <w:t xml:space="preserve">, should integrate and share relevant data with state education data systems, to the extent practicable, if the program can receive similar support and benefits as other participating early childhood programs.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line="480" w:lineRule="auto"/>
        <w:rPr>
          <w:rFonts w:ascii="Times New Roman" w:hAnsi="Times New Roman" w:cs="Times New Roman"/>
        </w:rPr>
      </w:pPr>
      <w:r w:rsidRPr="00C1694A">
        <w:rPr>
          <w:rFonts w:ascii="Times New Roman" w:eastAsia="Calibri" w:hAnsi="Times New Roman" w:cs="Times New Roman"/>
          <w:sz w:val="24"/>
          <w:szCs w:val="24"/>
        </w:rPr>
        <w:tab/>
        <w:t xml:space="preserve">(4) </w:t>
      </w:r>
      <w:r w:rsidRPr="00C1694A">
        <w:rPr>
          <w:rFonts w:ascii="Times New Roman" w:eastAsia="Calibri" w:hAnsi="Times New Roman" w:cs="Times New Roman"/>
          <w:sz w:val="24"/>
          <w:szCs w:val="24"/>
          <w:u w:val="single"/>
        </w:rPr>
        <w:t>American Indian and Alaska Native programs</w:t>
      </w:r>
      <w:r w:rsidRPr="00C1694A">
        <w:rPr>
          <w:rFonts w:ascii="Times New Roman" w:eastAsia="Calibri" w:hAnsi="Times New Roman" w:cs="Times New Roman"/>
          <w:sz w:val="24"/>
          <w:szCs w:val="24"/>
        </w:rPr>
        <w:t xml:space="preserve">. An American Indian and Alaska Native program should determine whether or not it will participate in the systems described in paragraphs </w:t>
      </w:r>
      <w:r w:rsidR="004A52CB">
        <w:rPr>
          <w:rFonts w:ascii="Times New Roman" w:eastAsia="Calibri" w:hAnsi="Times New Roman" w:cs="Times New Roman"/>
          <w:sz w:val="24"/>
          <w:szCs w:val="24"/>
        </w:rPr>
        <w:t>(b)</w:t>
      </w:r>
      <w:r w:rsidRPr="00C1694A">
        <w:rPr>
          <w:rFonts w:ascii="Times New Roman" w:eastAsia="Calibri" w:hAnsi="Times New Roman" w:cs="Times New Roman"/>
          <w:sz w:val="24"/>
          <w:szCs w:val="24"/>
        </w:rPr>
        <w:t>(2) and (3)</w:t>
      </w:r>
      <w:r w:rsidR="004A52CB">
        <w:rPr>
          <w:rFonts w:ascii="Times New Roman" w:eastAsia="Calibri" w:hAnsi="Times New Roman" w:cs="Times New Roman"/>
          <w:sz w:val="24"/>
          <w:szCs w:val="24"/>
        </w:rPr>
        <w:t xml:space="preserve"> of this section</w:t>
      </w:r>
      <w:r w:rsidRPr="00C1694A">
        <w:rPr>
          <w:rFonts w:ascii="Times New Roman" w:eastAsia="Calibri"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F</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 xml:space="preserve">Additional Services for Children with Disabilities </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§1302.60 </w:t>
      </w:r>
      <w:r w:rsidR="00705CE0">
        <w:rPr>
          <w:rFonts w:ascii="Times New Roman" w:hAnsi="Times New Roman" w:cs="Times New Roman"/>
          <w:b/>
          <w:sz w:val="24"/>
          <w:szCs w:val="24"/>
        </w:rPr>
        <w:t>Full participation in program services and activities</w:t>
      </w:r>
      <w:r w:rsidRPr="00C1694A">
        <w:rPr>
          <w:rFonts w:ascii="Times New Roman" w:hAnsi="Times New Roman" w:cs="Times New Roman"/>
          <w:b/>
          <w:sz w:val="24"/>
          <w:szCs w:val="24"/>
        </w:rPr>
        <w:t>.</w:t>
      </w:r>
    </w:p>
    <w:p w:rsidR="00C03FE8" w:rsidRPr="00C1694A" w:rsidRDefault="00C03FE8" w:rsidP="00AC521C">
      <w:pPr>
        <w:spacing w:after="0" w:line="480" w:lineRule="auto"/>
        <w:rPr>
          <w:rFonts w:ascii="Times New Roman" w:hAnsi="Times New Roman" w:cs="Times New Roman"/>
          <w:b/>
          <w:sz w:val="24"/>
          <w:szCs w:val="24"/>
        </w:rPr>
      </w:pPr>
    </w:p>
    <w:p w:rsidR="001049EF" w:rsidRPr="00C1694A" w:rsidRDefault="001049EF"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program must ensure enrolled children with disabilities, including but not limited to those who are eligible for services under IDEA, and their families receive all applicable program services delivered in the least restrictive possible environment and that they fully participate in all program activities.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§1302.61 Additional services for children.</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(a) </w:t>
      </w:r>
      <w:r w:rsidRPr="00C1694A">
        <w:rPr>
          <w:rFonts w:ascii="Times New Roman" w:hAnsi="Times New Roman" w:cs="Times New Roman"/>
          <w:sz w:val="24"/>
          <w:szCs w:val="24"/>
          <w:u w:val="single"/>
        </w:rPr>
        <w:t>Additional services for children with disabilities.</w:t>
      </w:r>
      <w:r w:rsidRPr="00C1694A">
        <w:rPr>
          <w:rFonts w:ascii="Times New Roman" w:hAnsi="Times New Roman" w:cs="Times New Roman"/>
          <w:sz w:val="24"/>
          <w:szCs w:val="24"/>
        </w:rPr>
        <w:t xml:space="preserve">  Programs must ensure the individualized needs of children with disabilities, including but not limited to those eligible for services under IDEA, are being met and all children have access to and can fully participate in the full range of activities and services.   Programs must provide any necessary modifications to the environment, multiple and varied formats for instruction, and individualized accommodations and supports as</w:t>
      </w:r>
      <w:r w:rsidRPr="00C1694A">
        <w:rPr>
          <w:rFonts w:ascii="Times New Roman" w:eastAsia="Times New Roman" w:hAnsi="Times New Roman" w:cs="Times New Roman"/>
          <w:sz w:val="24"/>
          <w:szCs w:val="24"/>
        </w:rPr>
        <w:t xml:space="preserve"> </w:t>
      </w:r>
      <w:r w:rsidRPr="00C1694A">
        <w:rPr>
          <w:rFonts w:ascii="Times New Roman" w:hAnsi="Times New Roman" w:cs="Times New Roman"/>
          <w:sz w:val="24"/>
          <w:szCs w:val="24"/>
        </w:rPr>
        <w:t xml:space="preserve">necessary to </w:t>
      </w:r>
      <w:r w:rsidRPr="00C1694A">
        <w:rPr>
          <w:rFonts w:ascii="Times New Roman" w:eastAsia="Times New Roman" w:hAnsi="Times New Roman" w:cs="Times New Roman"/>
          <w:sz w:val="24"/>
          <w:szCs w:val="24"/>
        </w:rPr>
        <w:t>support the full participation of</w:t>
      </w:r>
      <w:r w:rsidRPr="00C1694A">
        <w:rPr>
          <w:rFonts w:ascii="Times New Roman" w:hAnsi="Times New Roman" w:cs="Times New Roman"/>
          <w:sz w:val="24"/>
          <w:szCs w:val="24"/>
        </w:rPr>
        <w:t xml:space="preserve"> children with disabilities.  Programs must ensure all individuals with disabilities are protected from discrimination under and provided with all services and program modifications required by </w:t>
      </w:r>
      <w:r w:rsidR="00356263">
        <w:rPr>
          <w:rFonts w:ascii="Times New Roman" w:hAnsi="Times New Roman" w:cs="Times New Roman"/>
          <w:sz w:val="24"/>
          <w:szCs w:val="24"/>
        </w:rPr>
        <w:t>s</w:t>
      </w:r>
      <w:r w:rsidRPr="00C1694A">
        <w:rPr>
          <w:rFonts w:ascii="Times New Roman" w:hAnsi="Times New Roman" w:cs="Times New Roman"/>
          <w:sz w:val="24"/>
          <w:szCs w:val="24"/>
        </w:rPr>
        <w:t xml:space="preserve">ection 504 of the Rehabilitation Act (29 U.S.C. 794), the Americans with Disabilities Act (42 U.S.C. 12101 </w:t>
      </w:r>
      <w:r w:rsidRPr="00AC521C">
        <w:rPr>
          <w:rFonts w:ascii="Times New Roman" w:hAnsi="Times New Roman" w:cs="Times New Roman"/>
          <w:i/>
          <w:sz w:val="24"/>
          <w:szCs w:val="24"/>
        </w:rPr>
        <w:t>et seq</w:t>
      </w:r>
      <w:r w:rsidRPr="00C1694A">
        <w:rPr>
          <w:rFonts w:ascii="Times New Roman" w:hAnsi="Times New Roman" w:cs="Times New Roman"/>
          <w:sz w:val="24"/>
          <w:szCs w:val="24"/>
        </w:rPr>
        <w:t>.), and their implementing regulations.</w:t>
      </w:r>
    </w:p>
    <w:p w:rsidR="00C03FE8" w:rsidRPr="00C1694A" w:rsidRDefault="00C03FE8" w:rsidP="00AC521C">
      <w:pPr>
        <w:spacing w:after="0" w:line="480" w:lineRule="auto"/>
        <w:rPr>
          <w:rFonts w:ascii="Times New Roman" w:hAnsi="Times New Roman" w:cs="Times New Roman"/>
          <w:sz w:val="24"/>
          <w:szCs w:val="24"/>
        </w:rPr>
      </w:pPr>
    </w:p>
    <w:p w:rsidR="008A55FA" w:rsidRPr="00C1694A" w:rsidRDefault="008A55FA"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Services during IDEA eligibility determination.</w:t>
      </w:r>
      <w:r w:rsidRPr="00C1694A">
        <w:rPr>
          <w:rFonts w:ascii="Times New Roman" w:hAnsi="Times New Roman" w:cs="Times New Roman"/>
          <w:sz w:val="24"/>
          <w:szCs w:val="24"/>
        </w:rPr>
        <w:t xml:space="preserve">  While the local agency responsible for implementing IDEA determines a child’s eligibility, a program must provide individualized services and supports, to the maximum extent possible, to meet the child’s needs. Such additional supports may be available through a child’s health insurance or it may be appropriate</w:t>
      </w:r>
      <w:r w:rsidR="008D71EA" w:rsidRPr="00C1694A">
        <w:rPr>
          <w:rFonts w:ascii="Times New Roman" w:hAnsi="Times New Roman" w:cs="Times New Roman"/>
          <w:sz w:val="24"/>
          <w:szCs w:val="24"/>
        </w:rPr>
        <w:t xml:space="preserve"> or required </w:t>
      </w:r>
      <w:r w:rsidRPr="00C1694A">
        <w:rPr>
          <w:rFonts w:ascii="Times New Roman" w:hAnsi="Times New Roman" w:cs="Times New Roman"/>
          <w:sz w:val="24"/>
          <w:szCs w:val="24"/>
        </w:rPr>
        <w:t xml:space="preserve"> to  </w:t>
      </w:r>
      <w:r w:rsidR="0024092D">
        <w:rPr>
          <w:rFonts w:ascii="Times New Roman" w:hAnsi="Times New Roman" w:cs="Times New Roman"/>
          <w:sz w:val="24"/>
          <w:szCs w:val="24"/>
        </w:rPr>
        <w:t xml:space="preserve">provide the needed services and supports </w:t>
      </w:r>
      <w:r w:rsidRPr="00C1694A">
        <w:rPr>
          <w:rFonts w:ascii="Times New Roman" w:hAnsi="Times New Roman" w:cs="Times New Roman"/>
          <w:sz w:val="24"/>
          <w:szCs w:val="24"/>
        </w:rPr>
        <w:t xml:space="preserve"> under </w:t>
      </w:r>
      <w:r w:rsidR="00356263">
        <w:rPr>
          <w:rFonts w:ascii="Times New Roman" w:hAnsi="Times New Roman" w:cs="Times New Roman"/>
          <w:sz w:val="24"/>
          <w:szCs w:val="24"/>
        </w:rPr>
        <w:t>s</w:t>
      </w:r>
      <w:r w:rsidRPr="00C1694A">
        <w:rPr>
          <w:rFonts w:ascii="Times New Roman" w:hAnsi="Times New Roman" w:cs="Times New Roman"/>
          <w:sz w:val="24"/>
          <w:szCs w:val="24"/>
        </w:rPr>
        <w:t>ection 504 of the Rehabilitation Act if the child satisfies the definition of disability in section 705(9)(b) of the Rehabilitation Act. When such supports are not available through alternate means, pending the evaluation results and eligibility determination, a program must individualize program services based on available information such as parent input and child observation and assessment data and may use program funds for these purposes.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Additional services for children with an IFSP or IEP</w:t>
      </w:r>
      <w:r w:rsidRPr="00C1694A">
        <w:rPr>
          <w:rFonts w:ascii="Times New Roman" w:hAnsi="Times New Roman" w:cs="Times New Roman"/>
          <w:sz w:val="24"/>
          <w:szCs w:val="24"/>
        </w:rPr>
        <w:t>. To ensure the individual needs of children eligible for services under IDEA are met, a program must:</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Work closely with the local agency responsible for implementing IDEA, the family, and other service partners, as appropriate, to ensure:</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Services for a child with disabilities will be planned and delivered as required by their IFSP or IEP, as appropriate;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Children are working towards the goals in their IFSP or IEP;</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(iii) Elements of the IFSP or IEP that the program cannot implement are implemented by other appropriate agencies, related service providers and specialists;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1049EF"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(iv) IFSPs and IEPs are being reviewed and revised, as required by IDEA;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(v) Services are provided in a child’s regular Early Head Start or Head Start classroom or family child care home to the greatest extent possible.</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Plan and implement the transition services described in subpart G</w:t>
      </w:r>
      <w:r w:rsidR="00A07C88">
        <w:rPr>
          <w:rFonts w:ascii="Times New Roman" w:hAnsi="Times New Roman" w:cs="Times New Roman"/>
          <w:sz w:val="24"/>
          <w:szCs w:val="24"/>
        </w:rPr>
        <w:t xml:space="preserve"> of this part</w:t>
      </w:r>
      <w:r w:rsidRPr="00C1694A">
        <w:rPr>
          <w:rFonts w:ascii="Times New Roman" w:hAnsi="Times New Roman" w:cs="Times New Roman"/>
          <w:sz w:val="24"/>
          <w:szCs w:val="24"/>
        </w:rPr>
        <w:t>, including at a minimum:</w:t>
      </w:r>
      <w:r w:rsidR="007104CF"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For children with an IFSP who are transitioning out of Early Head Start, collaborate with the parents, and the local agency responsible for implementing IDEA, to ensure appropriate steps are undertaken in a timely and appropriate manner to determine the child’s eligibility for services under Part B of IDEA; and,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For children with an IEP who are transitioning out of Head Start to kindergarten, collaborate with the parents, and the local agency responsible for implementing IDEA, to ensure steps are undertaken in a timely and appropriate manner to support the child and family as they transition to a new setting.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§1302.62 Additional services for parents.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Pr="00C1694A">
        <w:rPr>
          <w:rFonts w:ascii="Times New Roman" w:hAnsi="Times New Roman" w:cs="Times New Roman"/>
          <w:sz w:val="24"/>
          <w:szCs w:val="24"/>
          <w:u w:val="single"/>
        </w:rPr>
        <w:t>Parents of all children with disabilities.</w:t>
      </w:r>
      <w:r w:rsidRPr="00C1694A">
        <w:rPr>
          <w:rFonts w:ascii="Times New Roman" w:hAnsi="Times New Roman" w:cs="Times New Roman"/>
          <w:sz w:val="24"/>
          <w:szCs w:val="24"/>
        </w:rPr>
        <w:t xml:space="preserve">  (1) A program must collaborate with parents of children with disabilities, including but not limited to children eligible for services under IDEA, to ensure the needs of their children are being met, including support to help parents become advocates for services that meet their children’s needs and information and skills to help parents understand their child’s disability and how to best support the child’s development;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A program must assist parents to access services and resources for their family, including securing adaptive equipment and devices</w:t>
      </w:r>
      <w:r w:rsidR="00C75CDB" w:rsidRPr="00C1694A">
        <w:rPr>
          <w:rFonts w:ascii="Times New Roman" w:hAnsi="Times New Roman" w:cs="Times New Roman"/>
          <w:sz w:val="24"/>
          <w:szCs w:val="24"/>
        </w:rPr>
        <w:t xml:space="preserve"> and supports available through a child’s health insurance</w:t>
      </w:r>
      <w:r w:rsidR="0099449C" w:rsidRPr="00C1694A">
        <w:rPr>
          <w:rFonts w:ascii="Times New Roman" w:hAnsi="Times New Roman" w:cs="Times New Roman"/>
          <w:sz w:val="24"/>
          <w:szCs w:val="24"/>
        </w:rPr>
        <w:t xml:space="preserve"> or other entities</w:t>
      </w:r>
      <w:r w:rsidRPr="00C1694A">
        <w:rPr>
          <w:rFonts w:ascii="Times New Roman" w:hAnsi="Times New Roman" w:cs="Times New Roman"/>
          <w:sz w:val="24"/>
          <w:szCs w:val="24"/>
        </w:rPr>
        <w:t>, creating linkages to family support programs, and helping parents establish eligibility for additional support programs, as needed and practicable.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Parents of children eligible for services under IDEA</w:t>
      </w:r>
      <w:r w:rsidRPr="00C1694A">
        <w:rPr>
          <w:rFonts w:ascii="Times New Roman" w:hAnsi="Times New Roman" w:cs="Times New Roman"/>
          <w:sz w:val="24"/>
          <w:szCs w:val="24"/>
        </w:rPr>
        <w:t xml:space="preserve">.  For parents of children eligible for services under IDEA, a program must also help parents: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Understand the referral, evaluation, and service timelines required under IDEA;</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Actively participate in the eligibility process and IFSP or IEP development process with the local agency responsible for implementing IDEA, including by informing parents of their right to invite the program to participate in all meetings;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Understand the purposes and results of evaluations and services provided under an IFSP or IEP; and,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Ensure their children’s needs are accurately identified in, and addressed through, the IFSP or IEP.</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§1302.63 Coordination and collaboration with the local agency responsible for implementing IDEA.</w:t>
      </w:r>
    </w:p>
    <w:p w:rsidR="00C03FE8" w:rsidRPr="00C1694A" w:rsidRDefault="00C03FE8" w:rsidP="00AC521C">
      <w:pPr>
        <w:widowControl w:val="0"/>
        <w:autoSpaceDE w:val="0"/>
        <w:autoSpaceDN w:val="0"/>
        <w:adjustRightInd w:val="0"/>
        <w:spacing w:after="0" w:line="480" w:lineRule="auto"/>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A program must coordinate with the local agency responsible for implementing  IDEA to identify children enrolled or who intend to enroll in a program that may be eligible for services under IDEA, including through the process described in §1302.33(a)(</w:t>
      </w:r>
      <w:r w:rsidR="001049EF" w:rsidRPr="00C1694A">
        <w:rPr>
          <w:rFonts w:ascii="Times New Roman" w:hAnsi="Times New Roman" w:cs="Times New Roman"/>
          <w:sz w:val="24"/>
          <w:szCs w:val="24"/>
        </w:rPr>
        <w:t>3</w:t>
      </w:r>
      <w:r w:rsidRPr="00C1694A">
        <w:rPr>
          <w:rFonts w:ascii="Times New Roman" w:hAnsi="Times New Roman" w:cs="Times New Roman"/>
          <w:sz w:val="24"/>
          <w:szCs w:val="24"/>
        </w:rPr>
        <w:t>) and through participation in the local agency Child Find efforts.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A program must work to develop interagency agreements with the local agency responsible for implementing IDEA to improve service delivery to children eligible for services under IDEA, including the referral and evaluation process, service coordination, promotion of service provision in </w:t>
      </w:r>
      <w:r w:rsidR="00B56F31" w:rsidRPr="00C1694A">
        <w:rPr>
          <w:rFonts w:ascii="Times New Roman" w:hAnsi="Times New Roman" w:cs="Times New Roman"/>
          <w:sz w:val="24"/>
          <w:szCs w:val="24"/>
        </w:rPr>
        <w:t xml:space="preserve">the </w:t>
      </w:r>
      <w:r w:rsidRPr="00C1694A">
        <w:rPr>
          <w:rFonts w:ascii="Times New Roman" w:hAnsi="Times New Roman" w:cs="Times New Roman"/>
          <w:sz w:val="24"/>
          <w:szCs w:val="24"/>
        </w:rPr>
        <w:t>least restrictive appropriate community</w:t>
      </w:r>
      <w:r w:rsidR="00B56F31" w:rsidRPr="00C1694A">
        <w:rPr>
          <w:rFonts w:ascii="Times New Roman" w:hAnsi="Times New Roman" w:cs="Times New Roman"/>
          <w:sz w:val="24"/>
          <w:szCs w:val="24"/>
        </w:rPr>
        <w:t>-</w:t>
      </w:r>
      <w:r w:rsidRPr="00C1694A">
        <w:rPr>
          <w:rFonts w:ascii="Times New Roman" w:hAnsi="Times New Roman" w:cs="Times New Roman"/>
          <w:sz w:val="24"/>
          <w:szCs w:val="24"/>
        </w:rPr>
        <w:t>based setting and reduction in dual enrollment which causes reduced time in</w:t>
      </w:r>
      <w:r w:rsidR="00B56F31" w:rsidRPr="00C1694A">
        <w:rPr>
          <w:rFonts w:ascii="Times New Roman" w:hAnsi="Times New Roman" w:cs="Times New Roman"/>
          <w:sz w:val="24"/>
          <w:szCs w:val="24"/>
        </w:rPr>
        <w:t xml:space="preserve"> a</w:t>
      </w:r>
      <w:r w:rsidRPr="00C1694A">
        <w:rPr>
          <w:rFonts w:ascii="Times New Roman" w:hAnsi="Times New Roman" w:cs="Times New Roman"/>
          <w:sz w:val="24"/>
          <w:szCs w:val="24"/>
        </w:rPr>
        <w:t xml:space="preserve"> less restrictive setting, and transition services as children move from services provided under Part C of IDEA to services provided under Part B of IDEA and from preschool to kindergarten.</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A program must participate in the development of the IFSP or IEP if requested by the child’s parents, and the implementation of the IFSP or IEP.  At a minimum, the program must offer: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(1) </w:t>
      </w:r>
      <w:r w:rsidR="00A07C88">
        <w:rPr>
          <w:rFonts w:ascii="Times New Roman" w:hAnsi="Times New Roman" w:cs="Times New Roman"/>
          <w:sz w:val="24"/>
          <w:szCs w:val="24"/>
        </w:rPr>
        <w:t>T</w:t>
      </w:r>
      <w:r w:rsidRPr="00C1694A">
        <w:rPr>
          <w:rFonts w:ascii="Times New Roman" w:hAnsi="Times New Roman" w:cs="Times New Roman"/>
          <w:sz w:val="24"/>
          <w:szCs w:val="24"/>
        </w:rPr>
        <w:t>o provide relevant information from its screenings, assessments, and observations to the team developing a child’s IFSP or IEP; and,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w:t>
      </w:r>
      <w:r w:rsidR="00A07C88">
        <w:rPr>
          <w:rFonts w:ascii="Times New Roman" w:hAnsi="Times New Roman" w:cs="Times New Roman"/>
          <w:sz w:val="24"/>
          <w:szCs w:val="24"/>
        </w:rPr>
        <w:t>T</w:t>
      </w:r>
      <w:r w:rsidRPr="00C1694A">
        <w:rPr>
          <w:rFonts w:ascii="Times New Roman" w:hAnsi="Times New Roman" w:cs="Times New Roman"/>
          <w:sz w:val="24"/>
          <w:szCs w:val="24"/>
        </w:rPr>
        <w:t>o participate in meetings with the local agency responsible for implementing IDEA to develop or review an IEP or IFSP for a child being considered for Head Start enrollment, a currently enrolled child, or a child transitioning from a program.</w:t>
      </w:r>
    </w:p>
    <w:p w:rsidR="00C03FE8" w:rsidRPr="00C1694A" w:rsidRDefault="00C03FE8" w:rsidP="00AC521C">
      <w:pPr>
        <w:spacing w:after="0" w:line="480" w:lineRule="auto"/>
        <w:rPr>
          <w:rFonts w:ascii="Times New Roman" w:hAnsi="Times New Roman" w:cs="Times New Roman"/>
          <w:sz w:val="24"/>
          <w:szCs w:val="24"/>
        </w:rPr>
      </w:pPr>
    </w:p>
    <w:p w:rsidR="001049EF" w:rsidRPr="00C1694A" w:rsidRDefault="001049EF"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(d) A program must</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retain a copy of the IEP or IFSP for any child enrolled in Head Start for the time the child is in the program, consistent with the IDEA requirements in 34 CFR part</w:t>
      </w:r>
      <w:r w:rsidR="004A52CB">
        <w:rPr>
          <w:rFonts w:ascii="Times New Roman" w:hAnsi="Times New Roman" w:cs="Times New Roman"/>
          <w:sz w:val="24"/>
          <w:szCs w:val="24"/>
        </w:rPr>
        <w:t>s</w:t>
      </w:r>
      <w:r w:rsidRPr="00C1694A">
        <w:rPr>
          <w:rFonts w:ascii="Times New Roman" w:hAnsi="Times New Roman" w:cs="Times New Roman"/>
          <w:sz w:val="24"/>
          <w:szCs w:val="24"/>
        </w:rPr>
        <w:t xml:space="preserve"> 300 and 303.</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eastAsia="Times New Roman" w:hAnsi="Times New Roman" w:cs="Times New Roman"/>
          <w:b/>
          <w:bCs/>
          <w:sz w:val="24"/>
          <w:szCs w:val="24"/>
        </w:rPr>
      </w:pPr>
    </w:p>
    <w:p w:rsidR="00C03FE8" w:rsidRPr="00C1694A" w:rsidRDefault="00C03FE8" w:rsidP="00AC521C">
      <w:pPr>
        <w:spacing w:after="0" w:line="480" w:lineRule="auto"/>
        <w:rPr>
          <w:rFonts w:ascii="Times New Roman" w:eastAsia="Times New Roman" w:hAnsi="Times New Roman" w:cs="Times New Roman"/>
          <w:b/>
          <w:bCs/>
          <w:sz w:val="24"/>
          <w:szCs w:val="24"/>
        </w:rPr>
      </w:pPr>
      <w:r w:rsidRPr="00C1694A">
        <w:rPr>
          <w:rFonts w:ascii="Times New Roman" w:eastAsia="Times New Roman" w:hAnsi="Times New Roman" w:cs="Times New Roman"/>
          <w:b/>
          <w:bCs/>
          <w:sz w:val="24"/>
          <w:szCs w:val="24"/>
        </w:rPr>
        <w:t>Subpart G</w:t>
      </w:r>
      <w:r w:rsidR="008B15CA" w:rsidRPr="00C1694A">
        <w:rPr>
          <w:rFonts w:ascii="Times New Roman" w:eastAsia="Calibri" w:hAnsi="Times New Roman" w:cs="Times New Roman"/>
          <w:sz w:val="24"/>
          <w:szCs w:val="24"/>
        </w:rPr>
        <w:t>—</w:t>
      </w:r>
      <w:r w:rsidRPr="00C1694A">
        <w:rPr>
          <w:rFonts w:ascii="Times New Roman" w:eastAsia="Times New Roman" w:hAnsi="Times New Roman" w:cs="Times New Roman"/>
          <w:b/>
          <w:bCs/>
          <w:sz w:val="24"/>
          <w:szCs w:val="24"/>
        </w:rPr>
        <w:t xml:space="preserve">Transition Services </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§1302.70</w:t>
      </w:r>
      <w:r w:rsidRPr="00C1694A">
        <w:rPr>
          <w:rFonts w:ascii="Times New Roman" w:hAnsi="Times New Roman" w:cs="Times New Roman"/>
          <w:b/>
          <w:i/>
          <w:sz w:val="24"/>
          <w:szCs w:val="24"/>
        </w:rPr>
        <w:t xml:space="preserve"> </w:t>
      </w:r>
      <w:r w:rsidRPr="00C1694A">
        <w:rPr>
          <w:rFonts w:ascii="Times New Roman" w:hAnsi="Times New Roman" w:cs="Times New Roman"/>
          <w:b/>
          <w:sz w:val="24"/>
          <w:szCs w:val="24"/>
        </w:rPr>
        <w:t xml:space="preserve">Transitions from Early Head Start.  </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Pr="00C1694A">
        <w:rPr>
          <w:rFonts w:ascii="Times New Roman" w:hAnsi="Times New Roman" w:cs="Times New Roman"/>
          <w:sz w:val="24"/>
          <w:szCs w:val="24"/>
          <w:u w:val="single"/>
        </w:rPr>
        <w:t>Implementing transition strategies and practices</w:t>
      </w:r>
      <w:r w:rsidRPr="00C1694A">
        <w:rPr>
          <w:rFonts w:ascii="Times New Roman" w:hAnsi="Times New Roman" w:cs="Times New Roman"/>
          <w:sz w:val="24"/>
          <w:szCs w:val="24"/>
        </w:rPr>
        <w:t xml:space="preserve">.  An Early Head Start program must implement strategies and practices to support successful transitions for children and their families transitioning out of Early Head Start.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Timing for transitions</w:t>
      </w:r>
      <w:r w:rsidRPr="00C1694A">
        <w:rPr>
          <w:rFonts w:ascii="Times New Roman" w:hAnsi="Times New Roman" w:cs="Times New Roman"/>
          <w:sz w:val="24"/>
          <w:szCs w:val="24"/>
        </w:rPr>
        <w:t>.  To ensure the most appropriate placement and service following participation in Early Head Start, such programs must, at least six months prior to each child’s third birthday, implement transition planning for each child and family that:</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Takes into account the child’s developmental level and health</w:t>
      </w:r>
      <w:r w:rsidR="0043031F" w:rsidRPr="00C1694A">
        <w:rPr>
          <w:rFonts w:ascii="Times New Roman" w:hAnsi="Times New Roman" w:cs="Times New Roman"/>
          <w:sz w:val="24"/>
          <w:szCs w:val="24"/>
        </w:rPr>
        <w:t xml:space="preserve"> and disability</w:t>
      </w:r>
      <w:r w:rsidRPr="00C1694A">
        <w:rPr>
          <w:rFonts w:ascii="Times New Roman" w:hAnsi="Times New Roman" w:cs="Times New Roman"/>
          <w:sz w:val="24"/>
          <w:szCs w:val="24"/>
        </w:rPr>
        <w:t xml:space="preserve"> status, progress made by the child and family while in Early Head Start, current and changing family circumstances and, the availability of Head Start, other public pre-kindergarten, and other early education and child development services in the community that will meet the needs of the child and family; and,</w:t>
      </w:r>
    </w:p>
    <w:p w:rsidR="00C03FE8" w:rsidRPr="00C1694A" w:rsidRDefault="00C03FE8" w:rsidP="00AC521C">
      <w:pPr>
        <w:tabs>
          <w:tab w:val="left" w:pos="0"/>
        </w:tabs>
        <w:spacing w:after="0" w:line="480" w:lineRule="auto"/>
        <w:rPr>
          <w:rFonts w:ascii="Times New Roman" w:hAnsi="Times New Roman" w:cs="Times New Roman"/>
          <w:sz w:val="24"/>
          <w:szCs w:val="24"/>
        </w:rPr>
      </w:pPr>
    </w:p>
    <w:p w:rsidR="00C03FE8" w:rsidRPr="00C1694A" w:rsidRDefault="00C03FE8" w:rsidP="00AC521C">
      <w:pPr>
        <w:tabs>
          <w:tab w:val="left" w:pos="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t xml:space="preserve">(2) Transitions the child into Head Start or another program as soon as possible after the child’s third birthday but permits the child to remain in Early Head Start for a limited number of additional months following </w:t>
      </w:r>
      <w:r w:rsidR="0043031F" w:rsidRPr="00C1694A">
        <w:rPr>
          <w:rFonts w:ascii="Times New Roman" w:hAnsi="Times New Roman" w:cs="Times New Roman"/>
          <w:sz w:val="24"/>
          <w:szCs w:val="24"/>
        </w:rPr>
        <w:t xml:space="preserve">the child’s </w:t>
      </w:r>
      <w:r w:rsidRPr="00C1694A">
        <w:rPr>
          <w:rFonts w:ascii="Times New Roman" w:hAnsi="Times New Roman" w:cs="Times New Roman"/>
          <w:sz w:val="24"/>
          <w:szCs w:val="24"/>
        </w:rPr>
        <w:t>third birthday if necessary for an appropriate transition.</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Family collaborations</w:t>
      </w:r>
      <w:r w:rsidRPr="00C1694A">
        <w:rPr>
          <w:rFonts w:ascii="Times New Roman" w:hAnsi="Times New Roman" w:cs="Times New Roman"/>
          <w:sz w:val="24"/>
          <w:szCs w:val="24"/>
        </w:rPr>
        <w:t>.  A program must collaborate with parents of Early Head Start children to implement strategies and activities that support successful transitions from Early Head Start and, at a minimum, provide information about the child’s progress during the program year and provide strategies for parents to continue their involvement in and advocacy for the education and development of their child.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Early Head Start and Head Start collaboration</w:t>
      </w:r>
      <w:r w:rsidRPr="00C1694A">
        <w:rPr>
          <w:rFonts w:ascii="Times New Roman" w:hAnsi="Times New Roman" w:cs="Times New Roman"/>
          <w:sz w:val="24"/>
          <w:szCs w:val="24"/>
        </w:rPr>
        <w:t xml:space="preserve">.  Early Head Start and Head Start programs must work together to maximize enrollment transitions from Early Head Start to Head Start, consistent with the eligibility provisions in subpart A, and promote successful transitions through collaboration and communication.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w:t>
      </w:r>
      <w:r w:rsidRPr="00C1694A">
        <w:rPr>
          <w:rFonts w:ascii="Times New Roman" w:hAnsi="Times New Roman" w:cs="Times New Roman"/>
          <w:sz w:val="24"/>
          <w:szCs w:val="24"/>
          <w:u w:val="single"/>
        </w:rPr>
        <w:t>Transition services for children with an IFSP</w:t>
      </w:r>
      <w:r w:rsidRPr="00C1694A">
        <w:rPr>
          <w:rFonts w:ascii="Times New Roman" w:hAnsi="Times New Roman" w:cs="Times New Roman"/>
          <w:sz w:val="24"/>
          <w:szCs w:val="24"/>
        </w:rPr>
        <w:t>.  A program must provide additional transition services for children with an IFSP, at a minimum, as described in subpart F</w:t>
      </w:r>
      <w:r w:rsidR="00A07C88">
        <w:rPr>
          <w:rFonts w:ascii="Times New Roman" w:hAnsi="Times New Roman" w:cs="Times New Roman"/>
          <w:sz w:val="24"/>
          <w:szCs w:val="24"/>
        </w:rPr>
        <w:t xml:space="preserve"> of this part</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sz w:val="24"/>
          <w:szCs w:val="24"/>
        </w:rPr>
        <w:t xml:space="preserve"> </w:t>
      </w:r>
      <w:r w:rsidRPr="00C1694A">
        <w:rPr>
          <w:rFonts w:ascii="Times New Roman" w:hAnsi="Times New Roman" w:cs="Times New Roman"/>
          <w:b/>
          <w:sz w:val="24"/>
          <w:szCs w:val="24"/>
        </w:rPr>
        <w:t xml:space="preserve">§1302.71 Transitions from Head Start to kindergarten.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Pr="00C1694A">
        <w:rPr>
          <w:rFonts w:ascii="Times New Roman" w:hAnsi="Times New Roman" w:cs="Times New Roman"/>
          <w:sz w:val="24"/>
          <w:szCs w:val="24"/>
          <w:u w:val="single"/>
        </w:rPr>
        <w:t>Implementing transition strategies and practices</w:t>
      </w:r>
      <w:r w:rsidRPr="00C1694A">
        <w:rPr>
          <w:rFonts w:ascii="Times New Roman" w:hAnsi="Times New Roman" w:cs="Times New Roman"/>
          <w:sz w:val="24"/>
          <w:szCs w:val="24"/>
        </w:rPr>
        <w:t>.  A program that serves children who will enter kindergarten in the following year must implement transition strategies to support a successful transition to kindergarten.</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Family collaborations for transitions</w:t>
      </w:r>
      <w:r w:rsidRPr="00C1694A">
        <w:rPr>
          <w:rFonts w:ascii="Times New Roman" w:hAnsi="Times New Roman" w:cs="Times New Roman"/>
          <w:sz w:val="24"/>
          <w:szCs w:val="24"/>
        </w:rPr>
        <w:t>. (1) A program must collaborate with parents of enrolled children to implement strategies and activities that will help parents advocate for and promote successful transitions to kindergarten for their children, including their continued involvement in the education and development of their child.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At a minimum, such strategies and activities must: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Help parents understand their child’s progress during Head Start;</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Help parents understand practices they use to effectively provide academic and social support for their children during their transition to kindergarten and foster their continued involvement in the education of their child;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(iii) Prepare parents to exercise their rights and responsibilities concerning the education of their children in the elementary school setting, including </w:t>
      </w:r>
      <w:r w:rsidR="0099449C" w:rsidRPr="00C1694A">
        <w:rPr>
          <w:rFonts w:ascii="Times New Roman" w:hAnsi="Times New Roman" w:cs="Times New Roman"/>
          <w:sz w:val="24"/>
          <w:szCs w:val="24"/>
        </w:rPr>
        <w:t xml:space="preserve">services and supports available to children with disabilities and </w:t>
      </w:r>
      <w:r w:rsidRPr="00C1694A">
        <w:rPr>
          <w:rFonts w:ascii="Times New Roman" w:hAnsi="Times New Roman" w:cs="Times New Roman"/>
          <w:sz w:val="24"/>
          <w:szCs w:val="24"/>
        </w:rPr>
        <w:t>various options for their child to participate in language instruction educational programs; and,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(iv) Assist parents in the ongoing communication with teachers and other school personnel so that parents can participate in decisions related to their children’s education.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Community collaborations for transitions</w:t>
      </w:r>
      <w:r w:rsidRPr="00C1694A">
        <w:rPr>
          <w:rFonts w:ascii="Times New Roman" w:hAnsi="Times New Roman" w:cs="Times New Roman"/>
          <w:sz w:val="24"/>
          <w:szCs w:val="24"/>
        </w:rPr>
        <w:t xml:space="preserve">. (1) A program must collaborate with local education agencies to support family engagement under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642(b)(13) of the Act and state departments of education, as appropriate, and kindergarten teachers to implement strategies and activities that promote successful transitions to kindergarten for children, their families, and the elementary school.</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At a minimum, such strategies and activities must include:</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Coordination with schools or other appropriate agencies to ensure children’s relevant records are transferred to the school or next placement in which a child will enroll, consistent with privacy requirements in subpart C of part 1303</w:t>
      </w:r>
      <w:r w:rsidR="004A52CB">
        <w:rPr>
          <w:rFonts w:ascii="Times New Roman" w:hAnsi="Times New Roman" w:cs="Times New Roman"/>
          <w:sz w:val="24"/>
          <w:szCs w:val="24"/>
        </w:rPr>
        <w:t xml:space="preserve"> of this chapter</w:t>
      </w:r>
      <w:r w:rsidRPr="00C1694A">
        <w:rPr>
          <w:rFonts w:ascii="Times New Roman" w:hAnsi="Times New Roman" w:cs="Times New Roman"/>
          <w:sz w:val="24"/>
          <w:szCs w:val="24"/>
        </w:rPr>
        <w:t>;</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Communication between appropriate staff and their counterparts in the schools to facilitate continuity of learning and development, consistent with privacy requirements in subpart C of part 1303</w:t>
      </w:r>
      <w:r w:rsidR="004A52CB">
        <w:rPr>
          <w:rFonts w:ascii="Times New Roman" w:hAnsi="Times New Roman" w:cs="Times New Roman"/>
          <w:sz w:val="24"/>
          <w:szCs w:val="24"/>
        </w:rPr>
        <w:t xml:space="preserve"> of this chapter</w:t>
      </w:r>
      <w:r w:rsidRPr="00C1694A">
        <w:rPr>
          <w:rFonts w:ascii="Times New Roman" w:hAnsi="Times New Roman" w:cs="Times New Roman"/>
          <w:sz w:val="24"/>
          <w:szCs w:val="24"/>
        </w:rPr>
        <w:t>; and,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785DC3"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00C03FE8" w:rsidRPr="00C1694A">
        <w:rPr>
          <w:rFonts w:ascii="Times New Roman" w:hAnsi="Times New Roman" w:cs="Times New Roman"/>
          <w:sz w:val="24"/>
          <w:szCs w:val="24"/>
        </w:rPr>
        <w:t xml:space="preserve">(iii) Participation, as possible, for joint training </w:t>
      </w:r>
      <w:r w:rsidR="00C03FE8" w:rsidRPr="00C1694A">
        <w:rPr>
          <w:rFonts w:ascii="Times New Roman" w:eastAsia="Times New Roman" w:hAnsi="Times New Roman" w:cs="Times New Roman"/>
          <w:sz w:val="24"/>
          <w:szCs w:val="24"/>
        </w:rPr>
        <w:t xml:space="preserve">and professional development </w:t>
      </w:r>
      <w:r w:rsidR="00C03FE8" w:rsidRPr="00C1694A">
        <w:rPr>
          <w:rFonts w:ascii="Times New Roman" w:hAnsi="Times New Roman" w:cs="Times New Roman"/>
          <w:sz w:val="24"/>
          <w:szCs w:val="24"/>
        </w:rPr>
        <w:t>activities for Head Start and kindergarten teachers</w:t>
      </w:r>
      <w:r w:rsidR="00C03FE8" w:rsidRPr="00C1694A">
        <w:rPr>
          <w:rFonts w:ascii="Times New Roman" w:eastAsia="Times New Roman" w:hAnsi="Times New Roman" w:cs="Times New Roman"/>
          <w:sz w:val="24"/>
          <w:szCs w:val="24"/>
        </w:rPr>
        <w:t xml:space="preserve"> and staff</w:t>
      </w:r>
      <w:r w:rsidR="00C03FE8" w:rsidRPr="00C1694A">
        <w:rPr>
          <w:rFonts w:ascii="Times New Roman" w:hAnsi="Times New Roman" w:cs="Times New Roman"/>
          <w:sz w:val="24"/>
          <w:szCs w:val="24"/>
        </w:rPr>
        <w:t>.</w:t>
      </w:r>
    </w:p>
    <w:p w:rsidR="00785DC3" w:rsidRPr="00C1694A" w:rsidRDefault="00785DC3"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A program that does not operate during the summer must collaborate with school districts to determine the availability of summer school programming for children who will be entering kindergarten and work with parents and school districts to enroll children in such programs, as appropriate.</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Learning environment activities</w:t>
      </w:r>
      <w:r w:rsidRPr="00C1694A">
        <w:rPr>
          <w:rFonts w:ascii="Times New Roman" w:hAnsi="Times New Roman" w:cs="Times New Roman"/>
          <w:sz w:val="24"/>
          <w:szCs w:val="24"/>
        </w:rPr>
        <w:t>.  A program must implement strategies and activities in the learning environment that promote successful transitions to kindergarten for enrolled children, and at a minimum, include approaches that familiarize children with the transition to kindergarten and foster confidence about such transition.</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w:t>
      </w:r>
      <w:r w:rsidRPr="00C1694A">
        <w:rPr>
          <w:rFonts w:ascii="Times New Roman" w:hAnsi="Times New Roman" w:cs="Times New Roman"/>
          <w:sz w:val="24"/>
          <w:szCs w:val="24"/>
          <w:u w:val="single"/>
        </w:rPr>
        <w:t>Transition services for children with an IEP</w:t>
      </w:r>
      <w:r w:rsidRPr="00C1694A">
        <w:rPr>
          <w:rFonts w:ascii="Times New Roman" w:hAnsi="Times New Roman" w:cs="Times New Roman"/>
          <w:sz w:val="24"/>
          <w:szCs w:val="24"/>
        </w:rPr>
        <w:t>.  A program must provide additional transition services for children with an IEP, at a minimum, as described in subpart F</w:t>
      </w:r>
      <w:r w:rsidR="004A52CB">
        <w:rPr>
          <w:rFonts w:ascii="Times New Roman" w:hAnsi="Times New Roman" w:cs="Times New Roman"/>
          <w:sz w:val="24"/>
          <w:szCs w:val="24"/>
        </w:rPr>
        <w:t xml:space="preserve"> of this part</w:t>
      </w:r>
      <w:r w:rsidRPr="00C1694A">
        <w:rPr>
          <w:rFonts w:ascii="Times New Roman" w:hAnsi="Times New Roman" w:cs="Times New Roman"/>
          <w:sz w:val="24"/>
          <w:szCs w:val="24"/>
        </w:rPr>
        <w:t>.</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§1302.72 Transitions between programs.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For families and children who move out of the community in which they are currently served, including homeless families and foster children, a program must undertake efforts to support effective transitions to other Early Head Start or Head Start programs. If Early Head Start or Head Start is not available, the program should assist the family to identify another early childhood program that meets their needs.</w:t>
      </w:r>
    </w:p>
    <w:p w:rsidR="00C03FE8" w:rsidRPr="00C1694A" w:rsidRDefault="00C03FE8" w:rsidP="00AC521C">
      <w:pPr>
        <w:spacing w:after="0" w:line="480" w:lineRule="auto"/>
        <w:rPr>
          <w:rFonts w:ascii="Times New Roman" w:hAnsi="Times New Roman" w:cs="Times New Roman"/>
          <w:sz w:val="24"/>
          <w:szCs w:val="24"/>
          <w:highlight w:val="green"/>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(b) A program that serves children whose families have decided to transition them to other early education programs, including public pre-kindergarten, in the year prior to kindergarten entry must undertake strategies and activities described in §1302.71(b)</w:t>
      </w:r>
      <w:r w:rsidR="004A52CB">
        <w:rPr>
          <w:rFonts w:ascii="Times New Roman" w:hAnsi="Times New Roman" w:cs="Times New Roman"/>
          <w:sz w:val="24"/>
          <w:szCs w:val="24"/>
        </w:rPr>
        <w:t xml:space="preserve"> and</w:t>
      </w:r>
      <w:r w:rsidRPr="00C1694A">
        <w:rPr>
          <w:rFonts w:ascii="Times New Roman" w:hAnsi="Times New Roman" w:cs="Times New Roman"/>
          <w:sz w:val="24"/>
          <w:szCs w:val="24"/>
        </w:rPr>
        <w:t xml:space="preserve"> (c)(1) and (2), as practicable and appropriate.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(c) A migrant or seasonal Head Start program must undertake efforts to support effective transitions to other migrant or seasonal Head Start</w:t>
      </w:r>
      <w:r w:rsidR="0043031F" w:rsidRPr="00C1694A">
        <w:rPr>
          <w:rFonts w:ascii="Times New Roman" w:hAnsi="Times New Roman" w:cs="Times New Roman"/>
          <w:sz w:val="24"/>
          <w:szCs w:val="24"/>
        </w:rPr>
        <w:t xml:space="preserve"> or, if appropriate, </w:t>
      </w:r>
      <w:r w:rsidRPr="00C1694A">
        <w:rPr>
          <w:rFonts w:ascii="Times New Roman" w:hAnsi="Times New Roman" w:cs="Times New Roman"/>
          <w:sz w:val="24"/>
          <w:szCs w:val="24"/>
        </w:rPr>
        <w:t>Early Head Start</w:t>
      </w:r>
      <w:r w:rsidR="0043031F" w:rsidRPr="00C1694A">
        <w:rPr>
          <w:rFonts w:ascii="Times New Roman" w:hAnsi="Times New Roman" w:cs="Times New Roman"/>
          <w:sz w:val="24"/>
          <w:szCs w:val="24"/>
        </w:rPr>
        <w:t xml:space="preserve"> or</w:t>
      </w:r>
      <w:r w:rsidR="008D1305" w:rsidRPr="00C1694A">
        <w:rPr>
          <w:rFonts w:ascii="Times New Roman" w:hAnsi="Times New Roman" w:cs="Times New Roman"/>
          <w:sz w:val="24"/>
          <w:szCs w:val="24"/>
        </w:rPr>
        <w:t xml:space="preserve"> </w:t>
      </w:r>
      <w:r w:rsidRPr="00C1694A">
        <w:rPr>
          <w:rFonts w:ascii="Times New Roman" w:hAnsi="Times New Roman" w:cs="Times New Roman"/>
          <w:sz w:val="24"/>
          <w:szCs w:val="24"/>
        </w:rPr>
        <w:t>Head Start programs for families and children moving out of the community in which they are currently served.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hAnsi="Times New Roman" w:cs="Times New Roman"/>
          <w:b/>
          <w:sz w:val="24"/>
          <w:szCs w:val="24"/>
        </w:rPr>
        <w:t>Subpart H</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Services to Enrolled Pregnant Women</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§1302.80 Enrolled pregnant women.</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(a) Within 30 days of enrollment, a program must determine whether each enrolled pregnant woman has an ongoing source </w:t>
      </w:r>
      <w:r w:rsidRPr="00C1694A">
        <w:rPr>
          <w:rFonts w:ascii="Times New Roman" w:hAnsi="Times New Roman" w:cs="Times New Roman"/>
          <w:sz w:val="24"/>
          <w:szCs w:val="24"/>
        </w:rPr>
        <w:t>of continuous, accessible health care – provided by a health care professional that maintains her ongoing health record and is not primarily a source of emergency or urgent care – and, as appropriate, health insurance coverage.</w:t>
      </w:r>
      <w:r w:rsidRPr="00C1694A" w:rsidDel="009D3710">
        <w:rPr>
          <w:rStyle w:val="CommentReference"/>
          <w:rFonts w:ascii="Times New Roman" w:hAnsi="Times New Roman" w:cs="Times New Roman"/>
          <w:sz w:val="24"/>
          <w:szCs w:val="24"/>
        </w:rPr>
        <w:t xml:space="preserve"> </w:t>
      </w:r>
      <w:r w:rsidRPr="00C1694A">
        <w:rPr>
          <w:rFonts w:ascii="Times New Roman" w:hAnsi="Times New Roman" w:cs="Times New Roman"/>
          <w:sz w:val="24"/>
          <w:szCs w:val="24"/>
        </w:rPr>
        <w:br/>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(b) If an enrolled pregnant woman does not have a source of ongoing care as described in </w:t>
      </w:r>
      <w:r w:rsidR="003950A3">
        <w:rPr>
          <w:rFonts w:ascii="Times New Roman" w:eastAsia="Times New Roman" w:hAnsi="Times New Roman" w:cs="Times New Roman"/>
          <w:bCs/>
          <w:sz w:val="24"/>
          <w:szCs w:val="24"/>
        </w:rPr>
        <w:t xml:space="preserve">paragraph </w:t>
      </w:r>
      <w:r w:rsidRPr="00C1694A">
        <w:rPr>
          <w:rFonts w:ascii="Times New Roman" w:eastAsia="Times New Roman" w:hAnsi="Times New Roman" w:cs="Times New Roman"/>
          <w:bCs/>
          <w:sz w:val="24"/>
          <w:szCs w:val="24"/>
        </w:rPr>
        <w:t>(a)</w:t>
      </w:r>
      <w:r w:rsidR="003950A3">
        <w:rPr>
          <w:rFonts w:ascii="Times New Roman" w:eastAsia="Times New Roman" w:hAnsi="Times New Roman" w:cs="Times New Roman"/>
          <w:bCs/>
          <w:sz w:val="24"/>
          <w:szCs w:val="24"/>
        </w:rPr>
        <w:t xml:space="preserve"> of this section</w:t>
      </w:r>
      <w:r w:rsidRPr="00C1694A">
        <w:rPr>
          <w:rFonts w:ascii="Times New Roman" w:eastAsia="Times New Roman" w:hAnsi="Times New Roman" w:cs="Times New Roman"/>
          <w:bCs/>
          <w:sz w:val="24"/>
          <w:szCs w:val="24"/>
        </w:rPr>
        <w:t xml:space="preserve"> and, as appropriate, health insurance coverage, a program must, as quickly as possible, facilitate her access to such a source of care that will meet her needs.</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(c) A program must facilitate the ability of all enrolled pregnant women to access comprehensive services through referrals that, at a minimum, include nutritional counseling, food assistance, oral health care, mental health services, substance abuse prevention and treatment, and emergency shelter or transitional housing in cases of domestic violence.</w:t>
      </w:r>
    </w:p>
    <w:p w:rsidR="00C75CDB" w:rsidRPr="00C1694A" w:rsidRDefault="00C75CDB" w:rsidP="00AC521C">
      <w:pPr>
        <w:spacing w:after="0" w:line="480" w:lineRule="auto"/>
        <w:rPr>
          <w:rFonts w:ascii="Times New Roman" w:eastAsia="Times New Roman" w:hAnsi="Times New Roman" w:cs="Times New Roman"/>
          <w:bCs/>
          <w:sz w:val="24"/>
          <w:szCs w:val="24"/>
        </w:rPr>
      </w:pPr>
    </w:p>
    <w:p w:rsidR="00C75CDB" w:rsidRPr="00C1694A" w:rsidRDefault="00C75CDB"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(d) A program must provide a newborn visit with each mother and baby to offer support and identify family needs.  A program must schedule the newborn visit within two weeks after the infant's birth.</w:t>
      </w:r>
    </w:p>
    <w:p w:rsidR="00C75CDB" w:rsidRPr="00C1694A" w:rsidRDefault="00C75CDB"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§1302.81 Prenatal and postpartum information, education, and services.</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 A program must provide enrolled pregnant women, fathers, and partners or other relevant family members the prenatal and postpartum information, education and services that address, as appropriate, fetal development, the importance of nutrition, the risks of alcohol, drugs, and smoking, labor and delivery, postpartum recovery, parental depression, infant care and safe sleep practices, and the benefits of breastfeeding.</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(b) A program must also address needs for appropriate supports for emotional well-being, nurturing and responsive caregiving, and father engagement during pregnancy and early childhood.</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§1302.82 Family partnership services for enrolled pregnant women.  </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(a) A program must engage enrolled pregnant women and other relevant family members, such as fathers, in the family partnership services as described in §1302.52 and include a specific focus on factors that influence prenatal and postpartum maternal and infant health.</w:t>
      </w:r>
    </w:p>
    <w:p w:rsidR="00C03FE8" w:rsidRPr="00C1694A" w:rsidRDefault="00C03FE8" w:rsidP="00AC521C">
      <w:pPr>
        <w:spacing w:after="0" w:line="480" w:lineRule="auto"/>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w:t>
      </w:r>
      <w:r w:rsidR="00785DC3" w:rsidRPr="00C1694A">
        <w:rPr>
          <w:rFonts w:ascii="Times New Roman" w:eastAsia="Times New Roman" w:hAnsi="Times New Roman" w:cs="Times New Roman"/>
          <w:bCs/>
          <w:sz w:val="24"/>
          <w:szCs w:val="24"/>
        </w:rPr>
        <w:t>b</w:t>
      </w:r>
      <w:r w:rsidRPr="00C1694A">
        <w:rPr>
          <w:rFonts w:ascii="Times New Roman" w:eastAsia="Times New Roman" w:hAnsi="Times New Roman" w:cs="Times New Roman"/>
          <w:bCs/>
          <w:sz w:val="24"/>
          <w:szCs w:val="24"/>
        </w:rPr>
        <w:t>) A program must engage enrolled pregnant women and other relevant family members, such as fathers, in discussions about program options, plan for the infant’s transition to program enrollment, and support the family during the transition process, where appropriate.</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I</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 xml:space="preserve">Human Resources Management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§1302.90 Personnel policies.</w:t>
      </w:r>
      <w:r w:rsidRPr="00C1694A" w:rsidDel="001E5102">
        <w:rPr>
          <w:rFonts w:ascii="Times New Roman" w:hAnsi="Times New Roman" w:cs="Times New Roman"/>
          <w:b/>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00705CE0">
        <w:rPr>
          <w:rFonts w:ascii="Times New Roman" w:hAnsi="Times New Roman" w:cs="Times New Roman"/>
          <w:sz w:val="24"/>
          <w:szCs w:val="24"/>
          <w:u w:val="single"/>
        </w:rPr>
        <w:t>Establishing personnel policies and procedures</w:t>
      </w:r>
      <w:r w:rsidRPr="00C1694A">
        <w:rPr>
          <w:rFonts w:ascii="Times New Roman" w:hAnsi="Times New Roman" w:cs="Times New Roman"/>
          <w:sz w:val="24"/>
          <w:szCs w:val="24"/>
          <w:u w:val="single"/>
        </w:rPr>
        <w:t>.</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A program must establish written personnel policies and procedures that are approved by the governing body and policy council or policy committee and that are available to all staff.</w:t>
      </w:r>
    </w:p>
    <w:p w:rsidR="00C03FE8" w:rsidRPr="00C1694A" w:rsidRDefault="00C03FE8" w:rsidP="00AC521C">
      <w:pPr>
        <w:spacing w:after="0" w:line="480" w:lineRule="auto"/>
        <w:rPr>
          <w:rFonts w:ascii="Times New Roman" w:hAnsi="Times New Roman" w:cs="Times New Roman"/>
          <w:sz w:val="24"/>
          <w:szCs w:val="24"/>
        </w:rPr>
      </w:pPr>
    </w:p>
    <w:p w:rsidR="00BD11D4" w:rsidRPr="00C1694A" w:rsidRDefault="00BD11D4" w:rsidP="00AC521C">
      <w:pPr>
        <w:spacing w:after="0" w:line="480" w:lineRule="auto"/>
        <w:rPr>
          <w:rFonts w:ascii="Times New Roman" w:hAnsi="Times New Roman" w:cs="Times New Roman"/>
          <w:sz w:val="24"/>
          <w:szCs w:val="24"/>
        </w:rPr>
      </w:pPr>
    </w:p>
    <w:p w:rsidR="00BD11D4"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Background checks and selection procedures.</w:t>
      </w:r>
      <w:r w:rsidRPr="00C1694A">
        <w:rPr>
          <w:rFonts w:ascii="Times New Roman" w:hAnsi="Times New Roman" w:cs="Times New Roman"/>
          <w:sz w:val="24"/>
          <w:szCs w:val="24"/>
        </w:rPr>
        <w:t xml:space="preserve"> (1) Before a person is hired, directly or through contract, including transportation staff and contractors, a program must conduct an interview, verify references, </w:t>
      </w:r>
      <w:r w:rsidR="003A77AA" w:rsidRPr="00C1694A">
        <w:rPr>
          <w:rFonts w:ascii="Times New Roman" w:hAnsi="Times New Roman" w:cs="Times New Roman"/>
          <w:sz w:val="24"/>
          <w:szCs w:val="24"/>
        </w:rPr>
        <w:t xml:space="preserve">conduct a sex offender registry check </w:t>
      </w:r>
      <w:r w:rsidRPr="00C1694A">
        <w:rPr>
          <w:rFonts w:ascii="Times New Roman" w:hAnsi="Times New Roman" w:cs="Times New Roman"/>
          <w:sz w:val="24"/>
          <w:szCs w:val="24"/>
        </w:rPr>
        <w:t>and obtain one of the following:</w:t>
      </w:r>
    </w:p>
    <w:p w:rsidR="00BD11D4" w:rsidRPr="00C1694A" w:rsidRDefault="00BD11D4" w:rsidP="00AC521C">
      <w:pPr>
        <w:spacing w:after="0" w:line="480" w:lineRule="auto"/>
        <w:ind w:firstLine="720"/>
        <w:rPr>
          <w:rFonts w:ascii="Times New Roman" w:hAnsi="Times New Roman" w:cs="Times New Roman"/>
          <w:sz w:val="24"/>
          <w:szCs w:val="24"/>
        </w:rPr>
      </w:pPr>
    </w:p>
    <w:p w:rsidR="00BD11D4"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State or tribal criminal history records, including fingerprint checks; or,</w:t>
      </w:r>
    </w:p>
    <w:p w:rsidR="00BD11D4" w:rsidRPr="00C1694A" w:rsidRDefault="00BD11D4" w:rsidP="00AC521C">
      <w:pPr>
        <w:spacing w:after="0" w:line="480" w:lineRule="auto"/>
        <w:rPr>
          <w:rFonts w:ascii="Times New Roman" w:hAnsi="Times New Roman" w:cs="Times New Roman"/>
          <w:sz w:val="24"/>
          <w:szCs w:val="24"/>
        </w:rPr>
      </w:pPr>
    </w:p>
    <w:p w:rsidR="00BD11D4"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Federal Bureau of Investigation criminal history records, including fingerprint checks.</w:t>
      </w:r>
    </w:p>
    <w:p w:rsidR="00BD11D4" w:rsidRPr="00C1694A" w:rsidRDefault="00BD11D4" w:rsidP="00AC521C">
      <w:pPr>
        <w:spacing w:after="0" w:line="480" w:lineRule="auto"/>
        <w:rPr>
          <w:rFonts w:ascii="Times New Roman" w:hAnsi="Times New Roman" w:cs="Times New Roman"/>
          <w:sz w:val="24"/>
          <w:szCs w:val="24"/>
        </w:rPr>
      </w:pPr>
    </w:p>
    <w:p w:rsidR="00BD11D4"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A program has 90 days after an employee is hired to complete the background check process by obtaining:</w:t>
      </w:r>
    </w:p>
    <w:p w:rsidR="00BD11D4" w:rsidRPr="00C1694A" w:rsidRDefault="00BD11D4" w:rsidP="00AC521C">
      <w:pPr>
        <w:spacing w:after="0" w:line="480" w:lineRule="auto"/>
        <w:ind w:firstLine="720"/>
        <w:rPr>
          <w:rFonts w:ascii="Times New Roman" w:hAnsi="Times New Roman" w:cs="Times New Roman"/>
          <w:sz w:val="24"/>
          <w:szCs w:val="24"/>
        </w:rPr>
      </w:pPr>
    </w:p>
    <w:p w:rsidR="00BD11D4"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Whichever check listed in paragraph (b)(1) </w:t>
      </w:r>
      <w:r w:rsidR="003950A3">
        <w:rPr>
          <w:rFonts w:ascii="Times New Roman" w:hAnsi="Times New Roman" w:cs="Times New Roman"/>
          <w:sz w:val="24"/>
          <w:szCs w:val="24"/>
        </w:rPr>
        <w:t xml:space="preserve">of this section </w:t>
      </w:r>
      <w:r w:rsidRPr="00C1694A">
        <w:rPr>
          <w:rFonts w:ascii="Times New Roman" w:hAnsi="Times New Roman" w:cs="Times New Roman"/>
          <w:sz w:val="24"/>
          <w:szCs w:val="24"/>
        </w:rPr>
        <w:t>was not obtained prior to the date of hire;</w:t>
      </w:r>
      <w:r w:rsidR="003A77AA" w:rsidRPr="00C1694A">
        <w:rPr>
          <w:rFonts w:ascii="Times New Roman" w:hAnsi="Times New Roman" w:cs="Times New Roman"/>
          <w:sz w:val="24"/>
          <w:szCs w:val="24"/>
        </w:rPr>
        <w:t xml:space="preserve"> and,</w:t>
      </w:r>
    </w:p>
    <w:p w:rsidR="00BD11D4" w:rsidRPr="00C1694A" w:rsidRDefault="00BD11D4" w:rsidP="00AC521C">
      <w:pPr>
        <w:spacing w:after="0" w:line="480" w:lineRule="auto"/>
        <w:ind w:firstLine="720"/>
        <w:rPr>
          <w:rFonts w:ascii="Times New Roman" w:hAnsi="Times New Roman" w:cs="Times New Roman"/>
          <w:sz w:val="24"/>
          <w:szCs w:val="24"/>
        </w:rPr>
      </w:pPr>
    </w:p>
    <w:p w:rsidR="00BD11D4"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Child abuse and neglect state registry check, if available</w:t>
      </w:r>
      <w:r w:rsidR="003A77AA" w:rsidRPr="00C1694A">
        <w:rPr>
          <w:rFonts w:ascii="Times New Roman" w:hAnsi="Times New Roman" w:cs="Times New Roman"/>
          <w:sz w:val="24"/>
          <w:szCs w:val="24"/>
        </w:rPr>
        <w:t>.</w:t>
      </w:r>
    </w:p>
    <w:p w:rsidR="00BD11D4" w:rsidRPr="00C1694A" w:rsidRDefault="00BD11D4" w:rsidP="00AC521C">
      <w:pPr>
        <w:spacing w:after="0" w:line="480" w:lineRule="auto"/>
        <w:ind w:firstLine="720"/>
        <w:rPr>
          <w:rFonts w:ascii="Times New Roman" w:hAnsi="Times New Roman" w:cs="Times New Roman"/>
          <w:sz w:val="24"/>
          <w:szCs w:val="24"/>
        </w:rPr>
      </w:pPr>
    </w:p>
    <w:p w:rsidR="00BD11D4" w:rsidRPr="00C1694A" w:rsidRDefault="00BD11D4"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(3) A program must review the information found in each employment application and complete background check to assess the relevancy of any issue uncovered by the complete background check including any arrest, pending criminal charge, or conviction and must use Child Care and Development </w:t>
      </w:r>
      <w:r w:rsidR="007F4162" w:rsidRPr="00C1694A">
        <w:rPr>
          <w:rFonts w:ascii="Times New Roman" w:hAnsi="Times New Roman" w:cs="Times New Roman"/>
          <w:sz w:val="24"/>
          <w:szCs w:val="24"/>
        </w:rPr>
        <w:t>Fund (CCDF)</w:t>
      </w:r>
      <w:r w:rsidRPr="00C1694A">
        <w:rPr>
          <w:rFonts w:ascii="Times New Roman" w:hAnsi="Times New Roman" w:cs="Times New Roman"/>
          <w:sz w:val="24"/>
          <w:szCs w:val="24"/>
        </w:rPr>
        <w:t xml:space="preserve"> disqualification factors</w:t>
      </w:r>
      <w:r w:rsidR="000653CB">
        <w:rPr>
          <w:rFonts w:ascii="Times New Roman" w:hAnsi="Times New Roman" w:cs="Times New Roman"/>
          <w:sz w:val="24"/>
          <w:szCs w:val="24"/>
        </w:rPr>
        <w:t xml:space="preserve"> </w:t>
      </w:r>
      <w:r w:rsidR="000653CB" w:rsidRPr="00126FA2">
        <w:rPr>
          <w:rFonts w:ascii="Times New Roman" w:hAnsi="Times New Roman" w:cs="Times New Roman"/>
          <w:sz w:val="24"/>
          <w:szCs w:val="24"/>
        </w:rPr>
        <w:t xml:space="preserve">described in </w:t>
      </w:r>
      <w:r w:rsidR="000653CB" w:rsidRPr="001E00C8">
        <w:rPr>
          <w:rFonts w:ascii="Times New Roman" w:hAnsi="Times New Roman" w:cs="Times New Roman"/>
          <w:sz w:val="24"/>
          <w:szCs w:val="24"/>
        </w:rPr>
        <w:t>42 U.S.C. 9858f(c)(1)(D)</w:t>
      </w:r>
      <w:r w:rsidR="000653CB" w:rsidRPr="00840788">
        <w:rPr>
          <w:rFonts w:ascii="Times New Roman" w:hAnsi="Times New Roman" w:cs="Times New Roman"/>
          <w:sz w:val="24"/>
          <w:szCs w:val="24"/>
        </w:rPr>
        <w:t xml:space="preserve"> and 42 U.S.C. 9858f(h)(1)</w:t>
      </w:r>
      <w:r w:rsidRPr="00C1694A">
        <w:rPr>
          <w:rFonts w:ascii="Times New Roman" w:hAnsi="Times New Roman" w:cs="Times New Roman"/>
          <w:sz w:val="24"/>
          <w:szCs w:val="24"/>
        </w:rPr>
        <w:t xml:space="preserve"> or tribal disqualifications factors to determine whether the prospective employee can be hired or the current employee must be terminated. </w:t>
      </w:r>
    </w:p>
    <w:p w:rsidR="00BD11D4" w:rsidRPr="00C1694A" w:rsidRDefault="00BD11D4"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3A77AA"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A program must ensure a newly hired employee</w:t>
      </w:r>
      <w:r w:rsidR="001D5366" w:rsidRPr="00C1694A">
        <w:rPr>
          <w:rFonts w:ascii="Times New Roman" w:hAnsi="Times New Roman" w:cs="Times New Roman"/>
          <w:sz w:val="24"/>
          <w:szCs w:val="24"/>
        </w:rPr>
        <w:t>, consultant,</w:t>
      </w:r>
      <w:r w:rsidRPr="00C1694A">
        <w:rPr>
          <w:rFonts w:ascii="Times New Roman" w:hAnsi="Times New Roman" w:cs="Times New Roman"/>
          <w:sz w:val="24"/>
          <w:szCs w:val="24"/>
        </w:rPr>
        <w:t xml:space="preserve"> or contractor does not have unsupervised access to children until the complete background check process described in paragraphs (b)(1)</w:t>
      </w:r>
      <w:r w:rsidR="00106F4C">
        <w:rPr>
          <w:rFonts w:ascii="Times New Roman" w:hAnsi="Times New Roman" w:cs="Times New Roman"/>
          <w:sz w:val="24"/>
          <w:szCs w:val="24"/>
        </w:rPr>
        <w:t xml:space="preserve"> through</w:t>
      </w:r>
      <w:r w:rsidRPr="00C1694A">
        <w:rPr>
          <w:rFonts w:ascii="Times New Roman" w:hAnsi="Times New Roman" w:cs="Times New Roman"/>
          <w:sz w:val="24"/>
          <w:szCs w:val="24"/>
        </w:rPr>
        <w:t xml:space="preserve"> (3) </w:t>
      </w:r>
      <w:r w:rsidR="008A09DA">
        <w:rPr>
          <w:rFonts w:ascii="Times New Roman" w:hAnsi="Times New Roman" w:cs="Times New Roman"/>
          <w:sz w:val="24"/>
          <w:szCs w:val="24"/>
        </w:rPr>
        <w:t xml:space="preserve">of this section </w:t>
      </w:r>
      <w:r w:rsidRPr="00C1694A">
        <w:rPr>
          <w:rFonts w:ascii="Times New Roman" w:hAnsi="Times New Roman" w:cs="Times New Roman"/>
          <w:sz w:val="24"/>
          <w:szCs w:val="24"/>
        </w:rPr>
        <w:t xml:space="preserve">is complete.  </w:t>
      </w:r>
    </w:p>
    <w:p w:rsidR="00BD11D4" w:rsidRPr="00C1694A" w:rsidRDefault="00BD11D4" w:rsidP="00AC521C">
      <w:pPr>
        <w:pStyle w:val="ListParagraph"/>
        <w:tabs>
          <w:tab w:val="left" w:pos="360"/>
        </w:tabs>
        <w:spacing w:after="0" w:line="480" w:lineRule="auto"/>
        <w:ind w:left="0" w:firstLine="720"/>
        <w:rPr>
          <w:rFonts w:ascii="Times New Roman" w:hAnsi="Times New Roman" w:cs="Times New Roman"/>
          <w:sz w:val="24"/>
          <w:szCs w:val="24"/>
        </w:rPr>
      </w:pPr>
    </w:p>
    <w:p w:rsidR="00C03FE8"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(5) A program must conduct the complete background check for each employee</w:t>
      </w:r>
      <w:r w:rsidR="001D5366" w:rsidRPr="00C1694A">
        <w:rPr>
          <w:rFonts w:ascii="Times New Roman" w:hAnsi="Times New Roman" w:cs="Times New Roman"/>
          <w:sz w:val="24"/>
          <w:szCs w:val="24"/>
        </w:rPr>
        <w:t>, consultant,</w:t>
      </w:r>
      <w:r w:rsidRPr="00C1694A">
        <w:rPr>
          <w:rFonts w:ascii="Times New Roman" w:hAnsi="Times New Roman" w:cs="Times New Roman"/>
          <w:sz w:val="24"/>
          <w:szCs w:val="24"/>
        </w:rPr>
        <w:t xml:space="preserve"> or contractor at least once every five years which must include </w:t>
      </w:r>
      <w:r w:rsidR="003A77AA" w:rsidRPr="00C1694A">
        <w:rPr>
          <w:rFonts w:ascii="Times New Roman" w:hAnsi="Times New Roman" w:cs="Times New Roman"/>
          <w:sz w:val="24"/>
          <w:szCs w:val="24"/>
        </w:rPr>
        <w:t xml:space="preserve">each of the four checks listed in </w:t>
      </w:r>
      <w:r w:rsidR="008A09DA">
        <w:rPr>
          <w:rFonts w:ascii="Times New Roman" w:hAnsi="Times New Roman" w:cs="Times New Roman"/>
          <w:sz w:val="24"/>
          <w:szCs w:val="24"/>
        </w:rPr>
        <w:t xml:space="preserve">paragraphs </w:t>
      </w:r>
      <w:r w:rsidR="003A77AA" w:rsidRPr="00C1694A">
        <w:rPr>
          <w:rFonts w:ascii="Times New Roman" w:hAnsi="Times New Roman" w:cs="Times New Roman"/>
          <w:sz w:val="24"/>
          <w:szCs w:val="24"/>
        </w:rPr>
        <w:t>(b)(1) and (2)</w:t>
      </w:r>
      <w:r w:rsidR="008A09DA">
        <w:rPr>
          <w:rFonts w:ascii="Times New Roman" w:hAnsi="Times New Roman" w:cs="Times New Roman"/>
          <w:sz w:val="24"/>
          <w:szCs w:val="24"/>
        </w:rPr>
        <w:t xml:space="preserve"> of this section</w:t>
      </w:r>
      <w:r w:rsidR="003A77AA"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and review and make employment decisions based on the information as described in </w:t>
      </w:r>
      <w:r w:rsidR="008A09DA">
        <w:rPr>
          <w:rFonts w:ascii="Times New Roman" w:hAnsi="Times New Roman" w:cs="Times New Roman"/>
          <w:sz w:val="24"/>
          <w:szCs w:val="24"/>
        </w:rPr>
        <w:t xml:space="preserve">paragraph </w:t>
      </w:r>
      <w:r w:rsidR="00D42C8C">
        <w:rPr>
          <w:rFonts w:ascii="Times New Roman" w:hAnsi="Times New Roman" w:cs="Times New Roman"/>
          <w:sz w:val="24"/>
          <w:szCs w:val="24"/>
        </w:rPr>
        <w:t>(b)</w:t>
      </w:r>
      <w:r w:rsidRPr="00C1694A">
        <w:rPr>
          <w:rFonts w:ascii="Times New Roman" w:hAnsi="Times New Roman" w:cs="Times New Roman"/>
          <w:sz w:val="24"/>
          <w:szCs w:val="24"/>
        </w:rPr>
        <w:t>(3)</w:t>
      </w:r>
      <w:r w:rsidR="008A09DA">
        <w:rPr>
          <w:rFonts w:ascii="Times New Roman" w:hAnsi="Times New Roman" w:cs="Times New Roman"/>
          <w:sz w:val="24"/>
          <w:szCs w:val="24"/>
        </w:rPr>
        <w:t xml:space="preserve"> of this section</w:t>
      </w:r>
      <w:r w:rsidRPr="00C1694A">
        <w:rPr>
          <w:rFonts w:ascii="Times New Roman" w:hAnsi="Times New Roman" w:cs="Times New Roman"/>
          <w:sz w:val="24"/>
          <w:szCs w:val="24"/>
        </w:rPr>
        <w:t>, unless the program can demonstrate to the responsible HHS official that it has a more stringent system in place that will ensure child safety.</w:t>
      </w:r>
    </w:p>
    <w:p w:rsidR="003A77AA" w:rsidRPr="00C1694A" w:rsidRDefault="003A77AA"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(6) A program must consider current and former program parents for employment vacancies for which such parents apply and are qualified.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Standards of conduct.</w:t>
      </w:r>
      <w:r w:rsidRPr="00C1694A">
        <w:rPr>
          <w:rFonts w:ascii="Times New Roman" w:hAnsi="Times New Roman" w:cs="Times New Roman"/>
          <w:sz w:val="24"/>
          <w:szCs w:val="24"/>
        </w:rPr>
        <w:t xml:space="preserve"> (1) A program must ensure all staff, consultants,</w:t>
      </w:r>
      <w:r w:rsidR="001D5366" w:rsidRPr="00C1694A">
        <w:rPr>
          <w:rFonts w:ascii="Times New Roman" w:hAnsi="Times New Roman" w:cs="Times New Roman"/>
          <w:sz w:val="24"/>
          <w:szCs w:val="24"/>
        </w:rPr>
        <w:t xml:space="preserve"> contractors,</w:t>
      </w:r>
      <w:r w:rsidRPr="00C1694A">
        <w:rPr>
          <w:rFonts w:ascii="Times New Roman" w:hAnsi="Times New Roman" w:cs="Times New Roman"/>
          <w:sz w:val="24"/>
          <w:szCs w:val="24"/>
        </w:rPr>
        <w:t xml:space="preserve"> and volunteers abide by the program’s standards of conduct that: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Ensure staff, consultants, </w:t>
      </w:r>
      <w:r w:rsidR="001D5366" w:rsidRPr="00C1694A">
        <w:rPr>
          <w:rFonts w:ascii="Times New Roman" w:hAnsi="Times New Roman" w:cs="Times New Roman"/>
          <w:sz w:val="24"/>
          <w:szCs w:val="24"/>
        </w:rPr>
        <w:t xml:space="preserve">contractors, </w:t>
      </w:r>
      <w:r w:rsidRPr="00C1694A">
        <w:rPr>
          <w:rFonts w:ascii="Times New Roman" w:hAnsi="Times New Roman" w:cs="Times New Roman"/>
          <w:sz w:val="24"/>
          <w:szCs w:val="24"/>
        </w:rPr>
        <w:t>and volunteers implement positive strategies to support children’s well-being and prevent and address challenging behavior;</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Ensure staff, consultants,</w:t>
      </w:r>
      <w:r w:rsidR="001D5366" w:rsidRPr="00C1694A">
        <w:rPr>
          <w:rFonts w:ascii="Times New Roman" w:hAnsi="Times New Roman" w:cs="Times New Roman"/>
          <w:sz w:val="24"/>
          <w:szCs w:val="24"/>
        </w:rPr>
        <w:t xml:space="preserve"> contractors,</w:t>
      </w:r>
      <w:r w:rsidRPr="00C1694A">
        <w:rPr>
          <w:rFonts w:ascii="Times New Roman" w:hAnsi="Times New Roman" w:cs="Times New Roman"/>
          <w:sz w:val="24"/>
          <w:szCs w:val="24"/>
        </w:rPr>
        <w:t xml:space="preserve"> and volunteers do not maltreat or endanger the health or safety of children, including, at a minimum, that staff must not: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Use corporal punishment;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Use isolation to discipline a child;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Bind or tie a child to restrict movement or tape a child’s mouth;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(D) Use or withhold food as a punishment or reward;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Use toilet learning/training methods that punish, demean, or humiliate a child;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(F) Use any form of emotional abuse, including public or private humiliation, rejecting, terrorizing, extended ignoring, or corrupting a child;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(G) Physically abuse a child;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(H) Use any form of verbal abuse, including profane, sarcastic language, threats, or derogatory remarks about the child or child’s family; </w:t>
      </w:r>
      <w:r w:rsidR="00CF780D">
        <w:rPr>
          <w:rFonts w:ascii="Times New Roman" w:hAnsi="Times New Roman" w:cs="Times New Roman"/>
          <w:sz w:val="24"/>
          <w:szCs w:val="24"/>
        </w:rPr>
        <w:t>or</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Use physical activity or outdoor time as a punishment or reward;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(iii) Ensure staff, consultants,</w:t>
      </w:r>
      <w:r w:rsidR="001D5366" w:rsidRPr="00C1694A">
        <w:rPr>
          <w:rFonts w:ascii="Times New Roman" w:hAnsi="Times New Roman" w:cs="Times New Roman"/>
          <w:sz w:val="24"/>
          <w:szCs w:val="24"/>
        </w:rPr>
        <w:t xml:space="preserve"> contractors,</w:t>
      </w:r>
      <w:r w:rsidRPr="00C1694A">
        <w:rPr>
          <w:rFonts w:ascii="Times New Roman" w:hAnsi="Times New Roman" w:cs="Times New Roman"/>
          <w:sz w:val="24"/>
          <w:szCs w:val="24"/>
        </w:rPr>
        <w:t xml:space="preserve"> and volunteers respect and promote the unique identity of each child and family and do not stereotype on any basis, including gender, race, ethnicity, culture, religion, disability, sexual orientation, or family composition;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(iv) Require staff, consultants,</w:t>
      </w:r>
      <w:r w:rsidR="001D5366" w:rsidRPr="00C1694A">
        <w:rPr>
          <w:rFonts w:ascii="Times New Roman" w:hAnsi="Times New Roman" w:cs="Times New Roman"/>
          <w:sz w:val="24"/>
          <w:szCs w:val="24"/>
        </w:rPr>
        <w:t xml:space="preserve"> cont</w:t>
      </w:r>
      <w:r w:rsidR="000653CB">
        <w:rPr>
          <w:rFonts w:ascii="Times New Roman" w:hAnsi="Times New Roman" w:cs="Times New Roman"/>
          <w:sz w:val="24"/>
          <w:szCs w:val="24"/>
        </w:rPr>
        <w:t>r</w:t>
      </w:r>
      <w:r w:rsidR="001D5366" w:rsidRPr="00C1694A">
        <w:rPr>
          <w:rFonts w:ascii="Times New Roman" w:hAnsi="Times New Roman" w:cs="Times New Roman"/>
          <w:sz w:val="24"/>
          <w:szCs w:val="24"/>
        </w:rPr>
        <w:t>actors,</w:t>
      </w:r>
      <w:r w:rsidRPr="00C1694A">
        <w:rPr>
          <w:rFonts w:ascii="Times New Roman" w:hAnsi="Times New Roman" w:cs="Times New Roman"/>
          <w:sz w:val="24"/>
          <w:szCs w:val="24"/>
        </w:rPr>
        <w:t xml:space="preserve"> and volunteers </w:t>
      </w:r>
      <w:r w:rsidR="000653CB">
        <w:rPr>
          <w:rFonts w:ascii="Times New Roman" w:hAnsi="Times New Roman" w:cs="Times New Roman"/>
          <w:sz w:val="24"/>
          <w:szCs w:val="24"/>
        </w:rPr>
        <w:t xml:space="preserve">to </w:t>
      </w:r>
      <w:r w:rsidRPr="00C1694A">
        <w:rPr>
          <w:rFonts w:ascii="Times New Roman" w:hAnsi="Times New Roman" w:cs="Times New Roman"/>
          <w:sz w:val="24"/>
          <w:szCs w:val="24"/>
        </w:rPr>
        <w:t>comply with program confidentiality policies concerning personally identifiable information about children, families, and other staff members in accordance with subpart C of part 1303</w:t>
      </w:r>
      <w:r w:rsidR="008A09DA">
        <w:rPr>
          <w:rFonts w:ascii="Times New Roman" w:hAnsi="Times New Roman" w:cs="Times New Roman"/>
          <w:sz w:val="24"/>
          <w:szCs w:val="24"/>
        </w:rPr>
        <w:t xml:space="preserve"> of this chapter</w:t>
      </w:r>
      <w:r w:rsidRPr="00C1694A">
        <w:rPr>
          <w:rFonts w:ascii="Times New Roman" w:hAnsi="Times New Roman" w:cs="Times New Roman"/>
          <w:sz w:val="24"/>
          <w:szCs w:val="24"/>
        </w:rPr>
        <w:t xml:space="preserve"> and applicable federal, state, local, and tribal laws;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(v) Ensure no child is left alone or unsupervised by staff, consultants,</w:t>
      </w:r>
      <w:r w:rsidR="001D5366" w:rsidRPr="00C1694A">
        <w:rPr>
          <w:rFonts w:ascii="Times New Roman" w:hAnsi="Times New Roman" w:cs="Times New Roman"/>
          <w:sz w:val="24"/>
          <w:szCs w:val="24"/>
        </w:rPr>
        <w:t xml:space="preserve"> contractors,</w:t>
      </w:r>
      <w:r w:rsidRPr="00C1694A">
        <w:rPr>
          <w:rFonts w:ascii="Times New Roman" w:hAnsi="Times New Roman" w:cs="Times New Roman"/>
          <w:sz w:val="24"/>
          <w:szCs w:val="24"/>
        </w:rPr>
        <w:t xml:space="preserve"> or volunteers while under their care.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Personnel policies and procedures must include appropriate penalties for staff, consultants, and volunteers who violate the standards of conduct.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Communication with dual language learners and their families.</w:t>
      </w:r>
      <w:r w:rsidRPr="00C1694A">
        <w:rPr>
          <w:rFonts w:ascii="Times New Roman" w:hAnsi="Times New Roman" w:cs="Times New Roman"/>
          <w:sz w:val="24"/>
          <w:szCs w:val="24"/>
        </w:rPr>
        <w:t xml:space="preserve">  (1) A program must ensure staff and program consultants</w:t>
      </w:r>
      <w:r w:rsidR="001D5366" w:rsidRPr="00C1694A">
        <w:rPr>
          <w:rFonts w:ascii="Times New Roman" w:hAnsi="Times New Roman" w:cs="Times New Roman"/>
          <w:sz w:val="24"/>
          <w:szCs w:val="24"/>
        </w:rPr>
        <w:t xml:space="preserve"> or contractors</w:t>
      </w:r>
      <w:r w:rsidRPr="00C1694A">
        <w:rPr>
          <w:rFonts w:ascii="Times New Roman" w:hAnsi="Times New Roman" w:cs="Times New Roman"/>
          <w:sz w:val="24"/>
          <w:szCs w:val="24"/>
        </w:rPr>
        <w:t xml:space="preserve"> are familiar with the ethnic backgrounds and heritages of families in the program and are able to serve and effectively communicate, either directly or through interpretation and translation, with children who are dual language learners and to the extent feasible, with families with limited English proficiency.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If a majority of children in a class or home-based program speak the same language, at least one class staff member or home visitor must speak such language.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§1302.91 Staff qualifications and competency requirements.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rPr>
        <w:t xml:space="preserve">(a) </w:t>
      </w:r>
      <w:r w:rsidR="000653CB">
        <w:rPr>
          <w:rFonts w:ascii="Times New Roman" w:hAnsi="Times New Roman" w:cs="Times New Roman"/>
          <w:sz w:val="24"/>
          <w:szCs w:val="24"/>
          <w:u w:val="single"/>
        </w:rPr>
        <w:t>Purpose</w:t>
      </w:r>
      <w:r w:rsidRPr="00C1694A">
        <w:rPr>
          <w:rFonts w:ascii="Times New Roman" w:hAnsi="Times New Roman" w:cs="Times New Roman"/>
          <w:sz w:val="24"/>
          <w:szCs w:val="24"/>
          <w:u w:val="single"/>
        </w:rPr>
        <w:t>.</w:t>
      </w:r>
      <w:r w:rsidRPr="00C1694A">
        <w:rPr>
          <w:rFonts w:ascii="Times New Roman" w:hAnsi="Times New Roman" w:cs="Times New Roman"/>
          <w:sz w:val="24"/>
          <w:szCs w:val="24"/>
        </w:rPr>
        <w:t xml:space="preserve">  A program must ensure all </w:t>
      </w:r>
      <w:r w:rsidR="001D5366" w:rsidRPr="00C1694A">
        <w:rPr>
          <w:rFonts w:ascii="Times New Roman" w:hAnsi="Times New Roman" w:cs="Times New Roman"/>
          <w:sz w:val="24"/>
          <w:szCs w:val="24"/>
        </w:rPr>
        <w:t xml:space="preserve">staff, </w:t>
      </w:r>
      <w:r w:rsidRPr="00C1694A">
        <w:rPr>
          <w:rFonts w:ascii="Times New Roman" w:hAnsi="Times New Roman" w:cs="Times New Roman"/>
          <w:sz w:val="24"/>
          <w:szCs w:val="24"/>
        </w:rPr>
        <w:t>consultants</w:t>
      </w:r>
      <w:r w:rsidR="001D5366" w:rsidRPr="00C1694A">
        <w:rPr>
          <w:rFonts w:ascii="Times New Roman" w:hAnsi="Times New Roman" w:cs="Times New Roman"/>
          <w:sz w:val="24"/>
          <w:szCs w:val="24"/>
        </w:rPr>
        <w:t>, and contractors</w:t>
      </w:r>
      <w:r w:rsidRPr="00C1694A">
        <w:rPr>
          <w:rFonts w:ascii="Times New Roman" w:hAnsi="Times New Roman" w:cs="Times New Roman"/>
          <w:sz w:val="24"/>
          <w:szCs w:val="24"/>
        </w:rPr>
        <w:t xml:space="preserve"> engaged in the </w:t>
      </w:r>
      <w:r w:rsidRPr="00C1694A">
        <w:rPr>
          <w:rFonts w:ascii="Times New Roman" w:hAnsi="Times New Roman" w:cs="Times New Roman"/>
          <w:bCs/>
          <w:sz w:val="24"/>
          <w:szCs w:val="24"/>
        </w:rPr>
        <w:t>delivery</w:t>
      </w:r>
      <w:r w:rsidRPr="00C1694A">
        <w:rPr>
          <w:rFonts w:ascii="Times New Roman" w:hAnsi="Times New Roman" w:cs="Times New Roman"/>
          <w:sz w:val="24"/>
          <w:szCs w:val="24"/>
        </w:rPr>
        <w:t xml:space="preserve"> of program services have sufficient knowledge, training and experience, and competencies to fulfill the roles and responsibilities of their positions and to ensure high-quality service delivery in accordance with the program performance standards. A program must provide ongoing training and professional development to support staff in fulfilling their roles and responsibilities.</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Early Head Start or Head Start director</w:t>
      </w:r>
      <w:r w:rsidRPr="00C1694A">
        <w:rPr>
          <w:rFonts w:ascii="Times New Roman" w:hAnsi="Times New Roman" w:cs="Times New Roman"/>
          <w:sz w:val="24"/>
          <w:szCs w:val="24"/>
        </w:rPr>
        <w:t xml:space="preserve">.  A program must ensure an Early Head Start or Head Start director hired after </w:t>
      </w:r>
      <w:r w:rsidR="004C4C4D">
        <w:rPr>
          <w:rFonts w:ascii="Times New Roman" w:hAnsi="Times New Roman" w:cs="Times New Roman"/>
          <w:sz w:val="24"/>
          <w:szCs w:val="24"/>
        </w:rPr>
        <w:t>[insert date 60 days after date of publication in the Federal Register],</w:t>
      </w:r>
      <w:r w:rsidRPr="00C1694A">
        <w:rPr>
          <w:rFonts w:ascii="Times New Roman" w:hAnsi="Times New Roman" w:cs="Times New Roman"/>
          <w:sz w:val="24"/>
          <w:szCs w:val="24"/>
        </w:rPr>
        <w:t xml:space="preserve"> has, at a minimum, a baccalaureate degree and experience in supervision of staff, fiscal management, and administration. </w:t>
      </w:r>
    </w:p>
    <w:p w:rsidR="00C03FE8" w:rsidRPr="00C1694A" w:rsidRDefault="00C03FE8" w:rsidP="00AC521C">
      <w:pPr>
        <w:spacing w:after="0" w:line="480" w:lineRule="auto"/>
        <w:rPr>
          <w:rFonts w:ascii="Times New Roman" w:hAnsi="Times New Roman" w:cs="Times New Roman"/>
          <w:strike/>
          <w:sz w:val="24"/>
          <w:szCs w:val="24"/>
        </w:rPr>
      </w:pPr>
      <w:r w:rsidRPr="00C1694A" w:rsidDel="00827B2E">
        <w:rPr>
          <w:rFonts w:ascii="Times New Roman" w:hAnsi="Times New Roman" w:cs="Times New Roman"/>
          <w:strike/>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Fiscal officer</w:t>
      </w:r>
      <w:r w:rsidRPr="00C1694A">
        <w:rPr>
          <w:rFonts w:ascii="Times New Roman" w:hAnsi="Times New Roman" w:cs="Times New Roman"/>
          <w:sz w:val="24"/>
          <w:szCs w:val="24"/>
        </w:rPr>
        <w:t xml:space="preserve">. A program must assess staffing needs in consideration of the fiscal complexity of the organization and applicable financial management requirements and secure the regularly scheduled or ongoing services of a fiscal officer with sufficient education and experience to meet their needs. </w:t>
      </w:r>
      <w:r w:rsidRPr="00C1694A" w:rsidDel="00DB5832">
        <w:rPr>
          <w:rFonts w:ascii="Times New Roman" w:hAnsi="Times New Roman" w:cs="Times New Roman"/>
          <w:sz w:val="24"/>
          <w:szCs w:val="24"/>
        </w:rPr>
        <w:t xml:space="preserve"> </w:t>
      </w:r>
      <w:r w:rsidRPr="00C1694A">
        <w:rPr>
          <w:rFonts w:ascii="Times New Roman" w:hAnsi="Times New Roman" w:cs="Times New Roman"/>
          <w:sz w:val="24"/>
          <w:szCs w:val="24"/>
        </w:rPr>
        <w:t xml:space="preserve">A program must ensure a fiscal officer hired after </w:t>
      </w:r>
      <w:r w:rsidR="004C4C4D">
        <w:rPr>
          <w:rFonts w:ascii="Times New Roman" w:hAnsi="Times New Roman" w:cs="Times New Roman"/>
          <w:sz w:val="24"/>
          <w:szCs w:val="24"/>
        </w:rPr>
        <w:t>[insert date 60 days after date of publication in the Federal Register],</w:t>
      </w:r>
      <w:r w:rsidRPr="00C1694A">
        <w:rPr>
          <w:rFonts w:ascii="Times New Roman" w:hAnsi="Times New Roman" w:cs="Times New Roman"/>
          <w:sz w:val="24"/>
          <w:szCs w:val="24"/>
        </w:rPr>
        <w:t xml:space="preserve"> is a certified public accountant or has, at a minimum, a baccalaureate degree in accounting, business, fiscal management, or a related field.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Child and family services management staff</w:t>
      </w:r>
      <w:r w:rsidR="00B870FC" w:rsidRPr="00C1694A">
        <w:rPr>
          <w:rFonts w:ascii="Times New Roman" w:hAnsi="Times New Roman" w:cs="Times New Roman"/>
          <w:sz w:val="24"/>
          <w:szCs w:val="24"/>
          <w:u w:val="single"/>
        </w:rPr>
        <w:t xml:space="preserve"> q</w:t>
      </w:r>
      <w:r w:rsidRPr="00C1694A">
        <w:rPr>
          <w:rFonts w:ascii="Times New Roman" w:hAnsi="Times New Roman" w:cs="Times New Roman"/>
          <w:sz w:val="24"/>
          <w:szCs w:val="24"/>
          <w:u w:val="single"/>
        </w:rPr>
        <w:t>ualification requirements</w:t>
      </w:r>
      <w:r w:rsidR="008A09DA">
        <w:rPr>
          <w:rFonts w:ascii="Times New Roman" w:hAnsi="Times New Roman" w:cs="Times New Roman"/>
          <w:sz w:val="24"/>
          <w:szCs w:val="24"/>
        </w:rPr>
        <w:t>--</w:t>
      </w:r>
      <w:r w:rsidR="00B870FC" w:rsidRPr="00C1694A">
        <w:rPr>
          <w:rFonts w:ascii="Times New Roman" w:hAnsi="Times New Roman" w:cs="Times New Roman"/>
          <w:sz w:val="24"/>
          <w:szCs w:val="24"/>
        </w:rPr>
        <w:t>(1</w:t>
      </w:r>
      <w:r w:rsidRPr="00C1694A">
        <w:rPr>
          <w:rFonts w:ascii="Times New Roman" w:hAnsi="Times New Roman" w:cs="Times New Roman"/>
          <w:sz w:val="24"/>
          <w:szCs w:val="24"/>
        </w:rPr>
        <w:t xml:space="preserve">) </w:t>
      </w:r>
      <w:r w:rsidRPr="00C1694A">
        <w:rPr>
          <w:rFonts w:ascii="Times New Roman" w:hAnsi="Times New Roman" w:cs="Times New Roman"/>
          <w:sz w:val="24"/>
          <w:szCs w:val="24"/>
          <w:u w:val="single"/>
        </w:rPr>
        <w:t>Family, health, and disabilities management.</w:t>
      </w:r>
      <w:r w:rsidRPr="00C1694A">
        <w:rPr>
          <w:rFonts w:ascii="Times New Roman" w:hAnsi="Times New Roman" w:cs="Times New Roman"/>
          <w:sz w:val="24"/>
          <w:szCs w:val="24"/>
        </w:rPr>
        <w:t xml:space="preserve">  A program must ensure staff responsible for management and oversight of family services, health services, and services to children with disabilities hired after </w:t>
      </w:r>
      <w:r w:rsidR="004C4C4D">
        <w:rPr>
          <w:rFonts w:ascii="Times New Roman" w:hAnsi="Times New Roman" w:cs="Times New Roman"/>
          <w:sz w:val="24"/>
          <w:szCs w:val="24"/>
        </w:rPr>
        <w:t>[insert date 60 days after date of publication in the Federal Register],</w:t>
      </w:r>
      <w:r w:rsidRPr="00C1694A">
        <w:rPr>
          <w:rFonts w:ascii="Times New Roman" w:hAnsi="Times New Roman" w:cs="Times New Roman"/>
          <w:sz w:val="24"/>
          <w:szCs w:val="24"/>
        </w:rPr>
        <w:t xml:space="preserve"> have, at a minimum, a baccalaureate degree, preferably related to one or more of the disciplines they oversee.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B870FC"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w:t>
      </w:r>
      <w:r w:rsidR="00C03FE8" w:rsidRPr="00C1694A">
        <w:rPr>
          <w:rFonts w:ascii="Times New Roman" w:hAnsi="Times New Roman" w:cs="Times New Roman"/>
          <w:sz w:val="24"/>
          <w:szCs w:val="24"/>
        </w:rPr>
        <w:t xml:space="preserve">) </w:t>
      </w:r>
      <w:r w:rsidR="00C03FE8" w:rsidRPr="00C1694A">
        <w:rPr>
          <w:rFonts w:ascii="Times New Roman" w:hAnsi="Times New Roman" w:cs="Times New Roman"/>
          <w:sz w:val="24"/>
          <w:szCs w:val="24"/>
          <w:u w:val="single"/>
        </w:rPr>
        <w:t>Education management.</w:t>
      </w:r>
      <w:r w:rsidR="00C03FE8" w:rsidRPr="00C1694A">
        <w:rPr>
          <w:rFonts w:ascii="Times New Roman" w:hAnsi="Times New Roman" w:cs="Times New Roman"/>
          <w:sz w:val="24"/>
          <w:szCs w:val="24"/>
        </w:rPr>
        <w:t xml:space="preserve"> As prescribed in </w:t>
      </w:r>
      <w:r w:rsidR="00147BAE" w:rsidRPr="00C1694A">
        <w:rPr>
          <w:rFonts w:ascii="Times New Roman" w:hAnsi="Times New Roman" w:cs="Times New Roman"/>
          <w:sz w:val="24"/>
          <w:szCs w:val="24"/>
        </w:rPr>
        <w:t>s</w:t>
      </w:r>
      <w:r w:rsidR="00C03FE8" w:rsidRPr="00C1694A">
        <w:rPr>
          <w:rFonts w:ascii="Times New Roman" w:hAnsi="Times New Roman" w:cs="Times New Roman"/>
          <w:sz w:val="24"/>
          <w:szCs w:val="24"/>
        </w:rPr>
        <w:t>ection 648A(a)(2)(B)(i) of the Act, a program must ensure staff and consultants that serve as education managers or coordinators, including those that serve as curriculum specialists, have a baccalaureate or advanced degree in early childhood education or a baccalaureate or advanced degree and equivalent coursework in early childhood education with early education teaching experience.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w:t>
      </w:r>
      <w:r w:rsidRPr="00C1694A">
        <w:rPr>
          <w:rFonts w:ascii="Times New Roman" w:hAnsi="Times New Roman" w:cs="Times New Roman"/>
          <w:sz w:val="24"/>
          <w:szCs w:val="24"/>
          <w:u w:val="single"/>
        </w:rPr>
        <w:t>Child and family services staff</w:t>
      </w:r>
      <w:r w:rsidR="008A09DA">
        <w:rPr>
          <w:rFonts w:ascii="Times New Roman" w:hAnsi="Times New Roman" w:cs="Times New Roman"/>
          <w:sz w:val="24"/>
          <w:szCs w:val="24"/>
        </w:rPr>
        <w:t>--</w:t>
      </w:r>
      <w:r w:rsidRPr="00C1694A">
        <w:rPr>
          <w:rFonts w:ascii="Times New Roman" w:eastAsiaTheme="minorHAnsi" w:hAnsi="Times New Roman" w:cs="Times New Roman"/>
          <w:sz w:val="24"/>
          <w:szCs w:val="24"/>
        </w:rPr>
        <w:t xml:space="preserve">(1) </w:t>
      </w:r>
      <w:r w:rsidRPr="00C1694A">
        <w:rPr>
          <w:rFonts w:ascii="Times New Roman" w:eastAsiaTheme="minorHAnsi" w:hAnsi="Times New Roman" w:cs="Times New Roman"/>
          <w:sz w:val="24"/>
          <w:szCs w:val="24"/>
          <w:u w:val="single"/>
        </w:rPr>
        <w:t>Early Head Start center-based teacher qualification requirements</w:t>
      </w:r>
      <w:r w:rsidRPr="00C1694A">
        <w:rPr>
          <w:rFonts w:ascii="Times New Roman" w:eastAsiaTheme="minorHAnsi" w:hAnsi="Times New Roman" w:cs="Times New Roman"/>
          <w:sz w:val="24"/>
          <w:szCs w:val="24"/>
        </w:rPr>
        <w:t xml:space="preserve">.  As prescribed in </w:t>
      </w:r>
      <w:r w:rsidR="00147BAE" w:rsidRPr="00C1694A">
        <w:rPr>
          <w:rFonts w:ascii="Times New Roman" w:eastAsiaTheme="minorHAnsi" w:hAnsi="Times New Roman" w:cs="Times New Roman"/>
          <w:sz w:val="24"/>
          <w:szCs w:val="24"/>
        </w:rPr>
        <w:t>s</w:t>
      </w:r>
      <w:r w:rsidRPr="00C1694A">
        <w:rPr>
          <w:rFonts w:ascii="Times New Roman" w:eastAsiaTheme="minorHAnsi" w:hAnsi="Times New Roman" w:cs="Times New Roman"/>
          <w:sz w:val="24"/>
          <w:szCs w:val="24"/>
        </w:rPr>
        <w:t xml:space="preserve">ection 645A(h) of the Act, a program must ensure </w:t>
      </w:r>
      <w:r w:rsidRPr="00C1694A">
        <w:rPr>
          <w:rFonts w:ascii="Times New Roman" w:hAnsi="Times New Roman" w:cs="Times New Roman"/>
          <w:sz w:val="24"/>
          <w:szCs w:val="24"/>
        </w:rPr>
        <w:t>center-based teachers that provide direct services to infants and toddlers in Early Head Start centers have a minimum of a Child Development Associate (CDA) credential or comparable credential, and have been trained or have equivalent coursework in early childhood development with a focus on infant and toddler development.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(2) </w:t>
      </w:r>
      <w:r w:rsidRPr="00C1694A">
        <w:rPr>
          <w:rFonts w:ascii="Times New Roman" w:hAnsi="Times New Roman" w:cs="Times New Roman"/>
          <w:sz w:val="24"/>
          <w:szCs w:val="24"/>
          <w:u w:val="single"/>
        </w:rPr>
        <w:t>Head Start center-based teacher qualification requirements</w:t>
      </w:r>
      <w:r w:rsidRPr="00C1694A">
        <w:rPr>
          <w:rFonts w:ascii="Times New Roman" w:hAnsi="Times New Roman" w:cs="Times New Roman"/>
          <w:sz w:val="24"/>
          <w:szCs w:val="24"/>
        </w:rPr>
        <w:t xml:space="preserve">. (i) The Secretary must ensure no less than fifty percent of all Head Start teachers, nationwide, have a baccalaureate degree in child development, early childhood education, or equivalent coursework.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As prescribed in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648A(a)(3)(B) of the Act, a program must ensure all center-based teachers have at least an associate’s or bachelor's degree in child development or early childhood education, equivalent coursework</w:t>
      </w:r>
      <w:r w:rsidR="00CF780D">
        <w:rPr>
          <w:rFonts w:ascii="Times New Roman" w:hAnsi="Times New Roman" w:cs="Times New Roman"/>
          <w:sz w:val="24"/>
          <w:szCs w:val="24"/>
        </w:rPr>
        <w:t>, or otherwise meet the requirements of section 648(a)(3)(B) of the Act</w:t>
      </w:r>
      <w:r w:rsidRPr="00C1694A">
        <w:rPr>
          <w:rFonts w:ascii="Times New Roman" w:hAnsi="Times New Roman" w:cs="Times New Roman"/>
          <w:sz w:val="24"/>
          <w:szCs w:val="24"/>
        </w:rPr>
        <w:t>.</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w:t>
      </w:r>
      <w:r w:rsidRPr="00C1694A">
        <w:rPr>
          <w:rFonts w:ascii="Times New Roman" w:hAnsi="Times New Roman" w:cs="Times New Roman"/>
          <w:sz w:val="24"/>
          <w:szCs w:val="24"/>
          <w:u w:val="single"/>
        </w:rPr>
        <w:t>Head Start assistant teacher qualification requirements</w:t>
      </w:r>
      <w:r w:rsidRPr="00C1694A">
        <w:rPr>
          <w:rFonts w:ascii="Times New Roman" w:hAnsi="Times New Roman" w:cs="Times New Roman"/>
          <w:sz w:val="24"/>
          <w:szCs w:val="24"/>
        </w:rPr>
        <w:t xml:space="preserve">. As prescribed in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648A(a)(2)(B)(ii) of the Act, a program must ensure Head Start assistant teachers, at a minimum, have a CDA credential or a state-awarded certificate that meets or exceeds the requirements for a CDA credential, are enrolled in a program that will lead to an associate or baccalaureate degree or, are enrolled in a CDA credential program to be completed within two years of the time of hire.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(4) </w:t>
      </w:r>
      <w:r w:rsidRPr="00C1694A">
        <w:rPr>
          <w:rFonts w:ascii="Times New Roman" w:hAnsi="Times New Roman" w:cs="Times New Roman"/>
          <w:sz w:val="24"/>
          <w:szCs w:val="24"/>
          <w:u w:val="single"/>
        </w:rPr>
        <w:t>Family child care provider qualification requirements</w:t>
      </w:r>
      <w:r w:rsidRPr="00C1694A">
        <w:rPr>
          <w:rFonts w:ascii="Times New Roman" w:hAnsi="Times New Roman" w:cs="Times New Roman"/>
          <w:sz w:val="24"/>
          <w:szCs w:val="24"/>
        </w:rPr>
        <w:t>. (i) A program must ensure family child care providers have previous early child care experience and, at a minimum, are enrolled in a Family Child Care CDA program or state equivalent, or an associate</w:t>
      </w:r>
      <w:r w:rsidR="000E198E">
        <w:rPr>
          <w:rFonts w:ascii="Times New Roman" w:hAnsi="Times New Roman" w:cs="Times New Roman"/>
          <w:sz w:val="24"/>
          <w:szCs w:val="24"/>
        </w:rPr>
        <w:t>’</w:t>
      </w:r>
      <w:r w:rsidRPr="00C1694A">
        <w:rPr>
          <w:rFonts w:ascii="Times New Roman" w:hAnsi="Times New Roman" w:cs="Times New Roman"/>
          <w:sz w:val="24"/>
          <w:szCs w:val="24"/>
        </w:rPr>
        <w:t>s or baccalaureate degree program in child development or early childhood education prior to beginning service provision</w:t>
      </w:r>
      <w:r w:rsidR="000E198E">
        <w:rPr>
          <w:rFonts w:ascii="Times New Roman" w:hAnsi="Times New Roman" w:cs="Times New Roman"/>
          <w:sz w:val="24"/>
          <w:szCs w:val="24"/>
        </w:rPr>
        <w:t>, and f</w:t>
      </w:r>
      <w:r w:rsidR="00B7239C" w:rsidRPr="00C1694A">
        <w:rPr>
          <w:rFonts w:ascii="Times New Roman" w:hAnsi="Times New Roman" w:cs="Times New Roman"/>
          <w:sz w:val="24"/>
          <w:szCs w:val="24"/>
        </w:rPr>
        <w:t xml:space="preserve">or </w:t>
      </w:r>
      <w:r w:rsidRPr="00C1694A">
        <w:rPr>
          <w:rFonts w:ascii="Times New Roman" w:hAnsi="Times New Roman" w:cs="Times New Roman"/>
          <w:sz w:val="24"/>
          <w:szCs w:val="24"/>
        </w:rPr>
        <w:t xml:space="preserve">the credential </w:t>
      </w:r>
      <w:r w:rsidR="000E198E">
        <w:rPr>
          <w:rFonts w:ascii="Times New Roman" w:hAnsi="Times New Roman" w:cs="Times New Roman"/>
          <w:sz w:val="24"/>
          <w:szCs w:val="24"/>
        </w:rPr>
        <w:t xml:space="preserve">acquire it </w:t>
      </w:r>
      <w:r w:rsidRPr="00C1694A">
        <w:rPr>
          <w:rFonts w:ascii="Times New Roman" w:hAnsi="Times New Roman" w:cs="Times New Roman"/>
          <w:sz w:val="24"/>
          <w:szCs w:val="24"/>
        </w:rPr>
        <w:t xml:space="preserve">within eighteen months of beginning to provide services.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w:t>
      </w:r>
      <w:r w:rsidR="00C6200E" w:rsidRPr="00C1694A">
        <w:rPr>
          <w:rFonts w:ascii="Times New Roman" w:hAnsi="Times New Roman" w:cs="Times New Roman"/>
          <w:sz w:val="24"/>
          <w:szCs w:val="24"/>
        </w:rPr>
        <w:t>By August 1, 2018</w:t>
      </w:r>
      <w:r w:rsidR="00CE4A25" w:rsidRPr="00C1694A">
        <w:rPr>
          <w:rFonts w:ascii="Times New Roman" w:hAnsi="Times New Roman" w:cs="Times New Roman"/>
          <w:sz w:val="24"/>
          <w:szCs w:val="24"/>
        </w:rPr>
        <w:t>,</w:t>
      </w:r>
      <w:r w:rsidR="00C6200E" w:rsidRPr="00C1694A">
        <w:rPr>
          <w:rFonts w:ascii="Times New Roman" w:hAnsi="Times New Roman" w:cs="Times New Roman"/>
          <w:sz w:val="24"/>
          <w:szCs w:val="24"/>
        </w:rPr>
        <w:t xml:space="preserve"> a</w:t>
      </w:r>
      <w:r w:rsidRPr="00C1694A">
        <w:rPr>
          <w:rFonts w:ascii="Times New Roman" w:hAnsi="Times New Roman" w:cs="Times New Roman"/>
          <w:sz w:val="24"/>
          <w:szCs w:val="24"/>
        </w:rPr>
        <w:t xml:space="preserve"> child development specialist, as required for family child care in §1302.23(e), must have, at a minimum, a </w:t>
      </w:r>
      <w:r w:rsidR="005F1063" w:rsidRPr="00C1694A">
        <w:rPr>
          <w:rFonts w:ascii="Times New Roman" w:hAnsi="Times New Roman" w:cs="Times New Roman"/>
          <w:sz w:val="24"/>
          <w:szCs w:val="24"/>
        </w:rPr>
        <w:t>baccalaureate degree</w:t>
      </w:r>
      <w:r w:rsidRPr="00C1694A">
        <w:rPr>
          <w:rFonts w:ascii="Times New Roman" w:hAnsi="Times New Roman" w:cs="Times New Roman"/>
          <w:sz w:val="24"/>
          <w:szCs w:val="24"/>
        </w:rPr>
        <w:t xml:space="preserve"> in child development</w:t>
      </w:r>
      <w:r w:rsidR="005F1063" w:rsidRPr="00C1694A">
        <w:rPr>
          <w:rFonts w:ascii="Times New Roman" w:hAnsi="Times New Roman" w:cs="Times New Roman"/>
          <w:sz w:val="24"/>
          <w:szCs w:val="24"/>
        </w:rPr>
        <w:t>,</w:t>
      </w:r>
      <w:r w:rsidR="00CE4A25" w:rsidRPr="00C1694A">
        <w:rPr>
          <w:rFonts w:ascii="Times New Roman" w:hAnsi="Times New Roman" w:cs="Times New Roman"/>
          <w:sz w:val="24"/>
          <w:szCs w:val="24"/>
        </w:rPr>
        <w:t xml:space="preserve"> </w:t>
      </w:r>
      <w:r w:rsidRPr="00C1694A">
        <w:rPr>
          <w:rFonts w:ascii="Times New Roman" w:hAnsi="Times New Roman" w:cs="Times New Roman"/>
          <w:sz w:val="24"/>
          <w:szCs w:val="24"/>
        </w:rPr>
        <w:t>early childhood education</w:t>
      </w:r>
      <w:r w:rsidR="005F1063" w:rsidRPr="00C1694A">
        <w:rPr>
          <w:rFonts w:ascii="Times New Roman" w:hAnsi="Times New Roman" w:cs="Times New Roman"/>
          <w:sz w:val="24"/>
          <w:szCs w:val="24"/>
        </w:rPr>
        <w:t>, or a related field</w:t>
      </w: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(5) </w:t>
      </w:r>
      <w:r w:rsidRPr="00C1694A">
        <w:rPr>
          <w:rFonts w:ascii="Times New Roman" w:hAnsi="Times New Roman" w:cs="Times New Roman"/>
          <w:sz w:val="24"/>
          <w:szCs w:val="24"/>
          <w:u w:val="single"/>
        </w:rPr>
        <w:t>Center-based teachers, assistant teachers, and family child care provider competencies</w:t>
      </w:r>
      <w:r w:rsidRPr="00C1694A">
        <w:rPr>
          <w:rFonts w:ascii="Times New Roman" w:hAnsi="Times New Roman" w:cs="Times New Roman"/>
          <w:sz w:val="24"/>
          <w:szCs w:val="24"/>
        </w:rPr>
        <w:t xml:space="preserve">. A program must ensure center-based teachers, assistant teachers, and family child care providers demonstrate competency to provide effective and nurturing teacher-child interactions, plan and implement learning experiences that ensure effective curriculum implementation and use of assessment and promote children’s progress across the standards described in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Ages</w:t>
      </w:r>
      <w:r w:rsidRPr="00C1694A">
        <w:rPr>
          <w:rFonts w:ascii="Times New Roman" w:eastAsia="Times New Roman" w:hAnsi="Times New Roman" w:cs="Times New Roman"/>
          <w:sz w:val="24"/>
          <w:szCs w:val="24"/>
          <w:u w:val="single"/>
        </w:rPr>
        <w:t xml:space="preserve"> Birth</w:t>
      </w:r>
      <w:r w:rsidR="00074148" w:rsidRPr="00C1694A">
        <w:rPr>
          <w:rFonts w:ascii="Times New Roman" w:eastAsia="Times New Roman" w:hAnsi="Times New Roman" w:cs="Times New Roman"/>
          <w:sz w:val="24"/>
          <w:szCs w:val="24"/>
          <w:u w:val="single"/>
        </w:rPr>
        <w:t xml:space="preserve"> to Five</w:t>
      </w:r>
      <w:r w:rsidRPr="00C1694A">
        <w:rPr>
          <w:rFonts w:ascii="Times New Roman" w:eastAsia="Times New Roman" w:hAnsi="Times New Roman" w:cs="Times New Roman"/>
          <w:sz w:val="24"/>
          <w:szCs w:val="24"/>
        </w:rPr>
        <w:t xml:space="preserve"> and applicable state early learning and development standards</w:t>
      </w:r>
      <w:r w:rsidRPr="00C1694A">
        <w:rPr>
          <w:rFonts w:ascii="Times New Roman" w:hAnsi="Times New Roman" w:cs="Times New Roman"/>
          <w:sz w:val="24"/>
          <w:szCs w:val="24"/>
        </w:rPr>
        <w:t>, including for children with disabilities and dual language learners, as appropriate.</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(6) </w:t>
      </w:r>
      <w:r w:rsidRPr="00C1694A">
        <w:rPr>
          <w:rFonts w:ascii="Times New Roman" w:hAnsi="Times New Roman" w:cs="Times New Roman"/>
          <w:sz w:val="24"/>
          <w:szCs w:val="24"/>
          <w:u w:val="single"/>
        </w:rPr>
        <w:t>Home visitors.</w:t>
      </w:r>
      <w:r w:rsidRPr="00C1694A">
        <w:rPr>
          <w:rFonts w:ascii="Times New Roman" w:hAnsi="Times New Roman" w:cs="Times New Roman"/>
          <w:sz w:val="24"/>
          <w:szCs w:val="24"/>
        </w:rPr>
        <w:t xml:space="preserve">  A program must ensure home visitors providing home-based education services: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 Have a minimum of a home-based CDA credential or comparable credential, or equivalent coursework as part of an associate’s or bachelor's degree;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Demonstrate competency to plan and implement home-based learning experiences that ensure effective implementation of the home visiting curriculum and promote children’s progress across the standards described in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Ages</w:t>
      </w:r>
      <w:r w:rsidRPr="00C1694A">
        <w:rPr>
          <w:rFonts w:ascii="Times New Roman" w:eastAsia="Times New Roman" w:hAnsi="Times New Roman" w:cs="Times New Roman"/>
          <w:sz w:val="24"/>
          <w:szCs w:val="24"/>
          <w:u w:val="single"/>
        </w:rPr>
        <w:t xml:space="preserve"> Birth</w:t>
      </w:r>
      <w:r w:rsidR="00074148" w:rsidRPr="00C1694A">
        <w:rPr>
          <w:rFonts w:ascii="Times New Roman" w:eastAsia="Times New Roman" w:hAnsi="Times New Roman" w:cs="Times New Roman"/>
          <w:sz w:val="24"/>
          <w:szCs w:val="24"/>
          <w:u w:val="single"/>
        </w:rPr>
        <w:t xml:space="preserve"> to Five</w:t>
      </w:r>
      <w:r w:rsidRPr="00C1694A">
        <w:rPr>
          <w:rFonts w:ascii="Times New Roman" w:hAnsi="Times New Roman" w:cs="Times New Roman"/>
          <w:sz w:val="24"/>
          <w:szCs w:val="24"/>
        </w:rPr>
        <w:t>, including for children with disabilities and dual language learners, as appropriate, and to build respectful, culturally responsive, and trusting relationships with families.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pStyle w:val="ListParagraph"/>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(7) </w:t>
      </w:r>
      <w:r w:rsidRPr="00C1694A">
        <w:rPr>
          <w:rFonts w:ascii="Times New Roman" w:hAnsi="Times New Roman" w:cs="Times New Roman"/>
          <w:sz w:val="24"/>
          <w:szCs w:val="24"/>
          <w:u w:val="single"/>
        </w:rPr>
        <w:t>Family services staff qualification requirements</w:t>
      </w:r>
      <w:r w:rsidRPr="00C1694A">
        <w:rPr>
          <w:rFonts w:ascii="Times New Roman" w:hAnsi="Times New Roman" w:cs="Times New Roman"/>
          <w:sz w:val="24"/>
          <w:szCs w:val="24"/>
        </w:rPr>
        <w:t xml:space="preserve">.  A program must ensure staff who work directly with families on the family partnership process hired after </w:t>
      </w:r>
      <w:r w:rsidR="004C4C4D">
        <w:rPr>
          <w:rFonts w:ascii="Times New Roman" w:hAnsi="Times New Roman" w:cs="Times New Roman"/>
          <w:sz w:val="24"/>
          <w:szCs w:val="24"/>
        </w:rPr>
        <w:t>[insert date 60 days after date of publication in the Federal Register],</w:t>
      </w:r>
      <w:r w:rsidRPr="00C1694A">
        <w:rPr>
          <w:rFonts w:ascii="Times New Roman" w:hAnsi="Times New Roman" w:cs="Times New Roman"/>
          <w:sz w:val="24"/>
          <w:szCs w:val="24"/>
        </w:rPr>
        <w:t xml:space="preserve"> have within eighteen months of hire, at a minimum, a credential or certification in social work, human services, family services, counseling or a related field. </w:t>
      </w:r>
    </w:p>
    <w:p w:rsidR="00C03FE8" w:rsidRPr="00C1694A" w:rsidRDefault="00C03FE8" w:rsidP="00AC521C">
      <w:pPr>
        <w:pStyle w:val="ListParagraph"/>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(8) </w:t>
      </w:r>
      <w:r w:rsidRPr="00C1694A">
        <w:rPr>
          <w:rFonts w:ascii="Times New Roman" w:hAnsi="Times New Roman" w:cs="Times New Roman"/>
          <w:sz w:val="24"/>
          <w:szCs w:val="24"/>
          <w:u w:val="single"/>
        </w:rPr>
        <w:t>Health professional qualification requirements</w:t>
      </w:r>
      <w:r w:rsidRPr="00C1694A">
        <w:rPr>
          <w:rFonts w:ascii="Times New Roman" w:hAnsi="Times New Roman" w:cs="Times New Roman"/>
          <w:sz w:val="24"/>
          <w:szCs w:val="24"/>
        </w:rPr>
        <w:t>.  (i) A program must ensure health procedures are performed only by a licensed or certified health professional.</w:t>
      </w:r>
    </w:p>
    <w:p w:rsidR="00C03FE8" w:rsidRPr="00C1694A" w:rsidRDefault="00C03FE8" w:rsidP="00AC521C">
      <w:pPr>
        <w:pStyle w:val="ListParagraph"/>
        <w:spacing w:after="0" w:line="480" w:lineRule="auto"/>
        <w:ind w:left="0"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A program must ensure all mental health</w:t>
      </w:r>
      <w:r w:rsidRPr="00C1694A" w:rsidDel="001A47DB">
        <w:rPr>
          <w:rFonts w:ascii="Times New Roman" w:hAnsi="Times New Roman" w:cs="Times New Roman"/>
          <w:sz w:val="24"/>
          <w:szCs w:val="24"/>
        </w:rPr>
        <w:t xml:space="preserve"> </w:t>
      </w:r>
      <w:r w:rsidRPr="00C1694A">
        <w:rPr>
          <w:rFonts w:ascii="Times New Roman" w:hAnsi="Times New Roman" w:cs="Times New Roman"/>
          <w:sz w:val="24"/>
          <w:szCs w:val="24"/>
        </w:rPr>
        <w:t xml:space="preserve">consultants are licensed or certified mental health professionals. A program must use mental health consultants with knowledge of and experience in serving young children and their families, if available in </w:t>
      </w:r>
      <w:r w:rsidR="00DF1C6D" w:rsidRPr="00C1694A">
        <w:rPr>
          <w:rFonts w:ascii="Times New Roman" w:hAnsi="Times New Roman" w:cs="Times New Roman"/>
          <w:sz w:val="24"/>
          <w:szCs w:val="24"/>
        </w:rPr>
        <w:t xml:space="preserve">the </w:t>
      </w:r>
      <w:r w:rsidRPr="00C1694A">
        <w:rPr>
          <w:rFonts w:ascii="Times New Roman" w:hAnsi="Times New Roman" w:cs="Times New Roman"/>
          <w:sz w:val="24"/>
          <w:szCs w:val="24"/>
        </w:rPr>
        <w:t xml:space="preserve">community.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pStyle w:val="ListParagraph"/>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(iii) A program must use staff or consultants to support nutrition services who are registered dieticians or nutritionists</w:t>
      </w:r>
      <w:r w:rsidR="00BE6FC7" w:rsidRPr="00C1694A">
        <w:rPr>
          <w:rFonts w:ascii="Times New Roman" w:hAnsi="Times New Roman" w:cs="Times New Roman"/>
          <w:sz w:val="24"/>
          <w:szCs w:val="24"/>
        </w:rPr>
        <w:t xml:space="preserve"> with appropriate qualifications</w:t>
      </w:r>
      <w:r w:rsidRPr="00C1694A">
        <w:rPr>
          <w:rFonts w:ascii="Times New Roman" w:hAnsi="Times New Roman" w:cs="Times New Roman"/>
          <w:sz w:val="24"/>
          <w:szCs w:val="24"/>
        </w:rPr>
        <w:t xml:space="preserve">. </w:t>
      </w:r>
    </w:p>
    <w:p w:rsidR="00C967A9" w:rsidRPr="00C1694A" w:rsidRDefault="00C967A9" w:rsidP="00AC521C">
      <w:pPr>
        <w:pStyle w:val="ListParagraph"/>
        <w:spacing w:after="0" w:line="480" w:lineRule="auto"/>
        <w:ind w:left="0" w:firstLine="720"/>
        <w:rPr>
          <w:rFonts w:ascii="Times New Roman" w:hAnsi="Times New Roman" w:cs="Times New Roman"/>
          <w:sz w:val="24"/>
          <w:szCs w:val="24"/>
        </w:rPr>
      </w:pPr>
    </w:p>
    <w:p w:rsidR="00C967A9" w:rsidRPr="00C1694A" w:rsidRDefault="00C967A9" w:rsidP="00AC521C">
      <w:pPr>
        <w:pStyle w:val="ListParagraph"/>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(f) </w:t>
      </w:r>
      <w:r w:rsidRPr="00C1694A">
        <w:rPr>
          <w:rFonts w:ascii="Times New Roman" w:hAnsi="Times New Roman" w:cs="Times New Roman"/>
          <w:sz w:val="24"/>
          <w:szCs w:val="24"/>
          <w:u w:val="single"/>
        </w:rPr>
        <w:t>Coaches</w:t>
      </w:r>
      <w:r w:rsidRPr="00C1694A">
        <w:rPr>
          <w:rFonts w:ascii="Times New Roman" w:hAnsi="Times New Roman" w:cs="Times New Roman"/>
          <w:sz w:val="24"/>
          <w:szCs w:val="24"/>
        </w:rPr>
        <w:t xml:space="preserve">. A program must ensure coaches providing the services described in </w:t>
      </w:r>
      <w:r w:rsidR="008A09DA">
        <w:rPr>
          <w:rFonts w:ascii="Times New Roman" w:hAnsi="Times New Roman" w:cs="Times New Roman"/>
          <w:sz w:val="24"/>
          <w:szCs w:val="24"/>
        </w:rPr>
        <w:t xml:space="preserve">§ </w:t>
      </w:r>
      <w:r w:rsidRPr="00C1694A">
        <w:rPr>
          <w:rFonts w:ascii="Times New Roman" w:hAnsi="Times New Roman" w:cs="Times New Roman"/>
          <w:sz w:val="24"/>
          <w:szCs w:val="24"/>
        </w:rPr>
        <w:t>1302.92(</w:t>
      </w:r>
      <w:r w:rsidR="000653CB">
        <w:rPr>
          <w:rFonts w:ascii="Times New Roman" w:hAnsi="Times New Roman" w:cs="Times New Roman"/>
          <w:sz w:val="24"/>
          <w:szCs w:val="24"/>
        </w:rPr>
        <w:t>c</w:t>
      </w:r>
      <w:r w:rsidRPr="00C1694A">
        <w:rPr>
          <w:rFonts w:ascii="Times New Roman" w:hAnsi="Times New Roman" w:cs="Times New Roman"/>
          <w:sz w:val="24"/>
          <w:szCs w:val="24"/>
        </w:rPr>
        <w:t>) have a minimum of a baccalaureate degree in early childhood education or a related field.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§1302.92 Training and professional development.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A program must provide to all new staff, consultants, and volunteers an orientation that focuses on, at a minimum, the goals and underlying philosophy of the program and on the ways they are implemented.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D8613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(b</w:t>
      </w:r>
      <w:r w:rsidR="00C03FE8" w:rsidRPr="00C1694A">
        <w:rPr>
          <w:rFonts w:ascii="Times New Roman" w:hAnsi="Times New Roman" w:cs="Times New Roman"/>
          <w:sz w:val="24"/>
          <w:szCs w:val="24"/>
        </w:rPr>
        <w:t xml:space="preserve">) A program must establish and implement a systematic approach to staff training and professional development designed to assist staff in acquiring or increasing the knowledge and skills needed to provide high-quality, comprehensive services within the scope of their job responsibilities, and attached to academic credit as appropriate. At a minimum, the system must include: </w:t>
      </w:r>
    </w:p>
    <w:p w:rsidR="00785DC3" w:rsidRPr="00C1694A" w:rsidRDefault="00785DC3" w:rsidP="00AC521C">
      <w:pPr>
        <w:spacing w:after="0" w:line="480" w:lineRule="auto"/>
        <w:ind w:firstLine="720"/>
        <w:rPr>
          <w:rFonts w:ascii="Times New Roman" w:hAnsi="Times New Roman" w:cs="Times New Roman"/>
          <w:sz w:val="24"/>
          <w:szCs w:val="24"/>
        </w:rPr>
      </w:pPr>
    </w:p>
    <w:p w:rsidR="00D86132" w:rsidRPr="00C1694A" w:rsidRDefault="00D8613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Staff completing a minimum of 15 clock hours of professional development per year. For teaching staff, such professional development must meet the requirements described in section 648A(a)(5) of the Act.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D8613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w:t>
      </w:r>
      <w:r w:rsidR="00C03FE8" w:rsidRPr="00C1694A">
        <w:rPr>
          <w:rFonts w:ascii="Times New Roman" w:hAnsi="Times New Roman" w:cs="Times New Roman"/>
          <w:sz w:val="24"/>
          <w:szCs w:val="24"/>
        </w:rPr>
        <w:t xml:space="preserve">) Training on methods to handle suspected or known child abuse and neglect cases, that comply with applicable federal, state, local, and tribal laws;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D8613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w:t>
      </w:r>
      <w:r w:rsidR="00C03FE8" w:rsidRPr="00C1694A">
        <w:rPr>
          <w:rFonts w:ascii="Times New Roman" w:hAnsi="Times New Roman" w:cs="Times New Roman"/>
          <w:sz w:val="24"/>
          <w:szCs w:val="24"/>
        </w:rPr>
        <w:t xml:space="preserve">) Training for </w:t>
      </w:r>
      <w:r w:rsidR="004B1E6C" w:rsidRPr="00C1694A">
        <w:rPr>
          <w:rFonts w:ascii="Times New Roman" w:hAnsi="Times New Roman" w:cs="Times New Roman"/>
          <w:sz w:val="24"/>
          <w:szCs w:val="24"/>
        </w:rPr>
        <w:t xml:space="preserve">child and family services </w:t>
      </w:r>
      <w:r w:rsidR="00C03FE8" w:rsidRPr="00C1694A">
        <w:rPr>
          <w:rFonts w:ascii="Times New Roman" w:hAnsi="Times New Roman" w:cs="Times New Roman"/>
          <w:sz w:val="24"/>
          <w:szCs w:val="24"/>
        </w:rPr>
        <w:t>staff on best practices for implementing family engagement strategies in a systemic way, as described throughout this part;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D8613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w:t>
      </w:r>
      <w:r w:rsidR="00C03FE8" w:rsidRPr="00C1694A">
        <w:rPr>
          <w:rFonts w:ascii="Times New Roman" w:hAnsi="Times New Roman" w:cs="Times New Roman"/>
          <w:sz w:val="24"/>
          <w:szCs w:val="24"/>
        </w:rPr>
        <w:t>) Training for child and family services staff, including staff that work on family services, health, and disabilities, that builds their knowledge, experience, and competencies to improve child and family outcomes;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D8613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(5</w:t>
      </w:r>
      <w:r w:rsidR="00C03FE8" w:rsidRPr="00C1694A">
        <w:rPr>
          <w:rFonts w:ascii="Times New Roman" w:hAnsi="Times New Roman" w:cs="Times New Roman"/>
          <w:sz w:val="24"/>
          <w:szCs w:val="24"/>
        </w:rPr>
        <w:t xml:space="preserve">) Research-based approaches to professional development for </w:t>
      </w:r>
      <w:r w:rsidR="00F67835" w:rsidRPr="00C1694A">
        <w:rPr>
          <w:rFonts w:ascii="Times New Roman" w:hAnsi="Times New Roman" w:cs="Times New Roman"/>
          <w:sz w:val="24"/>
          <w:szCs w:val="24"/>
        </w:rPr>
        <w:t>education staff</w:t>
      </w:r>
      <w:r w:rsidR="00C03FE8" w:rsidRPr="00C1694A">
        <w:rPr>
          <w:rFonts w:ascii="Times New Roman" w:hAnsi="Times New Roman" w:cs="Times New Roman"/>
          <w:sz w:val="24"/>
          <w:szCs w:val="24"/>
        </w:rPr>
        <w:t xml:space="preserve">, that are focused on effective curricula implementation, knowledge of the content in </w:t>
      </w:r>
      <w:r w:rsidR="00C03FE8"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Ages</w:t>
      </w:r>
      <w:r w:rsidR="00C03FE8" w:rsidRPr="00C1694A">
        <w:rPr>
          <w:rFonts w:ascii="Times New Roman" w:eastAsia="Times New Roman" w:hAnsi="Times New Roman" w:cs="Times New Roman"/>
          <w:sz w:val="24"/>
          <w:szCs w:val="24"/>
          <w:u w:val="single"/>
        </w:rPr>
        <w:t xml:space="preserve"> Birth</w:t>
      </w:r>
      <w:r w:rsidR="00074148" w:rsidRPr="00C1694A">
        <w:rPr>
          <w:rFonts w:ascii="Times New Roman" w:eastAsia="Times New Roman" w:hAnsi="Times New Roman" w:cs="Times New Roman"/>
          <w:sz w:val="24"/>
          <w:szCs w:val="24"/>
          <w:u w:val="single"/>
        </w:rPr>
        <w:t xml:space="preserve"> to Five</w:t>
      </w:r>
      <w:r w:rsidR="00C03FE8" w:rsidRPr="00C1694A">
        <w:rPr>
          <w:rFonts w:ascii="Times New Roman" w:eastAsia="Times New Roman" w:hAnsi="Times New Roman" w:cs="Times New Roman"/>
          <w:sz w:val="24"/>
          <w:szCs w:val="24"/>
        </w:rPr>
        <w:t xml:space="preserve">, partnering with families, </w:t>
      </w:r>
      <w:r w:rsidR="00C03FE8" w:rsidRPr="00C1694A">
        <w:rPr>
          <w:rFonts w:ascii="Times New Roman" w:hAnsi="Times New Roman" w:cs="Times New Roman"/>
          <w:sz w:val="24"/>
          <w:szCs w:val="24"/>
        </w:rPr>
        <w:t>supporting children with disabilities and their families,</w:t>
      </w:r>
      <w:r w:rsidR="00C03FE8" w:rsidRPr="00C1694A">
        <w:rPr>
          <w:rFonts w:ascii="Times New Roman" w:eastAsia="Times New Roman" w:hAnsi="Times New Roman" w:cs="Times New Roman"/>
          <w:sz w:val="24"/>
          <w:szCs w:val="24"/>
        </w:rPr>
        <w:t xml:space="preserve"> </w:t>
      </w:r>
      <w:r w:rsidR="00C03FE8" w:rsidRPr="00C1694A">
        <w:rPr>
          <w:rFonts w:ascii="Times New Roman" w:hAnsi="Times New Roman" w:cs="Times New Roman"/>
          <w:sz w:val="24"/>
          <w:szCs w:val="24"/>
        </w:rPr>
        <w:t>providing effective and nurturing adult-child interactions, supporting dual language learners as appropriate, addressing challenging behaviors, preparing children and families for transitions (as described in subpart G</w:t>
      </w:r>
      <w:r w:rsidR="00F72757">
        <w:rPr>
          <w:rFonts w:ascii="Times New Roman" w:hAnsi="Times New Roman" w:cs="Times New Roman"/>
          <w:sz w:val="24"/>
          <w:szCs w:val="24"/>
        </w:rPr>
        <w:t xml:space="preserve"> of this part</w:t>
      </w:r>
      <w:r w:rsidR="00C03FE8" w:rsidRPr="00C1694A">
        <w:rPr>
          <w:rFonts w:ascii="Times New Roman" w:hAnsi="Times New Roman" w:cs="Times New Roman"/>
          <w:sz w:val="24"/>
          <w:szCs w:val="24"/>
        </w:rPr>
        <w:t>), and use of data to individualize learning experiences to improve  outcomes for all children.</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D86132"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(c</w:t>
      </w:r>
      <w:r w:rsidR="00C03FE8" w:rsidRPr="00C1694A">
        <w:rPr>
          <w:rFonts w:ascii="Times New Roman" w:hAnsi="Times New Roman" w:cs="Times New Roman"/>
          <w:sz w:val="24"/>
          <w:szCs w:val="24"/>
        </w:rPr>
        <w:t xml:space="preserve">) A program must implement a research-based, coordinated coaching strategy </w:t>
      </w:r>
      <w:r w:rsidR="002B19F0" w:rsidRPr="00C1694A">
        <w:rPr>
          <w:rFonts w:ascii="Times New Roman" w:hAnsi="Times New Roman" w:cs="Times New Roman"/>
          <w:sz w:val="24"/>
          <w:szCs w:val="24"/>
        </w:rPr>
        <w:t xml:space="preserve">for education staff </w:t>
      </w:r>
      <w:r w:rsidR="00C03FE8" w:rsidRPr="00C1694A">
        <w:rPr>
          <w:rFonts w:ascii="Times New Roman" w:hAnsi="Times New Roman" w:cs="Times New Roman"/>
          <w:sz w:val="24"/>
          <w:szCs w:val="24"/>
        </w:rPr>
        <w:t>that: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(1) Assesses all </w:t>
      </w:r>
      <w:r w:rsidR="008B6379" w:rsidRPr="00C1694A">
        <w:rPr>
          <w:rFonts w:ascii="Times New Roman" w:hAnsi="Times New Roman" w:cs="Times New Roman"/>
          <w:sz w:val="24"/>
          <w:szCs w:val="24"/>
        </w:rPr>
        <w:t>education staff</w:t>
      </w:r>
      <w:r w:rsidRPr="00C1694A">
        <w:rPr>
          <w:rFonts w:ascii="Times New Roman" w:hAnsi="Times New Roman" w:cs="Times New Roman"/>
          <w:sz w:val="24"/>
          <w:szCs w:val="24"/>
        </w:rPr>
        <w:t xml:space="preserve"> to identify strengths, areas of needed support, and which staff would benefit most from intensive coaching;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At a minimum, </w:t>
      </w:r>
      <w:r w:rsidR="0077641C" w:rsidRPr="00C1694A">
        <w:rPr>
          <w:rFonts w:ascii="Times New Roman" w:hAnsi="Times New Roman" w:cs="Times New Roman"/>
          <w:sz w:val="24"/>
          <w:szCs w:val="24"/>
        </w:rPr>
        <w:t xml:space="preserve">provides </w:t>
      </w:r>
      <w:r w:rsidRPr="00C1694A">
        <w:rPr>
          <w:rFonts w:ascii="Times New Roman" w:hAnsi="Times New Roman" w:cs="Times New Roman"/>
          <w:sz w:val="24"/>
          <w:szCs w:val="24"/>
        </w:rPr>
        <w:t xml:space="preserve">opportunities for intensive coaching to those </w:t>
      </w:r>
      <w:r w:rsidR="008B6379" w:rsidRPr="00C1694A">
        <w:rPr>
          <w:rFonts w:ascii="Times New Roman" w:hAnsi="Times New Roman" w:cs="Times New Roman"/>
          <w:sz w:val="24"/>
          <w:szCs w:val="24"/>
        </w:rPr>
        <w:t>education staff</w:t>
      </w:r>
      <w:r w:rsidRPr="00C1694A">
        <w:rPr>
          <w:rFonts w:ascii="Times New Roman" w:hAnsi="Times New Roman" w:cs="Times New Roman"/>
          <w:sz w:val="24"/>
          <w:szCs w:val="24"/>
        </w:rPr>
        <w:t xml:space="preserve"> identified through the process in paragraph </w:t>
      </w:r>
      <w:r w:rsidR="008A09DA">
        <w:rPr>
          <w:rFonts w:ascii="Times New Roman" w:hAnsi="Times New Roman" w:cs="Times New Roman"/>
          <w:sz w:val="24"/>
          <w:szCs w:val="24"/>
        </w:rPr>
        <w:t>(c)</w:t>
      </w:r>
      <w:r w:rsidRPr="00C1694A">
        <w:rPr>
          <w:rFonts w:ascii="Times New Roman" w:hAnsi="Times New Roman" w:cs="Times New Roman"/>
          <w:sz w:val="24"/>
          <w:szCs w:val="24"/>
        </w:rPr>
        <w:t xml:space="preserve">(1) of this section, including opportunities to be observed and receive feedback and modeling of effective teacher practices directly related to program performance goals;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At a minimum, </w:t>
      </w:r>
      <w:r w:rsidR="0077641C" w:rsidRPr="00C1694A">
        <w:rPr>
          <w:rFonts w:ascii="Times New Roman" w:hAnsi="Times New Roman" w:cs="Times New Roman"/>
          <w:sz w:val="24"/>
          <w:szCs w:val="24"/>
        </w:rPr>
        <w:t xml:space="preserve">provides </w:t>
      </w:r>
      <w:r w:rsidRPr="00C1694A">
        <w:rPr>
          <w:rFonts w:ascii="Times New Roman" w:hAnsi="Times New Roman" w:cs="Times New Roman"/>
          <w:sz w:val="24"/>
          <w:szCs w:val="24"/>
        </w:rPr>
        <w:t xml:space="preserve">opportunities for </w:t>
      </w:r>
      <w:r w:rsidR="008B6379" w:rsidRPr="00C1694A">
        <w:rPr>
          <w:rFonts w:ascii="Times New Roman" w:hAnsi="Times New Roman" w:cs="Times New Roman"/>
          <w:sz w:val="24"/>
          <w:szCs w:val="24"/>
        </w:rPr>
        <w:t>education staff</w:t>
      </w:r>
      <w:r w:rsidRPr="00C1694A">
        <w:rPr>
          <w:rFonts w:ascii="Times New Roman" w:hAnsi="Times New Roman" w:cs="Times New Roman"/>
          <w:sz w:val="24"/>
          <w:szCs w:val="24"/>
        </w:rPr>
        <w:t xml:space="preserve"> not identified for intensive coaching through the process in paragraph </w:t>
      </w:r>
      <w:r w:rsidR="008A09DA">
        <w:rPr>
          <w:rFonts w:ascii="Times New Roman" w:hAnsi="Times New Roman" w:cs="Times New Roman"/>
          <w:sz w:val="24"/>
          <w:szCs w:val="24"/>
        </w:rPr>
        <w:t>(c)</w:t>
      </w:r>
      <w:r w:rsidRPr="00C1694A">
        <w:rPr>
          <w:rFonts w:ascii="Times New Roman" w:hAnsi="Times New Roman" w:cs="Times New Roman"/>
          <w:sz w:val="24"/>
          <w:szCs w:val="24"/>
        </w:rPr>
        <w:t xml:space="preserve">(1) of this section to receive other forms of research-based professional development aligned with program performance goals;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(4) Ensures intensive coaching opportunities for the staff identified through the process in paragraph </w:t>
      </w:r>
      <w:r w:rsidR="009A5CCB">
        <w:rPr>
          <w:rFonts w:ascii="Times New Roman" w:hAnsi="Times New Roman" w:cs="Times New Roman"/>
          <w:sz w:val="24"/>
          <w:szCs w:val="24"/>
        </w:rPr>
        <w:t>(c)</w:t>
      </w:r>
      <w:r w:rsidRPr="00C1694A">
        <w:rPr>
          <w:rFonts w:ascii="Times New Roman" w:hAnsi="Times New Roman" w:cs="Times New Roman"/>
          <w:sz w:val="24"/>
          <w:szCs w:val="24"/>
        </w:rPr>
        <w:t>(1) of this section that: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(i) Align with the program’s school readiness goals, curricula, and other approaches to professional development;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(ii) Utilize a coach with adequate training and experience in adult learning and in using assessment data to drive coaching strategies aligned with program performance goals;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(iii) Provide ongoing communication between the coach, program director, education director, and any other relevant staff;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(iv) Include clearly articulated goals informed by the program’s goals, as described in §1302.102, and a process for achieving those goals; and,</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(5) Establishes policies that ensure assessment results are not used to solely determine punitive actions for staff identified as needing support, without providing time and resources for staff to improve.</w:t>
      </w: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trike/>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w:t>
      </w:r>
      <w:r w:rsidR="00323500">
        <w:rPr>
          <w:rFonts w:ascii="Times New Roman" w:eastAsia="Times New Roman" w:hAnsi="Times New Roman" w:cs="Times New Roman"/>
          <w:bCs/>
          <w:sz w:val="24"/>
          <w:szCs w:val="24"/>
        </w:rPr>
        <w:t>d</w:t>
      </w:r>
      <w:r w:rsidRPr="00C1694A">
        <w:rPr>
          <w:rFonts w:ascii="Times New Roman" w:eastAsia="Times New Roman" w:hAnsi="Times New Roman" w:cs="Times New Roman"/>
          <w:bCs/>
          <w:sz w:val="24"/>
          <w:szCs w:val="24"/>
        </w:rPr>
        <w:t xml:space="preserve">) </w:t>
      </w:r>
      <w:r w:rsidRPr="00C1694A">
        <w:rPr>
          <w:rFonts w:ascii="Times New Roman" w:hAnsi="Times New Roman" w:cs="Times New Roman"/>
          <w:sz w:val="24"/>
          <w:szCs w:val="24"/>
        </w:rPr>
        <w:t xml:space="preserve">If a program needs to develop or significantly adapt their approach to research-based professional development to better meet the training needs of </w:t>
      </w:r>
      <w:r w:rsidR="00F67835" w:rsidRPr="00C1694A">
        <w:rPr>
          <w:rFonts w:ascii="Times New Roman" w:hAnsi="Times New Roman" w:cs="Times New Roman"/>
          <w:sz w:val="24"/>
          <w:szCs w:val="24"/>
        </w:rPr>
        <w:t xml:space="preserve">education </w:t>
      </w:r>
      <w:r w:rsidRPr="00C1694A">
        <w:rPr>
          <w:rFonts w:ascii="Times New Roman" w:hAnsi="Times New Roman" w:cs="Times New Roman"/>
          <w:sz w:val="24"/>
          <w:szCs w:val="24"/>
        </w:rPr>
        <w:t>staff, such that it does not include the requirements in paragraph (</w:t>
      </w:r>
      <w:r w:rsidR="00323500">
        <w:rPr>
          <w:rFonts w:ascii="Times New Roman" w:hAnsi="Times New Roman" w:cs="Times New Roman"/>
          <w:sz w:val="24"/>
          <w:szCs w:val="24"/>
        </w:rPr>
        <w:t>c</w:t>
      </w:r>
      <w:r w:rsidRPr="00C1694A">
        <w:rPr>
          <w:rFonts w:ascii="Times New Roman" w:hAnsi="Times New Roman" w:cs="Times New Roman"/>
          <w:sz w:val="24"/>
          <w:szCs w:val="24"/>
        </w:rPr>
        <w:t>)</w:t>
      </w:r>
      <w:r w:rsidR="008A09DA">
        <w:rPr>
          <w:rFonts w:ascii="Times New Roman" w:hAnsi="Times New Roman" w:cs="Times New Roman"/>
          <w:sz w:val="24"/>
          <w:szCs w:val="24"/>
        </w:rPr>
        <w:t xml:space="preserve"> of this section</w:t>
      </w:r>
      <w:r w:rsidRPr="00C1694A">
        <w:rPr>
          <w:rFonts w:ascii="Times New Roman" w:hAnsi="Times New Roman" w:cs="Times New Roman"/>
          <w:sz w:val="24"/>
          <w:szCs w:val="24"/>
        </w:rPr>
        <w:t xml:space="preserve">, the program must partner with </w:t>
      </w:r>
      <w:r w:rsidR="00D86132" w:rsidRPr="00C1694A">
        <w:rPr>
          <w:rFonts w:ascii="Times New Roman" w:hAnsi="Times New Roman" w:cs="Times New Roman"/>
          <w:sz w:val="24"/>
          <w:szCs w:val="24"/>
        </w:rPr>
        <w:t xml:space="preserve">external </w:t>
      </w:r>
      <w:r w:rsidRPr="00C1694A">
        <w:rPr>
          <w:rFonts w:ascii="Times New Roman" w:hAnsi="Times New Roman" w:cs="Times New Roman"/>
          <w:sz w:val="24"/>
          <w:szCs w:val="24"/>
        </w:rPr>
        <w:t xml:space="preserve">early childhood education professional development experts.  A program must </w:t>
      </w:r>
      <w:r w:rsidR="004B1E6C" w:rsidRPr="00C1694A">
        <w:rPr>
          <w:rFonts w:ascii="Times New Roman" w:hAnsi="Times New Roman" w:cs="Times New Roman"/>
          <w:sz w:val="24"/>
          <w:szCs w:val="24"/>
        </w:rPr>
        <w:t xml:space="preserve">assess whether </w:t>
      </w:r>
      <w:r w:rsidRPr="00C1694A">
        <w:rPr>
          <w:rFonts w:ascii="Times New Roman" w:hAnsi="Times New Roman" w:cs="Times New Roman"/>
          <w:sz w:val="24"/>
          <w:szCs w:val="24"/>
        </w:rPr>
        <w:t xml:space="preserve">the adaptation </w:t>
      </w:r>
      <w:r w:rsidR="004B1E6C" w:rsidRPr="00C1694A">
        <w:rPr>
          <w:rFonts w:ascii="Times New Roman" w:hAnsi="Times New Roman" w:cs="Times New Roman"/>
          <w:sz w:val="24"/>
          <w:szCs w:val="24"/>
        </w:rPr>
        <w:t>adequately support</w:t>
      </w:r>
      <w:r w:rsidR="00645E30" w:rsidRPr="00C1694A">
        <w:rPr>
          <w:rFonts w:ascii="Times New Roman" w:hAnsi="Times New Roman" w:cs="Times New Roman"/>
          <w:sz w:val="24"/>
          <w:szCs w:val="24"/>
        </w:rPr>
        <w:t>s</w:t>
      </w:r>
      <w:r w:rsidR="004B1E6C" w:rsidRPr="00C1694A">
        <w:rPr>
          <w:rFonts w:ascii="Times New Roman" w:hAnsi="Times New Roman" w:cs="Times New Roman"/>
          <w:sz w:val="24"/>
          <w:szCs w:val="24"/>
        </w:rPr>
        <w:t xml:space="preserve"> staff </w:t>
      </w:r>
      <w:r w:rsidRPr="00C1694A">
        <w:rPr>
          <w:rFonts w:ascii="Times New Roman" w:hAnsi="Times New Roman" w:cs="Times New Roman"/>
          <w:sz w:val="24"/>
          <w:szCs w:val="24"/>
        </w:rPr>
        <w:t>professional development</w:t>
      </w:r>
      <w:r w:rsidR="004B1E6C" w:rsidRPr="00C1694A">
        <w:rPr>
          <w:rFonts w:ascii="Times New Roman" w:hAnsi="Times New Roman" w:cs="Times New Roman"/>
          <w:sz w:val="24"/>
          <w:szCs w:val="24"/>
        </w:rPr>
        <w:t>,</w:t>
      </w:r>
      <w:r w:rsidRPr="00C1694A">
        <w:rPr>
          <w:rFonts w:ascii="Times New Roman" w:hAnsi="Times New Roman" w:cs="Times New Roman"/>
          <w:sz w:val="24"/>
          <w:szCs w:val="24"/>
        </w:rPr>
        <w:t xml:space="preserve"> consistent with the process laid out in subpart J</w:t>
      </w:r>
      <w:r w:rsidR="008A09DA">
        <w:rPr>
          <w:rFonts w:ascii="Times New Roman" w:hAnsi="Times New Roman" w:cs="Times New Roman"/>
          <w:sz w:val="24"/>
          <w:szCs w:val="24"/>
        </w:rPr>
        <w:t xml:space="preserve"> of this part</w:t>
      </w: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§1302.93 Staff health and wellness. </w:t>
      </w:r>
    </w:p>
    <w:p w:rsidR="00C03FE8" w:rsidRPr="00C1694A" w:rsidRDefault="00C03FE8" w:rsidP="00AC521C">
      <w:pPr>
        <w:spacing w:after="0" w:line="480" w:lineRule="auto"/>
        <w:ind w:firstLine="720"/>
        <w:rPr>
          <w:rFonts w:ascii="Times New Roman" w:hAnsi="Times New Roman" w:cs="Times New Roman"/>
          <w:sz w:val="24"/>
          <w:szCs w:val="24"/>
        </w:rPr>
      </w:pPr>
    </w:p>
    <w:p w:rsidR="00BD11D4" w:rsidRPr="00C1694A" w:rsidRDefault="00BD11D4"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A program must ensure each staff member has an initial health examination and a periodic re-examination as recommended by their health care provider in accordance with state, tribal, or local requirements, that include screeners or tests for communicable diseases, as appropriate. The program must ensure staff do not, because of communicable diseases, pose a significant risk to the health or safety of others in the program that cannot be eliminated or reduced by reasonable accommodation, in accordance with the Americans with Disabilities Act and </w:t>
      </w:r>
      <w:r w:rsidR="001A3EB0">
        <w:rPr>
          <w:rFonts w:ascii="Times New Roman" w:hAnsi="Times New Roman" w:cs="Times New Roman"/>
          <w:sz w:val="24"/>
          <w:szCs w:val="24"/>
        </w:rPr>
        <w:t>s</w:t>
      </w:r>
      <w:r w:rsidR="00984FC3" w:rsidRPr="00C1694A">
        <w:rPr>
          <w:rFonts w:ascii="Times New Roman" w:hAnsi="Times New Roman" w:cs="Times New Roman"/>
          <w:sz w:val="24"/>
          <w:szCs w:val="24"/>
        </w:rPr>
        <w:t xml:space="preserve">ection </w:t>
      </w:r>
      <w:r w:rsidRPr="00C1694A">
        <w:rPr>
          <w:rFonts w:ascii="Times New Roman" w:hAnsi="Times New Roman" w:cs="Times New Roman"/>
          <w:sz w:val="24"/>
          <w:szCs w:val="24"/>
        </w:rPr>
        <w:t xml:space="preserve">504 of the Rehabilitation Act.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(b) A program must make mental health and wellness information available to staff regarding health issues that may affect their job performance,</w:t>
      </w:r>
      <w:r w:rsidR="00E56F49" w:rsidRPr="00DC44D0">
        <w:rPr>
          <w:rFonts w:ascii="Times New Roman" w:hAnsi="Times New Roman" w:cs="Times New Roman"/>
          <w:sz w:val="24"/>
          <w:szCs w:val="24"/>
        </w:rPr>
        <w:t xml:space="preserve"> </w:t>
      </w:r>
      <w:r w:rsidRPr="00C1694A">
        <w:rPr>
          <w:rFonts w:ascii="Times New Roman" w:hAnsi="Times New Roman" w:cs="Times New Roman"/>
          <w:sz w:val="24"/>
          <w:szCs w:val="24"/>
        </w:rPr>
        <w:t>and must provide regularly scheduled</w:t>
      </w:r>
      <w:r w:rsidR="00A43043" w:rsidRPr="00C1694A">
        <w:rPr>
          <w:rFonts w:ascii="Times New Roman" w:hAnsi="Times New Roman" w:cs="Times New Roman"/>
          <w:sz w:val="24"/>
          <w:szCs w:val="24"/>
        </w:rPr>
        <w:t xml:space="preserve"> </w:t>
      </w:r>
      <w:r w:rsidRPr="00C1694A">
        <w:rPr>
          <w:rFonts w:ascii="Times New Roman" w:hAnsi="Times New Roman" w:cs="Times New Roman"/>
          <w:sz w:val="24"/>
          <w:szCs w:val="24"/>
        </w:rPr>
        <w:t xml:space="preserve">opportunities </w:t>
      </w:r>
      <w:r w:rsidR="002A4FCB" w:rsidRPr="00C1694A">
        <w:rPr>
          <w:rFonts w:ascii="Times New Roman" w:hAnsi="Times New Roman" w:cs="Times New Roman"/>
          <w:sz w:val="24"/>
          <w:szCs w:val="24"/>
        </w:rPr>
        <w:t xml:space="preserve">to learn about </w:t>
      </w:r>
      <w:r w:rsidRPr="00C1694A">
        <w:rPr>
          <w:rFonts w:ascii="Times New Roman" w:hAnsi="Times New Roman" w:cs="Times New Roman"/>
          <w:sz w:val="24"/>
          <w:szCs w:val="24"/>
        </w:rPr>
        <w:t xml:space="preserve">mental health, wellness, and health education.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§1302.94 Volunteers.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A program must ensure regular volunteers have been screened for appropriate communicable diseases in accordance with state, tribal or local laws.  In the absence of state, tribal or local law, the Health Services Advisory Committee must be consulted regarding the need for such screenings.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(b) A program must ensure children are never left alone with volunteers.</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J</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Program Management and Quality Improvement</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§1302.100 </w:t>
      </w:r>
      <w:r w:rsidR="000653CB">
        <w:rPr>
          <w:rFonts w:ascii="Times New Roman" w:hAnsi="Times New Roman" w:cs="Times New Roman"/>
          <w:b/>
          <w:sz w:val="24"/>
          <w:szCs w:val="24"/>
        </w:rPr>
        <w:t>Purpose</w:t>
      </w:r>
      <w:r w:rsidRPr="00C1694A">
        <w:rPr>
          <w:rFonts w:ascii="Times New Roman" w:hAnsi="Times New Roman" w:cs="Times New Roman"/>
          <w:b/>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hAnsi="Times New Roman" w:cs="Times New Roman"/>
          <w:sz w:val="24"/>
          <w:szCs w:val="24"/>
        </w:rPr>
        <w:t xml:space="preserve">A </w:t>
      </w:r>
      <w:r w:rsidRPr="00C1694A">
        <w:rPr>
          <w:rFonts w:ascii="Times New Roman" w:eastAsia="Times New Roman" w:hAnsi="Times New Roman" w:cs="Times New Roman"/>
          <w:sz w:val="24"/>
          <w:szCs w:val="24"/>
        </w:rPr>
        <w:t xml:space="preserve">program must provide management and a process of ongoing monitoring and continuous improvement for achieving program goals that ensures child safety and the delivery of effective, high-quality program services.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u w:val="single"/>
        </w:rPr>
      </w:pPr>
      <w:r w:rsidRPr="00C1694A">
        <w:rPr>
          <w:rFonts w:ascii="Times New Roman" w:hAnsi="Times New Roman" w:cs="Times New Roman"/>
          <w:b/>
          <w:sz w:val="24"/>
          <w:szCs w:val="24"/>
        </w:rPr>
        <w:t>§1302.101 Management system.</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Implementation</w:t>
      </w:r>
      <w:r w:rsidRPr="00C1694A">
        <w:rPr>
          <w:rFonts w:ascii="Times New Roman" w:eastAsia="Times New Roman" w:hAnsi="Times New Roman" w:cs="Times New Roman"/>
          <w:i/>
          <w:sz w:val="24"/>
          <w:szCs w:val="24"/>
        </w:rPr>
        <w:t xml:space="preserve">.  </w:t>
      </w:r>
      <w:r w:rsidRPr="00C1694A">
        <w:rPr>
          <w:rFonts w:ascii="Times New Roman" w:eastAsia="Times New Roman" w:hAnsi="Times New Roman" w:cs="Times New Roman"/>
          <w:sz w:val="24"/>
          <w:szCs w:val="24"/>
        </w:rPr>
        <w:t>A program must implement a management system that:</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E</w:t>
      </w:r>
      <w:r w:rsidRPr="00C1694A">
        <w:rPr>
          <w:rFonts w:ascii="Times New Roman" w:hAnsi="Times New Roman" w:cs="Times New Roman"/>
          <w:sz w:val="24"/>
          <w:szCs w:val="24"/>
        </w:rPr>
        <w:t xml:space="preserve">nsures a program, fiscal, and human resource management structure that provides effective management and oversight of </w:t>
      </w:r>
      <w:r w:rsidRPr="00C1694A">
        <w:rPr>
          <w:rFonts w:ascii="Times New Roman" w:eastAsia="Times New Roman" w:hAnsi="Times New Roman" w:cs="Times New Roman"/>
          <w:sz w:val="24"/>
          <w:szCs w:val="24"/>
        </w:rPr>
        <w:t>all program areas and fiduciary responsibilities to enable delivery of high-quality services in all of the program services described in subparts C, D, E, F, G, and H</w:t>
      </w:r>
      <w:r w:rsidR="008A09DA">
        <w:rPr>
          <w:rFonts w:ascii="Times New Roman" w:eastAsia="Times New Roman" w:hAnsi="Times New Roman" w:cs="Times New Roman"/>
          <w:sz w:val="24"/>
          <w:szCs w:val="24"/>
        </w:rPr>
        <w:t xml:space="preserve"> of this part</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Provides regular and ongoing supervision to support individual staff professional development and continuous program quality improvement;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Ensures budget and staffing patterns that promote continuity of care for all children enrolled, allow sufficient time for staff to participate in appropriate training and professional development, and allow for provision of the full range of services described in subparts C, D, E, F, G, and H</w:t>
      </w:r>
      <w:r w:rsidR="008A09DA">
        <w:rPr>
          <w:rFonts w:ascii="Times New Roman" w:eastAsia="Times New Roman" w:hAnsi="Times New Roman" w:cs="Times New Roman"/>
          <w:sz w:val="24"/>
          <w:szCs w:val="24"/>
        </w:rPr>
        <w:t xml:space="preserve"> of this part</w:t>
      </w:r>
      <w:r w:rsidRPr="00C1694A">
        <w:rPr>
          <w:rFonts w:ascii="Times New Roman" w:eastAsia="Times New Roman" w:hAnsi="Times New Roman" w:cs="Times New Roman"/>
          <w:sz w:val="24"/>
          <w:szCs w:val="24"/>
        </w:rPr>
        <w:t>; and,</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Maintains an automated accounting and record keeping system adequate for effective oversight.</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mn-ea" w:hAnsi="Times New Roman" w:cs="Times New Roman"/>
          <w:sz w:val="24"/>
          <w:szCs w:val="24"/>
        </w:rPr>
      </w:pPr>
      <w:r w:rsidRPr="00C1694A">
        <w:rPr>
          <w:rFonts w:ascii="Times New Roman" w:eastAsia="+mn-ea" w:hAnsi="Times New Roman" w:cs="Times New Roman"/>
          <w:sz w:val="24"/>
          <w:szCs w:val="24"/>
        </w:rPr>
        <w:t xml:space="preserve">(b) </w:t>
      </w:r>
      <w:r w:rsidRPr="00C1694A">
        <w:rPr>
          <w:rFonts w:ascii="Times New Roman" w:eastAsia="+mn-ea" w:hAnsi="Times New Roman" w:cs="Times New Roman"/>
          <w:sz w:val="24"/>
          <w:szCs w:val="24"/>
          <w:u w:val="single"/>
        </w:rPr>
        <w:t>Coordinated approaches.</w:t>
      </w:r>
      <w:r w:rsidRPr="00C1694A">
        <w:rPr>
          <w:rFonts w:ascii="Times New Roman" w:eastAsia="+mn-ea" w:hAnsi="Times New Roman" w:cs="Times New Roman"/>
          <w:sz w:val="24"/>
          <w:szCs w:val="24"/>
        </w:rPr>
        <w:t xml:space="preserve">  </w:t>
      </w:r>
      <w:r w:rsidRPr="00C1694A">
        <w:rPr>
          <w:rFonts w:ascii="Times New Roman" w:eastAsia="Times New Roman" w:hAnsi="Times New Roman" w:cs="Times New Roman"/>
          <w:sz w:val="24"/>
          <w:szCs w:val="24"/>
        </w:rPr>
        <w:t>At the beginning of each program year, and on an ongoing basis throughout the year, a program must design and implement program-wide coordinated approaches that ensure:</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 The training and professional development system, as described in §1302.92, effectively supports </w:t>
      </w:r>
      <w:r w:rsidR="001E450C" w:rsidRPr="00C1694A">
        <w:rPr>
          <w:rFonts w:ascii="Times New Roman" w:eastAsia="Times New Roman" w:hAnsi="Times New Roman" w:cs="Times New Roman"/>
          <w:sz w:val="24"/>
          <w:szCs w:val="24"/>
        </w:rPr>
        <w:t xml:space="preserve">the </w:t>
      </w:r>
      <w:r w:rsidRPr="00C1694A">
        <w:rPr>
          <w:rFonts w:ascii="Times New Roman" w:eastAsia="Times New Roman" w:hAnsi="Times New Roman" w:cs="Times New Roman"/>
          <w:sz w:val="24"/>
          <w:szCs w:val="24"/>
        </w:rPr>
        <w:t>delivery</w:t>
      </w:r>
      <w:r w:rsidR="001E450C"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and continuous improvement of high-quality services;</w:t>
      </w:r>
    </w:p>
    <w:p w:rsidR="00C03FE8" w:rsidRPr="00C1694A" w:rsidRDefault="00C03FE8" w:rsidP="00AC521C">
      <w:pPr>
        <w:spacing w:after="0" w:line="480" w:lineRule="auto"/>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 </w:t>
      </w:r>
    </w:p>
    <w:p w:rsidR="00DC2253" w:rsidRPr="00C1694A" w:rsidRDefault="00C03FE8" w:rsidP="00AC521C">
      <w:pPr>
        <w:spacing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(2) The full and effective participation of children who are dual language learners and their families, by</w:t>
      </w:r>
      <w:r w:rsidR="009A5CCB">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w:t>
      </w:r>
      <w:r w:rsidR="00DC2253" w:rsidRPr="00C1694A">
        <w:rPr>
          <w:rFonts w:ascii="Times New Roman" w:hAnsi="Times New Roman" w:cs="Times New Roman"/>
          <w:sz w:val="24"/>
          <w:szCs w:val="24"/>
        </w:rPr>
        <w:t> </w:t>
      </w:r>
    </w:p>
    <w:p w:rsidR="00DC2253" w:rsidRPr="00C1694A" w:rsidRDefault="00DC2253" w:rsidP="00AC521C">
      <w:pPr>
        <w:spacing w:line="480" w:lineRule="auto"/>
        <w:ind w:firstLine="720"/>
        <w:rPr>
          <w:rFonts w:ascii="Times New Roman" w:hAnsi="Times New Roman" w:cs="Times New Roman"/>
        </w:rPr>
      </w:pPr>
      <w:r w:rsidRPr="00C1694A">
        <w:rPr>
          <w:rFonts w:ascii="Times New Roman" w:hAnsi="Times New Roman" w:cs="Times New Roman"/>
          <w:sz w:val="24"/>
          <w:szCs w:val="24"/>
        </w:rPr>
        <w:t>(i) Utilizing information from the program’s community assessment about the languages spoken throughout the program service area to anticipate child and family needs;</w:t>
      </w:r>
    </w:p>
    <w:p w:rsidR="00DC2253" w:rsidRPr="00C1694A" w:rsidRDefault="00DC2253" w:rsidP="00AC521C">
      <w:pPr>
        <w:spacing w:line="480" w:lineRule="auto"/>
        <w:ind w:firstLine="720"/>
        <w:rPr>
          <w:rFonts w:ascii="Times New Roman" w:hAnsi="Times New Roman" w:cs="Times New Roman"/>
        </w:rPr>
      </w:pPr>
      <w:r w:rsidRPr="00C1694A">
        <w:rPr>
          <w:rFonts w:ascii="Times New Roman" w:hAnsi="Times New Roman" w:cs="Times New Roman"/>
          <w:sz w:val="24"/>
          <w:szCs w:val="24"/>
        </w:rPr>
        <w:t>(ii) Identifying community resources and establishing ongoing collaborative relationships and partnerships with community organizations consistent with the requirements in §1302.53(a); and,</w:t>
      </w:r>
    </w:p>
    <w:p w:rsidR="00C03FE8" w:rsidRPr="00C1694A" w:rsidRDefault="00785DC3" w:rsidP="00AC521C">
      <w:pPr>
        <w:spacing w:after="0" w:line="480" w:lineRule="auto"/>
        <w:rPr>
          <w:rFonts w:ascii="Times New Roman" w:eastAsia="Times New Roman" w:hAnsi="Times New Roman" w:cs="Times New Roman"/>
          <w:sz w:val="24"/>
          <w:szCs w:val="24"/>
        </w:rPr>
      </w:pPr>
      <w:r w:rsidRPr="00C1694A">
        <w:rPr>
          <w:rFonts w:ascii="Times New Roman" w:hAnsi="Times New Roman" w:cs="Times New Roman"/>
          <w:sz w:val="24"/>
          <w:szCs w:val="24"/>
        </w:rPr>
        <w:tab/>
      </w:r>
      <w:r w:rsidR="00DC2253" w:rsidRPr="00C1694A">
        <w:rPr>
          <w:rFonts w:ascii="Times New Roman" w:hAnsi="Times New Roman" w:cs="Times New Roman"/>
          <w:sz w:val="24"/>
          <w:szCs w:val="24"/>
        </w:rPr>
        <w:t xml:space="preserve">(iii) Systematically and comprehensively addressing child and family needs by facilitating meaningful access to program services, including, at a minimum, curriculum, instruction, staffing, supervision, and family partnerships </w:t>
      </w:r>
      <w:r w:rsidR="00DC2253" w:rsidRPr="00DC44D0">
        <w:rPr>
          <w:rFonts w:ascii="Times New Roman" w:hAnsi="Times New Roman" w:cs="Times New Roman"/>
          <w:sz w:val="24"/>
          <w:szCs w:val="24"/>
        </w:rPr>
        <w:t xml:space="preserve">with </w:t>
      </w:r>
      <w:r w:rsidR="00DC2253" w:rsidRPr="00C1694A">
        <w:rPr>
          <w:rFonts w:ascii="Times New Roman" w:hAnsi="Times New Roman" w:cs="Times New Roman"/>
          <w:sz w:val="24"/>
          <w:szCs w:val="24"/>
        </w:rPr>
        <w:t>bilingual staff, oral language assistance and interpretation, or t</w:t>
      </w:r>
      <w:r w:rsidR="00DC2253" w:rsidRPr="00C1694A">
        <w:rPr>
          <w:rFonts w:ascii="Times New Roman" w:hAnsi="Times New Roman" w:cs="Times New Roman"/>
          <w:color w:val="000000"/>
          <w:sz w:val="24"/>
          <w:szCs w:val="24"/>
        </w:rPr>
        <w:t xml:space="preserve">ranslation of essential program materials, as appropriate. </w:t>
      </w:r>
    </w:p>
    <w:p w:rsidR="00785DC3" w:rsidRPr="00C1694A" w:rsidRDefault="00785DC3"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The full and effective participation of all children with disabilities, including but not limited to children eligible for services under IDEA, by providing services with appropriate facilities, program materials, curriculum, instruction, staffing, supervision, and partnerships, at a minimum, consistent with </w:t>
      </w:r>
      <w:r w:rsidR="001A3EB0">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504 of the Rehabilitation Act and the Americans with Disabilities Act;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pStyle w:val="PlainText"/>
        <w:spacing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The management of program data to effectively support the availability, usability, integrity, and security of data.  A program must establish procedures on data management, and have them approved by the governing body and policy council, in areas such as quality of data and effective use and sharing of data, while protecting the privacy of child records in accordance with subpart C of part 1303</w:t>
      </w:r>
      <w:r w:rsidR="008A09DA">
        <w:rPr>
          <w:rFonts w:ascii="Times New Roman" w:hAnsi="Times New Roman" w:cs="Times New Roman"/>
          <w:sz w:val="24"/>
          <w:szCs w:val="24"/>
        </w:rPr>
        <w:t xml:space="preserve"> of this chapter</w:t>
      </w:r>
      <w:r w:rsidRPr="00C1694A">
        <w:rPr>
          <w:rFonts w:ascii="Times New Roman" w:hAnsi="Times New Roman" w:cs="Times New Roman"/>
          <w:sz w:val="24"/>
          <w:szCs w:val="24"/>
        </w:rPr>
        <w:t xml:space="preserve"> and applicable federal, state, local, and tribal laws.</w:t>
      </w:r>
    </w:p>
    <w:p w:rsidR="00C03FE8" w:rsidRPr="00C1694A" w:rsidRDefault="00C03FE8" w:rsidP="00AC521C">
      <w:pPr>
        <w:spacing w:after="0" w:line="480" w:lineRule="auto"/>
        <w:contextualSpacing/>
        <w:rPr>
          <w:rFonts w:ascii="Times New Roman" w:eastAsia="+mn-ea" w:hAnsi="Times New Roman" w:cs="Times New Roman"/>
          <w:sz w:val="24"/>
          <w:szCs w:val="24"/>
        </w:rPr>
      </w:pPr>
      <w:r w:rsidRPr="00C1694A" w:rsidDel="00BC3F7B">
        <w:rPr>
          <w:rFonts w:ascii="Times New Roman" w:hAnsi="Times New Roman" w:cs="Times New Roman"/>
          <w:sz w:val="24"/>
          <w:szCs w:val="24"/>
        </w:rPr>
        <w:t xml:space="preserve"> </w:t>
      </w:r>
    </w:p>
    <w:p w:rsidR="00C03FE8" w:rsidRPr="00C1694A" w:rsidRDefault="00C03FE8" w:rsidP="00AC521C">
      <w:pPr>
        <w:spacing w:after="0" w:line="480" w:lineRule="auto"/>
        <w:contextualSpacing/>
        <w:rPr>
          <w:rFonts w:ascii="Times New Roman" w:hAnsi="Times New Roman" w:cs="Times New Roman"/>
          <w:b/>
          <w:sz w:val="24"/>
          <w:szCs w:val="24"/>
        </w:rPr>
      </w:pPr>
      <w:r w:rsidRPr="00C1694A">
        <w:rPr>
          <w:rFonts w:ascii="Times New Roman" w:hAnsi="Times New Roman" w:cs="Times New Roman"/>
          <w:b/>
          <w:sz w:val="24"/>
          <w:szCs w:val="24"/>
        </w:rPr>
        <w:t>§1302.102 Achieving program goals.</w:t>
      </w:r>
    </w:p>
    <w:p w:rsidR="00C03FE8" w:rsidRPr="00C1694A" w:rsidRDefault="00C03FE8" w:rsidP="00AC521C">
      <w:pPr>
        <w:autoSpaceDE w:val="0"/>
        <w:autoSpaceDN w:val="0"/>
        <w:adjustRightInd w:val="0"/>
        <w:spacing w:after="0" w:line="480" w:lineRule="auto"/>
        <w:rPr>
          <w:rFonts w:ascii="Times New Roman" w:eastAsia="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Establishing program goals</w:t>
      </w:r>
      <w:r w:rsidRPr="00C1694A">
        <w:rPr>
          <w:rFonts w:ascii="Times New Roman" w:hAnsi="Times New Roman" w:cs="Times New Roman"/>
          <w:sz w:val="24"/>
          <w:szCs w:val="24"/>
          <w:u w:val="single"/>
        </w:rPr>
        <w:t>.</w:t>
      </w:r>
      <w:r w:rsidRPr="00C1694A">
        <w:rPr>
          <w:rFonts w:ascii="Times New Roman" w:eastAsia="Times New Roman" w:hAnsi="Times New Roman" w:cs="Times New Roman"/>
          <w:b/>
          <w:sz w:val="24"/>
          <w:szCs w:val="24"/>
        </w:rPr>
        <w:t xml:space="preserve">  </w:t>
      </w:r>
      <w:r w:rsidRPr="00C1694A">
        <w:rPr>
          <w:rFonts w:ascii="Times New Roman" w:eastAsia="Times New Roman" w:hAnsi="Times New Roman" w:cs="Times New Roman"/>
          <w:sz w:val="24"/>
          <w:szCs w:val="24"/>
        </w:rPr>
        <w:t>A program, in collaboration with the governing body and policy council, must establish goals and measurable objectives that include:</w:t>
      </w:r>
    </w:p>
    <w:p w:rsidR="00C03FE8" w:rsidRPr="00C1694A" w:rsidRDefault="00C03FE8" w:rsidP="00AC521C">
      <w:pPr>
        <w:autoSpaceDE w:val="0"/>
        <w:autoSpaceDN w:val="0"/>
        <w:adjustRightInd w:val="0"/>
        <w:spacing w:after="0" w:line="480" w:lineRule="auto"/>
        <w:rPr>
          <w:rFonts w:ascii="Times New Roman" w:eastAsia="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Strategic long-term goals for ensuring programs are and remain responsive to community needs as identified in their community assessment as described in subpart A</w:t>
      </w:r>
      <w:r w:rsidR="009A5CCB">
        <w:rPr>
          <w:rFonts w:ascii="Times New Roman" w:eastAsia="Times New Roman" w:hAnsi="Times New Roman" w:cs="Times New Roman"/>
          <w:sz w:val="24"/>
          <w:szCs w:val="24"/>
        </w:rPr>
        <w:t xml:space="preserve"> of this part</w:t>
      </w:r>
      <w:r w:rsidRPr="00C1694A">
        <w:rPr>
          <w:rFonts w:ascii="Times New Roman" w:eastAsia="Times New Roman" w:hAnsi="Times New Roman" w:cs="Times New Roman"/>
          <w:sz w:val="24"/>
          <w:szCs w:val="24"/>
        </w:rPr>
        <w:t>;</w:t>
      </w:r>
    </w:p>
    <w:p w:rsidR="00C03FE8" w:rsidRPr="00C1694A" w:rsidRDefault="00C03FE8" w:rsidP="00AC521C">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 </w:t>
      </w:r>
    </w:p>
    <w:p w:rsidR="00C03FE8" w:rsidRPr="00C1694A" w:rsidRDefault="00C03FE8" w:rsidP="00AC521C">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Goals for the provision of educational, health, nutritional, and family and community engagement </w:t>
      </w:r>
      <w:r w:rsidR="008B15CA" w:rsidRPr="00C1694A">
        <w:rPr>
          <w:rFonts w:ascii="Times New Roman" w:eastAsia="Times New Roman" w:hAnsi="Times New Roman" w:cs="Times New Roman"/>
          <w:sz w:val="24"/>
          <w:szCs w:val="24"/>
        </w:rPr>
        <w:t xml:space="preserve">program </w:t>
      </w:r>
      <w:r w:rsidRPr="00C1694A">
        <w:rPr>
          <w:rFonts w:ascii="Times New Roman" w:eastAsia="Times New Roman" w:hAnsi="Times New Roman" w:cs="Times New Roman"/>
          <w:sz w:val="24"/>
          <w:szCs w:val="24"/>
        </w:rPr>
        <w:t xml:space="preserve">services as described in the program performance standards to further promote the school readiness of enrolled children; </w:t>
      </w:r>
    </w:p>
    <w:p w:rsidR="00C03FE8" w:rsidRPr="00C1694A" w:rsidRDefault="00C03FE8" w:rsidP="00AC521C">
      <w:pPr>
        <w:autoSpaceDE w:val="0"/>
        <w:autoSpaceDN w:val="0"/>
        <w:adjustRightInd w:val="0"/>
        <w:spacing w:after="0" w:line="480" w:lineRule="auto"/>
        <w:ind w:firstLine="720"/>
        <w:rPr>
          <w:rFonts w:ascii="Times New Roman" w:eastAsia="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School readiness goals that are aligned with the </w:t>
      </w:r>
      <w:r w:rsidRPr="00C1694A">
        <w:rPr>
          <w:rFonts w:ascii="Times New Roman" w:eastAsia="Times New Roman" w:hAnsi="Times New Roman" w:cs="Times New Roman"/>
          <w:sz w:val="24"/>
          <w:szCs w:val="24"/>
          <w:u w:val="single"/>
        </w:rPr>
        <w:t>Head Start Early Learning Outcomes Framework</w:t>
      </w:r>
      <w:r w:rsidR="00074148" w:rsidRPr="00C1694A">
        <w:rPr>
          <w:rFonts w:ascii="Times New Roman" w:eastAsia="Times New Roman" w:hAnsi="Times New Roman" w:cs="Times New Roman"/>
          <w:sz w:val="24"/>
          <w:szCs w:val="24"/>
          <w:u w:val="single"/>
        </w:rPr>
        <w:t>: Ages</w:t>
      </w:r>
      <w:r w:rsidRPr="00C1694A">
        <w:rPr>
          <w:rFonts w:ascii="Times New Roman" w:eastAsia="Times New Roman" w:hAnsi="Times New Roman" w:cs="Times New Roman"/>
          <w:sz w:val="24"/>
          <w:szCs w:val="24"/>
          <w:u w:val="single"/>
        </w:rPr>
        <w:t xml:space="preserve"> Birth</w:t>
      </w:r>
      <w:r w:rsidR="00074148" w:rsidRPr="00C1694A">
        <w:rPr>
          <w:rFonts w:ascii="Times New Roman" w:eastAsia="Times New Roman" w:hAnsi="Times New Roman" w:cs="Times New Roman"/>
          <w:sz w:val="24"/>
          <w:szCs w:val="24"/>
          <w:u w:val="single"/>
        </w:rPr>
        <w:t xml:space="preserve"> to Five</w:t>
      </w:r>
      <w:r w:rsidRPr="00C1694A">
        <w:rPr>
          <w:rFonts w:ascii="Times New Roman" w:eastAsia="Times New Roman" w:hAnsi="Times New Roman" w:cs="Times New Roman"/>
          <w:sz w:val="24"/>
          <w:szCs w:val="24"/>
        </w:rPr>
        <w:t>, state and tribal early learning standards, as appropriate, and requirements and expectations of schools Head Start children will attend, per the requirements of subpart B of part 1304</w:t>
      </w:r>
      <w:r w:rsidR="008A09DA">
        <w:rPr>
          <w:rFonts w:ascii="Times New Roman" w:eastAsia="Times New Roman" w:hAnsi="Times New Roman" w:cs="Times New Roman"/>
          <w:sz w:val="24"/>
          <w:szCs w:val="24"/>
        </w:rPr>
        <w:t xml:space="preserve"> of this part</w:t>
      </w:r>
      <w:r w:rsidRPr="00C1694A">
        <w:rPr>
          <w:rFonts w:ascii="Times New Roman" w:eastAsia="Times New Roman" w:hAnsi="Times New Roman" w:cs="Times New Roman"/>
          <w:sz w:val="24"/>
          <w:szCs w:val="24"/>
        </w:rPr>
        <w:t>; and,</w:t>
      </w:r>
    </w:p>
    <w:p w:rsidR="00C03FE8" w:rsidRPr="00C1694A" w:rsidRDefault="00C03FE8" w:rsidP="00AC521C">
      <w:pPr>
        <w:autoSpaceDE w:val="0"/>
        <w:autoSpaceDN w:val="0"/>
        <w:adjustRightInd w:val="0"/>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 </w:t>
      </w:r>
    </w:p>
    <w:p w:rsidR="00C03FE8" w:rsidRPr="00C1694A" w:rsidRDefault="00315408" w:rsidP="00AC521C">
      <w:pPr>
        <w:autoSpaceDE w:val="0"/>
        <w:autoSpaceDN w:val="0"/>
        <w:adjustRightInd w:val="0"/>
        <w:spacing w:after="0" w:line="480" w:lineRule="auto"/>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r>
      <w:r w:rsidR="00C03FE8" w:rsidRPr="00C1694A">
        <w:rPr>
          <w:rFonts w:ascii="Times New Roman" w:eastAsia="Times New Roman" w:hAnsi="Times New Roman" w:cs="Times New Roman"/>
          <w:sz w:val="24"/>
          <w:szCs w:val="24"/>
        </w:rPr>
        <w:t xml:space="preserve">(4) Effective health and safety practices to ensure children are safe at all times, per the requirements in §§1302.47, 1302.90(b) and (c), 1302.92(c)(1), </w:t>
      </w:r>
      <w:r w:rsidR="008A09DA">
        <w:rPr>
          <w:rFonts w:ascii="Times New Roman" w:eastAsia="Times New Roman" w:hAnsi="Times New Roman" w:cs="Times New Roman"/>
          <w:sz w:val="24"/>
          <w:szCs w:val="24"/>
        </w:rPr>
        <w:t xml:space="preserve">and </w:t>
      </w:r>
      <w:r w:rsidR="00C03FE8" w:rsidRPr="00C1694A">
        <w:rPr>
          <w:rFonts w:ascii="Times New Roman" w:eastAsia="Times New Roman" w:hAnsi="Times New Roman" w:cs="Times New Roman"/>
          <w:sz w:val="24"/>
          <w:szCs w:val="24"/>
        </w:rPr>
        <w:t xml:space="preserve">1302.94 and </w:t>
      </w:r>
      <w:r w:rsidR="008A09DA">
        <w:rPr>
          <w:rFonts w:ascii="Times New Roman" w:eastAsia="Times New Roman" w:hAnsi="Times New Roman" w:cs="Times New Roman"/>
          <w:sz w:val="24"/>
          <w:szCs w:val="24"/>
        </w:rPr>
        <w:t xml:space="preserve">part </w:t>
      </w:r>
      <w:r w:rsidR="00C03FE8" w:rsidRPr="00C1694A">
        <w:rPr>
          <w:rFonts w:ascii="Times New Roman" w:eastAsia="Times New Roman" w:hAnsi="Times New Roman" w:cs="Times New Roman"/>
          <w:sz w:val="24"/>
          <w:szCs w:val="24"/>
        </w:rPr>
        <w:t>1303</w:t>
      </w:r>
      <w:r w:rsidR="008A09DA">
        <w:rPr>
          <w:rFonts w:ascii="Times New Roman" w:eastAsia="Times New Roman" w:hAnsi="Times New Roman" w:cs="Times New Roman"/>
          <w:sz w:val="24"/>
          <w:szCs w:val="24"/>
        </w:rPr>
        <w:t>,</w:t>
      </w:r>
      <w:r w:rsidR="00C03FE8" w:rsidRPr="00C1694A">
        <w:rPr>
          <w:rFonts w:ascii="Times New Roman" w:eastAsia="Times New Roman" w:hAnsi="Times New Roman" w:cs="Times New Roman"/>
          <w:sz w:val="24"/>
          <w:szCs w:val="24"/>
        </w:rPr>
        <w:t xml:space="preserve"> subpart F</w:t>
      </w:r>
      <w:r w:rsidR="008A09DA">
        <w:rPr>
          <w:rFonts w:ascii="Times New Roman" w:eastAsia="Times New Roman" w:hAnsi="Times New Roman" w:cs="Times New Roman"/>
          <w:sz w:val="24"/>
          <w:szCs w:val="24"/>
        </w:rPr>
        <w:t>, of this chapter</w:t>
      </w:r>
      <w:r w:rsidR="00C03FE8" w:rsidRPr="00C1694A">
        <w:rPr>
          <w:rFonts w:ascii="Times New Roman" w:eastAsia="Times New Roman" w:hAnsi="Times New Roman" w:cs="Times New Roman"/>
          <w:sz w:val="24"/>
          <w:szCs w:val="24"/>
        </w:rPr>
        <w:t>.</w:t>
      </w:r>
    </w:p>
    <w:p w:rsidR="00387E42" w:rsidRPr="00C1694A" w:rsidRDefault="00387E42" w:rsidP="00AC521C">
      <w:pPr>
        <w:autoSpaceDE w:val="0"/>
        <w:autoSpaceDN w:val="0"/>
        <w:adjustRightInd w:val="0"/>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Monitoring program performance</w:t>
      </w:r>
      <w:r w:rsidR="008A09DA">
        <w:rPr>
          <w:rFonts w:ascii="Times New Roman" w:eastAsia="Times New Roman" w:hAnsi="Times New Roman" w:cs="Times New Roman"/>
          <w:b/>
          <w:sz w:val="24"/>
          <w:szCs w:val="24"/>
        </w:rPr>
        <w:t>--</w:t>
      </w:r>
      <w:r w:rsidRPr="00C1694A">
        <w:rPr>
          <w:rFonts w:ascii="Times New Roman" w:eastAsia="Times New Roman" w:hAnsi="Times New Roman" w:cs="Times New Roman"/>
          <w:sz w:val="24"/>
          <w:szCs w:val="24"/>
        </w:rPr>
        <w:t xml:space="preserve">(1) </w:t>
      </w:r>
      <w:r w:rsidRPr="00C1694A">
        <w:rPr>
          <w:rFonts w:ascii="Times New Roman" w:eastAsia="Times New Roman" w:hAnsi="Times New Roman" w:cs="Times New Roman"/>
          <w:sz w:val="24"/>
          <w:szCs w:val="24"/>
          <w:u w:val="single"/>
        </w:rPr>
        <w:t>Ongoing compliance oversight and correction.</w:t>
      </w:r>
      <w:r w:rsidRPr="00C1694A">
        <w:rPr>
          <w:rFonts w:ascii="Times New Roman" w:eastAsia="Times New Roman" w:hAnsi="Times New Roman" w:cs="Times New Roman"/>
          <w:sz w:val="24"/>
          <w:szCs w:val="24"/>
        </w:rPr>
        <w:t xml:space="preserve">  In order to ensure effective ongoing oversight and correction, a program must </w:t>
      </w:r>
      <w:r w:rsidRPr="00C1694A">
        <w:rPr>
          <w:rFonts w:ascii="Times New Roman" w:eastAsia="Calibri" w:hAnsi="Times New Roman" w:cs="Times New Roman"/>
          <w:sz w:val="24"/>
          <w:szCs w:val="24"/>
        </w:rPr>
        <w:t>establish and implement a system of ongoing oversight that ensure</w:t>
      </w:r>
      <w:r w:rsidR="00E56F49" w:rsidRPr="00C1694A">
        <w:rPr>
          <w:rFonts w:ascii="Times New Roman" w:eastAsia="Calibri" w:hAnsi="Times New Roman" w:cs="Times New Roman"/>
          <w:sz w:val="24"/>
          <w:szCs w:val="24"/>
        </w:rPr>
        <w:t>s</w:t>
      </w:r>
      <w:r w:rsidRPr="00C1694A">
        <w:rPr>
          <w:rFonts w:ascii="Times New Roman" w:eastAsia="Calibri" w:hAnsi="Times New Roman" w:cs="Times New Roman"/>
          <w:sz w:val="24"/>
          <w:szCs w:val="24"/>
        </w:rPr>
        <w:t xml:space="preserve"> effective implementation of the program performance standards, including ensuring child safety, and other applicable federal regulations as described in this part, and must:</w:t>
      </w:r>
    </w:p>
    <w:p w:rsidR="00C03FE8" w:rsidRPr="00C1694A" w:rsidRDefault="00C03FE8" w:rsidP="00AC521C">
      <w:pPr>
        <w:tabs>
          <w:tab w:val="num" w:pos="720"/>
        </w:tabs>
        <w:spacing w:after="0" w:line="480" w:lineRule="auto"/>
        <w:contextualSpacing/>
        <w:rPr>
          <w:rFonts w:ascii="Times New Roman" w:eastAsia="Calibri" w:hAnsi="Times New Roman" w:cs="Times New Roman"/>
          <w:sz w:val="24"/>
          <w:szCs w:val="24"/>
        </w:rPr>
      </w:pPr>
    </w:p>
    <w:p w:rsidR="00A1421D" w:rsidRPr="00C1694A" w:rsidRDefault="00C03FE8" w:rsidP="00AC521C">
      <w:pPr>
        <w:tabs>
          <w:tab w:val="num" w:pos="720"/>
        </w:tabs>
        <w:spacing w:after="0" w:line="480" w:lineRule="auto"/>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ab/>
        <w:t xml:space="preserve">(i) </w:t>
      </w:r>
      <w:r w:rsidR="00A1421D" w:rsidRPr="00C1694A">
        <w:rPr>
          <w:rFonts w:ascii="Times New Roman" w:eastAsia="Calibri" w:hAnsi="Times New Roman" w:cs="Times New Roman"/>
          <w:sz w:val="24"/>
          <w:szCs w:val="24"/>
        </w:rPr>
        <w:t xml:space="preserve">Collect and use data to inform this process; </w:t>
      </w:r>
    </w:p>
    <w:p w:rsidR="00A1421D" w:rsidRPr="00C1694A" w:rsidRDefault="00A1421D" w:rsidP="00AC521C">
      <w:pPr>
        <w:tabs>
          <w:tab w:val="num" w:pos="720"/>
        </w:tabs>
        <w:spacing w:after="0" w:line="480" w:lineRule="auto"/>
        <w:contextualSpacing/>
        <w:rPr>
          <w:rFonts w:ascii="Times New Roman" w:eastAsia="Calibri" w:hAnsi="Times New Roman" w:cs="Times New Roman"/>
          <w:sz w:val="24"/>
          <w:szCs w:val="24"/>
        </w:rPr>
      </w:pPr>
    </w:p>
    <w:p w:rsidR="00C03FE8" w:rsidRPr="00C1694A" w:rsidRDefault="00A1421D" w:rsidP="00AC521C">
      <w:pPr>
        <w:tabs>
          <w:tab w:val="num" w:pos="720"/>
        </w:tabs>
        <w:spacing w:after="0" w:line="480" w:lineRule="auto"/>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ab/>
        <w:t xml:space="preserve">(ii) </w:t>
      </w:r>
      <w:r w:rsidR="00C03FE8" w:rsidRPr="00C1694A">
        <w:rPr>
          <w:rFonts w:ascii="Times New Roman" w:eastAsia="Calibri" w:hAnsi="Times New Roman" w:cs="Times New Roman"/>
          <w:sz w:val="24"/>
          <w:szCs w:val="24"/>
        </w:rPr>
        <w:t xml:space="preserve">Correct quality and compliance issues immediately, or as quickly as possible; </w:t>
      </w:r>
    </w:p>
    <w:p w:rsidR="00C03FE8" w:rsidRPr="00C1694A" w:rsidRDefault="00C03FE8" w:rsidP="00AC521C">
      <w:pPr>
        <w:tabs>
          <w:tab w:val="num" w:pos="720"/>
        </w:tabs>
        <w:spacing w:after="0" w:line="480" w:lineRule="auto"/>
        <w:contextualSpacing/>
        <w:rPr>
          <w:rFonts w:ascii="Times New Roman" w:eastAsia="Calibri" w:hAnsi="Times New Roman" w:cs="Times New Roman"/>
          <w:sz w:val="24"/>
          <w:szCs w:val="24"/>
        </w:rPr>
      </w:pPr>
    </w:p>
    <w:p w:rsidR="00C03FE8" w:rsidRPr="00C1694A" w:rsidRDefault="00C03FE8" w:rsidP="00AC521C">
      <w:pPr>
        <w:tabs>
          <w:tab w:val="num" w:pos="720"/>
        </w:tabs>
        <w:spacing w:after="0" w:line="480" w:lineRule="auto"/>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ab/>
        <w:t>(ii</w:t>
      </w:r>
      <w:r w:rsidR="00A1421D" w:rsidRPr="00C1694A">
        <w:rPr>
          <w:rFonts w:ascii="Times New Roman" w:eastAsia="Calibri" w:hAnsi="Times New Roman" w:cs="Times New Roman"/>
          <w:sz w:val="24"/>
          <w:szCs w:val="24"/>
        </w:rPr>
        <w:t>i</w:t>
      </w:r>
      <w:r w:rsidRPr="00C1694A">
        <w:rPr>
          <w:rFonts w:ascii="Times New Roman" w:eastAsia="Calibri" w:hAnsi="Times New Roman" w:cs="Times New Roman"/>
          <w:sz w:val="24"/>
          <w:szCs w:val="24"/>
        </w:rPr>
        <w:t>) Work with the governing body and the policy council to address issues during the ongoing oversight and correction process and during federal oversight; and,</w:t>
      </w:r>
    </w:p>
    <w:p w:rsidR="00C03FE8" w:rsidRPr="00C1694A" w:rsidRDefault="00C03FE8" w:rsidP="00AC521C">
      <w:pPr>
        <w:tabs>
          <w:tab w:val="num" w:pos="720"/>
        </w:tabs>
        <w:spacing w:after="0" w:line="480" w:lineRule="auto"/>
        <w:contextualSpacing/>
        <w:rPr>
          <w:rFonts w:ascii="Times New Roman" w:eastAsia="Calibri" w:hAnsi="Times New Roman" w:cs="Times New Roman"/>
          <w:sz w:val="24"/>
          <w:szCs w:val="24"/>
        </w:rPr>
      </w:pPr>
    </w:p>
    <w:p w:rsidR="00C03FE8" w:rsidRPr="00C1694A" w:rsidRDefault="00C03FE8" w:rsidP="00AC521C">
      <w:pPr>
        <w:tabs>
          <w:tab w:val="num" w:pos="720"/>
        </w:tabs>
        <w:spacing w:after="0" w:line="480" w:lineRule="auto"/>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ab/>
        <w:t>(i</w:t>
      </w:r>
      <w:r w:rsidR="00A1421D" w:rsidRPr="00C1694A">
        <w:rPr>
          <w:rFonts w:ascii="Times New Roman" w:eastAsia="Calibri" w:hAnsi="Times New Roman" w:cs="Times New Roman"/>
          <w:sz w:val="24"/>
          <w:szCs w:val="24"/>
        </w:rPr>
        <w:t>v</w:t>
      </w:r>
      <w:r w:rsidRPr="00C1694A">
        <w:rPr>
          <w:rFonts w:ascii="Times New Roman" w:eastAsia="Calibri" w:hAnsi="Times New Roman" w:cs="Times New Roman"/>
          <w:sz w:val="24"/>
          <w:szCs w:val="24"/>
        </w:rPr>
        <w:t>) Implement procedures that prevent recurrence of previous quality and compliance issues, including previously identified deficiencies, safety incidents, and audit findings.</w:t>
      </w:r>
    </w:p>
    <w:p w:rsidR="00C03FE8" w:rsidRPr="00C1694A" w:rsidRDefault="00C03FE8" w:rsidP="00AC521C">
      <w:pPr>
        <w:spacing w:after="0" w:line="480" w:lineRule="auto"/>
        <w:contextualSpacing/>
        <w:rPr>
          <w:rFonts w:ascii="Times New Roman" w:eastAsia="+mn-ea" w:hAnsi="Times New Roman" w:cs="Times New Roman"/>
          <w:sz w:val="24"/>
          <w:szCs w:val="24"/>
        </w:rPr>
      </w:pPr>
    </w:p>
    <w:p w:rsidR="00C03FE8" w:rsidRPr="00C1694A" w:rsidRDefault="00C03FE8" w:rsidP="00AC521C">
      <w:pPr>
        <w:spacing w:after="0" w:line="480" w:lineRule="auto"/>
        <w:ind w:firstLine="720"/>
        <w:contextualSpacing/>
        <w:rPr>
          <w:rFonts w:ascii="Times New Roman" w:eastAsia="+mn-ea" w:hAnsi="Times New Roman" w:cs="Times New Roman"/>
          <w:sz w:val="24"/>
          <w:szCs w:val="24"/>
        </w:rPr>
      </w:pPr>
      <w:r w:rsidRPr="00C1694A">
        <w:rPr>
          <w:rFonts w:ascii="Times New Roman" w:eastAsia="+mn-ea" w:hAnsi="Times New Roman" w:cs="Times New Roman"/>
          <w:sz w:val="24"/>
          <w:szCs w:val="24"/>
        </w:rPr>
        <w:t xml:space="preserve">(2) </w:t>
      </w:r>
      <w:r w:rsidRPr="00C1694A">
        <w:rPr>
          <w:rFonts w:ascii="Times New Roman" w:eastAsia="+mn-ea" w:hAnsi="Times New Roman" w:cs="Times New Roman"/>
          <w:sz w:val="24"/>
          <w:szCs w:val="24"/>
          <w:u w:val="single"/>
        </w:rPr>
        <w:t>Ongoing assessment of program goals.</w:t>
      </w:r>
      <w:r w:rsidRPr="00C1694A">
        <w:rPr>
          <w:rFonts w:ascii="Times New Roman" w:eastAsia="+mn-ea" w:hAnsi="Times New Roman" w:cs="Times New Roman"/>
          <w:sz w:val="24"/>
          <w:szCs w:val="24"/>
        </w:rPr>
        <w:t xml:space="preserve">  A program must effectively oversee progress towards program goals on an ongoing basis and annually must:</w:t>
      </w:r>
    </w:p>
    <w:p w:rsidR="00C03FE8" w:rsidRPr="00C1694A" w:rsidRDefault="00C03FE8" w:rsidP="00AC521C">
      <w:pPr>
        <w:spacing w:after="0" w:line="480" w:lineRule="auto"/>
        <w:contextualSpacing/>
        <w:rPr>
          <w:rFonts w:ascii="Times New Roman" w:eastAsia="+mn-ea" w:hAnsi="Times New Roman" w:cs="Times New Roman"/>
          <w:sz w:val="24"/>
          <w:szCs w:val="24"/>
        </w:rPr>
      </w:pPr>
    </w:p>
    <w:p w:rsidR="00C03FE8" w:rsidRPr="00C1694A" w:rsidRDefault="00C03FE8" w:rsidP="00AC521C">
      <w:pPr>
        <w:spacing w:after="0" w:line="480" w:lineRule="auto"/>
        <w:ind w:firstLine="720"/>
        <w:contextualSpacing/>
        <w:rPr>
          <w:rFonts w:ascii="Times New Roman" w:eastAsia="Times New Roman" w:hAnsi="Times New Roman" w:cs="Times New Roman"/>
          <w:sz w:val="24"/>
          <w:szCs w:val="24"/>
        </w:rPr>
      </w:pPr>
      <w:r w:rsidRPr="00C1694A">
        <w:rPr>
          <w:rFonts w:ascii="Times New Roman" w:eastAsia="+mn-ea" w:hAnsi="Times New Roman" w:cs="Times New Roman"/>
          <w:sz w:val="24"/>
          <w:szCs w:val="24"/>
        </w:rPr>
        <w:t xml:space="preserve">(i) Conduct a self-assessment that uses program data </w:t>
      </w:r>
      <w:r w:rsidRPr="00C1694A">
        <w:rPr>
          <w:rFonts w:ascii="Times New Roman" w:eastAsia="Times New Roman" w:hAnsi="Times New Roman" w:cs="Times New Roman"/>
          <w:sz w:val="24"/>
          <w:szCs w:val="24"/>
        </w:rPr>
        <w:t xml:space="preserve">including aggregated child assessment data, and </w:t>
      </w:r>
      <w:r w:rsidRPr="00C1694A">
        <w:rPr>
          <w:rFonts w:ascii="Times New Roman" w:eastAsia="+mn-ea" w:hAnsi="Times New Roman" w:cs="Times New Roman"/>
          <w:sz w:val="24"/>
          <w:szCs w:val="24"/>
        </w:rPr>
        <w:t xml:space="preserve">professional development and parent and family engagement data as appropriate, to evaluate </w:t>
      </w:r>
      <w:r w:rsidRPr="00C1694A">
        <w:rPr>
          <w:rFonts w:ascii="Times New Roman" w:eastAsia="Times New Roman" w:hAnsi="Times New Roman" w:cs="Times New Roman"/>
          <w:sz w:val="24"/>
          <w:szCs w:val="24"/>
        </w:rPr>
        <w:t>the program’s progress towards meeting goals established under paragraph (a)</w:t>
      </w:r>
      <w:r w:rsidR="009A5CCB">
        <w:rPr>
          <w:rFonts w:ascii="Times New Roman" w:eastAsia="Times New Roman" w:hAnsi="Times New Roman" w:cs="Times New Roman"/>
          <w:sz w:val="24"/>
          <w:szCs w:val="24"/>
        </w:rPr>
        <w:t xml:space="preserve"> of this section</w:t>
      </w:r>
      <w:r w:rsidRPr="00C1694A">
        <w:rPr>
          <w:rFonts w:ascii="Times New Roman" w:eastAsia="Times New Roman" w:hAnsi="Times New Roman" w:cs="Times New Roman"/>
          <w:sz w:val="24"/>
          <w:szCs w:val="24"/>
        </w:rPr>
        <w:t xml:space="preserve">, compliance with program performance standards throughout the program year, and the effectiveness of the professional development and family engagement systems in promoting school readiness; </w:t>
      </w:r>
    </w:p>
    <w:p w:rsidR="00C03FE8" w:rsidRPr="00C1694A" w:rsidRDefault="00C03FE8" w:rsidP="00AC521C">
      <w:pPr>
        <w:spacing w:after="0" w:line="480" w:lineRule="auto"/>
        <w:ind w:firstLine="720"/>
        <w:contextualSpacing/>
        <w:rPr>
          <w:rFonts w:ascii="Times New Roman" w:eastAsia="Times New Roman" w:hAnsi="Times New Roman" w:cs="Times New Roman"/>
          <w:sz w:val="24"/>
          <w:szCs w:val="24"/>
        </w:rPr>
      </w:pPr>
    </w:p>
    <w:p w:rsidR="00C03FE8" w:rsidRPr="00C1694A" w:rsidRDefault="00C03FE8" w:rsidP="00AC521C">
      <w:pPr>
        <w:spacing w:after="0" w:line="480" w:lineRule="auto"/>
        <w:ind w:firstLine="720"/>
        <w:contextualSpacing/>
        <w:rPr>
          <w:rFonts w:ascii="Times New Roman" w:eastAsia="Times New Roman" w:hAnsi="Times New Roman" w:cs="Times New Roman"/>
          <w:sz w:val="24"/>
          <w:szCs w:val="24"/>
        </w:rPr>
      </w:pPr>
      <w:r w:rsidRPr="00C1694A">
        <w:rPr>
          <w:rFonts w:ascii="Times New Roman" w:eastAsia="+mn-ea" w:hAnsi="Times New Roman" w:cs="Times New Roman"/>
          <w:sz w:val="24"/>
          <w:szCs w:val="24"/>
        </w:rPr>
        <w:t xml:space="preserve">(ii) Communicate and collaborate with </w:t>
      </w:r>
      <w:r w:rsidRPr="00C1694A">
        <w:rPr>
          <w:rFonts w:ascii="Times New Roman" w:eastAsia="Times New Roman" w:hAnsi="Times New Roman" w:cs="Times New Roman"/>
          <w:sz w:val="24"/>
          <w:szCs w:val="24"/>
        </w:rPr>
        <w:t>the governing body and policy council, program staff, and parents of enrolled children when conducting the annual self-assessment; and,</w:t>
      </w:r>
    </w:p>
    <w:p w:rsidR="00C03FE8" w:rsidRPr="00C1694A" w:rsidRDefault="00C03FE8" w:rsidP="00AC521C">
      <w:pPr>
        <w:spacing w:after="0" w:line="480" w:lineRule="auto"/>
        <w:contextualSpacing/>
        <w:rPr>
          <w:rFonts w:ascii="Times New Roman" w:eastAsia="Times New Roman" w:hAnsi="Times New Roman" w:cs="Times New Roman"/>
          <w:sz w:val="24"/>
          <w:szCs w:val="24"/>
        </w:rPr>
      </w:pPr>
    </w:p>
    <w:p w:rsidR="00C03FE8" w:rsidRPr="00C1694A" w:rsidRDefault="00C03FE8" w:rsidP="00AC521C">
      <w:pPr>
        <w:spacing w:after="0" w:line="480" w:lineRule="auto"/>
        <w:ind w:firstLine="720"/>
        <w:contextualSpacing/>
        <w:rPr>
          <w:rFonts w:ascii="Times New Roman" w:eastAsia="+mn-ea" w:hAnsi="Times New Roman" w:cs="Times New Roman"/>
          <w:sz w:val="24"/>
          <w:szCs w:val="24"/>
        </w:rPr>
      </w:pPr>
      <w:r w:rsidRPr="00C1694A">
        <w:rPr>
          <w:rFonts w:ascii="Times New Roman" w:eastAsia="Times New Roman" w:hAnsi="Times New Roman" w:cs="Times New Roman"/>
          <w:sz w:val="24"/>
          <w:szCs w:val="24"/>
        </w:rPr>
        <w:t xml:space="preserve">(iii) </w:t>
      </w:r>
      <w:r w:rsidRPr="00C1694A">
        <w:rPr>
          <w:rFonts w:ascii="Times New Roman" w:eastAsia="+mn-ea" w:hAnsi="Times New Roman" w:cs="Times New Roman"/>
          <w:sz w:val="24"/>
          <w:szCs w:val="24"/>
        </w:rPr>
        <w:t>Submit findings of the self-assessment, including information listed in paragraph (b)(2)(i) of this section to the responsible HHS official.</w:t>
      </w:r>
    </w:p>
    <w:p w:rsidR="00C03FE8" w:rsidRPr="00C1694A" w:rsidRDefault="00C03FE8" w:rsidP="00AC521C">
      <w:pPr>
        <w:spacing w:after="0" w:line="480" w:lineRule="auto"/>
        <w:contextualSpacing/>
        <w:rPr>
          <w:rFonts w:ascii="Times New Roman" w:eastAsia="+mn-ea" w:hAnsi="Times New Roman" w:cs="Times New Roman"/>
          <w:sz w:val="24"/>
          <w:szCs w:val="24"/>
        </w:rPr>
      </w:pPr>
    </w:p>
    <w:p w:rsidR="00C03FE8" w:rsidRPr="00C1694A" w:rsidRDefault="00C03FE8" w:rsidP="00AC521C">
      <w:pPr>
        <w:spacing w:after="0" w:line="480" w:lineRule="auto"/>
        <w:ind w:firstLine="720"/>
        <w:contextualSpacing/>
        <w:rPr>
          <w:rFonts w:ascii="Times New Roman" w:eastAsia="+mn-ea" w:hAnsi="Times New Roman" w:cs="Times New Roman"/>
          <w:sz w:val="24"/>
          <w:szCs w:val="24"/>
        </w:rPr>
      </w:pPr>
      <w:r w:rsidRPr="00C1694A">
        <w:rPr>
          <w:rFonts w:ascii="Times New Roman" w:eastAsia="+mn-ea" w:hAnsi="Times New Roman" w:cs="Times New Roman"/>
          <w:sz w:val="24"/>
          <w:szCs w:val="24"/>
        </w:rPr>
        <w:t xml:space="preserve">(c) </w:t>
      </w:r>
      <w:r w:rsidRPr="00C1694A">
        <w:rPr>
          <w:rFonts w:ascii="Times New Roman" w:eastAsia="+mn-ea" w:hAnsi="Times New Roman" w:cs="Times New Roman"/>
          <w:sz w:val="24"/>
          <w:szCs w:val="24"/>
          <w:u w:val="single"/>
        </w:rPr>
        <w:t>Using data for continuous improvement</w:t>
      </w:r>
      <w:r w:rsidRPr="00C1694A">
        <w:rPr>
          <w:rFonts w:ascii="Times New Roman" w:eastAsia="+mn-ea" w:hAnsi="Times New Roman" w:cs="Times New Roman"/>
          <w:sz w:val="24"/>
          <w:szCs w:val="24"/>
        </w:rPr>
        <w:t>.</w:t>
      </w:r>
      <w:r w:rsidRPr="00C1694A">
        <w:rPr>
          <w:rFonts w:ascii="Times New Roman" w:eastAsia="+mn-ea" w:hAnsi="Times New Roman" w:cs="Times New Roman"/>
          <w:b/>
          <w:sz w:val="24"/>
          <w:szCs w:val="24"/>
        </w:rPr>
        <w:t xml:space="preserve">  </w:t>
      </w:r>
      <w:r w:rsidRPr="00C1694A">
        <w:rPr>
          <w:rFonts w:ascii="Times New Roman" w:eastAsia="+mn-ea" w:hAnsi="Times New Roman" w:cs="Times New Roman"/>
          <w:sz w:val="24"/>
          <w:szCs w:val="24"/>
        </w:rPr>
        <w:t xml:space="preserve">(1) A program must implement a process for using data to identify program strengths and needs, develop and implement plans that address program needs, and continually evaluate compliance with program performance standards and progress towards achieving program goals described in </w:t>
      </w:r>
      <w:r w:rsidR="008A09DA">
        <w:rPr>
          <w:rFonts w:ascii="Times New Roman" w:eastAsia="+mn-ea" w:hAnsi="Times New Roman" w:cs="Times New Roman"/>
          <w:sz w:val="24"/>
          <w:szCs w:val="24"/>
        </w:rPr>
        <w:t xml:space="preserve">paragraph </w:t>
      </w:r>
      <w:r w:rsidRPr="00C1694A">
        <w:rPr>
          <w:rFonts w:ascii="Times New Roman" w:eastAsia="+mn-ea" w:hAnsi="Times New Roman" w:cs="Times New Roman"/>
          <w:sz w:val="24"/>
          <w:szCs w:val="24"/>
        </w:rPr>
        <w:t>(a)</w:t>
      </w:r>
      <w:r w:rsidR="008A09DA">
        <w:rPr>
          <w:rFonts w:ascii="Times New Roman" w:eastAsia="+mn-ea" w:hAnsi="Times New Roman" w:cs="Times New Roman"/>
          <w:sz w:val="24"/>
          <w:szCs w:val="24"/>
        </w:rPr>
        <w:t xml:space="preserve"> of this section</w:t>
      </w:r>
      <w:r w:rsidRPr="00C1694A">
        <w:rPr>
          <w:rFonts w:ascii="Times New Roman" w:eastAsia="+mn-ea" w:hAnsi="Times New Roman" w:cs="Times New Roman"/>
          <w:sz w:val="24"/>
          <w:szCs w:val="24"/>
        </w:rPr>
        <w:t xml:space="preserve">. </w:t>
      </w:r>
    </w:p>
    <w:p w:rsidR="00C03FE8" w:rsidRPr="00C1694A" w:rsidRDefault="00C03FE8" w:rsidP="00AC521C">
      <w:pPr>
        <w:spacing w:after="0" w:line="480" w:lineRule="auto"/>
        <w:contextualSpacing/>
        <w:rPr>
          <w:rFonts w:ascii="Times New Roman" w:eastAsia="+mn-ea"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eastAsia="+mn-ea" w:hAnsi="Times New Roman" w:cs="Times New Roman"/>
          <w:sz w:val="24"/>
          <w:szCs w:val="24"/>
        </w:rPr>
      </w:pPr>
      <w:r w:rsidRPr="00C1694A">
        <w:rPr>
          <w:rFonts w:ascii="Times New Roman" w:eastAsia="+mn-ea" w:hAnsi="Times New Roman" w:cs="Times New Roman"/>
          <w:sz w:val="24"/>
          <w:szCs w:val="24"/>
        </w:rPr>
        <w:t>(2) This process must:</w:t>
      </w:r>
    </w:p>
    <w:p w:rsidR="00C03FE8" w:rsidRPr="00C1694A" w:rsidRDefault="00C03FE8" w:rsidP="00AC521C">
      <w:pPr>
        <w:tabs>
          <w:tab w:val="left" w:pos="360"/>
        </w:tabs>
        <w:spacing w:after="0" w:line="480" w:lineRule="auto"/>
        <w:rPr>
          <w:rFonts w:ascii="Times New Roman" w:eastAsia="+mn-ea" w:hAnsi="Times New Roman" w:cs="Times New Roman"/>
          <w:sz w:val="24"/>
          <w:szCs w:val="24"/>
        </w:rPr>
      </w:pPr>
    </w:p>
    <w:p w:rsidR="00C03FE8" w:rsidRPr="00C1694A" w:rsidRDefault="00C03FE8" w:rsidP="00AC521C">
      <w:pPr>
        <w:tabs>
          <w:tab w:val="left" w:pos="360"/>
          <w:tab w:val="num" w:pos="720"/>
        </w:tabs>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(i) Ensure data is aggregated, analyzed and compared in such a way to assist agencies in identifying risks and informing strategies for continuous improvement in all program service areas;</w:t>
      </w:r>
    </w:p>
    <w:p w:rsidR="00C03FE8" w:rsidRPr="00C1694A" w:rsidRDefault="00C03FE8" w:rsidP="00AC521C">
      <w:pPr>
        <w:tabs>
          <w:tab w:val="left" w:pos="360"/>
          <w:tab w:val="num" w:pos="720"/>
        </w:tabs>
        <w:spacing w:after="0" w:line="480" w:lineRule="auto"/>
        <w:contextualSpacing/>
        <w:rPr>
          <w:rFonts w:ascii="Times New Roman" w:eastAsia="Calibri" w:hAnsi="Times New Roman" w:cs="Times New Roman"/>
          <w:sz w:val="24"/>
          <w:szCs w:val="24"/>
        </w:rPr>
      </w:pPr>
    </w:p>
    <w:p w:rsidR="00C03FE8" w:rsidRPr="00C1694A" w:rsidRDefault="00C03FE8" w:rsidP="00AC521C">
      <w:pPr>
        <w:tabs>
          <w:tab w:val="left" w:pos="360"/>
        </w:tabs>
        <w:spacing w:after="0" w:line="480" w:lineRule="auto"/>
        <w:contextualSpacing/>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 xml:space="preserve">(ii) Ensure child-level assessment data is aggregated and analyzed at least three times a year, including for sub-groups, such as dual language learners and children with disabilities, as appropriate, except in programs operating </w:t>
      </w:r>
      <w:r w:rsidR="00E56F49" w:rsidRPr="00C1694A">
        <w:rPr>
          <w:rFonts w:ascii="Times New Roman" w:eastAsia="Times New Roman" w:hAnsi="Times New Roman" w:cs="Times New Roman"/>
          <w:sz w:val="24"/>
          <w:szCs w:val="24"/>
        </w:rPr>
        <w:t xml:space="preserve">fewer </w:t>
      </w:r>
      <w:r w:rsidRPr="00C1694A">
        <w:rPr>
          <w:rFonts w:ascii="Times New Roman" w:eastAsia="Times New Roman" w:hAnsi="Times New Roman" w:cs="Times New Roman"/>
          <w:sz w:val="24"/>
          <w:szCs w:val="24"/>
        </w:rPr>
        <w:t xml:space="preserve">than 90 days, and used with other program data described in paragraph </w:t>
      </w:r>
      <w:r w:rsidR="008A09DA">
        <w:rPr>
          <w:rFonts w:ascii="Times New Roman" w:eastAsia="Times New Roman" w:hAnsi="Times New Roman" w:cs="Times New Roman"/>
          <w:sz w:val="24"/>
          <w:szCs w:val="24"/>
        </w:rPr>
        <w:t>(c)(2)</w:t>
      </w:r>
      <w:r w:rsidRPr="00C1694A">
        <w:rPr>
          <w:rFonts w:ascii="Times New Roman" w:eastAsia="Times New Roman" w:hAnsi="Times New Roman" w:cs="Times New Roman"/>
          <w:sz w:val="24"/>
          <w:szCs w:val="24"/>
        </w:rPr>
        <w:t xml:space="preserve">(iv) </w:t>
      </w:r>
      <w:r w:rsidR="008A09DA">
        <w:rPr>
          <w:rFonts w:ascii="Times New Roman" w:eastAsia="Times New Roman" w:hAnsi="Times New Roman" w:cs="Times New Roman"/>
          <w:sz w:val="24"/>
          <w:szCs w:val="24"/>
        </w:rPr>
        <w:t xml:space="preserve">of this section </w:t>
      </w:r>
      <w:r w:rsidRPr="00C1694A">
        <w:rPr>
          <w:rFonts w:ascii="Times New Roman" w:eastAsia="Times New Roman" w:hAnsi="Times New Roman" w:cs="Times New Roman"/>
          <w:sz w:val="24"/>
          <w:szCs w:val="24"/>
        </w:rPr>
        <w:t xml:space="preserve">to direct continuous improvement related to curriculum choice and implementation, teaching practices, professional development, program design and other program decisions, including changing or targeting scope of services; </w:t>
      </w:r>
      <w:r w:rsidRPr="00C1694A">
        <w:rPr>
          <w:rFonts w:ascii="Times New Roman" w:eastAsia="Calibri" w:hAnsi="Times New Roman" w:cs="Times New Roman"/>
          <w:sz w:val="24"/>
          <w:szCs w:val="24"/>
        </w:rPr>
        <w:t xml:space="preserve">and, </w:t>
      </w:r>
    </w:p>
    <w:p w:rsidR="00C03FE8" w:rsidRPr="00C1694A" w:rsidRDefault="00C03FE8" w:rsidP="00AC521C">
      <w:pPr>
        <w:spacing w:after="0" w:line="480" w:lineRule="auto"/>
        <w:contextualSpacing/>
        <w:rPr>
          <w:rFonts w:ascii="Times New Roman" w:eastAsia="Calibri" w:hAnsi="Times New Roman" w:cs="Times New Roman"/>
          <w:sz w:val="24"/>
          <w:szCs w:val="24"/>
        </w:rPr>
      </w:pPr>
    </w:p>
    <w:p w:rsidR="00C03FE8" w:rsidRPr="00C1694A" w:rsidRDefault="00C03FE8" w:rsidP="00AC521C">
      <w:pPr>
        <w:tabs>
          <w:tab w:val="left" w:pos="0"/>
          <w:tab w:val="left" w:pos="720"/>
        </w:tabs>
        <w:spacing w:after="0" w:line="480" w:lineRule="auto"/>
        <w:contextualSpacing/>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b/>
        <w:t xml:space="preserve">(iii) For </w:t>
      </w:r>
      <w:r w:rsidRPr="00C1694A">
        <w:rPr>
          <w:rFonts w:ascii="Times New Roman" w:hAnsi="Times New Roman" w:cs="Times New Roman"/>
          <w:sz w:val="24"/>
          <w:szCs w:val="24"/>
        </w:rPr>
        <w:t xml:space="preserve">programs operating fewer than 90 days, ensures child assessment data is aggregated and analyzed at least twice during the program operating period, including for subgroups, such as dual language learners and children with disabilities, as appropriate, </w:t>
      </w:r>
      <w:r w:rsidRPr="00C1694A">
        <w:rPr>
          <w:rFonts w:ascii="Times New Roman" w:eastAsia="Times New Roman" w:hAnsi="Times New Roman" w:cs="Times New Roman"/>
          <w:sz w:val="24"/>
          <w:szCs w:val="24"/>
        </w:rPr>
        <w:t xml:space="preserve">and used with other program data described in paragraph </w:t>
      </w:r>
      <w:r w:rsidR="008A09DA">
        <w:rPr>
          <w:rFonts w:ascii="Times New Roman" w:eastAsia="Times New Roman" w:hAnsi="Times New Roman" w:cs="Times New Roman"/>
          <w:sz w:val="24"/>
          <w:szCs w:val="24"/>
        </w:rPr>
        <w:t>(c)(2)</w:t>
      </w:r>
      <w:r w:rsidRPr="00C1694A">
        <w:rPr>
          <w:rFonts w:ascii="Times New Roman" w:eastAsia="Times New Roman" w:hAnsi="Times New Roman" w:cs="Times New Roman"/>
          <w:sz w:val="24"/>
          <w:szCs w:val="24"/>
        </w:rPr>
        <w:t>(iv)</w:t>
      </w:r>
      <w:r w:rsidR="008A09DA">
        <w:rPr>
          <w:rFonts w:ascii="Times New Roman" w:eastAsia="Times New Roman" w:hAnsi="Times New Roman" w:cs="Times New Roman"/>
          <w:sz w:val="24"/>
          <w:szCs w:val="24"/>
        </w:rPr>
        <w:t xml:space="preserve"> of this section</w:t>
      </w:r>
      <w:r w:rsidRPr="00C1694A">
        <w:rPr>
          <w:rFonts w:ascii="Times New Roman" w:eastAsia="Times New Roman" w:hAnsi="Times New Roman" w:cs="Times New Roman"/>
          <w:sz w:val="24"/>
          <w:szCs w:val="24"/>
        </w:rPr>
        <w:t xml:space="preserve"> to direct continuous improvement related to curriculum choice and implementation, teaching practices, professional development, program design and other program decisions, including changing or targeting scope of services;</w:t>
      </w:r>
    </w:p>
    <w:p w:rsidR="00C03FE8" w:rsidRPr="00C1694A" w:rsidRDefault="00C03FE8" w:rsidP="00AC521C">
      <w:pPr>
        <w:tabs>
          <w:tab w:val="left" w:pos="0"/>
          <w:tab w:val="left" w:pos="360"/>
          <w:tab w:val="left" w:pos="1440"/>
        </w:tabs>
        <w:spacing w:after="0" w:line="480" w:lineRule="auto"/>
        <w:contextualSpacing/>
        <w:rPr>
          <w:rFonts w:ascii="Times New Roman" w:eastAsia="Times New Roman" w:hAnsi="Times New Roman" w:cs="Times New Roman"/>
          <w:sz w:val="24"/>
          <w:szCs w:val="24"/>
        </w:rPr>
      </w:pPr>
    </w:p>
    <w:p w:rsidR="00C03FE8" w:rsidRPr="00C1694A" w:rsidRDefault="00C03FE8" w:rsidP="00AC521C">
      <w:pPr>
        <w:tabs>
          <w:tab w:val="left" w:pos="270"/>
          <w:tab w:val="left" w:pos="720"/>
        </w:tabs>
        <w:spacing w:after="0" w:line="480" w:lineRule="auto"/>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ab/>
      </w:r>
      <w:r w:rsidRPr="00C1694A">
        <w:rPr>
          <w:rFonts w:ascii="Times New Roman" w:eastAsia="Calibri" w:hAnsi="Times New Roman" w:cs="Times New Roman"/>
          <w:sz w:val="24"/>
          <w:szCs w:val="24"/>
        </w:rPr>
        <w:tab/>
        <w:t>(iv) Use information from ongoing monitoring and the annual self-assessment, and program data on teaching practice, staffing and professional development, child-level assessments, family needs assessments, and comprehensive services, to identify program needs, and develop and implement plans for program improvement; and,</w:t>
      </w:r>
    </w:p>
    <w:p w:rsidR="00C03FE8" w:rsidRPr="00C1694A" w:rsidRDefault="00C03FE8" w:rsidP="00AC521C">
      <w:pPr>
        <w:tabs>
          <w:tab w:val="left" w:pos="270"/>
          <w:tab w:val="num" w:pos="720"/>
        </w:tabs>
        <w:spacing w:after="0" w:line="480" w:lineRule="auto"/>
        <w:contextualSpacing/>
        <w:rPr>
          <w:rFonts w:ascii="Times New Roman" w:eastAsia="Calibri" w:hAnsi="Times New Roman" w:cs="Times New Roman"/>
          <w:sz w:val="24"/>
          <w:szCs w:val="24"/>
        </w:rPr>
      </w:pPr>
    </w:p>
    <w:p w:rsidR="00C03FE8" w:rsidRPr="00C1694A" w:rsidRDefault="00C03FE8" w:rsidP="00AC521C">
      <w:pPr>
        <w:tabs>
          <w:tab w:val="left" w:pos="0"/>
          <w:tab w:val="left" w:pos="360"/>
          <w:tab w:val="left" w:pos="720"/>
          <w:tab w:val="left" w:pos="1440"/>
        </w:tabs>
        <w:spacing w:after="0" w:line="480" w:lineRule="auto"/>
        <w:contextualSpacing/>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ab/>
      </w:r>
      <w:r w:rsidRPr="00C1694A">
        <w:rPr>
          <w:rFonts w:ascii="Times New Roman" w:eastAsia="Calibri" w:hAnsi="Times New Roman" w:cs="Times New Roman"/>
          <w:sz w:val="24"/>
          <w:szCs w:val="24"/>
        </w:rPr>
        <w:tab/>
        <w:t xml:space="preserve">(v) Use program improvement plans as needed to either strengthen or adjust content and strategies for professional development, change program scope and services, refine school readiness and other program goals, and adapt strategies to better address the needs of </w:t>
      </w:r>
      <w:r w:rsidRPr="00C1694A">
        <w:rPr>
          <w:rFonts w:ascii="Times New Roman" w:eastAsia="Times New Roman" w:hAnsi="Times New Roman" w:cs="Times New Roman"/>
          <w:sz w:val="24"/>
          <w:szCs w:val="24"/>
        </w:rPr>
        <w:t xml:space="preserve">sub-groups.  </w:t>
      </w:r>
    </w:p>
    <w:p w:rsidR="00C03FE8" w:rsidRPr="00C1694A" w:rsidRDefault="00C03FE8" w:rsidP="00AC521C">
      <w:pPr>
        <w:tabs>
          <w:tab w:val="left" w:pos="0"/>
          <w:tab w:val="left" w:pos="360"/>
          <w:tab w:val="left" w:pos="1440"/>
        </w:tabs>
        <w:spacing w:after="0" w:line="480" w:lineRule="auto"/>
        <w:contextualSpacing/>
        <w:rPr>
          <w:rFonts w:ascii="Times New Roman" w:eastAsia="Times New Roman" w:hAnsi="Times New Roman" w:cs="Times New Roman"/>
          <w:sz w:val="24"/>
          <w:szCs w:val="24"/>
        </w:rPr>
      </w:pPr>
    </w:p>
    <w:p w:rsidR="00C03FE8" w:rsidRPr="00C1694A" w:rsidRDefault="00C03FE8" w:rsidP="00AC521C">
      <w:pPr>
        <w:tabs>
          <w:tab w:val="left" w:pos="0"/>
          <w:tab w:val="left" w:pos="360"/>
          <w:tab w:val="left" w:pos="720"/>
        </w:tabs>
        <w:spacing w:after="0" w:line="480" w:lineRule="auto"/>
        <w:contextualSpacing/>
        <w:rPr>
          <w:rFonts w:ascii="Times New Roman" w:eastAsia="Times New Roman" w:hAnsi="Times New Roman" w:cs="Times New Roman"/>
          <w:sz w:val="24"/>
          <w:szCs w:val="24"/>
          <w:u w:val="single"/>
        </w:rPr>
      </w:pP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t xml:space="preserve">(d) </w:t>
      </w:r>
      <w:r w:rsidRPr="00C1694A">
        <w:rPr>
          <w:rFonts w:ascii="Times New Roman" w:eastAsia="Times New Roman" w:hAnsi="Times New Roman" w:cs="Times New Roman"/>
          <w:sz w:val="24"/>
          <w:szCs w:val="24"/>
          <w:u w:val="single"/>
        </w:rPr>
        <w:t>Reporting.</w:t>
      </w:r>
      <w:r w:rsidRPr="00C1694A">
        <w:rPr>
          <w:rFonts w:ascii="Times New Roman" w:hAnsi="Times New Roman" w:cs="Times New Roman"/>
          <w:sz w:val="24"/>
          <w:szCs w:val="24"/>
        </w:rPr>
        <w:t xml:space="preserve"> </w:t>
      </w:r>
      <w:r w:rsidRPr="00C1694A">
        <w:rPr>
          <w:rFonts w:ascii="Times New Roman" w:eastAsia="+mn-ea" w:hAnsi="Times New Roman" w:cs="Times New Roman"/>
          <w:sz w:val="24"/>
          <w:szCs w:val="24"/>
        </w:rPr>
        <w:t xml:space="preserve">(1)  A </w:t>
      </w:r>
      <w:r w:rsidRPr="00C1694A">
        <w:rPr>
          <w:rFonts w:ascii="Times New Roman" w:eastAsia="Times New Roman" w:hAnsi="Times New Roman" w:cs="Times New Roman"/>
          <w:sz w:val="24"/>
          <w:szCs w:val="24"/>
        </w:rPr>
        <w:t>program must submit:</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Status reports, determined by ongoing oversight data, to the governing body and policy council, at least semi-annually;</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Reports, as appropriate, to the responsible HHS official immediately or as soon as practicable, related to any significant incidents affecting the health and safety of program participants, circumstances affecting the financial viability of the program,</w:t>
      </w:r>
      <w:r w:rsidR="00994C88" w:rsidRPr="00C1694A">
        <w:rPr>
          <w:rFonts w:ascii="Times New Roman" w:eastAsia="Times New Roman" w:hAnsi="Times New Roman" w:cs="Times New Roman"/>
          <w:sz w:val="24"/>
          <w:szCs w:val="24"/>
        </w:rPr>
        <w:t xml:space="preserve"> breaches of personally identifiable information,</w:t>
      </w:r>
      <w:r w:rsidRPr="00C1694A">
        <w:rPr>
          <w:rFonts w:ascii="Times New Roman" w:eastAsia="Times New Roman" w:hAnsi="Times New Roman" w:cs="Times New Roman"/>
          <w:sz w:val="24"/>
          <w:szCs w:val="24"/>
        </w:rPr>
        <w:t xml:space="preserve"> or program involvement in legal proceedings, any matter for which notification or a report to state, tribal, or local authorities is required by applicable law, including at a minimum:</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rPr>
          <w:rFonts w:ascii="Times New Roman" w:eastAsia="Calibri" w:hAnsi="Times New Roman" w:cs="Times New Roman"/>
          <w:sz w:val="24"/>
          <w:szCs w:val="24"/>
        </w:rPr>
      </w:pPr>
      <w:r w:rsidRPr="00C1694A">
        <w:rPr>
          <w:rFonts w:ascii="Times New Roman" w:eastAsia="Calibri" w:hAnsi="Times New Roman" w:cs="Times New Roman"/>
          <w:sz w:val="24"/>
          <w:szCs w:val="24"/>
        </w:rPr>
        <w:tab/>
      </w:r>
      <w:r w:rsidRPr="00C1694A">
        <w:rPr>
          <w:rFonts w:ascii="Times New Roman" w:eastAsia="Calibri" w:hAnsi="Times New Roman" w:cs="Times New Roman"/>
          <w:sz w:val="24"/>
          <w:szCs w:val="24"/>
        </w:rPr>
        <w:tab/>
        <w:t>(A) Any reports regarding agency staff or volunteer compliance with federal, state, tribal, or local laws addressing child abuse and neglect or laws governing sex offenders;</w:t>
      </w:r>
    </w:p>
    <w:p w:rsidR="00C03FE8" w:rsidRPr="00C1694A" w:rsidRDefault="00C03FE8" w:rsidP="00AC521C">
      <w:pPr>
        <w:pStyle w:val="ListParagraph"/>
        <w:tabs>
          <w:tab w:val="left" w:pos="360"/>
        </w:tabs>
        <w:spacing w:after="0" w:line="480" w:lineRule="auto"/>
        <w:ind w:left="0"/>
        <w:rPr>
          <w:rFonts w:ascii="Times New Roman" w:eastAsia="Calibri" w:hAnsi="Times New Roman" w:cs="Times New Roman"/>
          <w:sz w:val="24"/>
          <w:szCs w:val="24"/>
        </w:rPr>
      </w:pPr>
    </w:p>
    <w:p w:rsidR="00C03FE8" w:rsidRPr="00C1694A" w:rsidRDefault="00C03FE8" w:rsidP="00AC521C">
      <w:pPr>
        <w:pStyle w:val="ListParagraph"/>
        <w:tabs>
          <w:tab w:val="left" w:pos="360"/>
        </w:tabs>
        <w:spacing w:after="0" w:line="480" w:lineRule="auto"/>
        <w:ind w:left="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ab/>
      </w:r>
      <w:r w:rsidRPr="00C1694A">
        <w:rPr>
          <w:rFonts w:ascii="Times New Roman" w:eastAsia="Calibri" w:hAnsi="Times New Roman" w:cs="Times New Roman"/>
          <w:sz w:val="24"/>
          <w:szCs w:val="24"/>
        </w:rPr>
        <w:tab/>
        <w:t>(B) Incidents that require classrooms or centers to be closed for any reason;</w:t>
      </w:r>
    </w:p>
    <w:p w:rsidR="00C03FE8" w:rsidRPr="00C1694A" w:rsidRDefault="00C03FE8" w:rsidP="00AC521C">
      <w:pPr>
        <w:pStyle w:val="ListParagraph"/>
        <w:tabs>
          <w:tab w:val="left" w:pos="360"/>
        </w:tabs>
        <w:spacing w:after="0" w:line="480" w:lineRule="auto"/>
        <w:ind w:left="0"/>
        <w:rPr>
          <w:rFonts w:ascii="Times New Roman" w:eastAsia="Times New Roman" w:hAnsi="Times New Roman" w:cs="Times New Roman"/>
          <w:sz w:val="24"/>
          <w:szCs w:val="24"/>
        </w:rPr>
      </w:pPr>
    </w:p>
    <w:p w:rsidR="00C03FE8" w:rsidRPr="00C1694A" w:rsidRDefault="00C03FE8" w:rsidP="00AC521C">
      <w:pPr>
        <w:pStyle w:val="ListParagraph"/>
        <w:tabs>
          <w:tab w:val="left" w:pos="360"/>
        </w:tabs>
        <w:spacing w:after="0" w:line="480" w:lineRule="auto"/>
        <w:ind w:left="0"/>
        <w:rPr>
          <w:rFonts w:ascii="Times New Roman" w:eastAsia="Times New Roman" w:hAnsi="Times New Roman" w:cs="Times New Roman"/>
          <w:sz w:val="24"/>
          <w:szCs w:val="24"/>
        </w:rPr>
      </w:pPr>
      <w:r w:rsidRPr="00C1694A">
        <w:rPr>
          <w:rFonts w:ascii="Times New Roman" w:eastAsia="Calibri" w:hAnsi="Times New Roman" w:cs="Times New Roman"/>
          <w:sz w:val="24"/>
          <w:szCs w:val="24"/>
        </w:rPr>
        <w:tab/>
      </w:r>
      <w:r w:rsidRPr="00C1694A">
        <w:rPr>
          <w:rFonts w:ascii="Times New Roman" w:eastAsia="Calibri" w:hAnsi="Times New Roman" w:cs="Times New Roman"/>
          <w:sz w:val="24"/>
          <w:szCs w:val="24"/>
        </w:rPr>
        <w:tab/>
        <w:t>(C) Legal proceedings by any party that are directly related to program operations; and,</w:t>
      </w:r>
    </w:p>
    <w:p w:rsidR="00C03FE8" w:rsidRPr="00C1694A" w:rsidRDefault="00C03FE8" w:rsidP="00AC521C">
      <w:pPr>
        <w:pStyle w:val="ListParagraph"/>
        <w:tabs>
          <w:tab w:val="left" w:pos="360"/>
        </w:tabs>
        <w:spacing w:after="0" w:line="480" w:lineRule="auto"/>
        <w:ind w:left="0"/>
        <w:rPr>
          <w:rFonts w:ascii="Times New Roman" w:eastAsia="Times New Roman" w:hAnsi="Times New Roman" w:cs="Times New Roman"/>
          <w:sz w:val="24"/>
          <w:szCs w:val="24"/>
        </w:rPr>
      </w:pPr>
    </w:p>
    <w:p w:rsidR="00C03FE8" w:rsidRPr="00C1694A" w:rsidRDefault="00C03FE8" w:rsidP="00AC521C">
      <w:pPr>
        <w:tabs>
          <w:tab w:val="left" w:pos="360"/>
        </w:tabs>
        <w:spacing w:after="0" w:line="480" w:lineRule="auto"/>
        <w:rPr>
          <w:rFonts w:ascii="Times New Roman" w:hAnsi="Times New Roman" w:cs="Times New Roman"/>
          <w:sz w:val="24"/>
          <w:szCs w:val="24"/>
        </w:rPr>
      </w:pPr>
      <w:r w:rsidRPr="00C1694A">
        <w:rPr>
          <w:rFonts w:ascii="Times New Roman" w:eastAsia="Calibri" w:hAnsi="Times New Roman" w:cs="Times New Roman"/>
          <w:sz w:val="24"/>
          <w:szCs w:val="24"/>
        </w:rPr>
        <w:tab/>
      </w:r>
      <w:r w:rsidRPr="00C1694A">
        <w:rPr>
          <w:rFonts w:ascii="Times New Roman" w:eastAsia="Calibri" w:hAnsi="Times New Roman" w:cs="Times New Roman"/>
          <w:sz w:val="24"/>
          <w:szCs w:val="24"/>
        </w:rPr>
        <w:tab/>
        <w:t>(D) A</w:t>
      </w:r>
      <w:r w:rsidRPr="00C1694A">
        <w:rPr>
          <w:rFonts w:ascii="Times New Roman" w:hAnsi="Times New Roman" w:cs="Times New Roman"/>
          <w:sz w:val="24"/>
          <w:szCs w:val="24"/>
        </w:rPr>
        <w:t xml:space="preserve">ll conditions required to be reported under </w:t>
      </w:r>
      <w:r w:rsidRPr="00C1694A">
        <w:rPr>
          <w:rFonts w:ascii="Times New Roman" w:eastAsia="+mn-ea" w:hAnsi="Times New Roman" w:cs="Times New Roman"/>
          <w:sz w:val="24"/>
          <w:szCs w:val="24"/>
        </w:rPr>
        <w:t>§</w:t>
      </w:r>
      <w:r w:rsidRPr="00C1694A">
        <w:rPr>
          <w:rFonts w:ascii="Times New Roman" w:hAnsi="Times New Roman" w:cs="Times New Roman"/>
          <w:sz w:val="24"/>
          <w:szCs w:val="24"/>
        </w:rPr>
        <w:t>1304.12</w:t>
      </w:r>
      <w:r w:rsidRPr="00C1694A">
        <w:rPr>
          <w:rFonts w:ascii="Times New Roman" w:eastAsia="Calibri" w:hAnsi="Times New Roman" w:cs="Times New Roman"/>
          <w:sz w:val="24"/>
          <w:szCs w:val="24"/>
        </w:rPr>
        <w:t xml:space="preserve">, including disqualification from the </w:t>
      </w:r>
      <w:r w:rsidRPr="00C1694A">
        <w:rPr>
          <w:rFonts w:ascii="Times New Roman" w:eastAsia="Times New Roman" w:hAnsi="Times New Roman" w:cs="Times New Roman"/>
          <w:sz w:val="24"/>
          <w:szCs w:val="24"/>
        </w:rPr>
        <w:t>Child and Adult Care Food Program (CACFP)</w:t>
      </w:r>
      <w:r w:rsidRPr="00C1694A">
        <w:rPr>
          <w:rFonts w:ascii="Times New Roman" w:eastAsia="Calibri" w:hAnsi="Times New Roman" w:cs="Times New Roman"/>
          <w:sz w:val="24"/>
          <w:szCs w:val="24"/>
        </w:rPr>
        <w:t xml:space="preserve"> and license revocation</w:t>
      </w:r>
      <w:r w:rsidRPr="00C1694A">
        <w:rPr>
          <w:rFonts w:ascii="Times New Roman" w:hAnsi="Times New Roman" w:cs="Times New Roman"/>
          <w:sz w:val="24"/>
          <w:szCs w:val="24"/>
        </w:rPr>
        <w:t>.</w:t>
      </w:r>
    </w:p>
    <w:p w:rsidR="00C03FE8" w:rsidRPr="00C1694A" w:rsidRDefault="00C03FE8" w:rsidP="00AC521C">
      <w:pPr>
        <w:tabs>
          <w:tab w:val="left" w:pos="0"/>
          <w:tab w:val="left" w:pos="360"/>
          <w:tab w:val="left" w:pos="1440"/>
        </w:tabs>
        <w:spacing w:after="0" w:line="480" w:lineRule="auto"/>
        <w:contextualSpacing/>
        <w:rPr>
          <w:rFonts w:ascii="Times New Roman" w:eastAsia="Calibri"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eastAsiaTheme="minorHAnsi" w:hAnsi="Times New Roman" w:cs="Times New Roman"/>
          <w:bCs/>
          <w:sz w:val="24"/>
          <w:szCs w:val="24"/>
        </w:rPr>
      </w:pPr>
      <w:r w:rsidRPr="00C1694A">
        <w:rPr>
          <w:rFonts w:ascii="Times New Roman" w:eastAsiaTheme="minorHAnsi" w:hAnsi="Times New Roman" w:cs="Times New Roman"/>
          <w:bCs/>
          <w:sz w:val="24"/>
          <w:szCs w:val="24"/>
        </w:rPr>
        <w:t xml:space="preserve">(2) Annually, a program must publish and disseminate a report that complies with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644(a)(2) of the Act and includes a summary of a program’s most recent community assessment, as described in §1302.11(b), consistent with privacy protections in subpart C of part 1303</w:t>
      </w:r>
      <w:r w:rsidR="008A09DA">
        <w:rPr>
          <w:rFonts w:ascii="Times New Roman" w:hAnsi="Times New Roman" w:cs="Times New Roman"/>
          <w:sz w:val="24"/>
          <w:szCs w:val="24"/>
        </w:rPr>
        <w:t xml:space="preserve"> of this chapter</w:t>
      </w:r>
      <w:r w:rsidRPr="00C1694A">
        <w:rPr>
          <w:rFonts w:ascii="Times New Roman" w:eastAsiaTheme="minorHAnsi" w:hAnsi="Times New Roman" w:cs="Times New Roman"/>
          <w:bCs/>
          <w:sz w:val="24"/>
          <w:szCs w:val="24"/>
        </w:rPr>
        <w:t>.</w:t>
      </w:r>
    </w:p>
    <w:p w:rsidR="00C03FE8" w:rsidRPr="00C1694A" w:rsidRDefault="00C03FE8" w:rsidP="00AC521C">
      <w:pPr>
        <w:spacing w:after="0" w:line="480" w:lineRule="auto"/>
        <w:contextualSpacing/>
        <w:rPr>
          <w:rFonts w:ascii="Times New Roman" w:eastAsia="+mn-ea" w:hAnsi="Times New Roman" w:cs="Times New Roman"/>
          <w:b/>
          <w:sz w:val="24"/>
          <w:szCs w:val="24"/>
          <w:u w:val="single"/>
        </w:rPr>
      </w:pPr>
    </w:p>
    <w:p w:rsidR="00C03FE8" w:rsidRPr="00C1694A" w:rsidRDefault="00C03FE8" w:rsidP="00AC521C">
      <w:pPr>
        <w:spacing w:after="0" w:line="480" w:lineRule="auto"/>
        <w:ind w:firstLine="720"/>
        <w:contextualSpacing/>
        <w:rPr>
          <w:rFonts w:ascii="Times New Roman" w:eastAsia="+mn-ea" w:hAnsi="Times New Roman" w:cs="Times New Roman"/>
          <w:sz w:val="24"/>
          <w:szCs w:val="24"/>
        </w:rPr>
      </w:pPr>
      <w:r w:rsidRPr="00C1694A">
        <w:rPr>
          <w:rFonts w:ascii="Times New Roman" w:eastAsia="+mn-ea" w:hAnsi="Times New Roman" w:cs="Times New Roman"/>
          <w:sz w:val="24"/>
          <w:szCs w:val="24"/>
        </w:rPr>
        <w:t xml:space="preserve">(3) If a program has had a deficiency identified, it must submit, to the responsible HHS official, a quality improvement plan as required in </w:t>
      </w:r>
      <w:r w:rsidR="00147BAE" w:rsidRPr="00C1694A">
        <w:rPr>
          <w:rFonts w:ascii="Times New Roman" w:eastAsia="+mn-ea" w:hAnsi="Times New Roman" w:cs="Times New Roman"/>
          <w:sz w:val="24"/>
          <w:szCs w:val="24"/>
        </w:rPr>
        <w:t>s</w:t>
      </w:r>
      <w:r w:rsidRPr="00C1694A">
        <w:rPr>
          <w:rFonts w:ascii="Times New Roman" w:eastAsia="+mn-ea" w:hAnsi="Times New Roman" w:cs="Times New Roman"/>
          <w:sz w:val="24"/>
          <w:szCs w:val="24"/>
        </w:rPr>
        <w:t xml:space="preserve">ection 641A(e)(2) of the Act.   </w:t>
      </w:r>
    </w:p>
    <w:p w:rsidR="00C03FE8" w:rsidRPr="00C1694A" w:rsidRDefault="00C03FE8" w:rsidP="00AC521C">
      <w:pPr>
        <w:spacing w:after="0" w:line="480" w:lineRule="auto"/>
        <w:rPr>
          <w:rFonts w:ascii="Times New Roman" w:eastAsia="Times New Roman" w:hAnsi="Times New Roman" w:cs="Times New Roman"/>
          <w:b/>
          <w:caps/>
          <w:sz w:val="24"/>
          <w:szCs w:val="24"/>
        </w:rPr>
      </w:pPr>
    </w:p>
    <w:p w:rsidR="00C03FE8" w:rsidRPr="00C1694A" w:rsidRDefault="00C03FE8" w:rsidP="00AC521C">
      <w:pPr>
        <w:spacing w:after="0" w:line="480" w:lineRule="auto"/>
        <w:rPr>
          <w:rFonts w:ascii="Times New Roman" w:eastAsia="Times New Roman" w:hAnsi="Times New Roman" w:cs="Times New Roman"/>
          <w:b/>
          <w:sz w:val="24"/>
          <w:szCs w:val="24"/>
        </w:rPr>
      </w:pPr>
      <w:r w:rsidRPr="00C1694A">
        <w:rPr>
          <w:rFonts w:ascii="Times New Roman" w:hAnsi="Times New Roman" w:cs="Times New Roman"/>
          <w:b/>
          <w:sz w:val="24"/>
          <w:szCs w:val="24"/>
        </w:rPr>
        <w:t>1302.103 Implementation of program performance standards.</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bCs/>
          <w:sz w:val="24"/>
          <w:szCs w:val="24"/>
        </w:rPr>
        <w:t xml:space="preserve">A current program </w:t>
      </w:r>
      <w:r w:rsidR="000653CB">
        <w:rPr>
          <w:rFonts w:ascii="Times New Roman" w:eastAsia="Times New Roman" w:hAnsi="Times New Roman" w:cs="Times New Roman"/>
          <w:bCs/>
          <w:sz w:val="24"/>
          <w:szCs w:val="24"/>
        </w:rPr>
        <w:t xml:space="preserve">as of </w:t>
      </w:r>
      <w:r w:rsidR="000653CB" w:rsidRPr="001E00C8">
        <w:rPr>
          <w:rFonts w:ascii="Times New Roman" w:eastAsia="Times New Roman" w:hAnsi="Times New Roman" w:cs="Times New Roman"/>
          <w:bCs/>
          <w:sz w:val="24"/>
          <w:szCs w:val="24"/>
        </w:rPr>
        <w:t>[insert date 60 days after date of publication in the Federal Register]</w:t>
      </w:r>
      <w:r w:rsidRPr="00C1694A">
        <w:rPr>
          <w:rFonts w:ascii="Times New Roman" w:eastAsia="Times New Roman" w:hAnsi="Times New Roman" w:cs="Times New Roman"/>
          <w:bCs/>
          <w:sz w:val="24"/>
          <w:szCs w:val="24"/>
        </w:rPr>
        <w:t>, </w:t>
      </w:r>
      <w:r w:rsidRPr="00C1694A">
        <w:rPr>
          <w:rFonts w:ascii="Times New Roman" w:eastAsia="Times New Roman" w:hAnsi="Times New Roman" w:cs="Times New Roman"/>
          <w:sz w:val="24"/>
          <w:szCs w:val="24"/>
        </w:rPr>
        <w:t xml:space="preserve">must </w:t>
      </w:r>
      <w:r w:rsidRPr="00C1694A">
        <w:rPr>
          <w:rFonts w:ascii="Times New Roman" w:eastAsia="Times New Roman" w:hAnsi="Times New Roman" w:cs="Times New Roman"/>
          <w:bCs/>
          <w:sz w:val="24"/>
          <w:szCs w:val="24"/>
        </w:rPr>
        <w:t>implement</w:t>
      </w:r>
      <w:r w:rsidRPr="00C1694A">
        <w:rPr>
          <w:rFonts w:ascii="Times New Roman" w:eastAsia="Times New Roman" w:hAnsi="Times New Roman" w:cs="Times New Roman"/>
          <w:sz w:val="24"/>
          <w:szCs w:val="24"/>
        </w:rPr>
        <w:t xml:space="preserve"> a program-wide approach for the effective and timely implementation of the changes to </w:t>
      </w:r>
      <w:r w:rsidRPr="00C1694A">
        <w:rPr>
          <w:rFonts w:ascii="Times New Roman" w:eastAsia="Times New Roman" w:hAnsi="Times New Roman" w:cs="Times New Roman"/>
          <w:bCs/>
          <w:sz w:val="24"/>
          <w:szCs w:val="24"/>
        </w:rPr>
        <w:t>the program performance standards</w:t>
      </w:r>
      <w:r w:rsidRPr="00C1694A">
        <w:rPr>
          <w:rFonts w:ascii="Times New Roman" w:eastAsia="Times New Roman" w:hAnsi="Times New Roman" w:cs="Times New Roman"/>
          <w:sz w:val="24"/>
          <w:szCs w:val="24"/>
        </w:rPr>
        <w:t>, including the purchase of materials and allocation of staff time, as appropriate.</w:t>
      </w:r>
      <w:r w:rsidRPr="00C1694A">
        <w:rPr>
          <w:rFonts w:ascii="Times New Roman" w:eastAsia="Times New Roman" w:hAnsi="Times New Roman" w:cs="Times New Roman"/>
          <w:sz w:val="24"/>
          <w:szCs w:val="24"/>
        </w:rPr>
        <w:br/>
      </w:r>
      <w:r w:rsidRPr="00C1694A">
        <w:rPr>
          <w:rFonts w:ascii="Times New Roman" w:eastAsia="Times New Roman" w:hAnsi="Times New Roman" w:cs="Times New Roman"/>
          <w:sz w:val="24"/>
          <w:szCs w:val="24"/>
        </w:rPr>
        <w:br/>
        <w:t>           </w:t>
      </w:r>
      <w:r w:rsidRPr="00C1694A">
        <w:rPr>
          <w:rFonts w:ascii="Times New Roman" w:eastAsia="Times New Roman" w:hAnsi="Times New Roman" w:cs="Times New Roman"/>
          <w:sz w:val="24"/>
          <w:szCs w:val="24"/>
        </w:rPr>
        <w:tab/>
        <w:t xml:space="preserve">(b) A program’s approach to implement the changes </w:t>
      </w:r>
      <w:r w:rsidRPr="00C1694A">
        <w:rPr>
          <w:rFonts w:ascii="Times New Roman" w:eastAsia="Times New Roman" w:hAnsi="Times New Roman" w:cs="Times New Roman"/>
          <w:bCs/>
          <w:sz w:val="24"/>
          <w:szCs w:val="24"/>
        </w:rPr>
        <w:t>included in</w:t>
      </w:r>
      <w:r w:rsidRPr="00C1694A">
        <w:rPr>
          <w:rFonts w:ascii="Times New Roman" w:eastAsia="Times New Roman" w:hAnsi="Times New Roman" w:cs="Times New Roman"/>
          <w:sz w:val="24"/>
          <w:szCs w:val="24"/>
        </w:rPr>
        <w:t xml:space="preserve"> parts 1301 through 1304</w:t>
      </w:r>
      <w:r w:rsidR="008A09DA">
        <w:rPr>
          <w:rFonts w:ascii="Times New Roman" w:eastAsia="Times New Roman" w:hAnsi="Times New Roman" w:cs="Times New Roman"/>
          <w:sz w:val="24"/>
          <w:szCs w:val="24"/>
        </w:rPr>
        <w:t xml:space="preserve"> of this chapter</w:t>
      </w:r>
      <w:r w:rsidRPr="00C1694A">
        <w:rPr>
          <w:rFonts w:ascii="Times New Roman" w:eastAsia="Times New Roman" w:hAnsi="Times New Roman" w:cs="Times New Roman"/>
          <w:sz w:val="24"/>
          <w:szCs w:val="24"/>
        </w:rPr>
        <w:t xml:space="preserve"> must ensure</w:t>
      </w:r>
      <w:r w:rsidR="006418DA" w:rsidRPr="00C1694A">
        <w:rPr>
          <w:rFonts w:ascii="Times New Roman" w:eastAsia="Times New Roman" w:hAnsi="Times New Roman" w:cs="Times New Roman"/>
          <w:sz w:val="24"/>
          <w:szCs w:val="24"/>
        </w:rPr>
        <w:t xml:space="preserve"> a</w:t>
      </w:r>
      <w:r w:rsidRPr="00C1694A">
        <w:rPr>
          <w:rFonts w:ascii="Times New Roman" w:eastAsia="Times New Roman" w:hAnsi="Times New Roman" w:cs="Times New Roman"/>
          <w:sz w:val="24"/>
          <w:szCs w:val="24"/>
        </w:rPr>
        <w:t xml:space="preserve">dequate preparation </w:t>
      </w:r>
      <w:r w:rsidRPr="00C1694A">
        <w:rPr>
          <w:rFonts w:ascii="Times New Roman" w:eastAsia="Times New Roman" w:hAnsi="Times New Roman" w:cs="Times New Roman"/>
          <w:bCs/>
          <w:sz w:val="24"/>
          <w:szCs w:val="24"/>
        </w:rPr>
        <w:t>for effective and timely service delivery to children and their families </w:t>
      </w:r>
      <w:r w:rsidRPr="00C1694A">
        <w:rPr>
          <w:rFonts w:ascii="Times New Roman" w:eastAsia="Times New Roman" w:hAnsi="Times New Roman" w:cs="Times New Roman"/>
          <w:sz w:val="24"/>
          <w:szCs w:val="24"/>
        </w:rPr>
        <w:t xml:space="preserve">including, </w:t>
      </w:r>
      <w:r w:rsidRPr="00C1694A">
        <w:rPr>
          <w:rFonts w:ascii="Times New Roman" w:eastAsia="Times New Roman" w:hAnsi="Times New Roman" w:cs="Times New Roman"/>
          <w:bCs/>
          <w:sz w:val="24"/>
          <w:szCs w:val="24"/>
        </w:rPr>
        <w:t>at a minimum,</w:t>
      </w:r>
      <w:r w:rsidRPr="00C1694A">
        <w:rPr>
          <w:rFonts w:ascii="Times New Roman" w:eastAsia="Times New Roman" w:hAnsi="Times New Roman" w:cs="Times New Roman"/>
          <w:b/>
          <w:bCs/>
          <w:sz w:val="24"/>
          <w:szCs w:val="24"/>
        </w:rPr>
        <w:t> </w:t>
      </w:r>
      <w:r w:rsidRPr="00C1694A">
        <w:rPr>
          <w:rFonts w:ascii="Times New Roman" w:hAnsi="Times New Roman" w:cs="Times New Roman"/>
          <w:sz w:val="24"/>
          <w:szCs w:val="24"/>
        </w:rPr>
        <w:t xml:space="preserve">review of community assessment data to determine the most appropriate strategy for implementing </w:t>
      </w:r>
      <w:r w:rsidR="006418DA" w:rsidRPr="00C1694A">
        <w:rPr>
          <w:rFonts w:ascii="Times New Roman" w:hAnsi="Times New Roman" w:cs="Times New Roman"/>
          <w:sz w:val="24"/>
          <w:szCs w:val="24"/>
        </w:rPr>
        <w:t xml:space="preserve">required program changes, including assessing any changes in the number of children who can be served, </w:t>
      </w:r>
      <w:r w:rsidRPr="00C1694A">
        <w:rPr>
          <w:rFonts w:ascii="Times New Roman" w:hAnsi="Times New Roman" w:cs="Times New Roman"/>
          <w:sz w:val="24"/>
          <w:szCs w:val="24"/>
        </w:rPr>
        <w:t>as necessary,</w:t>
      </w:r>
      <w:r w:rsidRPr="00C1694A">
        <w:rPr>
          <w:rFonts w:ascii="Times New Roman" w:hAnsi="Times New Roman" w:cs="Times New Roman"/>
          <w:b/>
          <w:bCs/>
          <w:sz w:val="24"/>
          <w:szCs w:val="24"/>
        </w:rPr>
        <w:t xml:space="preserve"> </w:t>
      </w:r>
      <w:r w:rsidRPr="00C1694A">
        <w:rPr>
          <w:rFonts w:ascii="Times New Roman" w:eastAsia="Times New Roman" w:hAnsi="Times New Roman" w:cs="Times New Roman"/>
          <w:sz w:val="24"/>
          <w:szCs w:val="24"/>
        </w:rPr>
        <w:t>the purchase of and training on any curriculum, assessment, or other materials</w:t>
      </w:r>
      <w:r w:rsidRPr="00C1694A">
        <w:rPr>
          <w:rFonts w:ascii="Times New Roman" w:eastAsia="Times New Roman" w:hAnsi="Times New Roman" w:cs="Times New Roman"/>
          <w:bCs/>
          <w:sz w:val="24"/>
          <w:szCs w:val="24"/>
        </w:rPr>
        <w:t>, as needed,</w:t>
      </w:r>
      <w:r w:rsidRPr="00C1694A">
        <w:rPr>
          <w:rFonts w:ascii="Times New Roman" w:eastAsia="Times New Roman" w:hAnsi="Times New Roman" w:cs="Times New Roman"/>
          <w:sz w:val="24"/>
          <w:szCs w:val="24"/>
        </w:rPr>
        <w:t xml:space="preserve"> assessment of </w:t>
      </w:r>
      <w:r w:rsidRPr="00C1694A">
        <w:rPr>
          <w:rFonts w:ascii="Times New Roman" w:eastAsia="Times New Roman" w:hAnsi="Times New Roman" w:cs="Times New Roman"/>
          <w:bCs/>
          <w:sz w:val="24"/>
          <w:szCs w:val="24"/>
        </w:rPr>
        <w:t>program-wide</w:t>
      </w:r>
      <w:r w:rsidRPr="00C1694A">
        <w:rPr>
          <w:rFonts w:ascii="Times New Roman" w:eastAsia="Times New Roman" w:hAnsi="Times New Roman" w:cs="Times New Roman"/>
          <w:b/>
          <w:bCs/>
          <w:sz w:val="24"/>
          <w:szCs w:val="24"/>
        </w:rPr>
        <w:t> </w:t>
      </w:r>
      <w:r w:rsidRPr="00C1694A">
        <w:rPr>
          <w:rFonts w:ascii="Times New Roman" w:eastAsia="Times New Roman" w:hAnsi="Times New Roman" w:cs="Times New Roman"/>
          <w:sz w:val="24"/>
          <w:szCs w:val="24"/>
        </w:rPr>
        <w:t>professional development needs</w:t>
      </w:r>
      <w:r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bCs/>
          <w:sz w:val="24"/>
          <w:szCs w:val="24"/>
        </w:rPr>
        <w:t>assessment</w:t>
      </w:r>
      <w:r w:rsidRPr="00C1694A">
        <w:rPr>
          <w:rFonts w:ascii="Times New Roman" w:eastAsia="Times New Roman" w:hAnsi="Times New Roman" w:cs="Times New Roman"/>
          <w:b/>
          <w:bCs/>
          <w:sz w:val="24"/>
          <w:szCs w:val="24"/>
        </w:rPr>
        <w:t> </w:t>
      </w:r>
      <w:r w:rsidRPr="00C1694A">
        <w:rPr>
          <w:rFonts w:ascii="Times New Roman" w:eastAsia="Times New Roman" w:hAnsi="Times New Roman" w:cs="Times New Roman"/>
          <w:sz w:val="24"/>
          <w:szCs w:val="24"/>
        </w:rPr>
        <w:t>of staffing patterns</w:t>
      </w:r>
      <w:r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sz w:val="24"/>
          <w:szCs w:val="24"/>
        </w:rPr>
        <w:t xml:space="preserve"> the development of coordinated approaches described in </w:t>
      </w:r>
      <w:r w:rsidRPr="00C1694A">
        <w:rPr>
          <w:rFonts w:ascii="Times New Roman" w:hAnsi="Times New Roman" w:cs="Times New Roman"/>
          <w:sz w:val="24"/>
          <w:szCs w:val="24"/>
        </w:rPr>
        <w:t>§</w:t>
      </w:r>
      <w:r w:rsidRPr="00C1694A">
        <w:rPr>
          <w:rFonts w:ascii="Times New Roman" w:eastAsia="Times New Roman" w:hAnsi="Times New Roman" w:cs="Times New Roman"/>
          <w:sz w:val="24"/>
          <w:szCs w:val="24"/>
        </w:rPr>
        <w:t>1302.101(b)</w:t>
      </w:r>
      <w:r w:rsidRPr="00C1694A">
        <w:rPr>
          <w:rFonts w:ascii="Times New Roman" w:eastAsia="Times New Roman" w:hAnsi="Times New Roman" w:cs="Times New Roman"/>
          <w:bCs/>
          <w:sz w:val="24"/>
          <w:szCs w:val="24"/>
        </w:rPr>
        <w:t>,</w:t>
      </w:r>
      <w:r w:rsidRPr="00C1694A">
        <w:rPr>
          <w:rFonts w:ascii="Times New Roman" w:eastAsia="Times New Roman" w:hAnsi="Times New Roman" w:cs="Times New Roman"/>
          <w:sz w:val="24"/>
          <w:szCs w:val="24"/>
        </w:rPr>
        <w:t xml:space="preserve"> and the development of appropriate protections for data sharing</w:t>
      </w:r>
      <w:r w:rsidRPr="00C1694A">
        <w:rPr>
          <w:rFonts w:ascii="Times New Roman" w:eastAsia="Times New Roman" w:hAnsi="Times New Roman" w:cs="Times New Roman"/>
          <w:bCs/>
          <w:sz w:val="24"/>
          <w:szCs w:val="24"/>
        </w:rPr>
        <w:t>; and</w:t>
      </w:r>
      <w:r w:rsidR="007853C9" w:rsidRPr="00C1694A">
        <w:rPr>
          <w:rFonts w:ascii="Times New Roman" w:eastAsia="Times New Roman" w:hAnsi="Times New Roman" w:cs="Times New Roman"/>
          <w:bCs/>
          <w:sz w:val="24"/>
          <w:szCs w:val="24"/>
        </w:rPr>
        <w:t xml:space="preserve"> </w:t>
      </w:r>
      <w:r w:rsidR="00E6357F">
        <w:rPr>
          <w:rFonts w:ascii="Times New Roman" w:eastAsia="Times New Roman" w:hAnsi="Times New Roman" w:cs="Times New Roman"/>
          <w:bCs/>
          <w:sz w:val="24"/>
          <w:szCs w:val="24"/>
        </w:rPr>
        <w:t>c</w:t>
      </w:r>
      <w:r w:rsidRPr="00C1694A">
        <w:rPr>
          <w:rFonts w:ascii="Times New Roman" w:eastAsia="Times New Roman" w:hAnsi="Times New Roman" w:cs="Times New Roman"/>
          <w:bCs/>
          <w:sz w:val="24"/>
          <w:szCs w:val="24"/>
        </w:rPr>
        <w:t>hildren</w:t>
      </w:r>
      <w:r w:rsidR="00A50E19" w:rsidRPr="00C1694A">
        <w:rPr>
          <w:rFonts w:ascii="Times New Roman" w:eastAsia="Times New Roman" w:hAnsi="Times New Roman" w:cs="Times New Roman"/>
          <w:bCs/>
          <w:sz w:val="24"/>
          <w:szCs w:val="24"/>
        </w:rPr>
        <w:t xml:space="preserve"> enrolled in the program </w:t>
      </w:r>
      <w:r w:rsidR="000653CB" w:rsidRPr="001E00C8">
        <w:rPr>
          <w:rFonts w:ascii="Times New Roman" w:eastAsia="Times New Roman" w:hAnsi="Times New Roman" w:cs="Times New Roman"/>
          <w:bCs/>
          <w:sz w:val="24"/>
          <w:szCs w:val="24"/>
        </w:rPr>
        <w:t>on [insert date 60 days after date of publication in the Federal Register]</w:t>
      </w:r>
      <w:r w:rsidRPr="00C1694A">
        <w:rPr>
          <w:rFonts w:ascii="Times New Roman" w:eastAsia="Times New Roman" w:hAnsi="Times New Roman" w:cs="Times New Roman"/>
          <w:bCs/>
          <w:sz w:val="24"/>
          <w:szCs w:val="24"/>
        </w:rPr>
        <w:t xml:space="preserve"> are not displaced during a program year and that children leaving Early Head Start or Head Start at the end of the program year following </w:t>
      </w:r>
      <w:r w:rsidR="000653CB" w:rsidRPr="001E00C8">
        <w:rPr>
          <w:rFonts w:ascii="Times New Roman" w:eastAsia="Times New Roman" w:hAnsi="Times New Roman" w:cs="Times New Roman"/>
          <w:bCs/>
          <w:sz w:val="24"/>
          <w:szCs w:val="24"/>
        </w:rPr>
        <w:t>[insert date 60 days after date of publication in the Federal Register]</w:t>
      </w:r>
      <w:r w:rsidRPr="00C1694A">
        <w:rPr>
          <w:rFonts w:ascii="Times New Roman" w:eastAsia="Times New Roman" w:hAnsi="Times New Roman" w:cs="Times New Roman"/>
          <w:b/>
          <w:bCs/>
          <w:sz w:val="24"/>
          <w:szCs w:val="24"/>
        </w:rPr>
        <w:t> </w:t>
      </w:r>
      <w:r w:rsidRPr="00C1694A">
        <w:rPr>
          <w:rFonts w:ascii="Times New Roman" w:eastAsia="Times New Roman" w:hAnsi="Times New Roman" w:cs="Times New Roman"/>
          <w:sz w:val="24"/>
          <w:szCs w:val="24"/>
        </w:rPr>
        <w:t xml:space="preserve">as a result of any slot reductions received services described in </w:t>
      </w:r>
      <w:r w:rsidRPr="00C1694A">
        <w:rPr>
          <w:rFonts w:ascii="Times New Roman" w:hAnsi="Times New Roman" w:cs="Times New Roman"/>
          <w:sz w:val="24"/>
          <w:szCs w:val="24"/>
        </w:rPr>
        <w:t xml:space="preserve">§§1302.70 and </w:t>
      </w:r>
      <w:r w:rsidRPr="00C1694A">
        <w:rPr>
          <w:rFonts w:ascii="Times New Roman" w:eastAsia="Times New Roman" w:hAnsi="Times New Roman" w:cs="Times New Roman"/>
          <w:sz w:val="24"/>
          <w:szCs w:val="24"/>
        </w:rPr>
        <w:t>1302.72 to facilitate successful transitions to other programs.</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rPr>
          <w:rFonts w:ascii="Times New Roman" w:eastAsia="Times New Roman" w:hAnsi="Times New Roman" w:cs="Times New Roman"/>
          <w:b/>
          <w:caps/>
          <w:sz w:val="24"/>
          <w:szCs w:val="24"/>
        </w:rPr>
      </w:pPr>
    </w:p>
    <w:p w:rsidR="00C03FE8" w:rsidRPr="00C1694A" w:rsidRDefault="00C03FE8" w:rsidP="00AC521C">
      <w:pPr>
        <w:spacing w:after="0" w:line="480" w:lineRule="auto"/>
        <w:rPr>
          <w:rFonts w:ascii="Times New Roman" w:eastAsia="Times New Roman" w:hAnsi="Times New Roman" w:cs="Times New Roman"/>
          <w:b/>
          <w:caps/>
          <w:sz w:val="24"/>
          <w:szCs w:val="24"/>
        </w:rPr>
      </w:pPr>
    </w:p>
    <w:p w:rsidR="00C03FE8" w:rsidRPr="00C1694A" w:rsidRDefault="00C03FE8" w:rsidP="00AC521C">
      <w:pPr>
        <w:spacing w:after="0" w:line="480" w:lineRule="auto"/>
        <w:rPr>
          <w:rFonts w:ascii="Times New Roman" w:eastAsia="Times New Roman" w:hAnsi="Times New Roman" w:cs="Times New Roman"/>
          <w:sz w:val="24"/>
          <w:szCs w:val="24"/>
        </w:rPr>
      </w:pPr>
      <w:r w:rsidRPr="00C1694A">
        <w:rPr>
          <w:rFonts w:ascii="Times New Roman" w:eastAsia="Times New Roman" w:hAnsi="Times New Roman" w:cs="Times New Roman"/>
          <w:b/>
          <w:caps/>
          <w:sz w:val="24"/>
          <w:szCs w:val="24"/>
        </w:rPr>
        <w:t>PART 1303</w:t>
      </w:r>
      <w:r w:rsidR="009A5CCB">
        <w:rPr>
          <w:rFonts w:ascii="Times New Roman" w:eastAsia="Times New Roman" w:hAnsi="Times New Roman" w:cs="Times New Roman"/>
          <w:b/>
          <w:caps/>
          <w:sz w:val="24"/>
          <w:szCs w:val="24"/>
        </w:rPr>
        <w:t xml:space="preserve"> --</w:t>
      </w:r>
      <w:r w:rsidRPr="00C1694A">
        <w:rPr>
          <w:rFonts w:ascii="Times New Roman" w:eastAsia="Times New Roman" w:hAnsi="Times New Roman" w:cs="Times New Roman"/>
          <w:b/>
          <w:caps/>
          <w:sz w:val="24"/>
          <w:szCs w:val="24"/>
        </w:rPr>
        <w:t xml:space="preserve"> Financial and Administrative Requirements</w:t>
      </w: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r w:rsidRPr="00C1694A">
        <w:rPr>
          <w:rFonts w:ascii="Times New Roman" w:hAnsi="Times New Roman" w:cs="Times New Roman"/>
          <w:b/>
          <w:bCs/>
          <w:sz w:val="24"/>
          <w:szCs w:val="24"/>
        </w:rPr>
        <w:t xml:space="preserve">Sec. </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1303.1 </w:t>
      </w:r>
      <w:r w:rsidRPr="00C1694A">
        <w:rPr>
          <w:rFonts w:ascii="Times New Roman" w:hAnsi="Times New Roman" w:cs="Times New Roman"/>
          <w:bCs/>
          <w:sz w:val="24"/>
          <w:szCs w:val="24"/>
        </w:rPr>
        <w:t>Overview</w:t>
      </w:r>
      <w:r w:rsidR="009A5CCB">
        <w:rPr>
          <w:rFonts w:ascii="Times New Roman" w:hAnsi="Times New Roman" w:cs="Times New Roman"/>
          <w:bCs/>
          <w:sz w:val="24"/>
          <w:szCs w:val="24"/>
        </w:rPr>
        <w:t>.</w:t>
      </w: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bCs/>
          <w:sz w:val="24"/>
          <w:szCs w:val="24"/>
        </w:rPr>
        <w:t>Subpart A</w:t>
      </w:r>
      <w:r w:rsidR="008B15CA" w:rsidRPr="00C1694A">
        <w:rPr>
          <w:rFonts w:ascii="Times New Roman" w:eastAsia="Calibri" w:hAnsi="Times New Roman" w:cs="Times New Roman"/>
          <w:sz w:val="24"/>
          <w:szCs w:val="24"/>
        </w:rPr>
        <w:t>—</w:t>
      </w:r>
      <w:r w:rsidRPr="00C1694A">
        <w:rPr>
          <w:rFonts w:ascii="Times New Roman" w:hAnsi="Times New Roman" w:cs="Times New Roman"/>
          <w:b/>
          <w:bCs/>
          <w:sz w:val="24"/>
          <w:szCs w:val="24"/>
        </w:rPr>
        <w:t xml:space="preserve">Financial Requirements </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1303.2 </w:t>
      </w:r>
      <w:r w:rsidR="000653CB">
        <w:rPr>
          <w:rFonts w:ascii="Times New Roman" w:hAnsi="Times New Roman" w:cs="Times New Roman"/>
          <w:sz w:val="24"/>
          <w:szCs w:val="24"/>
        </w:rPr>
        <w:t>Purpose</w:t>
      </w:r>
      <w:r w:rsidRPr="00C1694A">
        <w:rPr>
          <w:rFonts w:ascii="Times New Roman" w:hAnsi="Times New Roman" w:cs="Times New Roman"/>
          <w:sz w:val="24"/>
          <w:szCs w:val="24"/>
        </w:rPr>
        <w:t>.</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1303.3 Other requirements.</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1303.4 Federal financial assistance, non-federal match, and waiver requirements.</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1303.5 Limitations on development and administrative costs.</w:t>
      </w: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r w:rsidRPr="00C1694A">
        <w:rPr>
          <w:rFonts w:ascii="Times New Roman" w:hAnsi="Times New Roman" w:cs="Times New Roman"/>
          <w:b/>
          <w:bCs/>
          <w:sz w:val="24"/>
          <w:szCs w:val="24"/>
        </w:rPr>
        <w:t>Subpart B</w:t>
      </w:r>
      <w:r w:rsidR="008B15CA" w:rsidRPr="00C1694A">
        <w:rPr>
          <w:rFonts w:ascii="Times New Roman" w:eastAsia="Calibri" w:hAnsi="Times New Roman" w:cs="Times New Roman"/>
          <w:sz w:val="24"/>
          <w:szCs w:val="24"/>
        </w:rPr>
        <w:t>—</w:t>
      </w:r>
      <w:r w:rsidRPr="00C1694A">
        <w:rPr>
          <w:rFonts w:ascii="Times New Roman" w:hAnsi="Times New Roman" w:cs="Times New Roman"/>
          <w:b/>
          <w:bCs/>
          <w:sz w:val="24"/>
          <w:szCs w:val="24"/>
        </w:rPr>
        <w:t xml:space="preserve">Administrative Requirements </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1303.10 </w:t>
      </w:r>
      <w:r w:rsidR="000653CB">
        <w:rPr>
          <w:rFonts w:ascii="Times New Roman" w:hAnsi="Times New Roman" w:cs="Times New Roman"/>
          <w:sz w:val="24"/>
          <w:szCs w:val="24"/>
        </w:rPr>
        <w:t>Purpose</w:t>
      </w:r>
      <w:r w:rsidRPr="00C1694A">
        <w:rPr>
          <w:rFonts w:ascii="Times New Roman" w:hAnsi="Times New Roman" w:cs="Times New Roman"/>
          <w:sz w:val="24"/>
          <w:szCs w:val="24"/>
        </w:rPr>
        <w:t>.</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1303.11 Limitations and prohibitions.</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1303.12 Insurance and bonding.</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Subpart C</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Protections for the Privacy of Child Records</w:t>
      </w:r>
    </w:p>
    <w:p w:rsidR="00C03FE8" w:rsidRPr="00C1694A" w:rsidRDefault="00C03FE8" w:rsidP="00AC521C">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sz w:val="24"/>
          <w:szCs w:val="24"/>
        </w:rPr>
        <w:t>1303.20</w:t>
      </w:r>
      <w:r w:rsidRPr="00C1694A">
        <w:rPr>
          <w:rFonts w:ascii="Times New Roman" w:hAnsi="Times New Roman" w:cs="Times New Roman"/>
          <w:i/>
          <w:sz w:val="24"/>
          <w:szCs w:val="24"/>
        </w:rPr>
        <w:t xml:space="preserve"> </w:t>
      </w:r>
      <w:r w:rsidR="000653CB">
        <w:rPr>
          <w:rFonts w:ascii="Times New Roman" w:hAnsi="Times New Roman" w:cs="Times New Roman"/>
          <w:sz w:val="24"/>
          <w:szCs w:val="24"/>
        </w:rPr>
        <w:t>Establishing procedures</w:t>
      </w:r>
      <w:r w:rsidRPr="00C1694A">
        <w:rPr>
          <w:rFonts w:ascii="Times New Roman" w:hAnsi="Times New Roman" w:cs="Times New Roman"/>
          <w:i/>
          <w:sz w:val="24"/>
          <w:szCs w:val="24"/>
        </w:rPr>
        <w:t xml:space="preserve">.  </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1303.21 Program procedures – applicable confidentiality provisions</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u w:val="single"/>
        </w:rPr>
      </w:pPr>
      <w:r w:rsidRPr="00C1694A">
        <w:rPr>
          <w:rFonts w:ascii="Times New Roman" w:hAnsi="Times New Roman" w:cs="Times New Roman"/>
          <w:sz w:val="24"/>
          <w:szCs w:val="24"/>
        </w:rPr>
        <w:t>1303.22 Disclosures with, and without, parental consent.</w:t>
      </w:r>
      <w:r w:rsidRPr="00C1694A">
        <w:rPr>
          <w:rFonts w:ascii="Times New Roman" w:hAnsi="Times New Roman" w:cs="Times New Roman"/>
          <w:i/>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1303.23 Parental rights</w:t>
      </w:r>
      <w:r w:rsidRPr="00C1694A">
        <w:rPr>
          <w:rFonts w:ascii="Times New Roman" w:hAnsi="Times New Roman" w:cs="Times New Roman"/>
          <w:i/>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1303.24 Maintaining records.  </w:t>
      </w:r>
    </w:p>
    <w:p w:rsidR="00C03FE8" w:rsidRPr="00C1694A" w:rsidRDefault="00C03FE8" w:rsidP="00AC521C">
      <w:pPr>
        <w:spacing w:after="0" w:line="480" w:lineRule="auto"/>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Subpart D</w:t>
      </w:r>
      <w:r w:rsidR="008B15CA" w:rsidRPr="00C1694A">
        <w:rPr>
          <w:rFonts w:ascii="Times New Roman" w:eastAsia="Calibri" w:hAnsi="Times New Roman" w:cs="Times New Roman"/>
          <w:sz w:val="24"/>
          <w:szCs w:val="24"/>
        </w:rPr>
        <w:t>—</w:t>
      </w:r>
      <w:r w:rsidRPr="00C1694A">
        <w:rPr>
          <w:rFonts w:ascii="Times New Roman" w:eastAsia="Times New Roman" w:hAnsi="Times New Roman" w:cs="Times New Roman"/>
          <w:b/>
          <w:sz w:val="24"/>
          <w:szCs w:val="24"/>
        </w:rPr>
        <w:t>Delegation of Program Operations</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1303.30 </w:t>
      </w:r>
      <w:r w:rsidR="000653CB" w:rsidRPr="00385771">
        <w:rPr>
          <w:rFonts w:ascii="Times New Roman" w:hAnsi="Times New Roman" w:cs="Times New Roman"/>
          <w:sz w:val="24"/>
          <w:szCs w:val="24"/>
        </w:rPr>
        <w:t>Grantee responsibility and accountability</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1303.31 Determining and establishing delegate agencies.</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1303.32 Evaluations and corrective actions for delegate agencies.</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1303.33 Termination of delegate agencies.</w:t>
      </w:r>
    </w:p>
    <w:p w:rsidR="00C03FE8" w:rsidRPr="00C1694A" w:rsidRDefault="00C03FE8" w:rsidP="00AC521C">
      <w:pPr>
        <w:spacing w:after="0" w:line="480" w:lineRule="auto"/>
        <w:rPr>
          <w:rFonts w:ascii="Times New Roman" w:eastAsia="Times New Roman" w:hAnsi="Times New Roman" w:cs="Times New Roman"/>
          <w:b/>
          <w:bCs/>
          <w:sz w:val="24"/>
          <w:szCs w:val="24"/>
        </w:rPr>
      </w:pPr>
      <w:r w:rsidRPr="00C1694A">
        <w:rPr>
          <w:rFonts w:ascii="Times New Roman" w:eastAsia="Times New Roman" w:hAnsi="Times New Roman" w:cs="Times New Roman"/>
          <w:b/>
          <w:bCs/>
          <w:sz w:val="24"/>
          <w:szCs w:val="24"/>
        </w:rPr>
        <w:t>Subpart E</w:t>
      </w:r>
      <w:r w:rsidR="008B15CA" w:rsidRPr="00C1694A">
        <w:rPr>
          <w:rFonts w:ascii="Times New Roman" w:eastAsia="Calibri" w:hAnsi="Times New Roman" w:cs="Times New Roman"/>
          <w:sz w:val="24"/>
          <w:szCs w:val="24"/>
        </w:rPr>
        <w:t>—</w:t>
      </w:r>
      <w:r w:rsidRPr="00C1694A">
        <w:rPr>
          <w:rFonts w:ascii="Times New Roman" w:eastAsia="Times New Roman" w:hAnsi="Times New Roman" w:cs="Times New Roman"/>
          <w:b/>
          <w:bCs/>
          <w:sz w:val="24"/>
          <w:szCs w:val="24"/>
        </w:rPr>
        <w:t xml:space="preserve">Facilities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1303.40 </w:t>
      </w:r>
      <w:r w:rsidR="000653CB">
        <w:rPr>
          <w:rFonts w:ascii="Times New Roman" w:hAnsi="Times New Roman" w:cs="Times New Roman"/>
          <w:sz w:val="24"/>
          <w:szCs w:val="24"/>
        </w:rPr>
        <w:t>Purpose</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1303.41 Approval of previously purchased facilities.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1303.42 Eligibility to purchase, construct, and renovate facilities.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1303.43 Use of grant funds to pay fees.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1303.44 Applications to purchase, construct, and renovate facilities.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1304.45 Cost-comparison to purchase, construct, and renovate facilities.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1303.46 Recording and posting notices of federal interest.</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1303.47 Contents of notices of federal interest.</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1303.48 Grantee limitations on federal interest.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1303.49 Protection of federal interest in mortgage agreements.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1303.50 Third party leases and occupancy arrangements.</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1303.51 Subordination of the federal interest.</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1303.52 Insurance, bonding, and maintenance.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1303.53 Copies of documents.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eastAsia="Times New Roman" w:hAnsi="Times New Roman" w:cs="Times New Roman"/>
          <w:bCs/>
          <w:sz w:val="24"/>
          <w:szCs w:val="24"/>
        </w:rPr>
        <w:t>1303.54 Record retention.</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1303.55 Procurement procedures.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1303.56 Inspection of work. </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F</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Transportation</w:t>
      </w:r>
    </w:p>
    <w:p w:rsidR="00C03FE8" w:rsidRPr="00C1694A" w:rsidRDefault="00C03FE8" w:rsidP="00AC521C">
      <w:pPr>
        <w:autoSpaceDE w:val="0"/>
        <w:autoSpaceDN w:val="0"/>
        <w:adjustRightInd w:val="0"/>
        <w:spacing w:after="0" w:line="480" w:lineRule="auto"/>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1303.70 </w:t>
      </w:r>
      <w:r w:rsidR="000653CB">
        <w:rPr>
          <w:rFonts w:ascii="Times New Roman" w:hAnsi="Times New Roman" w:cs="Times New Roman"/>
          <w:sz w:val="24"/>
          <w:szCs w:val="24"/>
        </w:rPr>
        <w:t>Purpose</w:t>
      </w:r>
      <w:r w:rsidRPr="00C1694A">
        <w:rPr>
          <w:rFonts w:ascii="Times New Roman" w:eastAsia="Times New Roman" w:hAnsi="Times New Roman" w:cs="Times New Roman"/>
          <w:sz w:val="24"/>
          <w:szCs w:val="24"/>
        </w:rPr>
        <w:t>.</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1303.71 Vehicles.</w:t>
      </w:r>
    </w:p>
    <w:p w:rsidR="00C03FE8" w:rsidRPr="00C1694A" w:rsidRDefault="00C03FE8" w:rsidP="00AC521C">
      <w:pPr>
        <w:spacing w:after="0" w:line="480" w:lineRule="auto"/>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1303.72 Vehicle operation.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1303.73 Trip routing.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1303.74 Safety procedures.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1303.75 Children with disabilities. </w:t>
      </w:r>
    </w:p>
    <w:p w:rsidR="00C03FE8" w:rsidRPr="00C1694A" w:rsidRDefault="00C03FE8" w:rsidP="00AC521C">
      <w:pPr>
        <w:spacing w:after="0" w:line="480" w:lineRule="auto"/>
        <w:contextualSpacing/>
        <w:rPr>
          <w:rFonts w:ascii="Times New Roman" w:eastAsia="Times New Roman" w:hAnsi="Times New Roman" w:cs="Times New Roman"/>
          <w:sz w:val="24"/>
          <w:szCs w:val="24"/>
        </w:rPr>
      </w:pPr>
      <w:r w:rsidRPr="00C1694A">
        <w:rPr>
          <w:rFonts w:ascii="Times New Roman" w:hAnsi="Times New Roman" w:cs="Times New Roman"/>
          <w:smallCaps/>
          <w:sz w:val="24"/>
          <w:szCs w:val="24"/>
        </w:rPr>
        <w:t>Authority:</w:t>
      </w:r>
      <w:r w:rsidRPr="00C1694A">
        <w:rPr>
          <w:rFonts w:ascii="Times New Roman" w:hAnsi="Times New Roman" w:cs="Times New Roman"/>
          <w:sz w:val="24"/>
          <w:szCs w:val="24"/>
        </w:rPr>
        <w:t xml:space="preserve"> 42 U.S.C. 9801 </w:t>
      </w:r>
      <w:r w:rsidRPr="00C1694A">
        <w:rPr>
          <w:rFonts w:ascii="Times New Roman" w:hAnsi="Times New Roman" w:cs="Times New Roman"/>
          <w:i/>
          <w:iCs/>
          <w:sz w:val="24"/>
          <w:szCs w:val="24"/>
        </w:rPr>
        <w:t>et seq.</w:t>
      </w:r>
    </w:p>
    <w:p w:rsidR="00C03FE8" w:rsidRPr="00C1694A" w:rsidRDefault="00C03FE8" w:rsidP="00AC521C">
      <w:pPr>
        <w:spacing w:after="0" w:line="480" w:lineRule="auto"/>
        <w:contextualSpacing/>
        <w:rPr>
          <w:rFonts w:ascii="Times New Roman" w:eastAsia="Times New Roman" w:hAnsi="Times New Roman" w:cs="Times New Roman"/>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r w:rsidRPr="00C1694A">
        <w:rPr>
          <w:rFonts w:ascii="Times New Roman" w:hAnsi="Times New Roman" w:cs="Times New Roman"/>
          <w:b/>
          <w:sz w:val="24"/>
          <w:szCs w:val="24"/>
        </w:rPr>
        <w:t xml:space="preserve">§1303.1 </w:t>
      </w:r>
      <w:r w:rsidRPr="00C1694A">
        <w:rPr>
          <w:rFonts w:ascii="Times New Roman" w:hAnsi="Times New Roman" w:cs="Times New Roman"/>
          <w:b/>
          <w:bCs/>
          <w:sz w:val="24"/>
          <w:szCs w:val="24"/>
        </w:rPr>
        <w:t>Overview</w:t>
      </w:r>
      <w:r w:rsidR="009A5CCB">
        <w:rPr>
          <w:rFonts w:ascii="Times New Roman" w:hAnsi="Times New Roman" w:cs="Times New Roman"/>
          <w:b/>
          <w:bCs/>
          <w:sz w:val="24"/>
          <w:szCs w:val="24"/>
        </w:rPr>
        <w:t>.</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p>
    <w:p w:rsidR="00C03FE8" w:rsidRPr="00C1694A" w:rsidRDefault="00C03FE8" w:rsidP="00AC521C">
      <w:pPr>
        <w:widowControl w:val="0"/>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Section 641A of the Act requires that the Secretary modify as necessary program performance standards including administrative and financial management standards (section 641A(a)(1)(C)).  This part specifies the financial and administrative requirements of agencies.  Subpart A</w:t>
      </w:r>
      <w:r w:rsidR="008A61B7">
        <w:rPr>
          <w:rFonts w:ascii="Times New Roman" w:hAnsi="Times New Roman" w:cs="Times New Roman"/>
          <w:sz w:val="24"/>
          <w:szCs w:val="24"/>
        </w:rPr>
        <w:t xml:space="preserve"> of this part</w:t>
      </w:r>
      <w:r w:rsidRPr="00C1694A">
        <w:rPr>
          <w:rFonts w:ascii="Times New Roman" w:hAnsi="Times New Roman" w:cs="Times New Roman"/>
          <w:sz w:val="24"/>
          <w:szCs w:val="24"/>
        </w:rPr>
        <w:t xml:space="preserve"> outlines the financial requirements consistent with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ections 640(b) and 644(b) and (c) of the Act. Subpart B</w:t>
      </w:r>
      <w:r w:rsidR="008A09DA">
        <w:rPr>
          <w:rFonts w:ascii="Times New Roman" w:hAnsi="Times New Roman" w:cs="Times New Roman"/>
          <w:sz w:val="24"/>
          <w:szCs w:val="24"/>
        </w:rPr>
        <w:t xml:space="preserve"> of this part</w:t>
      </w:r>
      <w:r w:rsidRPr="00C1694A">
        <w:rPr>
          <w:rFonts w:ascii="Times New Roman" w:hAnsi="Times New Roman" w:cs="Times New Roman"/>
          <w:sz w:val="24"/>
          <w:szCs w:val="24"/>
        </w:rPr>
        <w:t xml:space="preserve"> specifies the administrative requirements consistent with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ections 644(a)(1), 644(e), 653, 654, 655, 656, and 657A of the Act.  Subpart C</w:t>
      </w:r>
      <w:r w:rsidR="008A09DA">
        <w:rPr>
          <w:rFonts w:ascii="Times New Roman" w:hAnsi="Times New Roman" w:cs="Times New Roman"/>
          <w:sz w:val="24"/>
          <w:szCs w:val="24"/>
        </w:rPr>
        <w:t xml:space="preserve"> of this part</w:t>
      </w:r>
      <w:r w:rsidRPr="00C1694A">
        <w:rPr>
          <w:rFonts w:ascii="Times New Roman" w:hAnsi="Times New Roman" w:cs="Times New Roman"/>
          <w:bCs/>
          <w:sz w:val="24"/>
          <w:szCs w:val="24"/>
        </w:rPr>
        <w:t xml:space="preserve"> implements the statutory provision at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w:t>
      </w:r>
      <w:r w:rsidRPr="00C1694A">
        <w:rPr>
          <w:rFonts w:ascii="Times New Roman" w:hAnsi="Times New Roman" w:cs="Times New Roman"/>
          <w:bCs/>
          <w:sz w:val="24"/>
          <w:szCs w:val="24"/>
        </w:rPr>
        <w:t xml:space="preserve">641A(b)(4) of the Act that directs the Secretary to ensure the confidentiality of any personally identifiable data, information, and records collected or maintained.  Subpart D </w:t>
      </w:r>
      <w:r w:rsidR="008A61B7">
        <w:rPr>
          <w:rFonts w:ascii="Times New Roman" w:hAnsi="Times New Roman" w:cs="Times New Roman"/>
          <w:bCs/>
          <w:sz w:val="24"/>
          <w:szCs w:val="24"/>
        </w:rPr>
        <w:t xml:space="preserve">of this part </w:t>
      </w:r>
      <w:r w:rsidRPr="00C1694A">
        <w:rPr>
          <w:rFonts w:ascii="Times New Roman" w:hAnsi="Times New Roman" w:cs="Times New Roman"/>
          <w:bCs/>
          <w:sz w:val="24"/>
          <w:szCs w:val="24"/>
        </w:rPr>
        <w:t>prescribes regulations for the operation of delegate agencies consistent with Section 641(A)(d).  Subpart E</w:t>
      </w:r>
      <w:r w:rsidR="008A61B7">
        <w:rPr>
          <w:rFonts w:ascii="Times New Roman" w:hAnsi="Times New Roman" w:cs="Times New Roman"/>
          <w:bCs/>
          <w:sz w:val="24"/>
          <w:szCs w:val="24"/>
        </w:rPr>
        <w:t xml:space="preserve"> of this part</w:t>
      </w:r>
      <w:r w:rsidRPr="00C1694A">
        <w:rPr>
          <w:rFonts w:ascii="Times New Roman" w:hAnsi="Times New Roman" w:cs="Times New Roman"/>
          <w:bCs/>
          <w:sz w:val="24"/>
          <w:szCs w:val="24"/>
        </w:rPr>
        <w:t xml:space="preserve"> implements the statutory requirements in Section 644(c), (f) and (g) related to facilities.  Subpart F prescribes regulations on transportation consistent with </w:t>
      </w:r>
      <w:r w:rsidR="00147BAE" w:rsidRPr="00C1694A">
        <w:rPr>
          <w:rFonts w:ascii="Times New Roman" w:hAnsi="Times New Roman" w:cs="Times New Roman"/>
          <w:bCs/>
          <w:sz w:val="24"/>
          <w:szCs w:val="24"/>
        </w:rPr>
        <w:t>s</w:t>
      </w:r>
      <w:r w:rsidRPr="00C1694A">
        <w:rPr>
          <w:rFonts w:ascii="Times New Roman" w:hAnsi="Times New Roman" w:cs="Times New Roman"/>
          <w:bCs/>
          <w:sz w:val="24"/>
          <w:szCs w:val="24"/>
        </w:rPr>
        <w:t>ection 640(i) of the Act.</w:t>
      </w:r>
      <w:r w:rsidRPr="00C1694A">
        <w:rPr>
          <w:rFonts w:ascii="Times New Roman" w:hAnsi="Times New Roman" w:cs="Times New Roman"/>
          <w:sz w:val="24"/>
          <w:szCs w:val="24"/>
        </w:rPr>
        <w:t xml:space="preserve"> </w:t>
      </w: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bCs/>
          <w:sz w:val="24"/>
          <w:szCs w:val="24"/>
        </w:rPr>
        <w:t>Subpart A</w:t>
      </w:r>
      <w:r w:rsidR="008B15CA" w:rsidRPr="00C1694A">
        <w:rPr>
          <w:rFonts w:ascii="Times New Roman" w:eastAsia="Calibri" w:hAnsi="Times New Roman" w:cs="Times New Roman"/>
          <w:sz w:val="24"/>
          <w:szCs w:val="24"/>
        </w:rPr>
        <w:t>—</w:t>
      </w:r>
      <w:r w:rsidRPr="00C1694A">
        <w:rPr>
          <w:rFonts w:ascii="Times New Roman" w:hAnsi="Times New Roman" w:cs="Times New Roman"/>
          <w:b/>
          <w:bCs/>
          <w:sz w:val="24"/>
          <w:szCs w:val="24"/>
        </w:rPr>
        <w:t xml:space="preserve">Financial Requirements </w:t>
      </w: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§1303.2 </w:t>
      </w:r>
      <w:r w:rsidR="000653CB">
        <w:rPr>
          <w:rFonts w:ascii="Times New Roman" w:hAnsi="Times New Roman" w:cs="Times New Roman"/>
          <w:b/>
          <w:sz w:val="24"/>
          <w:szCs w:val="24"/>
        </w:rPr>
        <w:t>Purpose</w:t>
      </w:r>
      <w:r w:rsidRPr="00C1694A">
        <w:rPr>
          <w:rFonts w:ascii="Times New Roman" w:hAnsi="Times New Roman" w:cs="Times New Roman"/>
          <w:b/>
          <w:sz w:val="24"/>
          <w:szCs w:val="24"/>
        </w:rPr>
        <w:t>.</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This subpart establishes regulations applicable to program administration and grants management for all grants under the Act.</w:t>
      </w: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§1303.3 Other requirements.</w:t>
      </w: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The following chart includes HHS regulations that apply to all grants made under the Act: </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470"/>
      </w:tblGrid>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CITE</w:t>
            </w:r>
          </w:p>
        </w:tc>
        <w:tc>
          <w:tcPr>
            <w:tcW w:w="7470" w:type="dxa"/>
            <w:hideMark/>
          </w:tcPr>
          <w:p w:rsidR="00C03FE8" w:rsidRPr="00C1694A" w:rsidRDefault="00C03FE8" w:rsidP="00AC521C">
            <w:pPr>
              <w:spacing w:line="480" w:lineRule="auto"/>
              <w:rPr>
                <w:rFonts w:ascii="Times New Roman" w:hAnsi="Times New Roman" w:cs="Times New Roman"/>
                <w:sz w:val="24"/>
                <w:szCs w:val="24"/>
              </w:rPr>
            </w:pPr>
            <w:r w:rsidRPr="00C1694A">
              <w:rPr>
                <w:rFonts w:ascii="Times New Roman" w:hAnsi="Times New Roman" w:cs="Times New Roman"/>
                <w:sz w:val="24"/>
                <w:szCs w:val="24"/>
              </w:rPr>
              <w:t>TITLE</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rPr>
            </w:pPr>
            <w:r w:rsidRPr="00C1694A">
              <w:rPr>
                <w:rFonts w:ascii="Times New Roman" w:hAnsi="Times New Roman" w:cs="Times New Roman"/>
                <w:sz w:val="24"/>
                <w:szCs w:val="24"/>
              </w:rPr>
              <w:t>45 CFR part 16</w:t>
            </w:r>
          </w:p>
        </w:tc>
        <w:tc>
          <w:tcPr>
            <w:tcW w:w="7470" w:type="dxa"/>
            <w:hideMark/>
          </w:tcPr>
          <w:p w:rsidR="00C03FE8" w:rsidRPr="00C1694A" w:rsidRDefault="00C03FE8" w:rsidP="00AC521C">
            <w:pPr>
              <w:keepNext/>
              <w:keepLines/>
              <w:spacing w:line="480" w:lineRule="auto"/>
              <w:outlineLvl w:val="1"/>
              <w:rPr>
                <w:rFonts w:ascii="Times New Roman" w:hAnsi="Times New Roman" w:cs="Times New Roman"/>
                <w:sz w:val="24"/>
                <w:szCs w:val="24"/>
                <w:lang w:eastAsia="ja-JP"/>
              </w:rPr>
            </w:pPr>
            <w:r w:rsidRPr="00C1694A">
              <w:rPr>
                <w:rFonts w:ascii="Times New Roman" w:hAnsi="Times New Roman" w:cs="Times New Roman"/>
                <w:sz w:val="24"/>
                <w:szCs w:val="24"/>
              </w:rPr>
              <w:t xml:space="preserve">Department grant appeals process </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45 CFR part 30</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HHS Standards and Procedures for Claims collection</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45 CFR part 46</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Protection of human subjects</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45 CFR part 75</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Uniform Administrative Requirements, Cost Principles, and Audit Requirements for Federal Awards</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45 CFR part 80</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Nondiscrimination under programs receiving federal assistance through the Department of Health and Human Services- Effectuation of title VI and VII of the Civil Rights Act of 1964</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45 CFR part 81</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Practice and procedure for hearings under part 80</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45 CFR part 84</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Nondiscrimination on the basis of handicap in federally assisted programs</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45 CFR part 87</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Equal treatment for faith based organizations</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 xml:space="preserve">2 CFR </w:t>
            </w:r>
            <w:r w:rsidR="0017758B">
              <w:rPr>
                <w:rFonts w:ascii="Times New Roman" w:hAnsi="Times New Roman" w:cs="Times New Roman"/>
                <w:sz w:val="24"/>
                <w:szCs w:val="24"/>
              </w:rPr>
              <w:t xml:space="preserve">part </w:t>
            </w:r>
            <w:r w:rsidRPr="00C1694A">
              <w:rPr>
                <w:rFonts w:ascii="Times New Roman" w:hAnsi="Times New Roman" w:cs="Times New Roman"/>
                <w:sz w:val="24"/>
                <w:szCs w:val="24"/>
              </w:rPr>
              <w:t>170</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FFATA Sub-award and executive compensation</w:t>
            </w:r>
          </w:p>
        </w:tc>
      </w:tr>
      <w:tr w:rsidR="00C03FE8" w:rsidRPr="00C1694A" w:rsidTr="00AC521C">
        <w:tc>
          <w:tcPr>
            <w:tcW w:w="1728" w:type="dxa"/>
            <w:hideMark/>
          </w:tcPr>
          <w:p w:rsidR="00C03FE8" w:rsidRPr="00C1694A" w:rsidRDefault="00C03FE8" w:rsidP="00AC521C">
            <w:pPr>
              <w:spacing w:line="480" w:lineRule="auto"/>
              <w:rPr>
                <w:rFonts w:ascii="Times New Roman" w:hAnsi="Times New Roman" w:cs="Times New Roman"/>
                <w:b/>
                <w:sz w:val="24"/>
                <w:szCs w:val="24"/>
                <w:lang w:eastAsia="ja-JP"/>
              </w:rPr>
            </w:pPr>
            <w:r w:rsidRPr="00C1694A">
              <w:rPr>
                <w:rFonts w:ascii="Times New Roman" w:hAnsi="Times New Roman" w:cs="Times New Roman"/>
                <w:sz w:val="24"/>
                <w:szCs w:val="24"/>
              </w:rPr>
              <w:t>2 CFR 25.110</w:t>
            </w:r>
          </w:p>
        </w:tc>
        <w:tc>
          <w:tcPr>
            <w:tcW w:w="7470" w:type="dxa"/>
            <w:hideMark/>
          </w:tcPr>
          <w:p w:rsidR="00C03FE8" w:rsidRPr="00C1694A" w:rsidRDefault="00C03FE8" w:rsidP="00AC521C">
            <w:pPr>
              <w:spacing w:line="480" w:lineRule="auto"/>
              <w:rPr>
                <w:rFonts w:ascii="Times New Roman" w:hAnsi="Times New Roman" w:cs="Times New Roman"/>
                <w:sz w:val="24"/>
                <w:szCs w:val="24"/>
                <w:lang w:eastAsia="ja-JP"/>
              </w:rPr>
            </w:pPr>
            <w:r w:rsidRPr="00C1694A">
              <w:rPr>
                <w:rFonts w:ascii="Times New Roman" w:hAnsi="Times New Roman" w:cs="Times New Roman"/>
                <w:sz w:val="24"/>
                <w:szCs w:val="24"/>
              </w:rPr>
              <w:t>CCR/DUNS requirement</w:t>
            </w:r>
          </w:p>
        </w:tc>
      </w:tr>
    </w:tbl>
    <w:p w:rsidR="00C03FE8" w:rsidRPr="00C1694A" w:rsidRDefault="00C03FE8" w:rsidP="00AC521C">
      <w:pPr>
        <w:autoSpaceDE w:val="0"/>
        <w:autoSpaceDN w:val="0"/>
        <w:adjustRightInd w:val="0"/>
        <w:spacing w:after="0" w:line="480" w:lineRule="auto"/>
        <w:rPr>
          <w:rFonts w:ascii="Times New Roman" w:hAnsi="Times New Roman" w:cs="Times New Roman"/>
          <w:bCs/>
          <w:sz w:val="24"/>
          <w:szCs w:val="24"/>
        </w:rPr>
      </w:pPr>
    </w:p>
    <w:p w:rsidR="00C03FE8" w:rsidRPr="00C1694A" w:rsidRDefault="00C03FE8" w:rsidP="00AC521C">
      <w:pPr>
        <w:autoSpaceDE w:val="0"/>
        <w:autoSpaceDN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 Federal financial assistance, </w:t>
      </w:r>
      <w:r w:rsidRPr="00C1694A">
        <w:rPr>
          <w:rFonts w:ascii="Times New Roman" w:hAnsi="Times New Roman" w:cs="Times New Roman"/>
          <w:b/>
          <w:bCs/>
          <w:sz w:val="24"/>
          <w:szCs w:val="24"/>
        </w:rPr>
        <w:t xml:space="preserve">non-federal </w:t>
      </w:r>
      <w:r w:rsidRPr="00C1694A">
        <w:rPr>
          <w:rFonts w:ascii="Times New Roman" w:hAnsi="Times New Roman" w:cs="Times New Roman"/>
          <w:b/>
          <w:sz w:val="24"/>
          <w:szCs w:val="24"/>
        </w:rPr>
        <w:t>match, and waiver requirements.</w:t>
      </w:r>
    </w:p>
    <w:p w:rsidR="00C03FE8" w:rsidRPr="00C1694A" w:rsidRDefault="00C03FE8" w:rsidP="00AC521C">
      <w:pPr>
        <w:autoSpaceDE w:val="0"/>
        <w:autoSpaceDN w:val="0"/>
        <w:spacing w:after="0" w:line="480" w:lineRule="auto"/>
        <w:rPr>
          <w:rFonts w:ascii="Times New Roman" w:hAnsi="Times New Roman" w:cs="Times New Roman"/>
          <w:b/>
          <w:sz w:val="24"/>
          <w:szCs w:val="24"/>
        </w:rPr>
      </w:pPr>
    </w:p>
    <w:p w:rsidR="00C03FE8" w:rsidRPr="00C1694A" w:rsidRDefault="00C03FE8" w:rsidP="00AC521C">
      <w:pPr>
        <w:autoSpaceDE w:val="0"/>
        <w:autoSpaceDN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In accordance with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640(b) of the Act, federal financial assistance to a grantee will not exceed 80 percent of the approved total program costs. A grantee must contribute 20 percent as non-federal match each budget period. The responsible HHS official may approve a waiver of all or a portion of the non-federal match requirement on the basis of the grantee’s written application submitted for the budget period and any supporting evidence the responsible HHS official requires.  In deciding whether to grant a waiver, the responsible HHS official will consider the circumstances specified at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640(b) of the Act and whether the grantee has made a reasonable effort to comply with the non-federal match requirement. </w:t>
      </w: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§1303.5 Limitations on development and administrative costs.</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000653CB">
        <w:rPr>
          <w:rFonts w:ascii="Times New Roman" w:hAnsi="Times New Roman" w:cs="Times New Roman"/>
          <w:sz w:val="24"/>
          <w:szCs w:val="24"/>
          <w:u w:val="single"/>
        </w:rPr>
        <w:t>Limitations</w:t>
      </w:r>
      <w:r w:rsidRPr="00C1694A">
        <w:rPr>
          <w:rFonts w:ascii="Times New Roman" w:hAnsi="Times New Roman" w:cs="Times New Roman"/>
          <w:sz w:val="24"/>
          <w:szCs w:val="24"/>
          <w:u w:val="single"/>
        </w:rPr>
        <w:t>.</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 xml:space="preserve">(1) Costs to develop and administer a program cannot be excessive or exceed 15 percent of the total approved program costs. Allowable costs to develop and administer a Head Start program cannot exceed 15 percent of the total approved program costs, which includes both federal costs and non-federal match, unless the responsible HHS official grants a waiver under paragraph (b) </w:t>
      </w:r>
      <w:r w:rsidR="008A61B7">
        <w:rPr>
          <w:rFonts w:ascii="Times New Roman" w:hAnsi="Times New Roman" w:cs="Times New Roman"/>
          <w:sz w:val="24"/>
          <w:szCs w:val="24"/>
        </w:rPr>
        <w:t xml:space="preserve">of this section </w:t>
      </w:r>
      <w:r w:rsidRPr="00C1694A">
        <w:rPr>
          <w:rFonts w:ascii="Times New Roman" w:hAnsi="Times New Roman" w:cs="Times New Roman"/>
          <w:sz w:val="24"/>
          <w:szCs w:val="24"/>
        </w:rPr>
        <w:t xml:space="preserve">that approves a higher percentage in order to carry out the purposes of the Act.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To assess total program costs and determine whether a grantee meets this requirement, the grantee must:</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(i) Determine the costs to develop and administer its program, including the local costs of necessary resources; </w:t>
      </w: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(ii) Categorize total costs as development and administrative or program costs;</w:t>
      </w: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(iii) Identify and allocate the portion of dual benefits costs that are for development and administration; </w:t>
      </w: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(iv) Identify and allocate the portion of indirect costs that are for development and administration versus program costs; and,  </w:t>
      </w: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(v) Delineate all development and administrative costs in the grant application and calculate the percentage of total approved costs allocated to development and administration.</w:t>
      </w:r>
    </w:p>
    <w:p w:rsidR="00C03FE8" w:rsidRPr="00C1694A" w:rsidRDefault="00C03FE8" w:rsidP="00AC521C">
      <w:pPr>
        <w:tabs>
          <w:tab w:val="left" w:pos="360"/>
        </w:tabs>
        <w:autoSpaceDE w:val="0"/>
        <w:autoSpaceDN w:val="0"/>
        <w:adjustRightInd w:val="0"/>
        <w:spacing w:after="0" w:line="480" w:lineRule="auto"/>
        <w:ind w:firstLine="720"/>
        <w:contextualSpacing/>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Style w:val="CommentReference"/>
          <w:rFonts w:ascii="Times New Roman" w:hAnsi="Times New Roman" w:cs="Times New Roman"/>
          <w:sz w:val="24"/>
          <w:szCs w:val="24"/>
        </w:rPr>
      </w:pPr>
      <w:r w:rsidRPr="00C1694A">
        <w:rPr>
          <w:rFonts w:ascii="Times New Roman" w:hAnsi="Times New Roman" w:cs="Times New Roman"/>
          <w:iCs/>
          <w:sz w:val="24"/>
          <w:szCs w:val="24"/>
        </w:rPr>
        <w:t xml:space="preserve">(b) </w:t>
      </w:r>
      <w:r w:rsidRPr="00C1694A">
        <w:rPr>
          <w:rFonts w:ascii="Times New Roman" w:hAnsi="Times New Roman" w:cs="Times New Roman"/>
          <w:iCs/>
          <w:sz w:val="24"/>
          <w:szCs w:val="24"/>
          <w:u w:val="single"/>
        </w:rPr>
        <w:t>Waivers</w:t>
      </w:r>
      <w:r w:rsidRPr="00C1694A">
        <w:rPr>
          <w:rFonts w:ascii="Times New Roman" w:hAnsi="Times New Roman" w:cs="Times New Roman"/>
          <w:sz w:val="24"/>
          <w:szCs w:val="24"/>
          <w:u w:val="single"/>
        </w:rPr>
        <w:t>.</w:t>
      </w:r>
      <w:r w:rsidRPr="00C1694A">
        <w:rPr>
          <w:rFonts w:ascii="Times New Roman" w:hAnsi="Times New Roman" w:cs="Times New Roman"/>
          <w:b/>
          <w:iCs/>
          <w:sz w:val="24"/>
          <w:szCs w:val="24"/>
        </w:rPr>
        <w:t xml:space="preserve"> </w:t>
      </w:r>
      <w:r w:rsidRPr="00C1694A">
        <w:rPr>
          <w:rFonts w:ascii="Times New Roman" w:hAnsi="Times New Roman" w:cs="Times New Roman"/>
          <w:sz w:val="24"/>
          <w:szCs w:val="24"/>
        </w:rPr>
        <w:t>(1) The responsible HHS official may grant a waiver for each budget period if a delay or disruption to program services is caused by circumstances beyond the agency’s control, or if an agency is unable to administer the program within the 15 percent limitation and if the agency can demonstrate efforts to reduce its development and administrative costs.</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sidDel="00A844A4">
        <w:rPr>
          <w:rFonts w:ascii="Times New Roman" w:hAnsi="Times New Roman" w:cs="Times New Roman"/>
          <w:sz w:val="24"/>
          <w:szCs w:val="24"/>
        </w:rPr>
        <w:t xml:space="preserve"> </w:t>
      </w:r>
      <w:r w:rsidRPr="00C1694A">
        <w:rPr>
          <w:rFonts w:ascii="Times New Roman" w:hAnsi="Times New Roman" w:cs="Times New Roman"/>
          <w:sz w:val="24"/>
          <w:szCs w:val="24"/>
        </w:rPr>
        <w:t>(2) If at any time within the grant funding cycle, a grantee estimates development and administration costs will exceed 15 percent of total approved costs, it must submit a waiver request to the responsible HHS official that explains why costs exceed the limit, that indicates the time period the waiver will cover, and that describes what the grantee will do to reduce its development and administrative costs to comply with the 15 percent limit after the waiver period.</w:t>
      </w: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bCs/>
          <w:sz w:val="24"/>
          <w:szCs w:val="24"/>
        </w:rPr>
      </w:pPr>
      <w:r w:rsidRPr="00C1694A">
        <w:rPr>
          <w:rFonts w:ascii="Times New Roman" w:hAnsi="Times New Roman" w:cs="Times New Roman"/>
          <w:b/>
          <w:bCs/>
          <w:sz w:val="24"/>
          <w:szCs w:val="24"/>
        </w:rPr>
        <w:t>Subpart B</w:t>
      </w:r>
      <w:r w:rsidR="008B15CA" w:rsidRPr="00C1694A">
        <w:rPr>
          <w:rFonts w:ascii="Times New Roman" w:eastAsia="Calibri" w:hAnsi="Times New Roman" w:cs="Times New Roman"/>
          <w:sz w:val="24"/>
          <w:szCs w:val="24"/>
        </w:rPr>
        <w:t>—</w:t>
      </w:r>
      <w:r w:rsidRPr="00C1694A">
        <w:rPr>
          <w:rFonts w:ascii="Times New Roman" w:hAnsi="Times New Roman" w:cs="Times New Roman"/>
          <w:b/>
          <w:bCs/>
          <w:sz w:val="24"/>
          <w:szCs w:val="24"/>
        </w:rPr>
        <w:t xml:space="preserve">Administrative Requirements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§1303.10 </w:t>
      </w:r>
      <w:r w:rsidR="000653CB">
        <w:rPr>
          <w:rFonts w:ascii="Times New Roman" w:hAnsi="Times New Roman" w:cs="Times New Roman"/>
          <w:b/>
          <w:sz w:val="24"/>
          <w:szCs w:val="24"/>
        </w:rPr>
        <w:t>Purpose</w:t>
      </w:r>
      <w:r w:rsidRPr="00C1694A">
        <w:rPr>
          <w:rFonts w:ascii="Times New Roman" w:hAnsi="Times New Roman" w:cs="Times New Roman"/>
          <w:b/>
          <w:sz w:val="24"/>
          <w:szCs w:val="24"/>
        </w:rPr>
        <w:t>.</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grantee must observe standards of organization, management, and administration that will ensure, so far as reasonably possible, that all program activities are conducted in a manner consistent with the purposes of the Act and the objective of providing assistance effectively, efficiently, and free of any taint of partisan political bias or personal or family favoritism.</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§1303.11 Limitations and prohibitions.</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bCs/>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b/>
          <w:bCs/>
          <w:sz w:val="24"/>
          <w:szCs w:val="24"/>
        </w:rPr>
      </w:pPr>
      <w:r w:rsidRPr="00C1694A">
        <w:rPr>
          <w:rFonts w:ascii="Times New Roman" w:hAnsi="Times New Roman" w:cs="Times New Roman"/>
          <w:sz w:val="24"/>
          <w:szCs w:val="24"/>
        </w:rPr>
        <w:t xml:space="preserve">An agency must adhere to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ections 644(e), 644(g)(3), 653, 654, 655, 656, and 657A of the Act.  These sections pertain to union organizing, the Davis-Bacon Act, limitations on compensation, nondiscrimination, unlawful activities, political activities, and obtaining parental consent.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§1303.12 Insurance and bonding.</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An agency must have an ongoing process to identify risks and have cost-effective insurance for those identified risks; a grantee must require the same for its delegates.  The agency must specifically consider the risk of accidental injury to children while participating in the program.  The grantee must submit proof of appropriate coverage in its initial application for funding.  The process of identifying risks must also consider the risk of losses resulting from fraudulent acts by individuals authorized to disburse Head Start funds.  Consistent with 45 CFR part 75, if the agency lacks sufficient coverage to protect the federal government’s interest, the agency must maintain adequate fidelity bond coverage.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C</w:t>
      </w:r>
      <w:r w:rsidR="008B15CA" w:rsidRPr="00C1694A">
        <w:rPr>
          <w:rFonts w:ascii="Times New Roman" w:eastAsia="Calibri" w:hAnsi="Times New Roman" w:cs="Times New Roman"/>
          <w:sz w:val="24"/>
          <w:szCs w:val="24"/>
        </w:rPr>
        <w:t>—</w:t>
      </w:r>
      <w:r w:rsidRPr="00C1694A">
        <w:rPr>
          <w:rFonts w:ascii="Times New Roman" w:hAnsi="Times New Roman" w:cs="Times New Roman"/>
          <w:b/>
          <w:sz w:val="24"/>
          <w:szCs w:val="24"/>
        </w:rPr>
        <w:t>Protections for the Privacy of Child Records</w:t>
      </w:r>
    </w:p>
    <w:p w:rsidR="00C03FE8" w:rsidRPr="00C1694A" w:rsidRDefault="00C03FE8" w:rsidP="00AC521C">
      <w:pPr>
        <w:autoSpaceDE w:val="0"/>
        <w:autoSpaceDN w:val="0"/>
        <w:adjustRightInd w:val="0"/>
        <w:spacing w:after="0" w:line="480" w:lineRule="auto"/>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§1303.20 </w:t>
      </w:r>
      <w:r w:rsidR="000653CB">
        <w:rPr>
          <w:rFonts w:ascii="Times New Roman" w:hAnsi="Times New Roman" w:cs="Times New Roman"/>
          <w:b/>
          <w:sz w:val="24"/>
          <w:szCs w:val="24"/>
        </w:rPr>
        <w:t>Establishing procedures</w:t>
      </w:r>
      <w:r w:rsidR="0017758B">
        <w:rPr>
          <w:rFonts w:ascii="Times New Roman" w:hAnsi="Times New Roman" w:cs="Times New Roman"/>
          <w:b/>
          <w:sz w:val="24"/>
          <w:szCs w:val="24"/>
        </w:rPr>
        <w:t>.</w:t>
      </w: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rPr>
        <w:t>A program must establish procedures to protect the confidentiality of any personally identifiable information (PII) in child records.</w:t>
      </w: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b/>
          <w:sz w:val="24"/>
          <w:szCs w:val="24"/>
        </w:rPr>
        <w:t>§1303.21 Program procedures – applicable confidentiality provisions</w:t>
      </w:r>
      <w:r w:rsidRPr="00C1694A">
        <w:rPr>
          <w:rFonts w:ascii="Times New Roman" w:hAnsi="Times New Roman" w:cs="Times New Roman"/>
          <w:i/>
          <w:sz w:val="24"/>
          <w:szCs w:val="24"/>
        </w:rPr>
        <w:t xml:space="preserve">. </w:t>
      </w:r>
    </w:p>
    <w:p w:rsidR="00C03FE8" w:rsidRPr="00C1694A" w:rsidRDefault="00C03FE8" w:rsidP="00AC521C">
      <w:pPr>
        <w:autoSpaceDE w:val="0"/>
        <w:autoSpaceDN w:val="0"/>
        <w:adjustRightInd w:val="0"/>
        <w:spacing w:after="0" w:line="480" w:lineRule="auto"/>
        <w:rPr>
          <w:rFonts w:ascii="Times New Roman" w:hAnsi="Times New Roman" w:cs="Times New Roman"/>
          <w:i/>
          <w:sz w:val="24"/>
          <w:szCs w:val="24"/>
        </w:rPr>
      </w:pPr>
      <w:r w:rsidRPr="00C1694A">
        <w:rPr>
          <w:rFonts w:ascii="Times New Roman" w:hAnsi="Times New Roman" w:cs="Times New Roman"/>
          <w:i/>
          <w:sz w:val="24"/>
          <w:szCs w:val="24"/>
        </w:rPr>
        <w:t xml:space="preserve">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If a program is an educational agency or institution </w:t>
      </w:r>
      <w:r w:rsidR="008F0ACF" w:rsidRPr="00C1694A">
        <w:rPr>
          <w:rFonts w:ascii="Times New Roman" w:hAnsi="Times New Roman" w:cs="Times New Roman"/>
          <w:sz w:val="24"/>
          <w:szCs w:val="24"/>
        </w:rPr>
        <w:t xml:space="preserve">that receives funds under a program administered by the Department of Education and therefore is </w:t>
      </w:r>
      <w:r w:rsidRPr="00C1694A">
        <w:rPr>
          <w:rFonts w:ascii="Times New Roman" w:hAnsi="Times New Roman" w:cs="Times New Roman"/>
          <w:sz w:val="24"/>
          <w:szCs w:val="24"/>
        </w:rPr>
        <w:t xml:space="preserve">subject to the confidentiality provisions under the Family Educational Rights and Privacy Act (FERPA), then it must comply with those confidentiality provisions of FERPA instead of the provisions in this subpart.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BD11D4" w:rsidRPr="00C1694A" w:rsidRDefault="00BD11D4"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(b) If a program serves a child who is referred to, or found eligible for services under, IDEA, then a program must comply with the applicable confidentiality provisions in Part B or Part C of IDEA to protect the PII in records of those children</w:t>
      </w:r>
      <w:r w:rsidR="00E970A1" w:rsidRPr="00C1694A">
        <w:rPr>
          <w:rFonts w:ascii="Times New Roman" w:hAnsi="Times New Roman" w:cs="Times New Roman"/>
          <w:sz w:val="24"/>
          <w:szCs w:val="24"/>
        </w:rPr>
        <w:t>,</w:t>
      </w:r>
      <w:r w:rsidRPr="00C1694A">
        <w:rPr>
          <w:rFonts w:ascii="Times New Roman" w:hAnsi="Times New Roman" w:cs="Times New Roman"/>
          <w:sz w:val="24"/>
          <w:szCs w:val="24"/>
        </w:rPr>
        <w:t xml:space="preserve"> and</w:t>
      </w:r>
      <w:r w:rsidR="00E970A1" w:rsidRPr="00C1694A">
        <w:rPr>
          <w:rFonts w:ascii="Times New Roman" w:hAnsi="Times New Roman" w:cs="Times New Roman"/>
          <w:sz w:val="24"/>
          <w:szCs w:val="24"/>
        </w:rPr>
        <w:t>,</w:t>
      </w:r>
      <w:r w:rsidRPr="00C1694A">
        <w:rPr>
          <w:rFonts w:ascii="Times New Roman" w:hAnsi="Times New Roman" w:cs="Times New Roman"/>
          <w:sz w:val="24"/>
          <w:szCs w:val="24"/>
        </w:rPr>
        <w:t xml:space="preserve"> therefore</w:t>
      </w:r>
      <w:r w:rsidR="00E970A1" w:rsidRPr="00C1694A">
        <w:rPr>
          <w:rFonts w:ascii="Times New Roman" w:hAnsi="Times New Roman" w:cs="Times New Roman"/>
          <w:sz w:val="24"/>
          <w:szCs w:val="24"/>
        </w:rPr>
        <w:t>,</w:t>
      </w:r>
      <w:r w:rsidRPr="00C1694A">
        <w:rPr>
          <w:rFonts w:ascii="Times New Roman" w:hAnsi="Times New Roman" w:cs="Times New Roman"/>
          <w:sz w:val="24"/>
          <w:szCs w:val="24"/>
        </w:rPr>
        <w:t xml:space="preserve"> the provisions in this subpart do not apply to those children.</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autoSpaceDE w:val="0"/>
        <w:autoSpaceDN w:val="0"/>
        <w:adjustRightInd w:val="0"/>
        <w:spacing w:after="0" w:line="480" w:lineRule="auto"/>
        <w:rPr>
          <w:rFonts w:ascii="Times New Roman" w:hAnsi="Times New Roman" w:cs="Times New Roman"/>
          <w:b/>
          <w:i/>
          <w:sz w:val="24"/>
          <w:szCs w:val="24"/>
        </w:rPr>
      </w:pPr>
      <w:r w:rsidRPr="00C1694A">
        <w:rPr>
          <w:rFonts w:ascii="Times New Roman" w:hAnsi="Times New Roman" w:cs="Times New Roman"/>
          <w:b/>
          <w:sz w:val="24"/>
          <w:szCs w:val="24"/>
        </w:rPr>
        <w:t>§1303.22 Disclosures with, and without, parental consent</w:t>
      </w:r>
      <w:r w:rsidRPr="00C1694A">
        <w:rPr>
          <w:rFonts w:ascii="Times New Roman" w:hAnsi="Times New Roman" w:cs="Times New Roman"/>
          <w:b/>
          <w:i/>
          <w:sz w:val="24"/>
          <w:szCs w:val="24"/>
        </w:rPr>
        <w:t>.</w:t>
      </w: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i/>
          <w:sz w:val="24"/>
          <w:szCs w:val="24"/>
        </w:rPr>
        <w:t xml:space="preserve">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w:t>
      </w:r>
      <w:r w:rsidRPr="00C1694A">
        <w:rPr>
          <w:rFonts w:ascii="Times New Roman" w:hAnsi="Times New Roman" w:cs="Times New Roman"/>
          <w:sz w:val="24"/>
          <w:szCs w:val="24"/>
          <w:u w:val="single"/>
        </w:rPr>
        <w:t>Disclosure with parental consent</w:t>
      </w:r>
      <w:r w:rsidRPr="00C1694A">
        <w:rPr>
          <w:rFonts w:ascii="Times New Roman" w:hAnsi="Times New Roman" w:cs="Times New Roman"/>
          <w:sz w:val="24"/>
          <w:szCs w:val="24"/>
        </w:rPr>
        <w:t>.  (1) Subject to the exceptions in paragraphs (b) and (c)</w:t>
      </w:r>
      <w:r w:rsidR="0017758B">
        <w:rPr>
          <w:rFonts w:ascii="Times New Roman" w:hAnsi="Times New Roman" w:cs="Times New Roman"/>
          <w:sz w:val="24"/>
          <w:szCs w:val="24"/>
        </w:rPr>
        <w:t xml:space="preserve"> of this section</w:t>
      </w:r>
      <w:r w:rsidRPr="00C1694A">
        <w:rPr>
          <w:rFonts w:ascii="Times New Roman" w:hAnsi="Times New Roman" w:cs="Times New Roman"/>
          <w:sz w:val="24"/>
          <w:szCs w:val="24"/>
        </w:rPr>
        <w:t>, the procedures to protect PII must require the program to obtain a parent’s written consent before the program may disclose such PII from child records.</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The procedures to protect PII must require the program to ensure the parent’s written consent specifies what child records may be disclosed, explains why the records will be disclosed, and identifies the party or class of parties to whom the records may be disclosed.  The written consent must be signed and dated.</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“Signed and dated written consent” under this part may include a record and signature in electronic form that:</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(i) Identifies and authenticates a particular person as the source of the electronic consent; and,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(ii) Indicates such person's approval of the information.</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The program must explain to the parent that the granting of consent is voluntary on the part of the parent and may be revoked at any time.  If a parent revokes consent, that revocation is not retroactive and therefore it does not apply to an action that occurred before the consent was revoked.</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Disclosure without parental consent but with parental notice and opportunity to refuse</w:t>
      </w:r>
      <w:r w:rsidRPr="00C1694A">
        <w:rPr>
          <w:rFonts w:ascii="Times New Roman" w:hAnsi="Times New Roman" w:cs="Times New Roman"/>
          <w:sz w:val="24"/>
          <w:szCs w:val="24"/>
        </w:rPr>
        <w:t>.  The procedures to protect PII must allow the program to disclose such PII from child records without parental consent if the program notifies the parent about the disclosure, provides the parent, upon the parent’s request, a copy of the PII from child records to be disclosed in advance, and gives the parent an opportunity to challenge and refuse disclosure of the information in the records, before the program forwards the records to officials at a program, school, or school district in which the child seeks or intends to enroll or where the child is already enrolled so long as the disclosure is related to the child's enrollment or transfer.</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Disclosure without parental consent</w:t>
      </w:r>
      <w:r w:rsidRPr="00C1694A">
        <w:rPr>
          <w:rFonts w:ascii="Times New Roman" w:hAnsi="Times New Roman" w:cs="Times New Roman"/>
          <w:sz w:val="24"/>
          <w:szCs w:val="24"/>
        </w:rPr>
        <w:t>.  The procedures to protect PII must allow the program to disclose such PII from child records without parental consent to:</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Officials within the program or acting for the program, such as contractors and subrecipients, if the official provides services for which the program would otherwise use employees, the program determines it is necessary for Head Start services, and the program maintains oversight with respect to the use, further disclosure, and maintenance of child records, such as through a written agreement;</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6F238B" w:rsidP="00AC521C">
      <w:pPr>
        <w:tabs>
          <w:tab w:val="left" w:pos="0"/>
          <w:tab w:val="left" w:pos="36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ab/>
      </w:r>
      <w:r w:rsidRPr="00C1694A">
        <w:rPr>
          <w:rFonts w:ascii="Times New Roman" w:hAnsi="Times New Roman" w:cs="Times New Roman"/>
          <w:sz w:val="24"/>
          <w:szCs w:val="24"/>
        </w:rPr>
        <w:tab/>
        <w:t xml:space="preserve">(2) </w:t>
      </w:r>
      <w:r w:rsidR="00C03FE8" w:rsidRPr="00C1694A">
        <w:rPr>
          <w:rFonts w:ascii="Times New Roman" w:hAnsi="Times New Roman" w:cs="Times New Roman"/>
          <w:sz w:val="24"/>
          <w:szCs w:val="24"/>
        </w:rPr>
        <w:t>Officials within the program, acting for the program, or from a federal or state entity, in connection with an audit or evaluation of education or child development programs, or for enforcement of or compliance with federal legal requirements of the program; provided the program maintains oversight with respect to the use, further disclosure, and maintenance of child records, such as through a written agreement, including the destruction of the PII when no longer needed for the purpose of the disclosure, except when the disclosure is specifically authorized by federal law or by the responsible HHS official;</w:t>
      </w:r>
    </w:p>
    <w:p w:rsidR="00C03FE8" w:rsidRPr="00C1694A" w:rsidRDefault="00C03FE8" w:rsidP="00AC521C">
      <w:pPr>
        <w:pStyle w:val="ListParagraph"/>
        <w:tabs>
          <w:tab w:val="left" w:pos="360"/>
        </w:tabs>
        <w:spacing w:after="0" w:line="480" w:lineRule="auto"/>
        <w:ind w:left="0"/>
        <w:rPr>
          <w:rFonts w:ascii="Times New Roman" w:hAnsi="Times New Roman" w:cs="Times New Roman"/>
          <w:sz w:val="24"/>
          <w:szCs w:val="24"/>
        </w:rPr>
      </w:pPr>
    </w:p>
    <w:p w:rsidR="00C03FE8" w:rsidRPr="00C1694A" w:rsidRDefault="006F238B" w:rsidP="00AC521C">
      <w:pPr>
        <w:tabs>
          <w:tab w:val="left" w:pos="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w:t>
      </w:r>
      <w:r w:rsidR="00C03FE8" w:rsidRPr="00C1694A">
        <w:rPr>
          <w:rFonts w:ascii="Times New Roman" w:hAnsi="Times New Roman" w:cs="Times New Roman"/>
          <w:sz w:val="24"/>
          <w:szCs w:val="24"/>
        </w:rPr>
        <w:t>Officials within the program, acting for the program, or from a federal or state entity, to conduct a study to improve child and family outcomes, including improving the quality of programs, for, or on behalf of, the program, provided the program maintains oversight with respect to the use, further disclosure, and maintenance of child records, such as through a written agreement, including the destruction of the PII when no longer needed for the purpose of the disclosure;</w:t>
      </w:r>
    </w:p>
    <w:p w:rsidR="00C03FE8" w:rsidRPr="00C1694A" w:rsidRDefault="00C03FE8" w:rsidP="00AC521C">
      <w:pPr>
        <w:pStyle w:val="ListParagraph"/>
        <w:tabs>
          <w:tab w:val="left" w:pos="360"/>
        </w:tabs>
        <w:spacing w:after="0" w:line="480" w:lineRule="auto"/>
        <w:ind w:left="0"/>
        <w:rPr>
          <w:rFonts w:ascii="Times New Roman" w:hAnsi="Times New Roman" w:cs="Times New Roman"/>
          <w:sz w:val="24"/>
          <w:szCs w:val="24"/>
        </w:rPr>
      </w:pPr>
    </w:p>
    <w:p w:rsidR="00C03FE8" w:rsidRPr="00C1694A" w:rsidRDefault="006F238B" w:rsidP="00AC521C">
      <w:pPr>
        <w:tabs>
          <w:tab w:val="left" w:pos="36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(4) </w:t>
      </w:r>
      <w:r w:rsidR="00C03FE8" w:rsidRPr="00C1694A">
        <w:rPr>
          <w:rFonts w:ascii="Times New Roman" w:hAnsi="Times New Roman" w:cs="Times New Roman"/>
          <w:sz w:val="24"/>
          <w:szCs w:val="24"/>
        </w:rPr>
        <w:t>Appropriate parties in order to address a disaster, health or safety emergency during the period of the emergency, or a serious health and safety risk such as a serious food allergy, if the program determines that disclosing the PII from child records is necessary to protect the health or safety of children or other persons;</w:t>
      </w:r>
    </w:p>
    <w:p w:rsidR="00C03FE8" w:rsidRPr="00C1694A" w:rsidRDefault="00C03FE8" w:rsidP="00AC521C">
      <w:pPr>
        <w:pStyle w:val="ListParagraph"/>
        <w:tabs>
          <w:tab w:val="left" w:pos="360"/>
        </w:tabs>
        <w:spacing w:after="0" w:line="480" w:lineRule="auto"/>
        <w:ind w:left="0"/>
        <w:rPr>
          <w:rFonts w:ascii="Times New Roman" w:hAnsi="Times New Roman" w:cs="Times New Roman"/>
          <w:sz w:val="24"/>
          <w:szCs w:val="24"/>
        </w:rPr>
      </w:pPr>
    </w:p>
    <w:p w:rsidR="00C03FE8" w:rsidRPr="00C1694A" w:rsidRDefault="006F238B" w:rsidP="00AC521C">
      <w:pPr>
        <w:tabs>
          <w:tab w:val="left" w:pos="0"/>
          <w:tab w:val="left" w:pos="360"/>
          <w:tab w:val="left" w:pos="45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(5) </w:t>
      </w:r>
      <w:r w:rsidR="00C03FE8" w:rsidRPr="00C1694A">
        <w:rPr>
          <w:rFonts w:ascii="Times New Roman" w:hAnsi="Times New Roman" w:cs="Times New Roman"/>
          <w:sz w:val="24"/>
          <w:szCs w:val="24"/>
        </w:rPr>
        <w:t>Comply with a judicial order or lawfully issued subpoena, provided the program makes a reasonable effort to notify the parent about all such subpoenas and court orders in advance of the compliance therewith, unless:</w:t>
      </w:r>
    </w:p>
    <w:p w:rsidR="00C03FE8" w:rsidRPr="00C1694A" w:rsidRDefault="00C03FE8" w:rsidP="00AC521C">
      <w:pPr>
        <w:pStyle w:val="ListParagraph"/>
        <w:spacing w:after="0" w:line="480" w:lineRule="auto"/>
        <w:rPr>
          <w:rFonts w:ascii="Times New Roman" w:hAnsi="Times New Roman" w:cs="Times New Roman"/>
          <w:sz w:val="24"/>
          <w:szCs w:val="24"/>
        </w:rPr>
      </w:pPr>
    </w:p>
    <w:p w:rsidR="00BD11D4" w:rsidRPr="00C1694A" w:rsidRDefault="00BD11D4" w:rsidP="00AC521C">
      <w:pPr>
        <w:pStyle w:val="ListParagraph"/>
        <w:tabs>
          <w:tab w:val="left" w:pos="0"/>
          <w:tab w:val="left" w:pos="360"/>
          <w:tab w:val="left" w:pos="450"/>
          <w:tab w:val="left" w:pos="108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(i) A court has ordered that neither the subpoena, its contents, nor the information provided in response be disclosed;</w:t>
      </w:r>
    </w:p>
    <w:p w:rsidR="00C03FE8" w:rsidRPr="00C1694A" w:rsidRDefault="00C03FE8" w:rsidP="00AC521C">
      <w:pPr>
        <w:pStyle w:val="ListParagraph"/>
        <w:tabs>
          <w:tab w:val="left" w:pos="0"/>
          <w:tab w:val="left" w:pos="360"/>
          <w:tab w:val="left" w:pos="450"/>
          <w:tab w:val="left" w:pos="108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0"/>
          <w:tab w:val="left" w:pos="360"/>
          <w:tab w:val="left" w:pos="450"/>
          <w:tab w:val="left" w:pos="108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(ii) The disclosure is in compliance with an ex parte 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rsidR="00C03FE8" w:rsidRPr="00C1694A" w:rsidRDefault="00C03FE8" w:rsidP="00AC521C">
      <w:pPr>
        <w:pStyle w:val="ListParagraph"/>
        <w:tabs>
          <w:tab w:val="left" w:pos="0"/>
          <w:tab w:val="left" w:pos="360"/>
          <w:tab w:val="left" w:pos="450"/>
          <w:tab w:val="left" w:pos="1080"/>
        </w:tabs>
        <w:spacing w:after="0" w:line="480" w:lineRule="auto"/>
        <w:ind w:left="0" w:firstLine="720"/>
        <w:rPr>
          <w:rFonts w:ascii="Times New Roman" w:hAnsi="Times New Roman" w:cs="Times New Roman"/>
          <w:sz w:val="24"/>
          <w:szCs w:val="24"/>
        </w:rPr>
      </w:pPr>
    </w:p>
    <w:p w:rsidR="00BD11D4" w:rsidRPr="00C1694A" w:rsidRDefault="00BD11D4" w:rsidP="00AC521C">
      <w:pPr>
        <w:pStyle w:val="ListParagraph"/>
        <w:tabs>
          <w:tab w:val="left" w:pos="0"/>
          <w:tab w:val="left" w:pos="360"/>
          <w:tab w:val="left" w:pos="450"/>
          <w:tab w:val="left" w:pos="108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(iii) A parent is a party to a court proceeding directly involving child abuse and neglect (as defined in section 3 of the Child Abuse Prevention and Treatment Act (42 U.S.C. 5101)) or dependency matters, and the order is issued in the context of that proceeding, additional notice to the parent by the program is not required; or,</w:t>
      </w:r>
    </w:p>
    <w:p w:rsidR="00C03FE8" w:rsidRPr="00C1694A" w:rsidRDefault="00C03FE8" w:rsidP="00AC521C">
      <w:pPr>
        <w:pStyle w:val="ListParagraph"/>
        <w:tabs>
          <w:tab w:val="left" w:pos="0"/>
          <w:tab w:val="left" w:pos="360"/>
          <w:tab w:val="left" w:pos="450"/>
          <w:tab w:val="left" w:pos="1080"/>
        </w:tabs>
        <w:spacing w:after="0" w:line="480" w:lineRule="auto"/>
        <w:ind w:left="0" w:firstLine="720"/>
        <w:rPr>
          <w:rFonts w:ascii="Times New Roman" w:hAnsi="Times New Roman" w:cs="Times New Roman"/>
          <w:sz w:val="24"/>
          <w:szCs w:val="24"/>
        </w:rPr>
      </w:pPr>
    </w:p>
    <w:p w:rsidR="00C03FE8" w:rsidRPr="00C1694A" w:rsidRDefault="00C03FE8" w:rsidP="00AC521C">
      <w:pPr>
        <w:pStyle w:val="ListParagraph"/>
        <w:tabs>
          <w:tab w:val="left" w:pos="0"/>
          <w:tab w:val="left" w:pos="360"/>
          <w:tab w:val="left" w:pos="450"/>
          <w:tab w:val="left" w:pos="108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(iv) A program initiates legal action against a parent or a parent initiates legal action against a program, then a program may disclose to the court, also without a court order or subpoena, the child records relevant for the program to act as plaintiff or defendant.</w:t>
      </w:r>
    </w:p>
    <w:p w:rsidR="00C03FE8" w:rsidRPr="00C1694A" w:rsidRDefault="00C03FE8" w:rsidP="00AC521C">
      <w:pPr>
        <w:tabs>
          <w:tab w:val="left" w:pos="0"/>
          <w:tab w:val="left" w:pos="360"/>
          <w:tab w:val="left" w:pos="450"/>
          <w:tab w:val="left" w:pos="3650"/>
        </w:tabs>
        <w:spacing w:after="0" w:line="480" w:lineRule="auto"/>
        <w:ind w:left="720"/>
        <w:rPr>
          <w:rFonts w:ascii="Times New Roman" w:hAnsi="Times New Roman" w:cs="Times New Roman"/>
          <w:sz w:val="24"/>
          <w:szCs w:val="24"/>
        </w:rPr>
      </w:pPr>
      <w:r w:rsidRPr="00C1694A">
        <w:rPr>
          <w:rFonts w:ascii="Times New Roman" w:hAnsi="Times New Roman" w:cs="Times New Roman"/>
          <w:sz w:val="24"/>
          <w:szCs w:val="24"/>
        </w:rPr>
        <w:tab/>
      </w:r>
    </w:p>
    <w:p w:rsidR="00C03FE8" w:rsidRPr="00C1694A" w:rsidRDefault="006F238B" w:rsidP="00AC521C">
      <w:pPr>
        <w:tabs>
          <w:tab w:val="left" w:pos="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(6) </w:t>
      </w:r>
      <w:r w:rsidR="00C03FE8" w:rsidRPr="00C1694A">
        <w:rPr>
          <w:rFonts w:ascii="Times New Roman" w:hAnsi="Times New Roman" w:cs="Times New Roman"/>
          <w:sz w:val="24"/>
          <w:szCs w:val="24"/>
        </w:rPr>
        <w:t xml:space="preserve">The Secretary of Agriculture or an authorized representative from the Food and Nutrition Service to conduct program monitoring, evaluations, and performance measurements for the Child and Adult Care Food Program under the Richard B. Russell National School Lunch Act or the Child Nutrition Act of 1966, if the results will be reported in an aggregate form that does not identify any individual: provided, that any data collected must be protected in a manner that will not permit the personal identification of students and their parents by other than the authorized representatives of the Secretary of Agriculture and any PII must be destroyed when the data are no longer needed for program monitoring, evaluations, and performance measurements; </w:t>
      </w:r>
    </w:p>
    <w:p w:rsidR="00C03FE8" w:rsidRPr="00C1694A" w:rsidRDefault="00C03FE8" w:rsidP="00AC521C">
      <w:pPr>
        <w:pStyle w:val="ListParagraph"/>
        <w:tabs>
          <w:tab w:val="left" w:pos="360"/>
        </w:tabs>
        <w:spacing w:after="0" w:line="480" w:lineRule="auto"/>
        <w:rPr>
          <w:rFonts w:ascii="Times New Roman" w:hAnsi="Times New Roman" w:cs="Times New Roman"/>
          <w:sz w:val="24"/>
          <w:szCs w:val="24"/>
        </w:rPr>
      </w:pPr>
    </w:p>
    <w:p w:rsidR="00C03FE8" w:rsidRPr="00C1694A" w:rsidRDefault="006F238B" w:rsidP="00AC521C">
      <w:pPr>
        <w:tabs>
          <w:tab w:val="left" w:pos="360"/>
          <w:tab w:val="left" w:pos="45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(7) </w:t>
      </w:r>
      <w:r w:rsidR="00C03FE8" w:rsidRPr="00C1694A">
        <w:rPr>
          <w:rFonts w:ascii="Times New Roman" w:hAnsi="Times New Roman" w:cs="Times New Roman"/>
          <w:sz w:val="24"/>
          <w:szCs w:val="24"/>
        </w:rPr>
        <w:t>A caseworker or other representative from a state, local, or tribal child welfare agency, who has the right to access a case plan for a child who is in foster care placement, when such agency is legally responsible for the child's care and protection, under state or tribal law, if the agency agrees in writing to protect PII, to use information from the child’s case plan for specific purposes intended of addressing the child's needs, and to destroy information that is no longer needed for those purposes; and,</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6F238B" w:rsidP="00AC521C">
      <w:pPr>
        <w:tabs>
          <w:tab w:val="left" w:pos="360"/>
          <w:tab w:val="left" w:pos="45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(8) </w:t>
      </w:r>
      <w:r w:rsidR="00C03FE8" w:rsidRPr="00C1694A">
        <w:rPr>
          <w:rFonts w:ascii="Times New Roman" w:hAnsi="Times New Roman" w:cs="Times New Roman"/>
          <w:sz w:val="24"/>
          <w:szCs w:val="24"/>
        </w:rPr>
        <w:t>Appropriate parties in order to address suspected or known child maltreatment and is consistent with applicable federal, state, local, and tribal laws on reporting child abuse and neglect.</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pStyle w:val="ListParagraph"/>
        <w:tabs>
          <w:tab w:val="left" w:pos="450"/>
          <w:tab w:val="left" w:pos="108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Written agreements</w:t>
      </w:r>
      <w:r w:rsidRPr="00C1694A">
        <w:rPr>
          <w:rFonts w:ascii="Times New Roman" w:hAnsi="Times New Roman" w:cs="Times New Roman"/>
          <w:sz w:val="24"/>
          <w:szCs w:val="24"/>
        </w:rPr>
        <w:t>.  When a program establishes a written agreement with a third party, the procedures to protect such PII must require the program to annually review and, if necessary, update the agreem</w:t>
      </w:r>
      <w:r w:rsidR="006F238B" w:rsidRPr="00C1694A">
        <w:rPr>
          <w:rFonts w:ascii="Times New Roman" w:hAnsi="Times New Roman" w:cs="Times New Roman"/>
          <w:sz w:val="24"/>
          <w:szCs w:val="24"/>
        </w:rPr>
        <w:t>ent.</w:t>
      </w:r>
      <w:r w:rsidRPr="00C1694A">
        <w:rPr>
          <w:rFonts w:ascii="Times New Roman" w:hAnsi="Times New Roman" w:cs="Times New Roman"/>
          <w:sz w:val="24"/>
          <w:szCs w:val="24"/>
        </w:rPr>
        <w:t xml:space="preserve">  If the third party violates the agreement, then the program may:</w:t>
      </w:r>
    </w:p>
    <w:p w:rsidR="00C03FE8" w:rsidRPr="00C1694A" w:rsidRDefault="00C03FE8" w:rsidP="00AC521C">
      <w:pPr>
        <w:pStyle w:val="ListParagraph"/>
        <w:tabs>
          <w:tab w:val="left" w:pos="450"/>
          <w:tab w:val="left" w:pos="1080"/>
        </w:tabs>
        <w:spacing w:after="0" w:line="480" w:lineRule="auto"/>
        <w:ind w:left="0" w:firstLine="720"/>
        <w:rPr>
          <w:rFonts w:ascii="Times New Roman" w:hAnsi="Times New Roman" w:cs="Times New Roman"/>
          <w:sz w:val="24"/>
          <w:szCs w:val="24"/>
        </w:rPr>
      </w:pPr>
    </w:p>
    <w:p w:rsidR="00C03FE8" w:rsidRPr="00C1694A" w:rsidRDefault="00EC17A6" w:rsidP="00AC521C">
      <w:pPr>
        <w:tabs>
          <w:tab w:val="num" w:pos="360"/>
          <w:tab w:val="left" w:pos="45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(1) </w:t>
      </w:r>
      <w:r w:rsidR="00C03FE8" w:rsidRPr="00C1694A">
        <w:rPr>
          <w:rFonts w:ascii="Times New Roman" w:hAnsi="Times New Roman" w:cs="Times New Roman"/>
          <w:sz w:val="24"/>
          <w:szCs w:val="24"/>
        </w:rPr>
        <w:t>Provide the third party an opportunity to self-correct; or,</w:t>
      </w:r>
    </w:p>
    <w:p w:rsidR="00C03FE8" w:rsidRPr="00C1694A" w:rsidRDefault="00C03FE8" w:rsidP="00AC521C">
      <w:pPr>
        <w:tabs>
          <w:tab w:val="left" w:pos="450"/>
          <w:tab w:val="left" w:pos="1080"/>
        </w:tabs>
        <w:spacing w:after="0" w:line="480" w:lineRule="auto"/>
        <w:rPr>
          <w:rFonts w:ascii="Times New Roman" w:hAnsi="Times New Roman" w:cs="Times New Roman"/>
          <w:sz w:val="24"/>
          <w:szCs w:val="24"/>
        </w:rPr>
      </w:pPr>
    </w:p>
    <w:p w:rsidR="00C03FE8" w:rsidRPr="00C1694A" w:rsidRDefault="00EC17A6" w:rsidP="00AC521C">
      <w:pPr>
        <w:tabs>
          <w:tab w:val="num" w:pos="360"/>
          <w:tab w:val="left" w:pos="450"/>
          <w:tab w:val="left" w:pos="54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w:t>
      </w:r>
      <w:r w:rsidR="00C03FE8" w:rsidRPr="00C1694A">
        <w:rPr>
          <w:rFonts w:ascii="Times New Roman" w:hAnsi="Times New Roman" w:cs="Times New Roman"/>
          <w:sz w:val="24"/>
          <w:szCs w:val="24"/>
        </w:rPr>
        <w:t>Prohibit the third party from access to records for a set period of time as established by the programs governing body and policy council.</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w:t>
      </w:r>
      <w:r w:rsidRPr="00C1694A">
        <w:rPr>
          <w:rFonts w:ascii="Times New Roman" w:hAnsi="Times New Roman" w:cs="Times New Roman"/>
          <w:sz w:val="24"/>
          <w:szCs w:val="24"/>
          <w:u w:val="single"/>
        </w:rPr>
        <w:t>Annual notice</w:t>
      </w:r>
      <w:r w:rsidRPr="00C1694A">
        <w:rPr>
          <w:rFonts w:ascii="Times New Roman" w:hAnsi="Times New Roman" w:cs="Times New Roman"/>
          <w:sz w:val="24"/>
          <w:szCs w:val="24"/>
        </w:rPr>
        <w:t xml:space="preserve">.  The procedures to protect PII must require the program to annually notify parents of their rights in writing described in this subpart and applicable definitions in </w:t>
      </w:r>
      <w:r w:rsidR="008A61B7">
        <w:rPr>
          <w:rFonts w:ascii="Times New Roman" w:hAnsi="Times New Roman" w:cs="Times New Roman"/>
          <w:sz w:val="24"/>
          <w:szCs w:val="24"/>
        </w:rPr>
        <w:t xml:space="preserve">part </w:t>
      </w:r>
      <w:r w:rsidRPr="00C1694A">
        <w:rPr>
          <w:rFonts w:ascii="Times New Roman" w:hAnsi="Times New Roman" w:cs="Times New Roman"/>
          <w:sz w:val="24"/>
          <w:szCs w:val="24"/>
        </w:rPr>
        <w:t>1305</w:t>
      </w:r>
      <w:r w:rsidR="008A61B7">
        <w:rPr>
          <w:rFonts w:ascii="Times New Roman" w:hAnsi="Times New Roman" w:cs="Times New Roman"/>
          <w:sz w:val="24"/>
          <w:szCs w:val="24"/>
        </w:rPr>
        <w:t xml:space="preserve"> of this chapter</w:t>
      </w:r>
      <w:r w:rsidRPr="00C1694A">
        <w:rPr>
          <w:rFonts w:ascii="Times New Roman" w:hAnsi="Times New Roman" w:cs="Times New Roman"/>
          <w:sz w:val="24"/>
          <w:szCs w:val="24"/>
        </w:rPr>
        <w:t>, and include in that notice a description of the types of PII that may be disclosed, to whom the PII may be disclosed, and what may constitute a necessary reason for the disclosure without parental consent as described in paragraph (c)</w:t>
      </w:r>
      <w:r w:rsidR="008A61B7">
        <w:rPr>
          <w:rFonts w:ascii="Times New Roman" w:hAnsi="Times New Roman" w:cs="Times New Roman"/>
          <w:sz w:val="24"/>
          <w:szCs w:val="24"/>
        </w:rPr>
        <w:t xml:space="preserve"> of this section</w:t>
      </w:r>
      <w:r w:rsidRPr="00C1694A">
        <w:rPr>
          <w:rFonts w:ascii="Times New Roman" w:hAnsi="Times New Roman" w:cs="Times New Roman"/>
          <w:sz w:val="24"/>
          <w:szCs w:val="24"/>
        </w:rPr>
        <w:t>.</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u w:val="single"/>
        </w:rPr>
      </w:pPr>
      <w:r w:rsidRPr="00C1694A">
        <w:rPr>
          <w:rFonts w:ascii="Times New Roman" w:hAnsi="Times New Roman" w:cs="Times New Roman"/>
          <w:sz w:val="24"/>
          <w:szCs w:val="24"/>
        </w:rPr>
        <w:t xml:space="preserve">(f) </w:t>
      </w:r>
      <w:r w:rsidRPr="00C1694A">
        <w:rPr>
          <w:rFonts w:ascii="Times New Roman" w:hAnsi="Times New Roman" w:cs="Times New Roman"/>
          <w:sz w:val="24"/>
          <w:szCs w:val="24"/>
          <w:u w:val="single"/>
        </w:rPr>
        <w:t>Limit on disclosing PII</w:t>
      </w:r>
      <w:r w:rsidRPr="00C1694A">
        <w:rPr>
          <w:rFonts w:ascii="Times New Roman" w:hAnsi="Times New Roman" w:cs="Times New Roman"/>
          <w:sz w:val="24"/>
          <w:szCs w:val="24"/>
        </w:rPr>
        <w:t>. A program must only disclose the information that is deemed necessary for the purpose of the disclosure.</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i/>
          <w:sz w:val="24"/>
          <w:szCs w:val="24"/>
        </w:rPr>
      </w:pPr>
      <w:r w:rsidRPr="00C1694A">
        <w:rPr>
          <w:rFonts w:ascii="Times New Roman" w:hAnsi="Times New Roman" w:cs="Times New Roman"/>
          <w:b/>
          <w:sz w:val="24"/>
          <w:szCs w:val="24"/>
        </w:rPr>
        <w:t>§1303.23 Parental rights</w:t>
      </w:r>
      <w:r w:rsidRPr="00C1694A">
        <w:rPr>
          <w:rFonts w:ascii="Times New Roman" w:hAnsi="Times New Roman" w:cs="Times New Roman"/>
          <w:b/>
          <w:i/>
          <w:sz w:val="24"/>
          <w:szCs w:val="24"/>
        </w:rPr>
        <w:t>.</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i/>
          <w:sz w:val="24"/>
          <w:szCs w:val="24"/>
        </w:rPr>
        <w:t xml:space="preserve"> </w:t>
      </w:r>
    </w:p>
    <w:p w:rsidR="00C03FE8" w:rsidRPr="00C1694A" w:rsidRDefault="00EC17A6" w:rsidP="00AC521C">
      <w:pPr>
        <w:tabs>
          <w:tab w:val="left" w:pos="360"/>
          <w:tab w:val="left" w:pos="1080"/>
        </w:tabs>
        <w:spacing w:after="0" w:line="480" w:lineRule="auto"/>
        <w:ind w:left="720"/>
        <w:rPr>
          <w:rFonts w:ascii="Times New Roman" w:hAnsi="Times New Roman" w:cs="Times New Roman"/>
          <w:sz w:val="24"/>
          <w:szCs w:val="24"/>
        </w:rPr>
      </w:pPr>
      <w:r w:rsidRPr="00C1694A">
        <w:rPr>
          <w:rFonts w:ascii="Times New Roman" w:hAnsi="Times New Roman" w:cs="Times New Roman"/>
          <w:sz w:val="24"/>
          <w:szCs w:val="24"/>
        </w:rPr>
        <w:t xml:space="preserve">(a) </w:t>
      </w:r>
      <w:r w:rsidR="00C03FE8" w:rsidRPr="00C1694A">
        <w:rPr>
          <w:rFonts w:ascii="Times New Roman" w:hAnsi="Times New Roman" w:cs="Times New Roman"/>
          <w:sz w:val="24"/>
          <w:szCs w:val="24"/>
          <w:u w:val="single"/>
        </w:rPr>
        <w:t>Inspect record</w:t>
      </w:r>
      <w:r w:rsidR="00C03FE8" w:rsidRPr="00C1694A">
        <w:rPr>
          <w:rFonts w:ascii="Times New Roman" w:hAnsi="Times New Roman" w:cs="Times New Roman"/>
          <w:sz w:val="24"/>
          <w:szCs w:val="24"/>
        </w:rPr>
        <w:t xml:space="preserve">. (1) A parent has the right to inspect child records.  </w:t>
      </w:r>
    </w:p>
    <w:p w:rsidR="00C03FE8" w:rsidRPr="00C1694A" w:rsidRDefault="00C03FE8" w:rsidP="00AC521C">
      <w:pPr>
        <w:tabs>
          <w:tab w:val="left" w:pos="360"/>
          <w:tab w:val="left" w:pos="1080"/>
        </w:tabs>
        <w:spacing w:after="0" w:line="480" w:lineRule="auto"/>
        <w:rPr>
          <w:rFonts w:ascii="Times New Roman" w:hAnsi="Times New Roman" w:cs="Times New Roman"/>
          <w:sz w:val="24"/>
          <w:szCs w:val="24"/>
        </w:rPr>
      </w:pPr>
    </w:p>
    <w:p w:rsidR="00C03FE8" w:rsidRPr="00C1694A" w:rsidRDefault="00C03FE8" w:rsidP="00AC521C">
      <w:pPr>
        <w:tabs>
          <w:tab w:val="left" w:pos="36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If the parent requests to inspect child records, the program must make the child records available within a reasonable time, but no more than 45 days after receipt of request.  </w:t>
      </w:r>
    </w:p>
    <w:p w:rsidR="00C03FE8" w:rsidRPr="00C1694A" w:rsidRDefault="00C03FE8" w:rsidP="00AC521C">
      <w:pPr>
        <w:tabs>
          <w:tab w:val="left" w:pos="360"/>
          <w:tab w:val="left" w:pos="108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(3) If a program maintains child records that contain information on more than one child, the program must ensure the parent only inspects information that pertains to the parent’s child.</w:t>
      </w:r>
    </w:p>
    <w:p w:rsidR="00C03FE8" w:rsidRPr="00C1694A" w:rsidRDefault="00C03FE8" w:rsidP="00AC521C">
      <w:pPr>
        <w:tabs>
          <w:tab w:val="left" w:pos="360"/>
          <w:tab w:val="left" w:pos="1080"/>
        </w:tabs>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 w:val="left" w:pos="108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(4) The program shall not destroy a child record with an outstanding request to inspect and review the record under this section.</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Amend record</w:t>
      </w:r>
      <w:r w:rsidRPr="00C1694A">
        <w:rPr>
          <w:rFonts w:ascii="Times New Roman" w:hAnsi="Times New Roman" w:cs="Times New Roman"/>
          <w:sz w:val="24"/>
          <w:szCs w:val="24"/>
        </w:rPr>
        <w:t xml:space="preserve">. (1) A parent has the right to ask the program to amend information in the child record that the parent believes is inaccurate, misleading, or violates the child’s privacy.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Del="00EB7069"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(2) The program must consider the parent’s request and, if the request is denied, render a written decision to the parent within a reasonable time that informs the parent of the right to a hearing.</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Hearing</w:t>
      </w:r>
      <w:r w:rsidRPr="00C1694A">
        <w:rPr>
          <w:rFonts w:ascii="Times New Roman" w:hAnsi="Times New Roman" w:cs="Times New Roman"/>
          <w:sz w:val="24"/>
          <w:szCs w:val="24"/>
        </w:rPr>
        <w:t>. (1) If the parent requests a hearing to challenge information in the child record, the program must schedule a hearing within a reasonable time, notify the parent, in advance, about the hearing, and ensure the person who conducts the hearing does not have a direct interest in its outcome.</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The program must ensure the hearing affords the parent a full and fair opportunity to present evidence relevant to the issues.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If the program determines from evidence presented at the hearing that the information in the child records is inaccurate, misleading, or violates the child’s privacy, the program must either amend or remove the information and notify the parent in writing.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(4) If the program determines from evidence presented at the hearing that information in the child records is accurate, does not mislead, or otherwise does not violate the child’s privacy, the program must inform the parent of the right to place a statement in the child records that either comments on the contested information or that states why the parent disagrees with the program’s decision, or both.  </w:t>
      </w:r>
    </w:p>
    <w:p w:rsidR="00C03FE8" w:rsidRPr="00C1694A" w:rsidRDefault="00C03FE8" w:rsidP="00AC5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(d) </w:t>
      </w:r>
      <w:r w:rsidRPr="00C1694A">
        <w:rPr>
          <w:rFonts w:ascii="Times New Roman" w:hAnsi="Times New Roman" w:cs="Times New Roman"/>
          <w:sz w:val="24"/>
          <w:szCs w:val="24"/>
          <w:u w:val="single"/>
        </w:rPr>
        <w:t>Right to copy of record</w:t>
      </w:r>
      <w:r w:rsidRPr="00C1694A">
        <w:rPr>
          <w:rFonts w:ascii="Times New Roman" w:hAnsi="Times New Roman" w:cs="Times New Roman"/>
          <w:sz w:val="24"/>
          <w:szCs w:val="24"/>
        </w:rPr>
        <w:t>.  The program must provide a parent, free of charge, an initial copy of child records disclosed to third parties with parental consent and, upon parent request, an initial copy of child records disclosed to third parties, unless the disclosure was for a court that ordered neither the subpoena, its contents, nor the information furnished in response be disclosed.</w:t>
      </w:r>
    </w:p>
    <w:p w:rsidR="00C03FE8" w:rsidRPr="00C1694A" w:rsidRDefault="00C03FE8" w:rsidP="00AC5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EC17A6" w:rsidP="00AC521C">
      <w:pPr>
        <w:widowControl w:val="0"/>
        <w:tabs>
          <w:tab w:val="num" w:pos="360"/>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(e) </w:t>
      </w:r>
      <w:r w:rsidR="00C03FE8" w:rsidRPr="00C1694A">
        <w:rPr>
          <w:rFonts w:ascii="Times New Roman" w:hAnsi="Times New Roman" w:cs="Times New Roman"/>
          <w:sz w:val="24"/>
          <w:szCs w:val="24"/>
          <w:u w:val="single"/>
        </w:rPr>
        <w:t>Right to inspect written agreements</w:t>
      </w:r>
      <w:r w:rsidR="00C03FE8" w:rsidRPr="00C1694A">
        <w:rPr>
          <w:rFonts w:ascii="Times New Roman" w:hAnsi="Times New Roman" w:cs="Times New Roman"/>
          <w:sz w:val="24"/>
          <w:szCs w:val="24"/>
        </w:rPr>
        <w:t xml:space="preserve">. A parent has the right to review any written agreements with third parties. </w:t>
      </w:r>
    </w:p>
    <w:p w:rsidR="00C03FE8" w:rsidRPr="00C1694A" w:rsidRDefault="00C03FE8" w:rsidP="00AC52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§1303.24 Maintaining records.  </w:t>
      </w:r>
    </w:p>
    <w:p w:rsidR="00C03FE8" w:rsidRPr="00C1694A" w:rsidRDefault="00C03FE8" w:rsidP="00AC521C">
      <w:pPr>
        <w:spacing w:after="0" w:line="480" w:lineRule="auto"/>
        <w:rPr>
          <w:rFonts w:ascii="Times New Roman" w:hAnsi="Times New Roman" w:cs="Times New Roman"/>
          <w:b/>
          <w:sz w:val="24"/>
          <w:szCs w:val="24"/>
        </w:rPr>
      </w:pPr>
    </w:p>
    <w:p w:rsidR="00BD11D4" w:rsidRPr="00C1694A" w:rsidRDefault="00BD11D4" w:rsidP="00AC521C">
      <w:pPr>
        <w:pStyle w:val="ListParagraph"/>
        <w:tabs>
          <w:tab w:val="left" w:pos="360"/>
        </w:tabs>
        <w:spacing w:after="0" w:line="480" w:lineRule="auto"/>
        <w:ind w:left="0" w:firstLine="720"/>
        <w:rPr>
          <w:rFonts w:ascii="Times New Roman" w:hAnsi="Times New Roman" w:cs="Times New Roman"/>
          <w:sz w:val="24"/>
          <w:szCs w:val="24"/>
        </w:rPr>
      </w:pPr>
      <w:r w:rsidRPr="00C1694A">
        <w:rPr>
          <w:rFonts w:ascii="Times New Roman" w:hAnsi="Times New Roman" w:cs="Times New Roman"/>
          <w:sz w:val="24"/>
          <w:szCs w:val="24"/>
        </w:rPr>
        <w:t>(a) A program must maintain child records in a manner that ensures only parents, and officials within the program or acting on behalf of the program have access</w:t>
      </w:r>
      <w:r w:rsidR="00E970A1" w:rsidRPr="00C1694A">
        <w:rPr>
          <w:rFonts w:ascii="Times New Roman" w:hAnsi="Times New Roman" w:cs="Times New Roman"/>
          <w:sz w:val="24"/>
          <w:szCs w:val="24"/>
        </w:rPr>
        <w:t>,</w:t>
      </w:r>
      <w:r w:rsidRPr="00C1694A">
        <w:rPr>
          <w:rFonts w:ascii="Times New Roman" w:hAnsi="Times New Roman" w:cs="Times New Roman"/>
          <w:sz w:val="24"/>
          <w:szCs w:val="24"/>
        </w:rPr>
        <w:t xml:space="preserve"> and such records must be destroyed within a reasonable timeframe after such records are no longer needed or required to be maintained.  </w:t>
      </w:r>
    </w:p>
    <w:p w:rsidR="00BD11D4" w:rsidRPr="00C1694A" w:rsidRDefault="00BD11D4" w:rsidP="00AC521C">
      <w:pPr>
        <w:pStyle w:val="ListParagraph"/>
        <w:spacing w:after="0" w:line="480" w:lineRule="auto"/>
        <w:ind w:left="0" w:firstLine="720"/>
        <w:rPr>
          <w:rFonts w:ascii="Times New Roman" w:hAnsi="Times New Roman" w:cs="Times New Roman"/>
          <w:sz w:val="24"/>
          <w:szCs w:val="24"/>
        </w:rPr>
      </w:pPr>
    </w:p>
    <w:p w:rsidR="00C03FE8" w:rsidRPr="00C1694A" w:rsidRDefault="00BD11D4" w:rsidP="00AC521C">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A program must maintain, with the child records, for as long as the records are maintained, information on all individuals, agencies, or organizations to whom a disclosure of PII from the child records was made (except for program officials and parents) and why the disclosure was made.  If a program uses a web-based data system to maintain child records, the program must ensure such child records are adequately protected and maintained according to current industry security standards.   </w:t>
      </w:r>
      <w:r w:rsidR="00C03FE8" w:rsidRPr="00C1694A">
        <w:rPr>
          <w:rFonts w:ascii="Times New Roman" w:hAnsi="Times New Roman" w:cs="Times New Roman"/>
          <w:sz w:val="24"/>
          <w:szCs w:val="24"/>
        </w:rPr>
        <w:t xml:space="preserve">   </w:t>
      </w:r>
    </w:p>
    <w:p w:rsidR="00C03FE8" w:rsidRPr="00C1694A" w:rsidRDefault="00C03FE8" w:rsidP="00AC521C">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0" w:firstLine="720"/>
        <w:rPr>
          <w:rFonts w:ascii="Times New Roman" w:hAnsi="Times New Roman" w:cs="Times New Roman"/>
          <w:sz w:val="24"/>
          <w:szCs w:val="24"/>
        </w:rPr>
      </w:pPr>
    </w:p>
    <w:p w:rsidR="00C03FE8" w:rsidRPr="00C1694A" w:rsidRDefault="00C03FE8" w:rsidP="00AC521C">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(c) If a parent places a statement in the child record, the program must maintain the statement with the contested part of the child record for as long as the program maintains the record and, disclose the statement whenever it discloses the portion of the child record to which the statement relates.</w:t>
      </w:r>
    </w:p>
    <w:p w:rsidR="00C03FE8" w:rsidRPr="00C1694A" w:rsidRDefault="00C03FE8" w:rsidP="00AC521C">
      <w:pPr>
        <w:spacing w:after="0" w:line="480" w:lineRule="auto"/>
        <w:contextualSpacing/>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eastAsia="Times New Roman" w:hAnsi="Times New Roman" w:cs="Times New Roman"/>
          <w:b/>
          <w:sz w:val="24"/>
          <w:szCs w:val="24"/>
        </w:rPr>
      </w:pPr>
    </w:p>
    <w:p w:rsidR="00C03FE8" w:rsidRPr="00C1694A" w:rsidRDefault="00C03FE8" w:rsidP="00AC521C">
      <w:pPr>
        <w:spacing w:after="0" w:line="480" w:lineRule="auto"/>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Subpart D</w:t>
      </w:r>
      <w:r w:rsidR="008B15CA" w:rsidRPr="00C1694A">
        <w:rPr>
          <w:rFonts w:ascii="Times New Roman" w:eastAsia="Calibri" w:hAnsi="Times New Roman" w:cs="Times New Roman"/>
          <w:sz w:val="24"/>
          <w:szCs w:val="24"/>
        </w:rPr>
        <w:t>—</w:t>
      </w:r>
      <w:r w:rsidRPr="00C1694A">
        <w:rPr>
          <w:rFonts w:ascii="Times New Roman" w:eastAsia="Times New Roman" w:hAnsi="Times New Roman" w:cs="Times New Roman"/>
          <w:b/>
          <w:sz w:val="24"/>
          <w:szCs w:val="24"/>
        </w:rPr>
        <w:t>Delegation of Program Operations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§1303.30 </w:t>
      </w:r>
      <w:r w:rsidR="000653CB">
        <w:rPr>
          <w:rFonts w:ascii="Times New Roman" w:hAnsi="Times New Roman" w:cs="Times New Roman"/>
          <w:b/>
          <w:sz w:val="24"/>
          <w:szCs w:val="24"/>
        </w:rPr>
        <w:t>Grantee responsibility and accountability</w:t>
      </w:r>
      <w:r w:rsidRPr="00C1694A">
        <w:rPr>
          <w:rFonts w:ascii="Times New Roman" w:hAnsi="Times New Roman" w:cs="Times New Roman"/>
          <w:b/>
          <w:sz w:val="24"/>
          <w:szCs w:val="24"/>
        </w:rPr>
        <w:t xml:space="preserve">.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A grantee is accountable for the services its delegate agencies provide. The grantee supports, oversees and ensures delegate agencies provide high-quality services to children and families and meet all applicable Head Start requirements. The grantee can only terminate a delegate agency if the grantee shows cause why termination is necessary and provides a process for delegate agencies to appeal termination decisions. The grantee retains legal responsibility and authority and bears financial accountability for the program when services are provided by delegate agencies.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§1303.31 Determining and establishing delegate agencies.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If a grantee enters into an agreement with another entity to serve children, the grantee must determine whether the agreement meets the definition of “delegate agency” in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637(3) of the Act.</w:t>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r w:rsidRPr="00C1694A">
        <w:rPr>
          <w:rFonts w:ascii="Times New Roman" w:eastAsia="Times New Roman" w:hAnsi="Times New Roman" w:cs="Times New Roman"/>
          <w:sz w:val="24"/>
          <w:szCs w:val="24"/>
        </w:rPr>
        <w:tab/>
      </w:r>
    </w:p>
    <w:p w:rsidR="00C03FE8" w:rsidRPr="00C1694A" w:rsidRDefault="00C03FE8" w:rsidP="00AC521C">
      <w:pPr>
        <w:tabs>
          <w:tab w:val="left" w:pos="360"/>
        </w:tabs>
        <w:spacing w:after="0" w:line="480" w:lineRule="auto"/>
        <w:ind w:firstLine="720"/>
        <w:rPr>
          <w:rFonts w:ascii="Times New Roman" w:eastAsia="Times New Roman"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A grantee must not award a delegate agency federal financial assistance unless there is a written agreement and the responsible HHS official approves the agreement before the grantee delegates program operations.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§1303.32 Evaluations and corrective actions for delegate agencies.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grantee must evaluate and ensure corrective action for delegate agencies according to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w:t>
      </w:r>
      <w:r w:rsidRPr="00C1694A">
        <w:rPr>
          <w:rFonts w:ascii="Times New Roman" w:eastAsia="Times New Roman" w:hAnsi="Times New Roman" w:cs="Times New Roman"/>
          <w:sz w:val="24"/>
          <w:szCs w:val="24"/>
        </w:rPr>
        <w:t xml:space="preserve">641A(d) of the Act.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§1303.33 Termination of delegate agencies.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(a) If a grantee shows cause why termination is appropriate or demonstrates cost effectiveness, the grantee may terminate a delegate agency’s contract.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(b) The grantee’s decision to terminate must not be arbitrary or capricious.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(c) The grantee must establish a process for defunding a delegate agency, including an appeal of a defunding decision and must ensure the process is fair and timely.</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tabs>
          <w:tab w:val="left" w:pos="360"/>
        </w:tabs>
        <w:spacing w:after="0" w:line="480" w:lineRule="auto"/>
        <w:ind w:firstLine="720"/>
        <w:rPr>
          <w:rFonts w:ascii="Times New Roman" w:eastAsia="Times New Roman" w:hAnsi="Times New Roman" w:cs="Times New Roman"/>
          <w:bCs/>
          <w:sz w:val="24"/>
          <w:szCs w:val="24"/>
        </w:rPr>
      </w:pPr>
      <w:r w:rsidRPr="00C1694A">
        <w:rPr>
          <w:rFonts w:ascii="Times New Roman" w:eastAsia="Times New Roman" w:hAnsi="Times New Roman" w:cs="Times New Roman"/>
          <w:bCs/>
          <w:sz w:val="24"/>
          <w:szCs w:val="24"/>
        </w:rPr>
        <w:t xml:space="preserve">(d) The grantee must notify the responsible HHS official about the appeal and its decision.   </w:t>
      </w:r>
    </w:p>
    <w:p w:rsidR="00C03FE8" w:rsidRPr="00C1694A" w:rsidRDefault="00C03FE8" w:rsidP="00AC521C">
      <w:pPr>
        <w:spacing w:after="0" w:line="480" w:lineRule="auto"/>
        <w:ind w:firstLine="720"/>
        <w:rPr>
          <w:rFonts w:ascii="Times New Roman" w:eastAsia="Times New Roman" w:hAnsi="Times New Roman" w:cs="Times New Roman"/>
          <w:b/>
          <w:bCs/>
          <w:sz w:val="24"/>
          <w:szCs w:val="24"/>
        </w:rPr>
      </w:pPr>
    </w:p>
    <w:p w:rsidR="00C03FE8" w:rsidRPr="00C1694A" w:rsidRDefault="00C03FE8" w:rsidP="00AC521C">
      <w:pPr>
        <w:spacing w:after="0" w:line="480" w:lineRule="auto"/>
        <w:rPr>
          <w:rFonts w:ascii="Times New Roman" w:eastAsia="Times New Roman" w:hAnsi="Times New Roman" w:cs="Times New Roman"/>
          <w:b/>
          <w:bCs/>
          <w:sz w:val="24"/>
          <w:szCs w:val="24"/>
        </w:rPr>
      </w:pPr>
    </w:p>
    <w:p w:rsidR="00C03FE8" w:rsidRPr="00C1694A" w:rsidRDefault="00C03FE8" w:rsidP="00AC521C">
      <w:pPr>
        <w:spacing w:after="0" w:line="480" w:lineRule="auto"/>
        <w:rPr>
          <w:rFonts w:ascii="Times New Roman" w:eastAsia="Times New Roman" w:hAnsi="Times New Roman" w:cs="Times New Roman"/>
          <w:b/>
          <w:bCs/>
          <w:sz w:val="24"/>
          <w:szCs w:val="24"/>
        </w:rPr>
      </w:pPr>
      <w:r w:rsidRPr="00C1694A">
        <w:rPr>
          <w:rFonts w:ascii="Times New Roman" w:eastAsia="Times New Roman" w:hAnsi="Times New Roman" w:cs="Times New Roman"/>
          <w:b/>
          <w:bCs/>
          <w:sz w:val="24"/>
          <w:szCs w:val="24"/>
        </w:rPr>
        <w:t xml:space="preserve">Subpart E </w:t>
      </w:r>
      <w:r w:rsidR="001C70B5">
        <w:rPr>
          <w:rFonts w:ascii="Times New Roman" w:eastAsia="Times New Roman" w:hAnsi="Times New Roman" w:cs="Times New Roman"/>
          <w:b/>
          <w:bCs/>
          <w:sz w:val="24"/>
          <w:szCs w:val="24"/>
        </w:rPr>
        <w:t xml:space="preserve">-- </w:t>
      </w:r>
      <w:r w:rsidRPr="00C1694A">
        <w:rPr>
          <w:rFonts w:ascii="Times New Roman" w:eastAsia="Times New Roman" w:hAnsi="Times New Roman" w:cs="Times New Roman"/>
          <w:b/>
          <w:bCs/>
          <w:sz w:val="24"/>
          <w:szCs w:val="24"/>
        </w:rPr>
        <w:t xml:space="preserve">Facilities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§1303.40 </w:t>
      </w:r>
      <w:r w:rsidR="00887BBB">
        <w:rPr>
          <w:rFonts w:ascii="Times New Roman" w:hAnsi="Times New Roman" w:cs="Times New Roman"/>
          <w:b/>
          <w:sz w:val="24"/>
          <w:szCs w:val="24"/>
        </w:rPr>
        <w:t>Purpose</w:t>
      </w:r>
      <w:r w:rsidRPr="00C1694A">
        <w:rPr>
          <w:rFonts w:ascii="Times New Roman" w:hAnsi="Times New Roman" w:cs="Times New Roman"/>
          <w:b/>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This subpart prescribes what a grantee must establish to show it is eligible to purchase, construct and renovate facilities as outlined </w:t>
      </w:r>
      <w:r w:rsidR="00147BAE" w:rsidRPr="00C1694A">
        <w:rPr>
          <w:rFonts w:ascii="Times New Roman" w:eastAsia="Times New Roman" w:hAnsi="Times New Roman" w:cs="Times New Roman"/>
          <w:sz w:val="24"/>
          <w:szCs w:val="24"/>
        </w:rPr>
        <w:t>in s</w:t>
      </w:r>
      <w:r w:rsidRPr="00C1694A">
        <w:rPr>
          <w:rFonts w:ascii="Times New Roman" w:eastAsia="Times New Roman" w:hAnsi="Times New Roman" w:cs="Times New Roman"/>
          <w:sz w:val="24"/>
          <w:szCs w:val="24"/>
        </w:rPr>
        <w:t xml:space="preserve">ection 644(c), (f) and (g) of the Act.  It explains how a grantee may apply for funds, details what measures a grantee must take to protect federal interest in facilities purchased, constructed or renovated with grant funds, and concludes with other administrative provisions. This subpart applies to major renovations.  It only applies to minor renovations and repairs, when they are included with a purchase application and are part of purchase costs.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§1303.41 Approval of previously purchased facilities.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If a grantee purchased a facility after December 31, 1986, and seeks to use grant funds to continue to pay purchase costs for the facility or to refinance current indebtedness and use grant funds to service the resulting debt, the grantee may apply for funds to meet those costs.  The grantee must submit an application that conforms to requirements in this part and in the Act to the responsible HHS official.  If the responsible HHS official approves the grantee’s application, Head Start funds may be used to pay ongoing purchase costs, which include principal and interest on approved loans.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§1303.42 Eligibility to purchase, construct, and renovate facilities.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Preliminary eligibility</w:t>
      </w:r>
      <w:r w:rsidRPr="00C1694A">
        <w:rPr>
          <w:rFonts w:ascii="Times New Roman" w:eastAsia="Times New Roman" w:hAnsi="Times New Roman" w:cs="Times New Roman"/>
          <w:i/>
          <w:sz w:val="24"/>
          <w:szCs w:val="24"/>
        </w:rPr>
        <w:t xml:space="preserve">.  </w:t>
      </w:r>
      <w:r w:rsidRPr="00C1694A">
        <w:rPr>
          <w:rFonts w:ascii="Times New Roman" w:eastAsia="Times New Roman" w:hAnsi="Times New Roman" w:cs="Times New Roman"/>
          <w:sz w:val="24"/>
          <w:szCs w:val="24"/>
        </w:rPr>
        <w:t xml:space="preserve">(1) Before a grantee can apply for funds to purchase, construct, or renovate a facility under §1303.44, it must establish that: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The facility will be available to Indian tribes, or rural or other low-income communities;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The proposed purchase, construction or major renovation is within the grantee’s designated service area;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(iii) The proposed purchase, construction or major renovation is necessary because the lack of suitable facilities in the grantee’s service area will inhibit the operation of the program.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If a program applies to construct a facility, that the construction of such facility is more cost-effective than the purchase of available facilities or renovation.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Proving a lack of suitable facilities</w:t>
      </w:r>
      <w:r w:rsidRPr="00C1694A">
        <w:rPr>
          <w:rFonts w:ascii="Times New Roman" w:eastAsia="Times New Roman" w:hAnsi="Times New Roman" w:cs="Times New Roman"/>
          <w:sz w:val="24"/>
          <w:szCs w:val="24"/>
        </w:rPr>
        <w:t>.  To satisfy paragraph (a)(1)(iii) of this section, the grantee must have a written statement</w:t>
      </w:r>
      <w:r w:rsidR="00485244" w:rsidRPr="00C1694A">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 xml:space="preserve">from an independent real estate professional familiar with the commercial real estate market in the grantee’s service area, that includes </w:t>
      </w:r>
      <w:r w:rsidRPr="00C1694A" w:rsidDel="00392F9C">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factors considered and supports how the real estate professional determined there are no other suitable facilities in the area.</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§1303.43 Use of grant funds to pay fees.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grantee may submit a written request to the responsible HHS official for reasonable fees and costs necessary to determine preliminary eligibility under §1303.42 before it submits an application under §1303.44.  If the responsible HHS official approves the grantee’s application, the grantee may use federal funds to pay fees and costs.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§1303.44 Applications to purchase, construct, and renovate facilities.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Application requirements</w:t>
      </w:r>
      <w:r w:rsidRPr="00C1694A">
        <w:rPr>
          <w:rFonts w:ascii="Times New Roman" w:eastAsia="Times New Roman" w:hAnsi="Times New Roman" w:cs="Times New Roman"/>
          <w:i/>
          <w:sz w:val="24"/>
          <w:szCs w:val="24"/>
        </w:rPr>
        <w:t xml:space="preserve">.  </w:t>
      </w:r>
      <w:r w:rsidRPr="00C1694A">
        <w:rPr>
          <w:rFonts w:ascii="Times New Roman" w:eastAsia="Times New Roman" w:hAnsi="Times New Roman" w:cs="Times New Roman"/>
          <w:sz w:val="24"/>
          <w:szCs w:val="24"/>
        </w:rPr>
        <w:t xml:space="preserve">If a grantee is preliminarily eligible under §1303.42 to apply for funds to purchase, construct, or renovate a facility, it must submit to the responsible HHS official: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 A statement that explains the anticipated effect the proposed purchase, construction or renovation has had or will have on program enrollment, activities and services, and how it determined what the anticipated effect would be;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A deed or other document showing legal ownership of the real property where facilities activity is proposed, legal description of the facility site, and an explanation why the location is appropriate for the grantee’s service area;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Plans and specifications for the facility, including square footage, structure type, the number of rooms the facility will have or has,  how the rooms will be used,  where the structure will be positioned or located on the building site, and whether there is space available for outdoor play and for parking;</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E970A1" w:rsidRPr="00C1694A" w:rsidRDefault="00E970A1"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Certification by a licensed engineer or architect that the facility is, or will be upon completion, structurally sound and safe for use as a Head Start facility and that the facility complies, or will comply upon completion, with local building codes, applicable child care licensing requirements, the access</w:t>
      </w:r>
      <w:r w:rsidR="00E06A51" w:rsidRPr="00C1694A">
        <w:rPr>
          <w:rFonts w:ascii="Times New Roman" w:eastAsia="Times New Roman" w:hAnsi="Times New Roman" w:cs="Times New Roman"/>
          <w:sz w:val="24"/>
          <w:szCs w:val="24"/>
        </w:rPr>
        <w:t>ibility</w:t>
      </w:r>
      <w:r w:rsidRPr="00C1694A">
        <w:rPr>
          <w:rFonts w:ascii="Times New Roman" w:eastAsia="Times New Roman" w:hAnsi="Times New Roman" w:cs="Times New Roman"/>
          <w:sz w:val="24"/>
          <w:szCs w:val="24"/>
        </w:rPr>
        <w:t xml:space="preserve"> requirements of the Americans with Disabilities Act, </w:t>
      </w:r>
      <w:r w:rsidR="001A3EB0">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504 of the Rehabilitation Act of 1973, the Flood Disaster Protection Act of 1973, and the National Historic Preservation Act of 1966;</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(5) A description of proposed renovations or repairs to make the facility suitable for program activities, and plans and specification that describe the facility after renovation or repair;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(6) A proposed schedule that details when the grantee will acquire, renovate, repair and occupy the facility;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(7) An estimate by a licensed independent certified appraiser of the facility’s fair market value after proposed purchase and associated repairs and renovations construction, or major renovation is completed is required for all facilities activities except for major renovations to leased property;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(8) The cost comparison described in §1303.45;</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(9) A statement that shows what share of the purchase, construction, or major renovation will be paid with grant funds and what the grantee proposes to contribute as a nonfederal match to the purchase, construction or major renovation;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(10) A statement from a lender, if a grantee applies to use Head Start funds to continue purchase on a facility or refinance existing debt on a facility that indicates the lender is willing to comply with §1303.49;</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(l1) The terms of any proposed or existing loan(s) related to purchase, construction or major renovation of the facility, including copies of any funding commitment letters, mortgages, promissory notes, potential security agreements to be entered into, information on all other sources of funding, construction or major renovation, and any restrictions or conditions imposed by other funding sources;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(12) A Phase I environmental site assessment that describes the environmental condition of the proposed facility site and any structures on the site;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(13) A description of the efforts by the grantee to coordinate or collaborate with other providers in the community to seek assistance, including financial assistance, prior to the use of funds under this section; and,</w:t>
      </w:r>
    </w:p>
    <w:p w:rsidR="001B3183" w:rsidRPr="00C1694A" w:rsidRDefault="001B3183"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(14) Any additional information the responsible HHS official may require.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Additional requirements for leased properties</w:t>
      </w:r>
      <w:r w:rsidRPr="00C1694A">
        <w:rPr>
          <w:rFonts w:ascii="Times New Roman" w:eastAsia="Times New Roman" w:hAnsi="Times New Roman" w:cs="Times New Roman"/>
          <w:sz w:val="24"/>
          <w:szCs w:val="24"/>
        </w:rPr>
        <w:t>.  (1) If a grantee applies to renovate leased property, it must submit to the responsible HHS official information described in paragraph (a) of this section, a copy of the existing or proposed lease agreement, and the landlord or lessor’s consent.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If a grantee applies to purchase a modular unit it intends to site on leased property or on other property the grantee does not own, the grantee must submit to the responsible HHS official information described in paragraph (a) of this section and a copy of the proposed lease or other occupancy agreement </w:t>
      </w:r>
      <w:r w:rsidR="00485244" w:rsidRPr="00C1694A">
        <w:rPr>
          <w:rFonts w:ascii="Times New Roman" w:eastAsia="Times New Roman" w:hAnsi="Times New Roman" w:cs="Times New Roman"/>
          <w:sz w:val="24"/>
          <w:szCs w:val="24"/>
        </w:rPr>
        <w:t xml:space="preserve">that </w:t>
      </w:r>
      <w:r w:rsidRPr="00C1694A">
        <w:rPr>
          <w:rFonts w:ascii="Times New Roman" w:eastAsia="Times New Roman" w:hAnsi="Times New Roman" w:cs="Times New Roman"/>
          <w:sz w:val="24"/>
          <w:szCs w:val="24"/>
        </w:rPr>
        <w:t xml:space="preserve">will allow the grantee access to the modular unit for at least 15 years.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b/>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Non-federal match</w:t>
      </w:r>
      <w:r w:rsidRPr="00C1694A">
        <w:rPr>
          <w:rFonts w:ascii="Times New Roman" w:eastAsia="Times New Roman" w:hAnsi="Times New Roman" w:cs="Times New Roman"/>
          <w:sz w:val="24"/>
          <w:szCs w:val="24"/>
        </w:rPr>
        <w:t>.  Any non-federal match associated with facilities activities becomes part of the federal share of the facility.</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§1303.45 Cost-comparison to purchase, construct, and renovate facilities.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Cost comparison</w:t>
      </w:r>
      <w:r w:rsidRPr="00C1694A">
        <w:rPr>
          <w:rFonts w:ascii="Times New Roman" w:eastAsia="Times New Roman" w:hAnsi="Times New Roman" w:cs="Times New Roman"/>
          <w:sz w:val="24"/>
          <w:szCs w:val="24"/>
        </w:rPr>
        <w:t xml:space="preserve">.  (1) If a grantee proposes to purchase, construct, or renovate a facility, it must submit a detailed cost estimate of the proposed activity, compare the costs associated with the proposed activity to other available alternatives in the service area, and provide any additional information the responsible HHS official requests. </w:t>
      </w:r>
      <w:r w:rsidRPr="00C1694A">
        <w:rPr>
          <w:rFonts w:ascii="Times New Roman" w:hAnsi="Times New Roman" w:cs="Times New Roman"/>
          <w:sz w:val="24"/>
          <w:szCs w:val="24"/>
        </w:rPr>
        <w:t xml:space="preserve"> The grantee must demonstrate that the proposed activity will result in savings when compared to the costs that would be incurred to acquire the use of an alternative facility to carry out program.</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In addition to requirements in paragraph </w:t>
      </w:r>
      <w:r w:rsidR="008A61B7">
        <w:rPr>
          <w:rFonts w:ascii="Times New Roman" w:eastAsia="Times New Roman" w:hAnsi="Times New Roman" w:cs="Times New Roman"/>
          <w:sz w:val="24"/>
          <w:szCs w:val="24"/>
        </w:rPr>
        <w:t>(a)</w:t>
      </w:r>
      <w:r w:rsidRPr="00C1694A">
        <w:rPr>
          <w:rFonts w:ascii="Times New Roman" w:eastAsia="Times New Roman" w:hAnsi="Times New Roman" w:cs="Times New Roman"/>
          <w:sz w:val="24"/>
          <w:szCs w:val="24"/>
        </w:rPr>
        <w:t>(1) of this section, the grantee must: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Identify who owns the property;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 List all costs related to the purchase, construction, or renovation;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(iii) Identify costs over the structure’s useful life, which is at least 20 years for a facility that the grantee purchased or constructed and at least 15 years for a modular unit the grantee renovated, and  deferred costs, including mortgage balloon payments, as costs with associated due dates;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(iv) Demonstrate how the proposed purchase, construction, or major renovation is consistent with program management and fiscal goals, community needs, enrollment and program options and how the proposed facility will support the grantee as it provides quality services to children and families.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Continue purchase or refinance.</w:t>
      </w:r>
      <w:r w:rsidRPr="00C1694A">
        <w:rPr>
          <w:rFonts w:ascii="Times New Roman" w:eastAsia="Times New Roman" w:hAnsi="Times New Roman" w:cs="Times New Roman"/>
          <w:sz w:val="24"/>
          <w:szCs w:val="24"/>
        </w:rPr>
        <w:t xml:space="preserve"> To use funds to continue purchase on a facility or to refinance an existing indebtedness, the grantee must compare the costs of continued purchase against the cost of purchasing a comparable facility in the service area over the remaining years of the facility’s useful life. The grantee must demonstrate that the proposed activity will result in savings when compared to the cost that would be incurred to acquire the use of an alternative facility to carry out the program.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b/>
          <w:bCs/>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Multi-purpose use</w:t>
      </w:r>
      <w:r w:rsidRPr="00C1694A">
        <w:rPr>
          <w:rFonts w:ascii="Times New Roman" w:eastAsia="Times New Roman" w:hAnsi="Times New Roman" w:cs="Times New Roman"/>
          <w:sz w:val="24"/>
          <w:szCs w:val="24"/>
        </w:rPr>
        <w:t>.  If the grantee intends to use a facility to operate a Head Start program and for another purpose,  it must disclose what percentage of the facility will be used for non-Head Start activities, along with costs associated with those activities, in accordance with applicable cost principles.</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§1303.46 Recording and posting notices of federal interest.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Survival of federal interest</w:t>
      </w:r>
      <w:r w:rsidRPr="00C1694A">
        <w:rPr>
          <w:rFonts w:ascii="Times New Roman" w:eastAsia="Times New Roman" w:hAnsi="Times New Roman" w:cs="Times New Roman"/>
          <w:sz w:val="24"/>
          <w:szCs w:val="24"/>
        </w:rPr>
        <w:t>.  A grantee that receives funds under this subpart must file notices of federal interest as set forth in paragraph (b) of this section.  Federal interest cannot be defeated by a grantee’s failure to file a notice of federal interest.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Recording notices of federal interest</w:t>
      </w:r>
      <w:r w:rsidRPr="00C1694A">
        <w:rPr>
          <w:rFonts w:ascii="Times New Roman" w:eastAsia="Times New Roman" w:hAnsi="Times New Roman" w:cs="Times New Roman"/>
          <w:sz w:val="24"/>
          <w:szCs w:val="24"/>
        </w:rPr>
        <w:t>. (1) If a grantee uses federal funds to purchase real property or a facility, excluding modular units, appurtenant to real property, it must record a notice of federal interest in the official real property records for the jurisdiction where the facility is or will be located.  The grantee must file the notice of federal interest as soon as it uses Head Start funds to either fully or partially purchase a facility or real property where a facility will be constructed or as soon as it receives permission from the responsible HHS official to use Head Start funds to continue purchase on a facility.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If a grantee uses federal funds in whole or in part to construct a facility, it must record the notice of federal interest in the official real property records for the jurisdiction in which the facility is located as soon as it receives the notice of award to construct the facility.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If a grantee uses federal funds to renovate a facility that it, or a third party owns, the grantee must record the notice of federal interest in the official real property records for the jurisdiction in which the facility is located as soon as it receives the notice of award to renovate the facility.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If a grantee uses federal funds in whole or in part to purchase a modular unit or to renovate a modular unit, the grantee must post the notice of federal interest, in clearly visible locations, on the exterior of the modular unit and inside the modular unit.</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§1303.47 Contents of notices of federal interest.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Facility and real property a grantee owns</w:t>
      </w:r>
      <w:r w:rsidRPr="00C1694A">
        <w:rPr>
          <w:rFonts w:ascii="Times New Roman" w:eastAsia="Times New Roman" w:hAnsi="Times New Roman" w:cs="Times New Roman"/>
          <w:sz w:val="24"/>
          <w:szCs w:val="24"/>
        </w:rPr>
        <w:t>. A notice of federal interest for a facility, other than a modular unit, and real property the grantee owns or will own, must include: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The grantee’s correct legal name and current mailing address;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A legal description of the real property;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Grant award number, amount and date of initial facilities funding award or initial use of base grant funds for ongoing purchase or mortgage payments;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(4) A statement that the notice of federal interest includes funds awarded in grant award(s) and any Head Start funds subsequently used to purchase, construct or to make major renovations to the real property;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(5) A statement that the facility and real property will only be used for purposes consistent with the Act and applicable Head Start regulations;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(6) A statement that the facility and real property will not be mortgaged or used as collateral, sold or otherwise transferred to another party, without the responsible HHS official’s written permission;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(7) A statement that the federal interest cannot be subordinated, diminished, nullified or released through encumbrance of the property, transfer of the property to another party or any other action the grantee takes without the responsible HHS official’s written permission;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(8) A statement that confirms that the agency’s governing body received a copy of the notice of federal interest </w:t>
      </w:r>
      <w:r w:rsidR="00E6357F">
        <w:rPr>
          <w:rFonts w:ascii="Times New Roman" w:eastAsia="Times New Roman" w:hAnsi="Times New Roman" w:cs="Times New Roman"/>
          <w:sz w:val="24"/>
          <w:szCs w:val="24"/>
        </w:rPr>
        <w:t xml:space="preserve">prior to filing </w:t>
      </w:r>
      <w:r w:rsidRPr="00C1694A">
        <w:rPr>
          <w:rFonts w:ascii="Times New Roman" w:eastAsia="Times New Roman" w:hAnsi="Times New Roman" w:cs="Times New Roman"/>
          <w:sz w:val="24"/>
          <w:szCs w:val="24"/>
        </w:rPr>
        <w:t>and the date the governing body was provided with a copy</w:t>
      </w:r>
      <w:r w:rsidR="007917F9" w:rsidRPr="00C1694A">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(9) The name, title, and signature of the person who drafted the notice.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Facility leased by a grantee.</w:t>
      </w:r>
      <w:r w:rsidRPr="00C1694A">
        <w:rPr>
          <w:rFonts w:ascii="Times New Roman" w:hAnsi="Times New Roman" w:cs="Times New Roman"/>
          <w:sz w:val="24"/>
          <w:szCs w:val="24"/>
        </w:rPr>
        <w:t xml:space="preserve"> </w:t>
      </w:r>
      <w:r w:rsidRPr="00C1694A">
        <w:rPr>
          <w:rFonts w:ascii="Times New Roman" w:eastAsia="Times New Roman" w:hAnsi="Times New Roman" w:cs="Times New Roman"/>
          <w:sz w:val="24"/>
          <w:szCs w:val="24"/>
        </w:rPr>
        <w:t xml:space="preserve"> (1) A notice of federal interest for a leased facility, excluding a modular unit, on land the grantee does not own, must be recorded in the official real property records for the jurisdiction where the facility is located and must include: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 The grantee’s correct legal name and current mailing address;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A legal description of affected real property;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(iii) The grant award number, amount and date of initial funding award or initial use of base grant funds for major renovation;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(iv) Acknowledgement that the notice of federal interest includes any Head Start funds subsequently used to make major renovations on the affected real property;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(v) A statement the facility and real property will only be used for purposes consistent with the Act and applicable Head Start regulations;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(vi) A lease or occupancy agreement that includes the required information from paragraph</w:t>
      </w:r>
      <w:r w:rsidR="00813AF3">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 (b)(1)(i) through (v) of this section may be recorded in the official real property records for the jurisdiction where the  facility is located to serve as a notice of federal interest.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If a grantee cannot file the lease or occupancy agreement described in paragraph (b)(1)(vi) of this section in the official real property records for the jurisdiction where the facility is located, it may file an abstract.  The abstract must include the names and addresses of parties to the lease or occupancy agreement, terms of the lease or occupancy agreement, and information described in paragraph</w:t>
      </w:r>
      <w:r w:rsidR="00813AF3">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 (a)(1) through (9) of this section.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Modular units.</w:t>
      </w:r>
      <w:r w:rsidRPr="00C1694A">
        <w:rPr>
          <w:rFonts w:ascii="Times New Roman" w:eastAsia="Times New Roman" w:hAnsi="Times New Roman" w:cs="Times New Roman"/>
          <w:sz w:val="24"/>
          <w:szCs w:val="24"/>
        </w:rPr>
        <w:t xml:space="preserve">  A notice of federal interest on a modular unit the grantee purchased or renovated must be visible and clearly posted on the exterior of the modular and inside the modular and must include: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The grantee’s correct legal name and current mailing address;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The grant award number, amount and date of initial funding award or initial use of base grant funds to purchase or renovate;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A statement that the notice of federal interest includes any Head Start funds subsequently used for major renovations to the modular unit;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A statement that the facility and real property will only be used for purposes consistent with the Act and applicable Head Start regulations;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(5) A statement that the modular unit will not be mortgaged or used as collateral, sold or otherwise transferred to another party, without the responsible HHS official’s written permission;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(6) A statement that the federal interest cannot be subordinated, diminished, nullified or released through encumbrance of the property, transfer to another party, or any other action the grantee takes without the responsible HHS official’s written permission;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(7) A statement that the modular unit cannot be moved to another location without the responsible HHS official’s written permission;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(8) A statement that confirms that the agency’s governing body has received a copy of the  filed notice of federal interest and the date the governing body was provided with a copy;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(9) The name, title, and signature of the person who completed the notice for the grantee agency.</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§1303.48 Grantee limitations on federal interest.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 A grantee cannot mortgage, use as collateral for a credit line or for other loan obligations, or, sell or transfer to another party, a facility, real property, or a modular unit it has purchased, constructed or  renovated with Head Start funds, without the responsible HHS official’s written permission.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(b) A grantee must have the responsible HHS official’s written permission before it can use real property, a facility, or a modular unit subject to federal interest for a purpose other than that for which the grantee’s application was approved.</w:t>
      </w:r>
    </w:p>
    <w:p w:rsidR="00C03FE8" w:rsidRPr="00C1694A" w:rsidRDefault="00C03FE8" w:rsidP="00AC521C">
      <w:pPr>
        <w:spacing w:after="0" w:line="480" w:lineRule="auto"/>
        <w:ind w:firstLine="720"/>
        <w:rPr>
          <w:rFonts w:ascii="Times New Roman" w:eastAsia="Times New Roman" w:hAnsi="Times New Roman" w:cs="Times New Roman"/>
          <w:b/>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§1303.49 Protection of federal interest in mortgage agreements.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Any mortgage agreement or other security instrument that is secured by real property or a modular unit constructed or purchased in whole or in part with federal funds or subject to renovation with federal funds must: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Specify that the responsible HHS official can intervene in case the grantee defaults on, terminates or withdraws from the agreement;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Designate the responsible HHS official to receive a copy of any notice of default given to the grantee under the terms of the agreement and include the regional grants management officer’s current address;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Include a clause that requires any action to foreclose the mortgage agreement or security agreement be suspended for 60 days after the responsible HHS official receives the default notice to allow the responsible HHS official reasonable time to respond;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Include a clause that preserves the notice of federal interest and the grantee’s obligation for its federal share if the responsible HHS official fails to respond to any notice of default provided under this section;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(5) Include a statement that requires the responsible HHS official to be paid the federal interest before foreclosure proceeds are paid to the lender, unless the official’s rights under the notice of federal interest have been subordinated by a written agreement in conformance with  §1303.51;</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(6) Include a clause that gives the responsible HHS official the right to cure any default under the agreement within the designated period to cure the default;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(7) Include a clause that gives the responsible HHS official the right to assign or transfer the agreement to another interim or permanent grantee.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A grantee must immediately notify the responsible HHS official of any default under </w:t>
      </w:r>
      <w:r w:rsidRPr="00C1694A">
        <w:rPr>
          <w:rFonts w:ascii="Times New Roman" w:hAnsi="Times New Roman" w:cs="Times New Roman"/>
          <w:sz w:val="24"/>
          <w:szCs w:val="24"/>
        </w:rPr>
        <w:t xml:space="preserve">an agreement described in </w:t>
      </w:r>
      <w:r w:rsidR="00813AF3">
        <w:rPr>
          <w:rFonts w:ascii="Times New Roman" w:hAnsi="Times New Roman" w:cs="Times New Roman"/>
          <w:sz w:val="24"/>
          <w:szCs w:val="24"/>
        </w:rPr>
        <w:t xml:space="preserve">paragraph </w:t>
      </w:r>
      <w:r w:rsidRPr="00C1694A">
        <w:rPr>
          <w:rFonts w:ascii="Times New Roman" w:hAnsi="Times New Roman" w:cs="Times New Roman"/>
          <w:sz w:val="24"/>
          <w:szCs w:val="24"/>
        </w:rPr>
        <w:t>(a)</w:t>
      </w:r>
      <w:r w:rsidR="00813AF3">
        <w:rPr>
          <w:rFonts w:ascii="Times New Roman" w:hAnsi="Times New Roman" w:cs="Times New Roman"/>
          <w:sz w:val="24"/>
          <w:szCs w:val="24"/>
        </w:rPr>
        <w:t xml:space="preserve"> of this section</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§1303.50 Third party leases and occupancy arrangements.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After </w:t>
      </w:r>
      <w:r w:rsidR="004C4C4D">
        <w:rPr>
          <w:rFonts w:ascii="Times New Roman" w:eastAsia="Times New Roman" w:hAnsi="Times New Roman" w:cs="Times New Roman"/>
          <w:sz w:val="24"/>
          <w:szCs w:val="24"/>
        </w:rPr>
        <w:t>[insert date 60 days after date of publication in the Federal Register]</w:t>
      </w:r>
      <w:r w:rsidRPr="00C1694A">
        <w:rPr>
          <w:rFonts w:ascii="Times New Roman" w:eastAsia="Times New Roman" w:hAnsi="Times New Roman" w:cs="Times New Roman"/>
          <w:sz w:val="24"/>
          <w:szCs w:val="24"/>
        </w:rPr>
        <w:t xml:space="preserve">, if a grantee receives federal funds to purchase, construct or renovate a facility on real property the grantee does not own or to purchase or renovate a modular unit on real property the grantee does not own, the grantee must have a lease or other occupancy agreement of at least 30 years for purchase or construction of a facility and at least 15 years for a major renovation or placement of a modular unit.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(b) The lease or occupancy agreement must: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Provide for the grantee’s right of continued use and occupancy of the leased or occupied premises during the entire term of the lease;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Designate the regional grants management officer to receive a copy of any notice of default given to the grantee under the terms of the agreement and include the regional grants management officer’s current address;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Specify that the responsible HHS official has the right to cure any default under the lease or occupancy agreement within the designated period to cure default;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Specify that the responsible HHS official has the right to transfer the lease to another interim or replacement grantee.</w:t>
      </w:r>
    </w:p>
    <w:p w:rsidR="00C03FE8" w:rsidRPr="00C1694A" w:rsidRDefault="00C03FE8" w:rsidP="00AC521C">
      <w:pPr>
        <w:spacing w:after="0" w:line="480" w:lineRule="auto"/>
        <w:ind w:firstLine="720"/>
        <w:rPr>
          <w:rFonts w:ascii="Times New Roman" w:eastAsia="Times New Roman" w:hAnsi="Times New Roman" w:cs="Times New Roman"/>
          <w:b/>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§1303.51 Subordination of the federal interest.</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Only the responsible HHS official can subordinate federal interest to the rights of a lender or other third party.  Subordination agreements must be in writing and the mortgage agreement or security agreement for which subordination is requested must comply with §1303.49.  When the amount of federal funds already contributed to the facility exceeds the amount to be provided by the lender seeking subordination, the federal interest may only be subordinated if the grantee can show that funding is not available without subordination of the federal interest</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§1303.52 Insurance, bonding, and maintenance.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00887BBB">
        <w:rPr>
          <w:rFonts w:ascii="Times New Roman" w:eastAsia="Times New Roman" w:hAnsi="Times New Roman" w:cs="Times New Roman"/>
          <w:sz w:val="24"/>
          <w:szCs w:val="24"/>
          <w:u w:val="single"/>
        </w:rPr>
        <w:t>Purpose</w:t>
      </w:r>
      <w:r w:rsidRPr="00C1694A">
        <w:rPr>
          <w:rFonts w:ascii="Times New Roman" w:eastAsia="Times New Roman" w:hAnsi="Times New Roman" w:cs="Times New Roman"/>
          <w:sz w:val="24"/>
          <w:szCs w:val="24"/>
        </w:rPr>
        <w:t xml:space="preserve">. If a grantee uses federal funds to purchase or continue purchase on a facility, excluding modular units, the grantee must obtain a title insurance policy for the purchase price that names the responsible HHS official as an additional loss payee.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Insurance coverage</w:t>
      </w:r>
      <w:r w:rsidRPr="00C1694A">
        <w:rPr>
          <w:rFonts w:ascii="Times New Roman" w:eastAsia="Times New Roman" w:hAnsi="Times New Roman" w:cs="Times New Roman"/>
          <w:sz w:val="24"/>
          <w:szCs w:val="24"/>
        </w:rPr>
        <w:t>. (1) If a grantee uses federal funds to purchase or continue purchase on a facility or modular unit the grantee must maintain physical damage or destruction insurance at the full replacement value of the facility, for as long as the grantee owns or occupies the facility.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If a facility is located in an area the National Flood Insurance Program defines as high risk, the grantee must maintain flood insurance for as long as the grantee owns or occupies the facility.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A grantee must submit to the responsible HHS official, within 10 days after coverage begins, proof of insurance coverage required under paragraphs (a) and (b)</w:t>
      </w:r>
      <w:r w:rsidR="008A61B7">
        <w:rPr>
          <w:rFonts w:ascii="Times New Roman" w:eastAsia="Times New Roman" w:hAnsi="Times New Roman" w:cs="Times New Roman"/>
          <w:sz w:val="24"/>
          <w:szCs w:val="24"/>
        </w:rPr>
        <w:t xml:space="preserve"> of this section</w:t>
      </w:r>
      <w:r w:rsidRPr="00C1694A">
        <w:rPr>
          <w:rFonts w:ascii="Times New Roman" w:eastAsia="Times New Roman" w:hAnsi="Times New Roman" w:cs="Times New Roman"/>
          <w:sz w:val="24"/>
          <w:szCs w:val="24"/>
        </w:rPr>
        <w: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Maintenance</w:t>
      </w:r>
      <w:r w:rsidRPr="00C1694A">
        <w:rPr>
          <w:rFonts w:ascii="Times New Roman" w:eastAsia="Times New Roman" w:hAnsi="Times New Roman" w:cs="Times New Roman"/>
          <w:sz w:val="24"/>
          <w:szCs w:val="24"/>
        </w:rPr>
        <w:t>.  A grantee must keep all facilities purchased or constructed in whole or in part with Head Start funds in good repair in accordance with all applicable federal, state, and local laws, rules and regulations, including Head Start requirements, zoning requirements, building codes, health and safety regulations and child care licensing standards.</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§1303.53 Copies of documents.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sz w:val="24"/>
          <w:szCs w:val="24"/>
        </w:rPr>
        <w:t xml:space="preserve">A grantee must submit to the responsible HHS official, within 10 days after filing or execution, copies of deeds, leases, loan instruments, mortgage agreements, notices of federal interest, and other legal documents related to the use of Head Start funds for purchase, construction, major renovation, or the discharge of any debt secured by the facility.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eastAsia="Times New Roman" w:hAnsi="Times New Roman" w:cs="Times New Roman"/>
          <w:b/>
          <w:bCs/>
          <w:sz w:val="24"/>
          <w:szCs w:val="24"/>
        </w:rPr>
      </w:pPr>
      <w:r w:rsidRPr="00C1694A">
        <w:rPr>
          <w:rFonts w:ascii="Times New Roman" w:hAnsi="Times New Roman" w:cs="Times New Roman"/>
          <w:b/>
          <w:sz w:val="24"/>
          <w:szCs w:val="24"/>
        </w:rPr>
        <w:t>§1303.54 Record retention.</w:t>
      </w:r>
      <w:r w:rsidRPr="00C1694A">
        <w:rPr>
          <w:rFonts w:ascii="Times New Roman" w:eastAsia="Times New Roman" w:hAnsi="Times New Roman" w:cs="Times New Roman"/>
          <w:b/>
          <w:bCs/>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b/>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grantee must retain records pertinent to the lease, purchase, construction or renovation of a facility funded in whole or in part with Head Start funds, for as long as the grantee owns or occupies the facility, plus </w:t>
      </w:r>
      <w:r w:rsidR="003F121A" w:rsidRPr="00C1694A">
        <w:rPr>
          <w:rFonts w:ascii="Times New Roman" w:eastAsia="Times New Roman" w:hAnsi="Times New Roman" w:cs="Times New Roman"/>
          <w:sz w:val="24"/>
          <w:szCs w:val="24"/>
        </w:rPr>
        <w:t>three</w:t>
      </w:r>
      <w:r w:rsidRPr="00C1694A">
        <w:rPr>
          <w:rFonts w:ascii="Times New Roman" w:eastAsia="Times New Roman" w:hAnsi="Times New Roman" w:cs="Times New Roman"/>
          <w:sz w:val="24"/>
          <w:szCs w:val="24"/>
        </w:rPr>
        <w:t xml:space="preserve"> years.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§1303.55 Procurement procedures.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A grantee must comply with all grants management regulations, including specific regulations applicable to transactions in excess of the current simplified acquisition threshold, cost principles, and its own procurement procedures, and must provide, to the maximum extent practical, open and full competition.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A grantee must obtain the responsible HHS official’s written approval before it uses Head Start funds, in whole or in part, to contract construction or renovation services. The grantee must ensure these contracts are paid on a lump sum fixed-price basis.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(c) A grantee must obtain prior written approval from the responsible HHS official for contract modifications that would change the scope or objective of a project or would materially alter the costs, by increasing the amount of grant funds needed to complete the project.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(d) A grantee must ensure all construction and renovation contracts paid, in whole or in part with Head Start funds contain a clause that gives the responsible HHS official or his or her designee access to the facility, at all reasonable times, during construction and inspection.  </w:t>
      </w:r>
    </w:p>
    <w:p w:rsidR="00C03FE8" w:rsidRPr="00C1694A" w:rsidRDefault="00C03FE8" w:rsidP="00AC521C">
      <w:pPr>
        <w:spacing w:after="0" w:line="480" w:lineRule="auto"/>
        <w:ind w:firstLine="720"/>
        <w:rPr>
          <w:rFonts w:ascii="Times New Roman" w:eastAsia="Times New Roman" w:hAnsi="Times New Roman" w:cs="Times New Roman"/>
          <w:b/>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§1303.56 Inspection of work. </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The grantee must submit to the responsible HHS official a final facility inspection report by a licensed engineer or architect within 30 calendar days after the project is completed.  The inspection report must certify that the facility complies with local building codes, applicable child care licensing requirements, is structurally sound and safe for use as a Head Start facility, complies with the access requirements of the Americans with Disabilities Act, </w:t>
      </w:r>
      <w:r w:rsidR="001A3EB0">
        <w:rPr>
          <w:rFonts w:ascii="Times New Roman" w:eastAsia="Times New Roman" w:hAnsi="Times New Roman" w:cs="Times New Roman"/>
          <w:sz w:val="24"/>
          <w:szCs w:val="24"/>
        </w:rPr>
        <w:t>s</w:t>
      </w:r>
      <w:r w:rsidR="00984FC3" w:rsidRPr="00C1694A">
        <w:rPr>
          <w:rFonts w:ascii="Times New Roman" w:eastAsia="Times New Roman" w:hAnsi="Times New Roman" w:cs="Times New Roman"/>
          <w:sz w:val="24"/>
          <w:szCs w:val="24"/>
        </w:rPr>
        <w:t xml:space="preserve">ection </w:t>
      </w:r>
      <w:r w:rsidRPr="00C1694A">
        <w:rPr>
          <w:rFonts w:ascii="Times New Roman" w:eastAsia="Times New Roman" w:hAnsi="Times New Roman" w:cs="Times New Roman"/>
          <w:sz w:val="24"/>
          <w:szCs w:val="24"/>
        </w:rPr>
        <w:t>504 of the Rehabilitation Act</w:t>
      </w:r>
      <w:r w:rsidR="00E5749E" w:rsidRPr="00C1694A">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and the Flood Disaster Protection Act of 1973, and complies with National Historic Preservation Act of 1966.</w:t>
      </w:r>
    </w:p>
    <w:p w:rsidR="00C03FE8" w:rsidRPr="00C1694A" w:rsidRDefault="00C03FE8" w:rsidP="00AC521C">
      <w:pPr>
        <w:spacing w:after="0" w:line="480" w:lineRule="auto"/>
        <w:rPr>
          <w:rFonts w:ascii="Times New Roman" w:eastAsia="Times New Roman" w:hAnsi="Times New Roman" w:cs="Times New Roman"/>
          <w:b/>
          <w:sz w:val="24"/>
          <w:szCs w:val="24"/>
        </w:rPr>
      </w:pPr>
    </w:p>
    <w:p w:rsidR="00C03FE8" w:rsidRPr="00C1694A" w:rsidRDefault="00C03FE8" w:rsidP="00AC521C">
      <w:pPr>
        <w:spacing w:after="0" w:line="480" w:lineRule="auto"/>
        <w:rPr>
          <w:rFonts w:ascii="Times New Roman" w:eastAsia="Times New Roman" w:hAnsi="Times New Roman" w:cs="Times New Roman"/>
          <w:b/>
          <w:sz w:val="24"/>
          <w:szCs w:val="24"/>
        </w:rPr>
      </w:pPr>
    </w:p>
    <w:p w:rsidR="00C03FE8" w:rsidRPr="00C1694A" w:rsidRDefault="00C03FE8" w:rsidP="00AC521C">
      <w:pPr>
        <w:spacing w:after="0" w:line="480" w:lineRule="auto"/>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Subpart F</w:t>
      </w:r>
      <w:r w:rsidR="001B3183" w:rsidRPr="00C1694A">
        <w:rPr>
          <w:rFonts w:ascii="Times New Roman" w:eastAsia="Calibri" w:hAnsi="Times New Roman" w:cs="Times New Roman"/>
          <w:sz w:val="24"/>
          <w:szCs w:val="24"/>
        </w:rPr>
        <w:t>—</w:t>
      </w:r>
      <w:r w:rsidRPr="00C1694A">
        <w:rPr>
          <w:rFonts w:ascii="Times New Roman" w:eastAsia="Times New Roman" w:hAnsi="Times New Roman" w:cs="Times New Roman"/>
          <w:b/>
          <w:sz w:val="24"/>
          <w:szCs w:val="24"/>
        </w:rPr>
        <w:t>Transportation</w:t>
      </w:r>
    </w:p>
    <w:p w:rsidR="00C03FE8" w:rsidRPr="00C1694A" w:rsidRDefault="00C03FE8" w:rsidP="00AC521C">
      <w:pPr>
        <w:spacing w:after="0" w:line="480" w:lineRule="auto"/>
        <w:ind w:firstLine="720"/>
        <w:rPr>
          <w:rFonts w:ascii="Times New Roman" w:hAnsi="Times New Roman" w:cs="Times New Roman"/>
          <w:b/>
          <w:bCs/>
          <w:sz w:val="24"/>
          <w:szCs w:val="24"/>
        </w:rPr>
      </w:pPr>
    </w:p>
    <w:p w:rsidR="00C03FE8" w:rsidRPr="00C1694A" w:rsidRDefault="00C03FE8" w:rsidP="00AC521C">
      <w:pPr>
        <w:autoSpaceDE w:val="0"/>
        <w:autoSpaceDN w:val="0"/>
        <w:adjustRightInd w:val="0"/>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§1303.70 </w:t>
      </w:r>
      <w:r w:rsidR="00887BBB">
        <w:rPr>
          <w:rFonts w:ascii="Times New Roman" w:hAnsi="Times New Roman" w:cs="Times New Roman"/>
          <w:b/>
          <w:sz w:val="24"/>
          <w:szCs w:val="24"/>
        </w:rPr>
        <w:t>Purpose</w:t>
      </w:r>
      <w:r w:rsidRPr="00C1694A">
        <w:rPr>
          <w:rFonts w:ascii="Times New Roman" w:hAnsi="Times New Roman" w:cs="Times New Roman"/>
          <w:b/>
          <w:sz w:val="24"/>
          <w:szCs w:val="24"/>
        </w:rPr>
        <w:t>.</w:t>
      </w:r>
    </w:p>
    <w:p w:rsidR="00C03FE8" w:rsidRPr="00C1694A" w:rsidRDefault="00C03FE8" w:rsidP="00AC521C">
      <w:pPr>
        <w:autoSpaceDE w:val="0"/>
        <w:autoSpaceDN w:val="0"/>
        <w:adjustRightInd w:val="0"/>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Applicability.</w:t>
      </w:r>
      <w:r w:rsidRPr="00C1694A">
        <w:rPr>
          <w:rFonts w:ascii="Times New Roman" w:eastAsia="Times New Roman" w:hAnsi="Times New Roman" w:cs="Times New Roman"/>
          <w:sz w:val="24"/>
          <w:szCs w:val="24"/>
        </w:rPr>
        <w:t xml:space="preserve"> This rule applies to all agencies, including those that provide transportation services, with the exceptions and exclusions provided in this section, regardless of whether such transportation is provided directly on agency owned or leased vehicles or through arrangement with a private or public transportation provider. </w:t>
      </w:r>
    </w:p>
    <w:p w:rsidR="00C03FE8" w:rsidRPr="00C1694A" w:rsidRDefault="00C03FE8" w:rsidP="00AC521C">
      <w:pPr>
        <w:spacing w:after="0" w:line="480" w:lineRule="auto"/>
        <w:ind w:firstLine="720"/>
        <w:rPr>
          <w:rFonts w:ascii="Times New Roman" w:eastAsiaTheme="minorHAnsi"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heme="minorHAnsi" w:hAnsi="Times New Roman" w:cs="Times New Roman"/>
          <w:sz w:val="24"/>
          <w:szCs w:val="24"/>
        </w:rPr>
        <w:t xml:space="preserve">(b) </w:t>
      </w:r>
      <w:r w:rsidRPr="00C1694A">
        <w:rPr>
          <w:rFonts w:ascii="Times New Roman" w:eastAsiaTheme="minorHAnsi" w:hAnsi="Times New Roman" w:cs="Times New Roman"/>
          <w:sz w:val="24"/>
          <w:szCs w:val="24"/>
          <w:u w:val="single"/>
        </w:rPr>
        <w:t>Providing transportation services.</w:t>
      </w:r>
      <w:r w:rsidRPr="00C1694A">
        <w:rPr>
          <w:rFonts w:ascii="Times New Roman" w:eastAsiaTheme="minorHAnsi" w:hAnsi="Times New Roman" w:cs="Times New Roman"/>
          <w:sz w:val="24"/>
          <w:szCs w:val="24"/>
        </w:rPr>
        <w:t xml:space="preserve"> </w:t>
      </w:r>
      <w:r w:rsidRPr="00C1694A">
        <w:rPr>
          <w:rFonts w:ascii="Times New Roman" w:eastAsia="Times New Roman" w:hAnsi="Times New Roman" w:cs="Times New Roman"/>
          <w:sz w:val="24"/>
          <w:szCs w:val="24"/>
        </w:rPr>
        <w:t>(1) If a program does not provide transportation services, either for all or a portion of the children, it must provide reasonable assistance, such as information about public transit availability, to the families of such children to arrange transportation to and from its activities, and provide information about these transportation options in recruitment announcements.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bCs/>
          <w:sz w:val="24"/>
          <w:szCs w:val="24"/>
        </w:rPr>
        <w:t xml:space="preserve">(2) </w:t>
      </w:r>
      <w:r w:rsidRPr="00C1694A">
        <w:rPr>
          <w:rFonts w:ascii="Times New Roman" w:eastAsia="Times New Roman" w:hAnsi="Times New Roman" w:cs="Times New Roman"/>
          <w:sz w:val="24"/>
          <w:szCs w:val="24"/>
        </w:rPr>
        <w:t>A program that provides transportation services must make reasonable efforts to coordinate transportation resources with other human services agencies in its community in order to control costs and to improve the quality and the availability of transportation services.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A program that provides transportation services must ensure all accidents involving vehicles that transport children are reported in accordance with applicable state requirements.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Waiver</w:t>
      </w:r>
      <w:r w:rsidRPr="00C1694A">
        <w:rPr>
          <w:rFonts w:ascii="Times New Roman" w:eastAsia="Times New Roman" w:hAnsi="Times New Roman" w:cs="Times New Roman"/>
          <w:i/>
          <w:sz w:val="24"/>
          <w:szCs w:val="24"/>
        </w:rPr>
        <w:t>.</w:t>
      </w:r>
      <w:r w:rsidRPr="00C1694A">
        <w:rPr>
          <w:rFonts w:ascii="Times New Roman" w:eastAsia="Times New Roman" w:hAnsi="Times New Roman" w:cs="Times New Roman"/>
          <w:sz w:val="24"/>
          <w:szCs w:val="24"/>
        </w:rPr>
        <w:t xml:space="preserve"> (1) A program that provides transportation services must comply with all provisions in this subpart. A Head Start program may request to waive a specific requirement in this part, in writing, to the responsible HHS official, as part of an agency’s annual application for financial assistance or amendment and must submit any required documentation the responsible HHS official deems necessary to support the waiver.  The responsible HHS official is not authorized to waive any requirements with regard to children enrolled in an Early Head Start program.</w:t>
      </w:r>
      <w:r w:rsidRPr="00C1694A">
        <w:rPr>
          <w:rFonts w:ascii="Times New Roman" w:hAnsi="Times New Roman" w:cs="Times New Roman"/>
          <w:sz w:val="24"/>
          <w:szCs w:val="24"/>
        </w:rPr>
        <w:t xml:space="preserve"> </w:t>
      </w:r>
      <w:r w:rsidRPr="00C1694A">
        <w:rPr>
          <w:rFonts w:ascii="Times New Roman" w:eastAsia="Times New Roman" w:hAnsi="Times New Roman" w:cs="Times New Roman"/>
          <w:sz w:val="24"/>
          <w:szCs w:val="24"/>
        </w:rPr>
        <w:t xml:space="preserve">A program may request a waiver when:   </w:t>
      </w:r>
    </w:p>
    <w:p w:rsidR="00C03FE8" w:rsidRPr="00C1694A" w:rsidRDefault="00C03FE8" w:rsidP="00AC521C">
      <w:pPr>
        <w:spacing w:after="0" w:line="480" w:lineRule="auto"/>
        <w:ind w:firstLine="720"/>
        <w:contextualSpacing/>
        <w:rPr>
          <w:rFonts w:ascii="Times New Roman" w:eastAsia="Times New Roman" w:hAnsi="Times New Roman" w:cs="Times New Roman"/>
          <w:sz w:val="24"/>
          <w:szCs w:val="24"/>
        </w:rPr>
      </w:pPr>
    </w:p>
    <w:p w:rsidR="00C03FE8" w:rsidRPr="00C1694A" w:rsidRDefault="00C03FE8" w:rsidP="00AC521C">
      <w:pPr>
        <w:spacing w:after="0" w:line="480" w:lineRule="auto"/>
        <w:ind w:firstLine="720"/>
        <w:contextualSpacing/>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Adherence to a requirement in this part would create a safety hazard in the circumstances faced by the agency; and,</w:t>
      </w:r>
    </w:p>
    <w:p w:rsidR="00C03FE8" w:rsidRPr="00C1694A" w:rsidRDefault="00C03FE8" w:rsidP="00AC521C">
      <w:pPr>
        <w:spacing w:after="0" w:line="480" w:lineRule="auto"/>
        <w:ind w:firstLine="720"/>
        <w:contextualSpacing/>
        <w:rPr>
          <w:rFonts w:ascii="Times New Roman" w:eastAsia="Times New Roman" w:hAnsi="Times New Roman" w:cs="Times New Roman"/>
          <w:sz w:val="24"/>
          <w:szCs w:val="24"/>
        </w:rPr>
      </w:pPr>
    </w:p>
    <w:p w:rsidR="00C03FE8" w:rsidRPr="00C1694A" w:rsidRDefault="00C03FE8" w:rsidP="00AC521C">
      <w:pPr>
        <w:spacing w:after="0" w:line="480" w:lineRule="auto"/>
        <w:ind w:firstLine="720"/>
        <w:contextualSpacing/>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 For preschool children, compliance with requirements related to child restraint systems at §§1303.71(d) and 1303.72(a)(1) or bus monitors at §1303.72(a)(4) will result in a significant disruption to the program and the agency demonstrates that waiving such requirements is in the best interest of the children involved.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The responsible HHS official is not authorized to waive any requirements of the Federal Motor Vehicle Safety Standards (FMVSS) made applicable to any class of vehicle under 49 CFR part 571.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§1303.71 Vehicles.</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bCs/>
          <w:sz w:val="24"/>
          <w:szCs w:val="24"/>
        </w:rPr>
        <w:t>(a)</w:t>
      </w:r>
      <w:r w:rsidRPr="00C1694A">
        <w:rPr>
          <w:rFonts w:ascii="Times New Roman" w:eastAsia="Times New Roman" w:hAnsi="Times New Roman" w:cs="Times New Roman"/>
          <w:bCs/>
          <w:i/>
          <w:sz w:val="24"/>
          <w:szCs w:val="24"/>
        </w:rPr>
        <w:t xml:space="preserve"> </w:t>
      </w:r>
      <w:r w:rsidRPr="00C1694A">
        <w:rPr>
          <w:rFonts w:ascii="Times New Roman" w:eastAsia="Times New Roman" w:hAnsi="Times New Roman" w:cs="Times New Roman"/>
          <w:bCs/>
          <w:sz w:val="24"/>
          <w:szCs w:val="24"/>
          <w:u w:val="single"/>
        </w:rPr>
        <w:t>Required use of schools buses or allowable alternative vehicles.</w:t>
      </w:r>
      <w:r w:rsidRPr="00C1694A">
        <w:rPr>
          <w:rFonts w:ascii="Times New Roman" w:eastAsia="Times New Roman" w:hAnsi="Times New Roman" w:cs="Times New Roman"/>
          <w:bCs/>
          <w:i/>
          <w:sz w:val="24"/>
          <w:szCs w:val="24"/>
        </w:rPr>
        <w:t xml:space="preserve"> </w:t>
      </w:r>
      <w:r w:rsidRPr="00C1694A">
        <w:rPr>
          <w:rFonts w:ascii="Times New Roman" w:eastAsia="Times New Roman" w:hAnsi="Times New Roman" w:cs="Times New Roman"/>
          <w:sz w:val="24"/>
          <w:szCs w:val="24"/>
        </w:rPr>
        <w:t>A program, with the exception of transportation services to children served under a home-based option, must ensure all vehicles used or purchased with grant funds to provide transportation services to enrolled children are school buses or allowable alternate vehicles that are equipped for use of height- and weight-appropriate child restraint systems, and that have reverse beepers.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Emergency equipment.</w:t>
      </w:r>
      <w:r w:rsidRPr="00C1694A">
        <w:rPr>
          <w:rFonts w:ascii="Times New Roman" w:eastAsia="Times New Roman" w:hAnsi="Times New Roman" w:cs="Times New Roman"/>
          <w:sz w:val="24"/>
          <w:szCs w:val="24"/>
        </w:rPr>
        <w:t xml:space="preserve"> A program must ensure each vehicle used in providing such services is equipped with an emergency communication system clearly labeled and appropriate emergency safety equipment, including a seat belt cutter, charged fire extinguisher, and first aid kit.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Auxiliary seating</w:t>
      </w:r>
      <w:r w:rsidRPr="00C1694A">
        <w:rPr>
          <w:rFonts w:ascii="Times New Roman" w:eastAsia="Times New Roman" w:hAnsi="Times New Roman" w:cs="Times New Roman"/>
          <w:sz w:val="24"/>
          <w:szCs w:val="24"/>
        </w:rPr>
        <w:t>. A program must ensure any auxiliary seating, such as temporary or folding jump seats, used in vehicles of any type providing such services are built into the vehicle by the manufacturer as part of its standard design, are maintained in proper working order, and are inspected as part of the annual inspection required under paragraph (e)(2)(i) of this section.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(d) </w:t>
      </w:r>
      <w:r w:rsidRPr="00C1694A">
        <w:rPr>
          <w:rFonts w:ascii="Times New Roman" w:eastAsia="Times New Roman" w:hAnsi="Times New Roman" w:cs="Times New Roman"/>
          <w:sz w:val="24"/>
          <w:szCs w:val="24"/>
          <w:u w:val="single"/>
        </w:rPr>
        <w:t>Child restraint systems</w:t>
      </w:r>
      <w:r w:rsidRPr="00C1694A">
        <w:rPr>
          <w:rFonts w:ascii="Times New Roman" w:eastAsia="Times New Roman" w:hAnsi="Times New Roman" w:cs="Times New Roman"/>
          <w:sz w:val="24"/>
          <w:szCs w:val="24"/>
        </w:rPr>
        <w:t>. A program must ensure each vehicle used to transport children receiving such services is equipped for use of age-, height- and weight-appropriat</w:t>
      </w:r>
      <w:r w:rsidR="00CB06A3" w:rsidRPr="00C1694A">
        <w:rPr>
          <w:rFonts w:ascii="Times New Roman" w:eastAsia="Times New Roman" w:hAnsi="Times New Roman" w:cs="Times New Roman"/>
          <w:sz w:val="24"/>
          <w:szCs w:val="24"/>
        </w:rPr>
        <w:t xml:space="preserve">e child safety restraint systems as defined in </w:t>
      </w:r>
      <w:r w:rsidR="00D97929" w:rsidRPr="00DC44D0">
        <w:rPr>
          <w:rFonts w:ascii="Times New Roman" w:hAnsi="Times New Roman" w:cs="Times New Roman"/>
          <w:sz w:val="24"/>
          <w:szCs w:val="24"/>
        </w:rPr>
        <w:t xml:space="preserve">part </w:t>
      </w:r>
      <w:r w:rsidR="00CB06A3" w:rsidRPr="00DC44D0">
        <w:rPr>
          <w:rFonts w:ascii="Times New Roman" w:hAnsi="Times New Roman" w:cs="Times New Roman"/>
          <w:sz w:val="24"/>
          <w:szCs w:val="24"/>
        </w:rPr>
        <w:t>1305</w:t>
      </w:r>
      <w:r w:rsidR="008A61B7">
        <w:rPr>
          <w:rFonts w:ascii="Times New Roman" w:hAnsi="Times New Roman" w:cs="Times New Roman"/>
          <w:sz w:val="24"/>
          <w:szCs w:val="24"/>
        </w:rPr>
        <w:t xml:space="preserve"> of this chapter</w:t>
      </w:r>
      <w:r w:rsidRPr="00C1694A">
        <w:rPr>
          <w:rFonts w:ascii="Times New Roman" w:eastAsia="Times New Roman" w:hAnsi="Times New Roman" w:cs="Times New Roman"/>
          <w:sz w:val="24"/>
          <w:szCs w:val="24"/>
        </w:rPr>
        <w:t>.</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bCs/>
          <w:sz w:val="24"/>
          <w:szCs w:val="24"/>
        </w:rPr>
        <w:t xml:space="preserve">(e) </w:t>
      </w:r>
      <w:r w:rsidRPr="00C1694A">
        <w:rPr>
          <w:rFonts w:ascii="Times New Roman" w:eastAsia="Times New Roman" w:hAnsi="Times New Roman" w:cs="Times New Roman"/>
          <w:bCs/>
          <w:sz w:val="24"/>
          <w:szCs w:val="24"/>
          <w:u w:val="single"/>
        </w:rPr>
        <w:t>Vehicle maintenance</w:t>
      </w:r>
      <w:r w:rsidRPr="00C1694A">
        <w:rPr>
          <w:rFonts w:ascii="Times New Roman" w:eastAsia="Times New Roman" w:hAnsi="Times New Roman" w:cs="Times New Roman"/>
          <w:bCs/>
          <w:i/>
          <w:sz w:val="24"/>
          <w:szCs w:val="24"/>
        </w:rPr>
        <w:t xml:space="preserve">. </w:t>
      </w:r>
      <w:r w:rsidRPr="00C1694A">
        <w:rPr>
          <w:rFonts w:ascii="Times New Roman" w:eastAsia="Times New Roman" w:hAnsi="Times New Roman" w:cs="Times New Roman"/>
          <w:bCs/>
          <w:sz w:val="24"/>
          <w:szCs w:val="24"/>
        </w:rPr>
        <w:t xml:space="preserve">(1) </w:t>
      </w:r>
      <w:r w:rsidRPr="00C1694A">
        <w:rPr>
          <w:rFonts w:ascii="Times New Roman" w:eastAsia="Times New Roman" w:hAnsi="Times New Roman" w:cs="Times New Roman"/>
          <w:sz w:val="24"/>
          <w:szCs w:val="24"/>
        </w:rPr>
        <w:t>A program must ensure vehicles used to provide such services are in safe operating condition at all times.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The program must:</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At a minimum, conduct an annual thorough safety inspection of each vehicle through an inspection program licensed or operated by the state;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Carry out systematic preventive maintenance on vehicles;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(iii) Ensure each driver implements daily pre-trip vehicle inspections.</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ind w:firstLine="720"/>
        <w:rPr>
          <w:rFonts w:ascii="Times New Roman" w:eastAsiaTheme="minorHAnsi" w:hAnsi="Times New Roman" w:cs="Times New Roman"/>
          <w:sz w:val="24"/>
          <w:szCs w:val="24"/>
        </w:rPr>
      </w:pPr>
      <w:r w:rsidRPr="00C1694A">
        <w:rPr>
          <w:rFonts w:ascii="Times New Roman" w:eastAsia="Times New Roman" w:hAnsi="Times New Roman" w:cs="Times New Roman"/>
          <w:bCs/>
          <w:sz w:val="24"/>
          <w:szCs w:val="24"/>
        </w:rPr>
        <w:t>(f)</w:t>
      </w:r>
      <w:r w:rsidRPr="00C1694A">
        <w:rPr>
          <w:rFonts w:ascii="Times New Roman" w:eastAsia="Times New Roman" w:hAnsi="Times New Roman" w:cs="Times New Roman"/>
          <w:b/>
          <w:bCs/>
          <w:sz w:val="24"/>
          <w:szCs w:val="24"/>
        </w:rPr>
        <w:t xml:space="preserve"> </w:t>
      </w:r>
      <w:r w:rsidRPr="00C1694A">
        <w:rPr>
          <w:rFonts w:ascii="Times New Roman" w:eastAsia="Times New Roman" w:hAnsi="Times New Roman" w:cs="Times New Roman"/>
          <w:bCs/>
          <w:sz w:val="24"/>
          <w:szCs w:val="24"/>
          <w:u w:val="single"/>
        </w:rPr>
        <w:t>New vehicle inspection</w:t>
      </w:r>
      <w:r w:rsidRPr="00C1694A">
        <w:rPr>
          <w:rFonts w:ascii="Times New Roman" w:eastAsia="Times New Roman" w:hAnsi="Times New Roman" w:cs="Times New Roman"/>
          <w:bCs/>
          <w:sz w:val="24"/>
          <w:szCs w:val="24"/>
        </w:rPr>
        <w:t xml:space="preserve">. </w:t>
      </w:r>
      <w:r w:rsidRPr="00C1694A">
        <w:rPr>
          <w:rFonts w:ascii="Times New Roman" w:eastAsia="Times New Roman" w:hAnsi="Times New Roman" w:cs="Times New Roman"/>
          <w:sz w:val="24"/>
          <w:szCs w:val="24"/>
        </w:rPr>
        <w:t xml:space="preserve">A program must ensure bid announcements for school buses and allowable alternate vehicles to transport children in its program include correct specifications and a clear statement of the vehicle’s intended use.  The program must ensure vehicles are examined at delivery to ensure they are equipped in accordance with the bid specifications and that the manufacturer’s certification of compliance with the applicable FMVSS is included with the vehicle. </w:t>
      </w:r>
      <w:r w:rsidRPr="00C1694A">
        <w:rPr>
          <w:rFonts w:ascii="Times New Roman" w:eastAsia="Times New Roman" w:hAnsi="Times New Roman" w:cs="Times New Roman"/>
          <w:b/>
          <w:bCs/>
          <w:sz w:val="24"/>
          <w:szCs w:val="24"/>
        </w:rPr>
        <w:t xml:space="preserve"> </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§1303.72 Vehicle operation.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Safety.</w:t>
      </w:r>
      <w:r w:rsidRPr="00C1694A">
        <w:rPr>
          <w:rFonts w:ascii="Times New Roman" w:eastAsia="Times New Roman" w:hAnsi="Times New Roman" w:cs="Times New Roman"/>
          <w:sz w:val="24"/>
          <w:szCs w:val="24"/>
        </w:rPr>
        <w:t xml:space="preserve"> A program must ensure: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 Each child is seated in a child restraint system appropriate to the child’s age, height, and weight;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Baggage and other items transported in the passenger compartment are properly stored and secured, and the aisles remain clear and the doors and emergency exits remain unobstructed at all times;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heme="minorHAnsi" w:hAnsi="Times New Roman" w:cs="Times New Roman"/>
          <w:sz w:val="24"/>
          <w:szCs w:val="24"/>
        </w:rPr>
      </w:pPr>
      <w:r w:rsidRPr="00C1694A">
        <w:rPr>
          <w:rFonts w:ascii="Times New Roman" w:eastAsia="Times New Roman" w:hAnsi="Times New Roman" w:cs="Times New Roman"/>
          <w:sz w:val="24"/>
          <w:szCs w:val="24"/>
        </w:rPr>
        <w:t>(3) Up-to-date child rosters and lists of the adults each child is authorized to be released to, including alternates in case of emergency, are maintained and no child is left behind, either at the classroom or on the vehicle at the end of the route;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(4) With the exception of transportation services to children served under a home-based option, there is at least one bus monitor on board at all times, with additional bus monitors provided as necessary.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bCs/>
          <w:sz w:val="24"/>
          <w:szCs w:val="24"/>
          <w:u w:val="single"/>
        </w:rPr>
        <w:t>Driver qualifications</w:t>
      </w:r>
      <w:r w:rsidRPr="00C1694A">
        <w:rPr>
          <w:rFonts w:ascii="Times New Roman" w:eastAsia="Times New Roman" w:hAnsi="Times New Roman" w:cs="Times New Roman"/>
          <w:sz w:val="24"/>
          <w:szCs w:val="24"/>
        </w:rPr>
        <w:t>. A program, with the exception of transportation services to children served under a home-based option, must ensure drivers, at a minimum:</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 In states where such licenses are granted, have a valid Commercial Driver's License (CDL) for vehicles in the same class as the vehicle the driver will operating; and,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Meet any physical, mental, and other requirements as necessary to perform job-related functions with any necessary reasonable accommodations.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Driver application review.</w:t>
      </w:r>
      <w:r w:rsidRPr="00C1694A">
        <w:rPr>
          <w:rFonts w:ascii="Times New Roman" w:eastAsia="Times New Roman" w:hAnsi="Times New Roman" w:cs="Times New Roman"/>
          <w:sz w:val="24"/>
          <w:szCs w:val="24"/>
        </w:rPr>
        <w:t xml:space="preserve"> In addition to the applicant review process prescribed §1302.90(b)</w:t>
      </w:r>
      <w:r w:rsidR="008A61B7">
        <w:rPr>
          <w:rFonts w:ascii="Times New Roman" w:eastAsia="Times New Roman" w:hAnsi="Times New Roman" w:cs="Times New Roman"/>
          <w:sz w:val="24"/>
          <w:szCs w:val="24"/>
        </w:rPr>
        <w:t xml:space="preserve"> of this chapter</w:t>
      </w:r>
      <w:r w:rsidRPr="00C1694A">
        <w:rPr>
          <w:rFonts w:ascii="Times New Roman" w:eastAsia="Times New Roman" w:hAnsi="Times New Roman" w:cs="Times New Roman"/>
          <w:sz w:val="24"/>
          <w:szCs w:val="24"/>
        </w:rPr>
        <w:t>, a program, with the exception of transportation services to children served under a home-based option, must ensure the applicant review process for drivers includes, at minimum:</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Disclosure by the applicant of all moving traffic violations, regardless of penalty;</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A check of the applicant’s driving record through the appropriate state agency, including a check of the applicant's record through the National Driver Register, if available;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A check that drivers qualify under the applicable driver training requirements in the state or tribal jurisdiction; and,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(4) After a conditional employment offer to the applicant and before the applicant begins work as a driver, a medical examination, performed by a licensed doctor of medicine or osteopathy, establishing that the individual possesses the physical ability to perform any job-related functions with any necessary accommodations.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(d) </w:t>
      </w:r>
      <w:r w:rsidRPr="00C1694A">
        <w:rPr>
          <w:rFonts w:ascii="Times New Roman" w:eastAsia="Times New Roman" w:hAnsi="Times New Roman" w:cs="Times New Roman"/>
          <w:sz w:val="24"/>
          <w:szCs w:val="24"/>
          <w:u w:val="single"/>
        </w:rPr>
        <w:t>Driver training.</w:t>
      </w:r>
      <w:r w:rsidRPr="00C1694A">
        <w:rPr>
          <w:rFonts w:ascii="Times New Roman" w:eastAsia="Times New Roman" w:hAnsi="Times New Roman" w:cs="Times New Roman"/>
          <w:sz w:val="24"/>
          <w:szCs w:val="24"/>
        </w:rPr>
        <w:t xml:space="preserve"> (1) A program must ensure any person employed as a driver receives training prior to transporting any enrolled child and receives refresher training each year.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Training must include: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Classroom instruction and behind-the-wheel instruction sufficient to enable the driver to operate the vehicle in a safe and efficient manner, to safely run a fixed route, to administer basic first aid in case of injury, and to handle emergency situations, including vehicle evacuation, operate any special equipment, such as wheelchair lifts, assistance devices or special occupant restraints, conduct routine maintenance and safety checks of the vehicle, and maintain accurate records as necessary;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Instruction on the topics listed in §1303.75 related to transportation services for children with disabilities.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A program must ensure the annual evaluation of each driver of a vehicle used to provide such services includes an on-board observation of road performance.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heme="minorHAnsi" w:hAnsi="Times New Roman" w:cs="Times New Roman"/>
          <w:sz w:val="24"/>
          <w:szCs w:val="24"/>
        </w:rPr>
      </w:pPr>
      <w:r w:rsidRPr="00C1694A">
        <w:rPr>
          <w:rFonts w:ascii="Times New Roman" w:eastAsia="Times New Roman" w:hAnsi="Times New Roman" w:cs="Times New Roman"/>
          <w:sz w:val="24"/>
          <w:szCs w:val="24"/>
        </w:rPr>
        <w:t xml:space="preserve">(e) </w:t>
      </w:r>
      <w:r w:rsidRPr="00C1694A">
        <w:rPr>
          <w:rFonts w:ascii="Times New Roman" w:eastAsia="Times New Roman" w:hAnsi="Times New Roman" w:cs="Times New Roman"/>
          <w:sz w:val="24"/>
          <w:szCs w:val="24"/>
          <w:u w:val="single"/>
        </w:rPr>
        <w:t>Bus monitor training.</w:t>
      </w:r>
      <w:r w:rsidRPr="00C1694A">
        <w:rPr>
          <w:rFonts w:ascii="Times New Roman" w:eastAsia="Times New Roman" w:hAnsi="Times New Roman" w:cs="Times New Roman"/>
          <w:sz w:val="24"/>
          <w:szCs w:val="24"/>
        </w:rPr>
        <w:t xml:space="preserve"> A program must train each bus monitor before the monitor begins work, on child boarding and exiting procedures, how to use child restraint systems, completing any required paperwork, how to respond to emergencies and emergency evacuation procedures, how to use special equipment, child pick-up and release procedures, how to conduct and pre- and post-trip vehicle checks. Bus monitors are also subject to staff safety training requirements in </w:t>
      </w:r>
      <w:r w:rsidRPr="00C1694A">
        <w:rPr>
          <w:rFonts w:ascii="Times New Roman" w:hAnsi="Times New Roman" w:cs="Times New Roman"/>
          <w:sz w:val="24"/>
          <w:szCs w:val="24"/>
        </w:rPr>
        <w:t>§</w:t>
      </w:r>
      <w:r w:rsidRPr="00C1694A">
        <w:rPr>
          <w:rFonts w:ascii="Times New Roman" w:eastAsia="Times New Roman" w:hAnsi="Times New Roman" w:cs="Times New Roman"/>
          <w:sz w:val="24"/>
          <w:szCs w:val="24"/>
        </w:rPr>
        <w:t xml:space="preserve">1302.47(b)(4) </w:t>
      </w:r>
      <w:r w:rsidR="008A61B7">
        <w:rPr>
          <w:rFonts w:ascii="Times New Roman" w:eastAsia="Times New Roman" w:hAnsi="Times New Roman" w:cs="Times New Roman"/>
          <w:sz w:val="24"/>
          <w:szCs w:val="24"/>
        </w:rPr>
        <w:t xml:space="preserve">of this chapter </w:t>
      </w:r>
      <w:r w:rsidRPr="00C1694A">
        <w:rPr>
          <w:rFonts w:ascii="Times New Roman" w:eastAsia="Times New Roman" w:hAnsi="Times New Roman" w:cs="Times New Roman"/>
          <w:sz w:val="24"/>
          <w:szCs w:val="24"/>
        </w:rPr>
        <w:t xml:space="preserve">including </w:t>
      </w:r>
      <w:r w:rsidR="001E4158" w:rsidRPr="00C1694A">
        <w:rPr>
          <w:rFonts w:ascii="Times New Roman" w:hAnsi="Times New Roman" w:cs="Times New Roman"/>
          <w:sz w:val="24"/>
          <w:szCs w:val="24"/>
        </w:rPr>
        <w:t>Cardio Pulmonary Resuscitation</w:t>
      </w:r>
      <w:r w:rsidR="001E4158" w:rsidRPr="00C1694A">
        <w:rPr>
          <w:rFonts w:ascii="Times New Roman" w:eastAsia="Times New Roman" w:hAnsi="Times New Roman" w:cs="Times New Roman"/>
          <w:sz w:val="24"/>
          <w:szCs w:val="24"/>
        </w:rPr>
        <w:t xml:space="preserve"> </w:t>
      </w:r>
      <w:r w:rsidR="001E4158">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CPR</w:t>
      </w:r>
      <w:r w:rsidR="001E4158">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and first aid.</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§1303.73 Trip routing.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 A program must consider safety of the children it transports when it plans fixed routes.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(b) A program must also ensure: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The time a child is in transit to and from the program must not exceed one hour unless there is no shorter route available or any alternative shorter route is either unsafe or impractical;</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Vehicles are not loaded beyond maximum passenger capacity at any time;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Drivers do not back up or make U</w:t>
      </w:r>
      <w:r w:rsidR="003B39DE" w:rsidRPr="00C1694A">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turns, except when necessary for safety reasons or because of physical barriers;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Stops are located to minimize traffic disruptions and to afford the driver a good field of view in front of and behind the vehicle;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(5) When possible, stops are located to eliminate the need for children to cross the street or highway to board or leave the vehicle;</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(6) Either a bus monitor or another adult escorts children across the street to board or leave the vehicle if curbside pick-up or drop off is impossible; and,</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heme="minorHAnsi" w:hAnsi="Times New Roman" w:cs="Times New Roman"/>
          <w:sz w:val="24"/>
          <w:szCs w:val="24"/>
        </w:rPr>
      </w:pPr>
      <w:r w:rsidRPr="00C1694A">
        <w:rPr>
          <w:rFonts w:ascii="Times New Roman" w:eastAsia="Times New Roman" w:hAnsi="Times New Roman" w:cs="Times New Roman"/>
          <w:sz w:val="24"/>
          <w:szCs w:val="24"/>
        </w:rPr>
        <w:t>(7) Drivers use alternate routes in the case of hazardous conditions that could affect the safety of the children who are being transported, such as ice or water build up, natural gas line breaks, or emergency road closing.</w:t>
      </w:r>
    </w:p>
    <w:p w:rsidR="00C03FE8" w:rsidRPr="00C1694A" w:rsidRDefault="00C03FE8" w:rsidP="00AC521C">
      <w:pPr>
        <w:spacing w:after="0" w:line="480" w:lineRule="auto"/>
        <w:ind w:firstLine="720"/>
        <w:rPr>
          <w:rFonts w:ascii="Times New Roman" w:eastAsia="Times New Roman" w:hAnsi="Times New Roman" w:cs="Times New Roman"/>
          <w:bCs/>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§1303.74 Safety procedures.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A program must ensure children who receive transportation services are taught safe riding practices, safety procedures for boarding and leaving the vehicle and for crossing the street to and from the vehicle at stops, recognition of the danger zones around the vehicle, and emergency evacuation procedures, including participating in an emergency evacuation drill conducted on the vehicle the child will be riding.</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(b) A program that provides transportation services must ensure at least two bus evacuation drills in addition to the one required under paragraph (a) of this section are conducted during the program year.</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§1303.75 Children with disabilities. </w:t>
      </w:r>
    </w:p>
    <w:p w:rsidR="00C03FE8" w:rsidRPr="00C1694A" w:rsidRDefault="00C03FE8" w:rsidP="00AC521C">
      <w:pPr>
        <w:spacing w:after="0" w:line="480" w:lineRule="auto"/>
        <w:ind w:firstLine="720"/>
        <w:rPr>
          <w:rFonts w:ascii="Times New Roman" w:hAnsi="Times New Roman" w:cs="Times New Roman"/>
          <w:b/>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 A program must ensure there are school buses or allowable alternate vehicles adapted or designed for transportation of children with disabilities available as necessary to transport such children enrolled in the program. This requirement does not apply to the transportation of children receiving home-based services unless school buses or allowable alternate vehicles are used to transport the other children served under the home-based option by the grantee. Whenever possible, children with disabilities must be transported in the same vehicles used to transport other children enrolled in the Head Start or Early Head Start program.</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(b) A program must ensure special transportation requirements in a child’s IEP or IFSP are followed, including special pick-up and drop-off requirements, seating requirements, equipment needs, any assistance that may be required, and any necessary training for bus drivers and monitors.</w:t>
      </w:r>
    </w:p>
    <w:p w:rsidR="00C03FE8" w:rsidRPr="00C1694A" w:rsidRDefault="00C03FE8" w:rsidP="00AC521C">
      <w:pPr>
        <w:spacing w:after="0" w:line="480" w:lineRule="auto"/>
        <w:rPr>
          <w:rFonts w:ascii="Times New Roman" w:eastAsia="Times New Roman" w:hAnsi="Times New Roman" w:cs="Times New Roman"/>
          <w:b/>
          <w:sz w:val="24"/>
          <w:szCs w:val="24"/>
        </w:rPr>
      </w:pPr>
    </w:p>
    <w:p w:rsidR="00C03FE8" w:rsidRPr="00C1694A" w:rsidRDefault="00C03FE8" w:rsidP="00AC521C">
      <w:pPr>
        <w:spacing w:after="0" w:line="480" w:lineRule="auto"/>
        <w:rPr>
          <w:rFonts w:ascii="Times New Roman" w:eastAsia="Times New Roman" w:hAnsi="Times New Roman" w:cs="Times New Roman"/>
          <w:b/>
          <w:sz w:val="24"/>
          <w:szCs w:val="24"/>
        </w:rPr>
      </w:pPr>
    </w:p>
    <w:p w:rsidR="00C03FE8" w:rsidRPr="00C1694A" w:rsidRDefault="00C03FE8" w:rsidP="00AC521C">
      <w:pPr>
        <w:spacing w:after="0" w:line="480" w:lineRule="auto"/>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PART 1304</w:t>
      </w:r>
      <w:r w:rsidR="008A61B7">
        <w:rPr>
          <w:rFonts w:ascii="Times New Roman" w:eastAsia="Times New Roman" w:hAnsi="Times New Roman" w:cs="Times New Roman"/>
          <w:b/>
          <w:sz w:val="24"/>
          <w:szCs w:val="24"/>
        </w:rPr>
        <w:t xml:space="preserve"> --</w:t>
      </w:r>
      <w:r w:rsidRPr="00C1694A">
        <w:rPr>
          <w:rFonts w:ascii="Times New Roman" w:eastAsia="Times New Roman" w:hAnsi="Times New Roman" w:cs="Times New Roman"/>
          <w:b/>
          <w:sz w:val="24"/>
          <w:szCs w:val="24"/>
        </w:rPr>
        <w:t xml:space="preserve"> FEDERAL ADMINISTRATIVE PROCEDURES</w:t>
      </w:r>
    </w:p>
    <w:p w:rsidR="00C03FE8" w:rsidRPr="00C1694A" w:rsidRDefault="00C03FE8" w:rsidP="00AC521C">
      <w:pPr>
        <w:spacing w:after="0" w:line="480" w:lineRule="auto"/>
        <w:contextualSpacing/>
        <w:rPr>
          <w:rFonts w:ascii="Times New Roman" w:eastAsia="Times New Roman" w:hAnsi="Times New Roman" w:cs="Times New Roman"/>
          <w:b/>
          <w:sz w:val="24"/>
          <w:szCs w:val="24"/>
        </w:rPr>
      </w:pPr>
      <w:bookmarkStart w:id="1" w:name="grantfees"/>
      <w:bookmarkEnd w:id="1"/>
    </w:p>
    <w:p w:rsidR="00C03FE8" w:rsidRPr="00C1694A" w:rsidRDefault="00C03FE8" w:rsidP="00AC521C">
      <w:pPr>
        <w:spacing w:after="0" w:line="480" w:lineRule="auto"/>
        <w:contextualSpacing/>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Subpart A</w:t>
      </w:r>
      <w:r w:rsidR="001B3183" w:rsidRPr="00C1694A">
        <w:rPr>
          <w:rFonts w:ascii="Times New Roman" w:eastAsia="Calibri" w:hAnsi="Times New Roman" w:cs="Times New Roman"/>
          <w:sz w:val="24"/>
          <w:szCs w:val="24"/>
        </w:rPr>
        <w:t>—</w:t>
      </w:r>
      <w:r w:rsidRPr="00C1694A">
        <w:rPr>
          <w:rFonts w:ascii="Times New Roman" w:eastAsia="Times New Roman" w:hAnsi="Times New Roman" w:cs="Times New Roman"/>
          <w:b/>
          <w:sz w:val="24"/>
          <w:szCs w:val="24"/>
        </w:rPr>
        <w:t>Monitoring, Suspension, Termination, Denial of Refunding, Reduction in Funding, and their Appeals</w:t>
      </w:r>
    </w:p>
    <w:p w:rsidR="00C03FE8" w:rsidRPr="00C1694A" w:rsidRDefault="00C03FE8" w:rsidP="00AC521C">
      <w:pPr>
        <w:spacing w:after="0" w:line="480" w:lineRule="auto"/>
        <w:contextualSpacing/>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Sec. </w:t>
      </w:r>
    </w:p>
    <w:p w:rsidR="00C03FE8" w:rsidRPr="00C1694A" w:rsidRDefault="00C03FE8" w:rsidP="00AC521C">
      <w:pPr>
        <w:spacing w:after="0" w:line="480" w:lineRule="auto"/>
        <w:contextualSpacing/>
        <w:rPr>
          <w:rFonts w:ascii="Times New Roman" w:eastAsia="Calibri" w:hAnsi="Times New Roman" w:cs="Times New Roman"/>
          <w:sz w:val="24"/>
          <w:szCs w:val="24"/>
        </w:rPr>
      </w:pPr>
      <w:r w:rsidRPr="00C1694A">
        <w:rPr>
          <w:rFonts w:ascii="Times New Roman" w:eastAsia="Times New Roman" w:hAnsi="Times New Roman" w:cs="Times New Roman"/>
          <w:sz w:val="24"/>
          <w:szCs w:val="24"/>
        </w:rPr>
        <w:t xml:space="preserve">1304.1 </w:t>
      </w:r>
      <w:r w:rsidR="00887BBB">
        <w:rPr>
          <w:rFonts w:ascii="Times New Roman" w:eastAsia="Times New Roman" w:hAnsi="Times New Roman" w:cs="Times New Roman"/>
          <w:sz w:val="24"/>
          <w:szCs w:val="24"/>
        </w:rPr>
        <w:t>Purpose</w:t>
      </w:r>
      <w:r w:rsidRPr="00C1694A">
        <w:rPr>
          <w:rFonts w:ascii="Times New Roman" w:eastAsia="Times New Roman" w:hAnsi="Times New Roman" w:cs="Times New Roman"/>
          <w:sz w:val="24"/>
          <w:szCs w:val="24"/>
        </w:rPr>
        <w:t>.</w:t>
      </w:r>
    </w:p>
    <w:p w:rsidR="00C03FE8" w:rsidRPr="00C1694A" w:rsidRDefault="00C03FE8" w:rsidP="00AC521C">
      <w:pPr>
        <w:spacing w:after="0" w:line="480" w:lineRule="auto"/>
        <w:contextualSpacing/>
        <w:rPr>
          <w:rFonts w:ascii="Times New Roman" w:hAnsi="Times New Roman" w:cs="Times New Roman"/>
          <w:sz w:val="24"/>
          <w:szCs w:val="24"/>
        </w:rPr>
      </w:pPr>
      <w:r w:rsidRPr="00C1694A">
        <w:rPr>
          <w:rFonts w:ascii="Times New Roman" w:hAnsi="Times New Roman" w:cs="Times New Roman"/>
          <w:sz w:val="24"/>
          <w:szCs w:val="24"/>
        </w:rPr>
        <w:t>1304.2 Monitoring.</w:t>
      </w:r>
    </w:p>
    <w:p w:rsidR="00C03FE8" w:rsidRPr="00C1694A" w:rsidRDefault="00C03FE8" w:rsidP="00AC521C">
      <w:pPr>
        <w:spacing w:after="0" w:line="480" w:lineRule="auto"/>
        <w:contextualSpacing/>
        <w:rPr>
          <w:rFonts w:ascii="Times New Roman" w:hAnsi="Times New Roman" w:cs="Times New Roman"/>
          <w:sz w:val="24"/>
          <w:szCs w:val="24"/>
        </w:rPr>
      </w:pPr>
      <w:r w:rsidRPr="00C1694A">
        <w:rPr>
          <w:rFonts w:ascii="Times New Roman" w:hAnsi="Times New Roman" w:cs="Times New Roman"/>
          <w:sz w:val="24"/>
          <w:szCs w:val="24"/>
        </w:rPr>
        <w:t>1304.3 Suspension with notice.</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1304.4 Emergency suspension without advance notice. </w:t>
      </w:r>
    </w:p>
    <w:p w:rsidR="00C03FE8" w:rsidRPr="00C1694A" w:rsidRDefault="00C03FE8" w:rsidP="00AC521C">
      <w:pPr>
        <w:spacing w:after="0" w:line="480" w:lineRule="auto"/>
        <w:contextualSpacing/>
        <w:rPr>
          <w:rFonts w:ascii="Times New Roman" w:hAnsi="Times New Roman" w:cs="Times New Roman"/>
          <w:sz w:val="24"/>
          <w:szCs w:val="24"/>
        </w:rPr>
      </w:pPr>
      <w:r w:rsidRPr="00C1694A">
        <w:rPr>
          <w:rFonts w:ascii="Times New Roman" w:hAnsi="Times New Roman" w:cs="Times New Roman"/>
          <w:sz w:val="24"/>
          <w:szCs w:val="24"/>
        </w:rPr>
        <w:t>1304.5 Termination and denial of refunding.</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1304.6 Appeal for prospective delegate agencies.</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sz w:val="24"/>
          <w:szCs w:val="24"/>
        </w:rPr>
        <w:t>1304.7 Legal fees</w:t>
      </w:r>
      <w:r w:rsidRPr="00AC521C">
        <w:rPr>
          <w:rFonts w:ascii="Times New Roman" w:hAnsi="Times New Roman" w:cs="Times New Roman"/>
          <w:sz w:val="24"/>
          <w:szCs w:val="24"/>
        </w:rPr>
        <w:t>.</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B</w:t>
      </w:r>
      <w:r w:rsidR="001B3183" w:rsidRPr="00C1694A">
        <w:rPr>
          <w:rFonts w:ascii="Times New Roman" w:eastAsia="Calibri" w:hAnsi="Times New Roman" w:cs="Times New Roman"/>
          <w:sz w:val="24"/>
          <w:szCs w:val="24"/>
        </w:rPr>
        <w:t>—</w:t>
      </w:r>
      <w:r w:rsidRPr="00C1694A">
        <w:rPr>
          <w:rFonts w:ascii="Times New Roman" w:hAnsi="Times New Roman" w:cs="Times New Roman"/>
          <w:b/>
          <w:sz w:val="24"/>
          <w:szCs w:val="24"/>
        </w:rPr>
        <w:t>Designation Renewal</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1304.10 Purpose and scope.</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sz w:val="24"/>
          <w:szCs w:val="24"/>
        </w:rPr>
        <w:t>1304.1</w:t>
      </w:r>
      <w:r w:rsidR="00AB39E2">
        <w:rPr>
          <w:rFonts w:ascii="Times New Roman" w:hAnsi="Times New Roman" w:cs="Times New Roman"/>
          <w:sz w:val="24"/>
          <w:szCs w:val="24"/>
        </w:rPr>
        <w:t>1</w:t>
      </w:r>
      <w:r w:rsidRPr="00C1694A">
        <w:rPr>
          <w:rFonts w:ascii="Times New Roman" w:hAnsi="Times New Roman" w:cs="Times New Roman"/>
          <w:sz w:val="24"/>
          <w:szCs w:val="24"/>
        </w:rPr>
        <w:t xml:space="preserve"> Basis for determining whether a Head Start agency will be subject to an open competition.</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sz w:val="24"/>
          <w:szCs w:val="24"/>
        </w:rPr>
        <w:t>1304.1</w:t>
      </w:r>
      <w:r w:rsidR="00AB39E2">
        <w:rPr>
          <w:rFonts w:ascii="Times New Roman" w:hAnsi="Times New Roman" w:cs="Times New Roman"/>
          <w:sz w:val="24"/>
          <w:szCs w:val="24"/>
        </w:rPr>
        <w:t>2</w:t>
      </w:r>
      <w:r w:rsidRPr="00C1694A">
        <w:rPr>
          <w:rFonts w:ascii="Times New Roman" w:hAnsi="Times New Roman" w:cs="Times New Roman"/>
          <w:sz w:val="24"/>
          <w:szCs w:val="24"/>
        </w:rPr>
        <w:t xml:space="preserve"> Grantee reporting requirements concerning certain conditions.</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sz w:val="24"/>
          <w:szCs w:val="24"/>
        </w:rPr>
        <w:t>1304.1</w:t>
      </w:r>
      <w:r w:rsidR="00AB39E2">
        <w:rPr>
          <w:rFonts w:ascii="Times New Roman" w:hAnsi="Times New Roman" w:cs="Times New Roman"/>
          <w:sz w:val="24"/>
          <w:szCs w:val="24"/>
        </w:rPr>
        <w:t>3</w:t>
      </w:r>
      <w:r w:rsidRPr="00C1694A">
        <w:rPr>
          <w:rFonts w:ascii="Times New Roman" w:hAnsi="Times New Roman" w:cs="Times New Roman"/>
          <w:sz w:val="24"/>
          <w:szCs w:val="24"/>
        </w:rPr>
        <w:t xml:space="preserve"> Requirements to be considered for designation for a five-year period when the existing grantee in a community is not determined to be delivering a high-quality and comprehensive Head Start program and is not automatically renewed.</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sz w:val="24"/>
          <w:szCs w:val="24"/>
        </w:rPr>
        <w:t>1304.1</w:t>
      </w:r>
      <w:r w:rsidR="00AB39E2">
        <w:rPr>
          <w:rFonts w:ascii="Times New Roman" w:hAnsi="Times New Roman" w:cs="Times New Roman"/>
          <w:sz w:val="24"/>
          <w:szCs w:val="24"/>
        </w:rPr>
        <w:t>4</w:t>
      </w:r>
      <w:r w:rsidRPr="00C1694A">
        <w:rPr>
          <w:rFonts w:ascii="Times New Roman" w:hAnsi="Times New Roman" w:cs="Times New Roman"/>
          <w:sz w:val="24"/>
          <w:szCs w:val="24"/>
        </w:rPr>
        <w:t xml:space="preserve"> Tribal government consultation under the Designation Renewal System for when an Indian Head Start grant is being considered for competition.</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sz w:val="24"/>
          <w:szCs w:val="24"/>
        </w:rPr>
        <w:t>1304.1</w:t>
      </w:r>
      <w:r w:rsidR="00AB39E2">
        <w:rPr>
          <w:rFonts w:ascii="Times New Roman" w:hAnsi="Times New Roman" w:cs="Times New Roman"/>
          <w:sz w:val="24"/>
          <w:szCs w:val="24"/>
        </w:rPr>
        <w:t>5</w:t>
      </w:r>
      <w:r w:rsidRPr="00C1694A">
        <w:rPr>
          <w:rFonts w:ascii="Times New Roman" w:hAnsi="Times New Roman" w:cs="Times New Roman"/>
          <w:sz w:val="24"/>
          <w:szCs w:val="24"/>
        </w:rPr>
        <w:t xml:space="preserve"> Designation request, review and notification process.</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sz w:val="24"/>
          <w:szCs w:val="24"/>
        </w:rPr>
        <w:t>1304.1</w:t>
      </w:r>
      <w:r w:rsidR="00AB39E2">
        <w:rPr>
          <w:rFonts w:ascii="Times New Roman" w:hAnsi="Times New Roman" w:cs="Times New Roman"/>
          <w:sz w:val="24"/>
          <w:szCs w:val="24"/>
        </w:rPr>
        <w:t>6</w:t>
      </w:r>
      <w:r w:rsidRPr="00C1694A">
        <w:rPr>
          <w:rFonts w:ascii="Times New Roman" w:hAnsi="Times New Roman" w:cs="Times New Roman"/>
          <w:sz w:val="24"/>
          <w:szCs w:val="24"/>
        </w:rPr>
        <w:t xml:space="preserve"> Use of CLASS: Pre-K </w:t>
      </w:r>
      <w:r w:rsidR="00962AAA">
        <w:rPr>
          <w:rFonts w:ascii="Times New Roman" w:hAnsi="Times New Roman" w:cs="Times New Roman"/>
          <w:sz w:val="24"/>
          <w:szCs w:val="24"/>
        </w:rPr>
        <w:t>i</w:t>
      </w:r>
      <w:r w:rsidRPr="00C1694A">
        <w:rPr>
          <w:rFonts w:ascii="Times New Roman" w:hAnsi="Times New Roman" w:cs="Times New Roman"/>
          <w:sz w:val="24"/>
          <w:szCs w:val="24"/>
        </w:rPr>
        <w:t>nstrument in the Designation Renewal System.</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Subpart C</w:t>
      </w:r>
      <w:r w:rsidR="001B3183" w:rsidRPr="00C1694A">
        <w:rPr>
          <w:rFonts w:ascii="Times New Roman" w:eastAsia="Calibri" w:hAnsi="Times New Roman" w:cs="Times New Roman"/>
          <w:sz w:val="24"/>
          <w:szCs w:val="24"/>
        </w:rPr>
        <w:t>—</w:t>
      </w:r>
      <w:r w:rsidRPr="00C1694A">
        <w:rPr>
          <w:rFonts w:ascii="Times New Roman" w:hAnsi="Times New Roman" w:cs="Times New Roman"/>
          <w:b/>
          <w:sz w:val="24"/>
          <w:szCs w:val="24"/>
        </w:rPr>
        <w:t>Selection of Grantees through Competition</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1304.20 Selection among applicants. </w:t>
      </w:r>
    </w:p>
    <w:p w:rsidR="00C03FE8" w:rsidRPr="00C1694A" w:rsidRDefault="00C03FE8" w:rsidP="00AC521C">
      <w:pPr>
        <w:spacing w:after="0" w:line="480" w:lineRule="auto"/>
        <w:rPr>
          <w:rStyle w:val="title1"/>
          <w:rFonts w:ascii="Times New Roman" w:hAnsi="Times New Roman" w:cs="Times New Roman"/>
          <w:color w:val="auto"/>
          <w:sz w:val="24"/>
          <w:szCs w:val="24"/>
        </w:rPr>
      </w:pPr>
      <w:r w:rsidRPr="00C1694A">
        <w:rPr>
          <w:rStyle w:val="title1"/>
          <w:rFonts w:ascii="Times New Roman" w:hAnsi="Times New Roman" w:cs="Times New Roman"/>
          <w:b/>
          <w:color w:val="auto"/>
          <w:sz w:val="24"/>
          <w:szCs w:val="24"/>
          <w:specVanish w:val="0"/>
        </w:rPr>
        <w:t>Subpart D</w:t>
      </w:r>
      <w:r w:rsidR="001B3183" w:rsidRPr="00C1694A">
        <w:rPr>
          <w:rFonts w:ascii="Times New Roman" w:eastAsia="Calibri" w:hAnsi="Times New Roman" w:cs="Times New Roman"/>
          <w:sz w:val="24"/>
          <w:szCs w:val="24"/>
        </w:rPr>
        <w:t>—</w:t>
      </w:r>
      <w:r w:rsidRPr="00C1694A">
        <w:rPr>
          <w:rStyle w:val="title1"/>
          <w:rFonts w:ascii="Times New Roman" w:hAnsi="Times New Roman" w:cs="Times New Roman"/>
          <w:b/>
          <w:color w:val="auto"/>
          <w:sz w:val="24"/>
          <w:szCs w:val="24"/>
          <w:specVanish w:val="0"/>
        </w:rPr>
        <w:t>Replacement of American Indian and Alaska Native Grantees</w:t>
      </w:r>
    </w:p>
    <w:p w:rsidR="00C03FE8" w:rsidRPr="00C1694A" w:rsidRDefault="00C03FE8" w:rsidP="00AC521C">
      <w:pPr>
        <w:spacing w:after="0" w:line="480" w:lineRule="auto"/>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1304.30 Procedure for identification of alternative agency.</w:t>
      </w:r>
    </w:p>
    <w:p w:rsidR="00C03FE8" w:rsidRPr="00C1694A" w:rsidRDefault="00C03FE8" w:rsidP="00AC521C">
      <w:pPr>
        <w:spacing w:after="0" w:line="480" w:lineRule="auto"/>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1304.31 Requirements of alternative agency.</w:t>
      </w:r>
    </w:p>
    <w:p w:rsidR="00C03FE8" w:rsidRPr="00C1694A" w:rsidRDefault="00C03FE8" w:rsidP="00AC521C">
      <w:pPr>
        <w:spacing w:after="0" w:line="480" w:lineRule="auto"/>
        <w:rPr>
          <w:rStyle w:val="title1"/>
          <w:rFonts w:ascii="Times New Roman" w:hAnsi="Times New Roman" w:cs="Times New Roman"/>
          <w:color w:val="auto"/>
          <w:sz w:val="24"/>
          <w:szCs w:val="24"/>
        </w:rPr>
      </w:pPr>
      <w:r w:rsidRPr="00C1694A">
        <w:rPr>
          <w:rStyle w:val="title1"/>
          <w:rFonts w:ascii="Times New Roman" w:hAnsi="Times New Roman" w:cs="Times New Roman"/>
          <w:color w:val="auto"/>
          <w:sz w:val="24"/>
          <w:szCs w:val="24"/>
          <w:specVanish w:val="0"/>
        </w:rPr>
        <w:t>1304.32 Alternative agency—prohibition.</w:t>
      </w:r>
    </w:p>
    <w:p w:rsidR="00C03FE8" w:rsidRPr="00C1694A" w:rsidRDefault="00C03FE8" w:rsidP="00AC521C">
      <w:pPr>
        <w:shd w:val="clear" w:color="auto" w:fill="FFFFFF"/>
        <w:spacing w:after="0" w:line="480" w:lineRule="auto"/>
        <w:ind w:right="300"/>
        <w:rPr>
          <w:rFonts w:ascii="Times New Roman" w:eastAsia="Times New Roman" w:hAnsi="Times New Roman" w:cs="Times New Roman"/>
          <w:b/>
          <w:bCs/>
          <w:sz w:val="24"/>
          <w:szCs w:val="24"/>
        </w:rPr>
      </w:pPr>
      <w:r w:rsidRPr="00C1694A">
        <w:rPr>
          <w:rFonts w:ascii="Times New Roman" w:eastAsia="Times New Roman" w:hAnsi="Times New Roman" w:cs="Times New Roman"/>
          <w:b/>
          <w:bCs/>
          <w:sz w:val="24"/>
          <w:szCs w:val="24"/>
        </w:rPr>
        <w:t>Subpart E</w:t>
      </w:r>
      <w:r w:rsidR="001B3183" w:rsidRPr="00C1694A">
        <w:rPr>
          <w:rFonts w:ascii="Times New Roman" w:eastAsia="Calibri" w:hAnsi="Times New Roman" w:cs="Times New Roman"/>
          <w:sz w:val="24"/>
          <w:szCs w:val="24"/>
        </w:rPr>
        <w:t>—</w:t>
      </w:r>
      <w:r w:rsidRPr="00C1694A">
        <w:rPr>
          <w:rFonts w:ascii="Times New Roman" w:eastAsia="Times New Roman" w:hAnsi="Times New Roman" w:cs="Times New Roman"/>
          <w:b/>
          <w:bCs/>
          <w:sz w:val="24"/>
          <w:szCs w:val="24"/>
        </w:rPr>
        <w:t>Head Start Fellows Program</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sz w:val="24"/>
          <w:szCs w:val="24"/>
        </w:rPr>
        <w:t xml:space="preserve">1304.40 </w:t>
      </w:r>
      <w:r w:rsidR="00887BBB">
        <w:rPr>
          <w:rFonts w:ascii="Times New Roman" w:eastAsia="Times New Roman" w:hAnsi="Times New Roman" w:cs="Times New Roman"/>
          <w:sz w:val="24"/>
          <w:szCs w:val="24"/>
        </w:rPr>
        <w:t>Purpose</w:t>
      </w:r>
      <w:r w:rsidRPr="00C1694A">
        <w:rPr>
          <w:rFonts w:ascii="Times New Roman" w:hAnsi="Times New Roman" w:cs="Times New Roman"/>
          <w:sz w:val="24"/>
          <w:szCs w:val="24"/>
        </w:rPr>
        <w:t>.</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sz w:val="24"/>
          <w:szCs w:val="24"/>
        </w:rPr>
        <w:t>1304.41 Fellows Program.</w:t>
      </w:r>
    </w:p>
    <w:p w:rsidR="00C03FE8" w:rsidRPr="00C1694A" w:rsidRDefault="00C03FE8" w:rsidP="00AC521C">
      <w:pPr>
        <w:spacing w:after="0" w:line="480" w:lineRule="auto"/>
        <w:contextualSpacing/>
        <w:rPr>
          <w:rFonts w:ascii="Times New Roman" w:eastAsia="Times New Roman" w:hAnsi="Times New Roman" w:cs="Times New Roman"/>
          <w:b/>
          <w:sz w:val="24"/>
          <w:szCs w:val="24"/>
        </w:rPr>
      </w:pPr>
      <w:r w:rsidRPr="00C1694A">
        <w:rPr>
          <w:rFonts w:ascii="Times New Roman" w:hAnsi="Times New Roman" w:cs="Times New Roman"/>
          <w:smallCaps/>
          <w:sz w:val="24"/>
          <w:szCs w:val="24"/>
        </w:rPr>
        <w:t>Authority:</w:t>
      </w:r>
      <w:r w:rsidRPr="00C1694A">
        <w:rPr>
          <w:rFonts w:ascii="Times New Roman" w:hAnsi="Times New Roman" w:cs="Times New Roman"/>
          <w:sz w:val="24"/>
          <w:szCs w:val="24"/>
        </w:rPr>
        <w:t xml:space="preserve"> 42 U.S.C. 9801 </w:t>
      </w:r>
      <w:r w:rsidRPr="00C1694A">
        <w:rPr>
          <w:rFonts w:ascii="Times New Roman" w:hAnsi="Times New Roman" w:cs="Times New Roman"/>
          <w:i/>
          <w:iCs/>
          <w:sz w:val="24"/>
          <w:szCs w:val="24"/>
        </w:rPr>
        <w:t>et seq.</w:t>
      </w:r>
    </w:p>
    <w:p w:rsidR="00C03FE8" w:rsidRPr="00C1694A" w:rsidRDefault="00C03FE8" w:rsidP="00AC521C">
      <w:pPr>
        <w:spacing w:after="0" w:line="480" w:lineRule="auto"/>
        <w:contextualSpacing/>
        <w:rPr>
          <w:rFonts w:ascii="Times New Roman" w:eastAsia="Times New Roman" w:hAnsi="Times New Roman" w:cs="Times New Roman"/>
          <w:b/>
          <w:sz w:val="24"/>
          <w:szCs w:val="24"/>
        </w:rPr>
      </w:pPr>
    </w:p>
    <w:p w:rsidR="00C03FE8" w:rsidRPr="00C1694A" w:rsidRDefault="00C03FE8" w:rsidP="00AC521C">
      <w:pPr>
        <w:spacing w:after="0" w:line="480" w:lineRule="auto"/>
        <w:contextualSpacing/>
        <w:rPr>
          <w:rFonts w:ascii="Times New Roman" w:eastAsia="Times New Roman" w:hAnsi="Times New Roman" w:cs="Times New Roman"/>
          <w:b/>
          <w:sz w:val="24"/>
          <w:szCs w:val="24"/>
        </w:rPr>
      </w:pPr>
    </w:p>
    <w:p w:rsidR="00C03FE8" w:rsidRPr="00C1694A" w:rsidRDefault="00C03FE8" w:rsidP="00AC521C">
      <w:pPr>
        <w:spacing w:after="0" w:line="480" w:lineRule="auto"/>
        <w:contextualSpacing/>
        <w:rPr>
          <w:rFonts w:ascii="Times New Roman" w:eastAsia="Times New Roman" w:hAnsi="Times New Roman" w:cs="Times New Roman"/>
          <w:b/>
          <w:sz w:val="24"/>
          <w:szCs w:val="24"/>
        </w:rPr>
      </w:pPr>
      <w:r w:rsidRPr="00C1694A">
        <w:rPr>
          <w:rFonts w:ascii="Times New Roman" w:eastAsia="Times New Roman" w:hAnsi="Times New Roman" w:cs="Times New Roman"/>
          <w:b/>
          <w:sz w:val="24"/>
          <w:szCs w:val="24"/>
        </w:rPr>
        <w:t>Subpart A</w:t>
      </w:r>
      <w:r w:rsidR="001B3183" w:rsidRPr="00C1694A">
        <w:rPr>
          <w:rFonts w:ascii="Times New Roman" w:eastAsia="Calibri" w:hAnsi="Times New Roman" w:cs="Times New Roman"/>
          <w:sz w:val="24"/>
          <w:szCs w:val="24"/>
        </w:rPr>
        <w:t>—</w:t>
      </w:r>
      <w:r w:rsidRPr="00C1694A">
        <w:rPr>
          <w:rFonts w:ascii="Times New Roman" w:eastAsia="Times New Roman" w:hAnsi="Times New Roman" w:cs="Times New Roman"/>
          <w:b/>
          <w:sz w:val="24"/>
          <w:szCs w:val="24"/>
        </w:rPr>
        <w:t>Monitoring, Suspension, Termination, Denial of Refunding, Reduction in Funding, and their Appeals</w:t>
      </w:r>
    </w:p>
    <w:p w:rsidR="00C03FE8" w:rsidRPr="00C1694A" w:rsidRDefault="00C03FE8" w:rsidP="00AC521C">
      <w:pPr>
        <w:spacing w:after="0" w:line="480" w:lineRule="auto"/>
        <w:contextualSpacing/>
        <w:rPr>
          <w:rFonts w:ascii="Times New Roman" w:eastAsia="Times New Roman" w:hAnsi="Times New Roman" w:cs="Times New Roman"/>
          <w:sz w:val="24"/>
          <w:szCs w:val="24"/>
        </w:rPr>
      </w:pPr>
    </w:p>
    <w:p w:rsidR="00C03FE8" w:rsidRPr="00C1694A" w:rsidRDefault="00C03FE8" w:rsidP="00AC521C">
      <w:pPr>
        <w:spacing w:after="0" w:line="480" w:lineRule="auto"/>
        <w:contextualSpacing/>
        <w:rPr>
          <w:rFonts w:ascii="Times New Roman" w:hAnsi="Times New Roman" w:cs="Times New Roman"/>
          <w:b/>
          <w:sz w:val="24"/>
          <w:szCs w:val="24"/>
        </w:rPr>
      </w:pPr>
      <w:r w:rsidRPr="00C1694A">
        <w:rPr>
          <w:rFonts w:ascii="Times New Roman" w:hAnsi="Times New Roman" w:cs="Times New Roman"/>
          <w:b/>
          <w:sz w:val="24"/>
          <w:szCs w:val="24"/>
        </w:rPr>
        <w:t xml:space="preserve">§1304.1 </w:t>
      </w:r>
      <w:r w:rsidR="00887BBB">
        <w:rPr>
          <w:rFonts w:ascii="Times New Roman" w:eastAsia="Times New Roman" w:hAnsi="Times New Roman" w:cs="Times New Roman"/>
          <w:sz w:val="24"/>
          <w:szCs w:val="24"/>
        </w:rPr>
        <w:t>Purpose</w:t>
      </w:r>
      <w:r w:rsidRPr="00C1694A">
        <w:rPr>
          <w:rFonts w:ascii="Times New Roman" w:hAnsi="Times New Roman" w:cs="Times New Roman"/>
          <w:b/>
          <w:sz w:val="24"/>
          <w:szCs w:val="24"/>
        </w:rPr>
        <w:t>.</w:t>
      </w:r>
    </w:p>
    <w:p w:rsidR="00C03FE8" w:rsidRPr="00C1694A" w:rsidRDefault="00C03FE8" w:rsidP="00AC521C">
      <w:pPr>
        <w:spacing w:after="0" w:line="480" w:lineRule="auto"/>
        <w:contextualSpacing/>
        <w:rPr>
          <w:rFonts w:ascii="Times New Roman" w:hAnsi="Times New Roman" w:cs="Times New Roman"/>
          <w:b/>
          <w:sz w:val="24"/>
          <w:szCs w:val="24"/>
        </w:rPr>
      </w:pPr>
    </w:p>
    <w:p w:rsidR="00C03FE8" w:rsidRPr="00C1694A" w:rsidRDefault="008A61B7" w:rsidP="00AC521C">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C03FE8" w:rsidRPr="00C1694A">
        <w:rPr>
          <w:rFonts w:ascii="Times New Roman" w:eastAsia="Calibri" w:hAnsi="Times New Roman" w:cs="Times New Roman"/>
          <w:sz w:val="24"/>
          <w:szCs w:val="24"/>
        </w:rPr>
        <w:t>Section 641A(c) of the Act requires the Secretary to monitor whether a grantee meets program governance, program operations, and financial and administrative standards described in this regulation and to identify areas for improvements and areas of strength as part of the grantee’s ongoing self-assessment process.  This subpart focuses on the monitoring process.  It discusses areas of noncompliance, deficiencies, and corrective action through quality improvement plans.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8A61B7" w:rsidP="00AC521C">
      <w:pPr>
        <w:spacing w:after="0" w:line="480" w:lineRule="auto"/>
        <w:ind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00C03FE8" w:rsidRPr="00C1694A">
        <w:rPr>
          <w:rFonts w:ascii="Times New Roman" w:eastAsia="Calibri" w:hAnsi="Times New Roman" w:cs="Times New Roman"/>
          <w:sz w:val="24"/>
          <w:szCs w:val="24"/>
        </w:rPr>
        <w:t xml:space="preserve">Section 646(a) of the Act requires the Secretary to prescribe procedures for notice and appeal for certain adverse actions.  This subpart establishes rules and procedures to suspend financial assistance to a grantee, deny a grantee’s application for refunding, terminate, or reduce a grantee’s assistance under the Act when the grantee improperly uses federal funds or fails to comply with applicable laws, regulations, policies, instructions, assurances, terms and conditions or, if the grantee loses its legal status or financial viability.  This subpart does not apply to reductions to a grantee’s financial assistance based on chronic under-enrollment procedures at </w:t>
      </w:r>
      <w:r w:rsidR="00147BAE" w:rsidRPr="00C1694A">
        <w:rPr>
          <w:rFonts w:ascii="Times New Roman" w:eastAsia="Calibri" w:hAnsi="Times New Roman" w:cs="Times New Roman"/>
          <w:sz w:val="24"/>
          <w:szCs w:val="24"/>
        </w:rPr>
        <w:t>s</w:t>
      </w:r>
      <w:r w:rsidR="00C03FE8" w:rsidRPr="00C1694A">
        <w:rPr>
          <w:rFonts w:ascii="Times New Roman" w:eastAsia="Calibri" w:hAnsi="Times New Roman" w:cs="Times New Roman"/>
          <w:sz w:val="24"/>
          <w:szCs w:val="24"/>
        </w:rPr>
        <w:t xml:space="preserve">ection 641A(h) of the Act or to matters described in subpart B. This subpart does not apply to any administrative action based upon any violation, or alleged violation, of title VI of the Civil Rights Act of 1964.  Except as otherwise provided for in this subpart, the appeals and processes in this subpart will be governed by the Departmental Appeals Board regulations at 45 CFR part 16.   </w:t>
      </w:r>
    </w:p>
    <w:p w:rsidR="00C03FE8" w:rsidRPr="00C1694A" w:rsidRDefault="00C03FE8" w:rsidP="00AC521C">
      <w:pPr>
        <w:spacing w:after="0" w:line="480" w:lineRule="auto"/>
        <w:contextualSpacing/>
        <w:rPr>
          <w:rFonts w:ascii="Times New Roman" w:eastAsia="Calibri" w:hAnsi="Times New Roman" w:cs="Times New Roman"/>
          <w:b/>
          <w:sz w:val="24"/>
          <w:szCs w:val="24"/>
        </w:rPr>
      </w:pPr>
    </w:p>
    <w:p w:rsidR="00C03FE8" w:rsidRPr="00C1694A" w:rsidRDefault="00C03FE8" w:rsidP="00AC521C">
      <w:pPr>
        <w:spacing w:after="0" w:line="480" w:lineRule="auto"/>
        <w:rPr>
          <w:rFonts w:ascii="Times New Roman" w:hAnsi="Times New Roman" w:cs="Times New Roman"/>
          <w:b/>
          <w:bCs/>
          <w:sz w:val="24"/>
          <w:szCs w:val="24"/>
        </w:rPr>
      </w:pPr>
      <w:r w:rsidRPr="00C1694A">
        <w:rPr>
          <w:rFonts w:ascii="Times New Roman" w:hAnsi="Times New Roman" w:cs="Times New Roman"/>
          <w:b/>
          <w:bCs/>
          <w:sz w:val="24"/>
          <w:szCs w:val="24"/>
        </w:rPr>
        <w:t xml:space="preserve">§1304.2 Monitoring. </w:t>
      </w:r>
    </w:p>
    <w:p w:rsidR="00C03FE8" w:rsidRPr="00C1694A" w:rsidRDefault="00C03FE8" w:rsidP="00AC521C">
      <w:pPr>
        <w:spacing w:after="0" w:line="480" w:lineRule="auto"/>
        <w:rPr>
          <w:rFonts w:ascii="Times New Roman" w:hAnsi="Times New Roman" w:cs="Times New Roman"/>
          <w:b/>
          <w:bCs/>
          <w:sz w:val="24"/>
          <w:szCs w:val="24"/>
        </w:rPr>
      </w:pPr>
    </w:p>
    <w:p w:rsidR="00C03FE8" w:rsidRPr="00C1694A" w:rsidRDefault="00C03FE8" w:rsidP="00AC521C">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(a)</w:t>
      </w:r>
      <w:r w:rsidRPr="00C1694A">
        <w:rPr>
          <w:rFonts w:ascii="Times New Roman" w:hAnsi="Times New Roman" w:cs="Times New Roman"/>
          <w:sz w:val="24"/>
          <w:szCs w:val="24"/>
          <w:u w:val="single"/>
        </w:rPr>
        <w:t xml:space="preserve"> Areas of noncompliance.</w:t>
      </w:r>
      <w:r w:rsidRPr="00C1694A">
        <w:rPr>
          <w:rFonts w:ascii="Times New Roman" w:hAnsi="Times New Roman" w:cs="Times New Roman"/>
          <w:sz w:val="24"/>
          <w:szCs w:val="24"/>
        </w:rPr>
        <w:t xml:space="preserve">  If a responsible HHS official determines through monitoring, pursuant to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641(A)(c)(1) and (2) of the Act, that a grantee fails to comply with any of the standards described in parts 1301, 1302, and 1303 </w:t>
      </w:r>
      <w:r w:rsidR="008A61B7">
        <w:rPr>
          <w:rFonts w:ascii="Times New Roman" w:hAnsi="Times New Roman" w:cs="Times New Roman"/>
          <w:sz w:val="24"/>
          <w:szCs w:val="24"/>
        </w:rPr>
        <w:t>of this chapter</w:t>
      </w:r>
      <w:r w:rsidRPr="00C1694A">
        <w:rPr>
          <w:rFonts w:ascii="Times New Roman" w:hAnsi="Times New Roman" w:cs="Times New Roman"/>
          <w:sz w:val="24"/>
          <w:szCs w:val="24"/>
        </w:rPr>
        <w:t xml:space="preserve">, the official will notify the grantee promptly in writing, identify the area of noncompliance, and specify when the grantee must correct the area of noncompliance.  </w:t>
      </w:r>
    </w:p>
    <w:p w:rsidR="00C03FE8" w:rsidRPr="00C1694A" w:rsidRDefault="00C03FE8" w:rsidP="00AC521C">
      <w:pPr>
        <w:spacing w:after="0" w:line="480" w:lineRule="auto"/>
        <w:ind w:firstLine="720"/>
        <w:contextualSpacing/>
        <w:rPr>
          <w:rFonts w:ascii="Times New Roman" w:hAnsi="Times New Roman" w:cs="Times New Roman"/>
          <w:sz w:val="24"/>
          <w:szCs w:val="24"/>
        </w:rPr>
      </w:pPr>
    </w:p>
    <w:p w:rsidR="00C03FE8" w:rsidRPr="00C1694A" w:rsidRDefault="00C03FE8" w:rsidP="00AC521C">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(b) </w:t>
      </w:r>
      <w:r w:rsidRPr="00C1694A">
        <w:rPr>
          <w:rFonts w:ascii="Times New Roman" w:hAnsi="Times New Roman" w:cs="Times New Roman"/>
          <w:sz w:val="24"/>
          <w:szCs w:val="24"/>
          <w:u w:val="single"/>
        </w:rPr>
        <w:t>Deficiencies.</w:t>
      </w:r>
      <w:r w:rsidRPr="00C1694A">
        <w:rPr>
          <w:rFonts w:ascii="Times New Roman" w:hAnsi="Times New Roman" w:cs="Times New Roman"/>
          <w:sz w:val="24"/>
          <w:szCs w:val="24"/>
        </w:rPr>
        <w:t xml:space="preserve"> If the Secretary determines that a grantee meets one of the criteria for a deficiency, as defined in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637(2)(C) of the Act, the Secretary shall inform the grantee of the deficiency. The grantee must correct the deficiency pursuant to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641A(e)(1)(B) of the Act, as the responsible HHS official determines.</w:t>
      </w:r>
    </w:p>
    <w:p w:rsidR="00C03FE8" w:rsidRPr="00C1694A" w:rsidRDefault="00C03FE8" w:rsidP="00AC521C">
      <w:pPr>
        <w:spacing w:after="0" w:line="480" w:lineRule="auto"/>
        <w:ind w:firstLine="720"/>
        <w:contextualSpacing/>
        <w:rPr>
          <w:rFonts w:ascii="Times New Roman" w:hAnsi="Times New Roman" w:cs="Times New Roman"/>
          <w:sz w:val="24"/>
          <w:szCs w:val="24"/>
        </w:rPr>
      </w:pPr>
    </w:p>
    <w:p w:rsidR="00C03FE8" w:rsidRPr="00C1694A" w:rsidRDefault="00C03FE8" w:rsidP="00AC521C">
      <w:pPr>
        <w:spacing w:after="0" w:line="480" w:lineRule="auto"/>
        <w:ind w:firstLine="720"/>
        <w:contextualSpacing/>
        <w:rPr>
          <w:rFonts w:ascii="Times New Roman" w:hAnsi="Times New Roman" w:cs="Times New Roman"/>
          <w:sz w:val="24"/>
          <w:szCs w:val="24"/>
        </w:rPr>
      </w:pPr>
      <w:r w:rsidRPr="00C1694A">
        <w:rPr>
          <w:rFonts w:ascii="Times New Roman" w:hAnsi="Times New Roman" w:cs="Times New Roman"/>
          <w:sz w:val="24"/>
          <w:szCs w:val="24"/>
        </w:rPr>
        <w:t xml:space="preserve">(c) </w:t>
      </w:r>
      <w:r w:rsidRPr="00C1694A">
        <w:rPr>
          <w:rFonts w:ascii="Times New Roman" w:hAnsi="Times New Roman" w:cs="Times New Roman"/>
          <w:sz w:val="24"/>
          <w:szCs w:val="24"/>
          <w:u w:val="single"/>
        </w:rPr>
        <w:t>Quality improvement plans</w:t>
      </w:r>
      <w:r w:rsidRPr="00C1694A">
        <w:rPr>
          <w:rFonts w:ascii="Times New Roman" w:hAnsi="Times New Roman" w:cs="Times New Roman"/>
          <w:sz w:val="24"/>
          <w:szCs w:val="24"/>
        </w:rPr>
        <w:t xml:space="preserve">.  If the responsible HHS official does not require the grantee to correct a deficiency immediately as prescribed under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 xml:space="preserve">ection 641A(e)(1)(B)(i) of the Act, the grantee must submit to the official, for approval, a quality improvement plan that adheres to </w:t>
      </w:r>
      <w:r w:rsidR="00147BAE" w:rsidRPr="00C1694A">
        <w:rPr>
          <w:rFonts w:ascii="Times New Roman" w:hAnsi="Times New Roman" w:cs="Times New Roman"/>
          <w:sz w:val="24"/>
          <w:szCs w:val="24"/>
        </w:rPr>
        <w:t>s</w:t>
      </w:r>
      <w:r w:rsidRPr="00C1694A">
        <w:rPr>
          <w:rFonts w:ascii="Times New Roman" w:hAnsi="Times New Roman" w:cs="Times New Roman"/>
          <w:sz w:val="24"/>
          <w:szCs w:val="24"/>
        </w:rPr>
        <w:t>ection 641A(e)(2)(A) of the Act.</w:t>
      </w:r>
    </w:p>
    <w:p w:rsidR="00C03FE8" w:rsidRPr="00C1694A" w:rsidRDefault="00C03FE8" w:rsidP="00AC521C">
      <w:pPr>
        <w:spacing w:after="0" w:line="480" w:lineRule="auto"/>
        <w:contextualSpacing/>
        <w:rPr>
          <w:rFonts w:ascii="Times New Roman" w:hAnsi="Times New Roman" w:cs="Times New Roman"/>
          <w:b/>
          <w:sz w:val="24"/>
          <w:szCs w:val="24"/>
        </w:rPr>
      </w:pPr>
    </w:p>
    <w:p w:rsidR="00C03FE8" w:rsidRPr="00C1694A" w:rsidRDefault="00C03FE8" w:rsidP="00AC521C">
      <w:pPr>
        <w:spacing w:after="0" w:line="480" w:lineRule="auto"/>
        <w:contextualSpacing/>
        <w:rPr>
          <w:rFonts w:ascii="Times New Roman" w:hAnsi="Times New Roman" w:cs="Times New Roman"/>
          <w:b/>
          <w:sz w:val="24"/>
          <w:szCs w:val="24"/>
        </w:rPr>
      </w:pPr>
      <w:r w:rsidRPr="00C1694A">
        <w:rPr>
          <w:rFonts w:ascii="Times New Roman" w:hAnsi="Times New Roman" w:cs="Times New Roman"/>
          <w:b/>
          <w:sz w:val="24"/>
          <w:szCs w:val="24"/>
        </w:rPr>
        <w:t>§1304.3 Suspension with notice.</w:t>
      </w:r>
    </w:p>
    <w:p w:rsidR="00C03FE8" w:rsidRPr="00C1694A" w:rsidRDefault="00C03FE8" w:rsidP="00AC521C">
      <w:pPr>
        <w:spacing w:after="0" w:line="480" w:lineRule="auto"/>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Grounds to suspend financial assistance with notice</w:t>
      </w:r>
      <w:r w:rsidRPr="00C1694A">
        <w:rPr>
          <w:rFonts w:ascii="Times New Roman" w:eastAsia="Times New Roman" w:hAnsi="Times New Roman" w:cs="Times New Roman"/>
          <w:sz w:val="24"/>
          <w:szCs w:val="24"/>
        </w:rPr>
        <w:t>. If a grantee breaches or threatens to breach any requirement stated in §</w:t>
      </w:r>
      <w:r w:rsidR="008A61B7">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1304.</w:t>
      </w:r>
      <w:r w:rsidR="00911352" w:rsidRPr="00C1694A">
        <w:rPr>
          <w:rFonts w:ascii="Times New Roman" w:eastAsia="Times New Roman" w:hAnsi="Times New Roman" w:cs="Times New Roman"/>
          <w:sz w:val="24"/>
          <w:szCs w:val="24"/>
        </w:rPr>
        <w:t>3</w:t>
      </w:r>
      <w:r w:rsidR="008A61B7">
        <w:rPr>
          <w:rFonts w:ascii="Times New Roman" w:eastAsia="Times New Roman" w:hAnsi="Times New Roman" w:cs="Times New Roman"/>
          <w:sz w:val="24"/>
          <w:szCs w:val="24"/>
        </w:rPr>
        <w:t xml:space="preserve"> through </w:t>
      </w:r>
      <w:r w:rsidR="00911352" w:rsidRPr="00C1694A">
        <w:rPr>
          <w:rFonts w:ascii="Times New Roman" w:eastAsia="Times New Roman" w:hAnsi="Times New Roman" w:cs="Times New Roman"/>
          <w:sz w:val="24"/>
          <w:szCs w:val="24"/>
        </w:rPr>
        <w:t>1304.5</w:t>
      </w:r>
      <w:r w:rsidRPr="00C1694A">
        <w:rPr>
          <w:rFonts w:ascii="Times New Roman" w:eastAsia="Times New Roman" w:hAnsi="Times New Roman" w:cs="Times New Roman"/>
          <w:sz w:val="24"/>
          <w:szCs w:val="24"/>
        </w:rPr>
        <w:t xml:space="preserve">, the responsible HHS official may suspend the grantee’s financial assistance, in whole or in part, after it has given the grantee notice and an opportunity to show cause why assistance should not be suspended.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Notice requirements.</w:t>
      </w:r>
      <w:r w:rsidRPr="00C1694A">
        <w:rPr>
          <w:rFonts w:ascii="Times New Roman" w:eastAsia="Times New Roman" w:hAnsi="Times New Roman" w:cs="Times New Roman"/>
          <w:sz w:val="24"/>
          <w:szCs w:val="24"/>
        </w:rPr>
        <w:t xml:space="preserve"> (1) The responsible HHS official must notify the grantee in writing that ACF intends to suspend financial assistance, in whole or in part.  The notice must: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Specify grounds for the suspension;</w:t>
      </w:r>
    </w:p>
    <w:p w:rsidR="00C03FE8" w:rsidRPr="00C1694A" w:rsidRDefault="00C03FE8" w:rsidP="00AC521C">
      <w:pPr>
        <w:spacing w:after="0" w:line="480" w:lineRule="auto"/>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 Include the date suspension will become effective;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(iii) Inform the grantee that it has the opportunity to submit to the responsible HHS official, at least </w:t>
      </w:r>
      <w:r w:rsidR="003B39DE" w:rsidRPr="00C1694A">
        <w:rPr>
          <w:rFonts w:ascii="Times New Roman" w:eastAsia="Times New Roman" w:hAnsi="Times New Roman" w:cs="Times New Roman"/>
          <w:sz w:val="24"/>
          <w:szCs w:val="24"/>
        </w:rPr>
        <w:t>seven</w:t>
      </w:r>
      <w:r w:rsidRPr="00C1694A">
        <w:rPr>
          <w:rFonts w:ascii="Times New Roman" w:eastAsia="Times New Roman" w:hAnsi="Times New Roman" w:cs="Times New Roman"/>
          <w:sz w:val="24"/>
          <w:szCs w:val="24"/>
        </w:rPr>
        <w:t xml:space="preserve"> days before suspension becomes effective, any written material it would like the official to consider, and to inform the grantee that it may request, in writing, no later than </w:t>
      </w:r>
      <w:r w:rsidR="003B39DE" w:rsidRPr="00C1694A">
        <w:rPr>
          <w:rFonts w:ascii="Times New Roman" w:eastAsia="Times New Roman" w:hAnsi="Times New Roman" w:cs="Times New Roman"/>
          <w:sz w:val="24"/>
          <w:szCs w:val="24"/>
        </w:rPr>
        <w:t>seven</w:t>
      </w:r>
      <w:r w:rsidRPr="00C1694A">
        <w:rPr>
          <w:rFonts w:ascii="Times New Roman" w:eastAsia="Times New Roman" w:hAnsi="Times New Roman" w:cs="Times New Roman"/>
          <w:sz w:val="24"/>
          <w:szCs w:val="24"/>
        </w:rPr>
        <w:t xml:space="preserve"> days after the suspension notice was mailed, to have an informal meeting with the responsible HHS official;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(iv) Invite the grantee to voluntarily correct the deficiency; and,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(v) Include a copy of this subpart.</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The responsible HHS official must promptly transmit the suspension notice to the grantee.  The notice becomes effective when the grantee receives the notice, when the grantee refuses delivery, or when the suspension notice is returned to sender unclaimed.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The responsible HHS official must send a copy of the suspension notice to any delegate agency whose actions or whose failures to act substantially caused or contributed to the proposed suspension.  The responsible HHS official will inform the delegate agency that it is entitled to submit written material to oppose the suspension and to participate in the informal meeting, if one is held.  In addition, the responsible HHS official may give notice to the grantee’s other delegate agencies.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(4) After the grantee receives the suspension notice, it has </w:t>
      </w:r>
      <w:r w:rsidR="003F121A" w:rsidRPr="00C1694A">
        <w:rPr>
          <w:rFonts w:ascii="Times New Roman" w:eastAsia="Times New Roman" w:hAnsi="Times New Roman" w:cs="Times New Roman"/>
          <w:sz w:val="24"/>
          <w:szCs w:val="24"/>
        </w:rPr>
        <w:t>three</w:t>
      </w:r>
      <w:r w:rsidRPr="00C1694A">
        <w:rPr>
          <w:rFonts w:ascii="Times New Roman" w:eastAsia="Times New Roman" w:hAnsi="Times New Roman" w:cs="Times New Roman"/>
          <w:sz w:val="24"/>
          <w:szCs w:val="24"/>
        </w:rPr>
        <w:t xml:space="preserve"> days to send a copy of the notice to delegate agencies that would be financially affected by a suspension.</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Opportunity to show cause</w:t>
      </w:r>
      <w:r w:rsidRPr="00C1694A">
        <w:rPr>
          <w:rFonts w:ascii="Times New Roman" w:eastAsia="Times New Roman" w:hAnsi="Times New Roman" w:cs="Times New Roman"/>
          <w:sz w:val="24"/>
          <w:szCs w:val="24"/>
        </w:rPr>
        <w:t xml:space="preserve">.  The grantee may submit to the responsible HHS official any written material to show why financial assistance should not be suspended.  The grantee may also request, in writing, to have an informal meeting with the responsible HHS official.  If the grantee requests an informal meeting, the responsible HHS official must schedule the meeting within </w:t>
      </w:r>
      <w:r w:rsidR="003F121A" w:rsidRPr="00C1694A">
        <w:rPr>
          <w:rFonts w:ascii="Times New Roman" w:eastAsia="Times New Roman" w:hAnsi="Times New Roman" w:cs="Times New Roman"/>
          <w:sz w:val="24"/>
          <w:szCs w:val="24"/>
        </w:rPr>
        <w:t xml:space="preserve">seven </w:t>
      </w:r>
      <w:r w:rsidRPr="00C1694A">
        <w:rPr>
          <w:rFonts w:ascii="Times New Roman" w:eastAsia="Times New Roman" w:hAnsi="Times New Roman" w:cs="Times New Roman"/>
          <w:sz w:val="24"/>
          <w:szCs w:val="24"/>
        </w:rPr>
        <w:t>days after the grantee receives the suspension notice.</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(d) </w:t>
      </w:r>
      <w:r w:rsidRPr="00C1694A">
        <w:rPr>
          <w:rFonts w:ascii="Times New Roman" w:eastAsia="Times New Roman" w:hAnsi="Times New Roman" w:cs="Times New Roman"/>
          <w:sz w:val="24"/>
          <w:szCs w:val="24"/>
          <w:u w:val="single"/>
        </w:rPr>
        <w:t>Extensions</w:t>
      </w:r>
      <w:r w:rsidRPr="00C1694A">
        <w:rPr>
          <w:rFonts w:ascii="Times New Roman" w:eastAsia="Times New Roman" w:hAnsi="Times New Roman" w:cs="Times New Roman"/>
          <w:sz w:val="24"/>
          <w:szCs w:val="24"/>
        </w:rPr>
        <w:t xml:space="preserve">.  If the responsible HHS official extends the time or the date by which a grantee has to make requests or to submit material, it must notify the grantee in writing.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(e) </w:t>
      </w:r>
      <w:r w:rsidRPr="00C1694A">
        <w:rPr>
          <w:rFonts w:ascii="Times New Roman" w:eastAsia="Times New Roman" w:hAnsi="Times New Roman" w:cs="Times New Roman"/>
          <w:sz w:val="24"/>
          <w:szCs w:val="24"/>
          <w:u w:val="single"/>
        </w:rPr>
        <w:t>Decision</w:t>
      </w:r>
      <w:r w:rsidRPr="00C1694A">
        <w:rPr>
          <w:rFonts w:ascii="Times New Roman" w:eastAsia="Times New Roman" w:hAnsi="Times New Roman" w:cs="Times New Roman"/>
          <w:sz w:val="24"/>
          <w:szCs w:val="24"/>
        </w:rPr>
        <w:t xml:space="preserve">. (1) The responsible HHS official will consider any written material presented before or during the informal meeting, as well as any proof the grantee has adequately corrected what led to suspension, and will render a decision within </w:t>
      </w:r>
      <w:r w:rsidR="003F121A" w:rsidRPr="00C1694A">
        <w:rPr>
          <w:rFonts w:ascii="Times New Roman" w:eastAsia="Times New Roman" w:hAnsi="Times New Roman" w:cs="Times New Roman"/>
          <w:sz w:val="24"/>
          <w:szCs w:val="24"/>
        </w:rPr>
        <w:t>five</w:t>
      </w:r>
      <w:r w:rsidRPr="00C1694A">
        <w:rPr>
          <w:rFonts w:ascii="Times New Roman" w:eastAsia="Times New Roman" w:hAnsi="Times New Roman" w:cs="Times New Roman"/>
          <w:sz w:val="24"/>
          <w:szCs w:val="24"/>
        </w:rPr>
        <w:t xml:space="preserve"> days after the informal meeting.  If no informal meeting is held, the responsible HHS official will render a decision within </w:t>
      </w:r>
      <w:r w:rsidR="003F121A" w:rsidRPr="00C1694A">
        <w:rPr>
          <w:rFonts w:ascii="Times New Roman" w:eastAsia="Times New Roman" w:hAnsi="Times New Roman" w:cs="Times New Roman"/>
          <w:sz w:val="24"/>
          <w:szCs w:val="24"/>
        </w:rPr>
        <w:t>five</w:t>
      </w:r>
      <w:r w:rsidRPr="00C1694A">
        <w:rPr>
          <w:rFonts w:ascii="Times New Roman" w:eastAsia="Times New Roman" w:hAnsi="Times New Roman" w:cs="Times New Roman"/>
          <w:sz w:val="24"/>
          <w:szCs w:val="24"/>
        </w:rPr>
        <w:t xml:space="preserve"> days after it receives written material from all concerned parties.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If the responsible HHS official finds the grantee failed to show cause why ACF should not suspend financial assistance, the official may suspend financial assistance, in whole or in part, and under terms and conditions as he or she deems appropriate.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A suspension must not exceed 30 days, unless the conditions under section 646(a)(5)(B) are applicable or the grantee requests the suspension continue for an additional period of time and the responsible HHS official agrees.</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(4) The responsible HHS official may appoint an agency to serve as an interim grantee to operate the program until the grantee’s suspension is lifted, or as otherwise provided under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ection 646(a)(5)(B) of the Act.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(f) </w:t>
      </w:r>
      <w:r w:rsidRPr="00C1694A">
        <w:rPr>
          <w:rFonts w:ascii="Times New Roman" w:eastAsia="Times New Roman" w:hAnsi="Times New Roman" w:cs="Times New Roman"/>
          <w:sz w:val="24"/>
          <w:szCs w:val="24"/>
          <w:u w:val="single"/>
        </w:rPr>
        <w:t>Obligations incurred during suspension</w:t>
      </w:r>
      <w:r w:rsidRPr="00C1694A">
        <w:rPr>
          <w:rFonts w:ascii="Times New Roman" w:eastAsia="Times New Roman" w:hAnsi="Times New Roman" w:cs="Times New Roman"/>
          <w:sz w:val="24"/>
          <w:szCs w:val="24"/>
        </w:rPr>
        <w:t xml:space="preserve">.  New obligations the grantee incurs while under suspension are not allowed unless the responsible HHS official expressly authorizes them in the suspension notice or in an amendment to the suspension notice.  Necessary and otherwise allowable costs which the grantee could not reasonably avoid during the suspension period will be allowed if they result from obligations the grantee properly incurred before suspension and not in anticipation of suspension or termination.  The responsible HHS official may allow third-party in-kind contributions applicable to the suspension period to satisfy cost sharing or matching requirements.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(g) </w:t>
      </w:r>
      <w:r w:rsidRPr="00C1694A">
        <w:rPr>
          <w:rFonts w:ascii="Times New Roman" w:eastAsia="Times New Roman" w:hAnsi="Times New Roman" w:cs="Times New Roman"/>
          <w:sz w:val="24"/>
          <w:szCs w:val="24"/>
          <w:u w:val="single"/>
        </w:rPr>
        <w:t>Modify or rescind suspension.</w:t>
      </w:r>
      <w:r w:rsidRPr="00C1694A">
        <w:rPr>
          <w:rFonts w:ascii="Times New Roman" w:eastAsia="Times New Roman" w:hAnsi="Times New Roman" w:cs="Times New Roman"/>
          <w:sz w:val="24"/>
          <w:szCs w:val="24"/>
        </w:rPr>
        <w:t xml:space="preserve">  The responsible HHS official may modify or rescind suspension at any time, if the grantee can satisfactorily show that it has adequately corrected what led to suspension and that it will not repeat such actions or inactions.  Nothing in this section precludes the HHS official from imposing suspension again for additional 30 day </w:t>
      </w:r>
      <w:r w:rsidR="00B231D8" w:rsidRPr="00C1694A">
        <w:rPr>
          <w:rFonts w:ascii="Times New Roman" w:eastAsia="Times New Roman" w:hAnsi="Times New Roman" w:cs="Times New Roman"/>
          <w:sz w:val="24"/>
          <w:szCs w:val="24"/>
        </w:rPr>
        <w:t xml:space="preserve">periods </w:t>
      </w:r>
      <w:r w:rsidRPr="00C1694A">
        <w:rPr>
          <w:rFonts w:ascii="Times New Roman" w:eastAsia="Times New Roman" w:hAnsi="Times New Roman" w:cs="Times New Roman"/>
          <w:sz w:val="24"/>
          <w:szCs w:val="24"/>
        </w:rPr>
        <w:t>if the cause of the suspension has not been corrected.</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specVanish/>
        </w:rPr>
      </w:pPr>
      <w:r w:rsidRPr="00C1694A">
        <w:rPr>
          <w:rFonts w:ascii="Times New Roman" w:hAnsi="Times New Roman" w:cs="Times New Roman"/>
          <w:b/>
          <w:sz w:val="24"/>
          <w:szCs w:val="24"/>
        </w:rPr>
        <w:t xml:space="preserve">§1304.4 Emergency suspension without advance notice. </w:t>
      </w:r>
    </w:p>
    <w:p w:rsidR="00C03FE8" w:rsidRPr="00C1694A" w:rsidRDefault="00C03FE8" w:rsidP="00AC521C">
      <w:pPr>
        <w:spacing w:after="0" w:line="480" w:lineRule="auto"/>
        <w:rPr>
          <w:rFonts w:ascii="Times New Roman" w:hAnsi="Times New Roman" w:cs="Times New Roman"/>
          <w:sz w:val="24"/>
          <w:szCs w:val="24"/>
          <w:specVanish/>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Grounds to suspend financial assistance without advance notice</w:t>
      </w:r>
      <w:r w:rsidRPr="00C1694A">
        <w:rPr>
          <w:rFonts w:ascii="Times New Roman" w:eastAsia="Times New Roman" w:hAnsi="Times New Roman" w:cs="Times New Roman"/>
          <w:sz w:val="24"/>
          <w:szCs w:val="24"/>
        </w:rPr>
        <w:t xml:space="preserve">.  The responsible HHS official may suspend financial assistance, in whole or in part, without prior notice and an opportunity to show cause if there is an emergency situation, such as a serious risk for substantial injury to property or loss of project funds, a federal, state, or local criminal statute violation, or harm to staff or participants’ health and safety.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Emergency suspension notification requirements</w:t>
      </w:r>
      <w:r w:rsidRPr="00C1694A">
        <w:rPr>
          <w:rFonts w:ascii="Times New Roman" w:eastAsia="Times New Roman" w:hAnsi="Times New Roman" w:cs="Times New Roman"/>
          <w:sz w:val="24"/>
          <w:szCs w:val="24"/>
        </w:rPr>
        <w:t xml:space="preserve">.  (1) The emergency suspension notification must:   </w:t>
      </w:r>
      <w:r w:rsidRPr="00C1694A" w:rsidDel="00F64C8A">
        <w:rPr>
          <w:rFonts w:ascii="Times New Roman" w:eastAsia="Times New Roman" w:hAnsi="Times New Roman" w:cs="Times New Roman"/>
          <w:sz w:val="24"/>
          <w:szCs w:val="24"/>
        </w:rPr>
        <w:t xml:space="preserve">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 Specify the grounds for the suspension;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 Include terms and conditions of any full or partial suspension;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(iii) Inform that grantee it cannot make or incur any new expenditures or obligations under suspended portion of the program; and,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(iv) Advise that within </w:t>
      </w:r>
      <w:r w:rsidR="003F121A" w:rsidRPr="00C1694A">
        <w:rPr>
          <w:rFonts w:ascii="Times New Roman" w:eastAsia="Times New Roman" w:hAnsi="Times New Roman" w:cs="Times New Roman"/>
          <w:sz w:val="24"/>
          <w:szCs w:val="24"/>
        </w:rPr>
        <w:t>five</w:t>
      </w:r>
      <w:r w:rsidRPr="00C1694A">
        <w:rPr>
          <w:rFonts w:ascii="Times New Roman" w:eastAsia="Times New Roman" w:hAnsi="Times New Roman" w:cs="Times New Roman"/>
          <w:sz w:val="24"/>
          <w:szCs w:val="24"/>
        </w:rPr>
        <w:t xml:space="preserve"> days after the emergency suspension becomes effective, the grantee may request, in writing, an informal meeting with the responsible HHS official to show why </w:t>
      </w:r>
      <w:r w:rsidRPr="00C1694A">
        <w:rPr>
          <w:rFonts w:ascii="Times New Roman" w:hAnsi="Times New Roman" w:cs="Times New Roman"/>
          <w:sz w:val="24"/>
          <w:szCs w:val="24"/>
        </w:rPr>
        <w:t xml:space="preserve">the basis for </w:t>
      </w:r>
      <w:r w:rsidRPr="00C1694A">
        <w:rPr>
          <w:rFonts w:ascii="Times New Roman" w:eastAsia="Times New Roman" w:hAnsi="Times New Roman" w:cs="Times New Roman"/>
          <w:sz w:val="24"/>
          <w:szCs w:val="24"/>
        </w:rPr>
        <w:t xml:space="preserve">the suspension was not valid and should be rescinded </w:t>
      </w:r>
      <w:r w:rsidRPr="00C1694A">
        <w:rPr>
          <w:rFonts w:ascii="Times New Roman" w:hAnsi="Times New Roman" w:cs="Times New Roman"/>
          <w:sz w:val="24"/>
          <w:szCs w:val="24"/>
        </w:rPr>
        <w:t>and that the grantee has corrected any deficiencies</w:t>
      </w:r>
      <w:r w:rsidRPr="00C1694A">
        <w:rPr>
          <w:rFonts w:ascii="Times New Roman" w:eastAsia="Times New Roman" w:hAnsi="Times New Roman" w:cs="Times New Roman"/>
          <w:sz w:val="24"/>
          <w:szCs w:val="24"/>
        </w:rPr>
        <w:t xml:space="preserve">.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The responsible HHS official must promptly transmit the emergency suspension notification to the grantee that shows the date of receipt.  The emergency suspension becomes effective upon delivery of the notification or upon the date the grantee refuses delivery, or upon return of the notification unclaimed.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Within two workdays after the grantee receives the emergency suspension notification, the grantee must send a copy of the notice to delegate agencies affected by the suspension.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(4) The responsible HHS official must inform affected delegate agencies that they have the right to participate in the informal meeting.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Opportunity to show cause</w:t>
      </w:r>
      <w:r w:rsidRPr="00C1694A">
        <w:rPr>
          <w:rFonts w:ascii="Times New Roman" w:eastAsia="Times New Roman" w:hAnsi="Times New Roman" w:cs="Times New Roman"/>
          <w:sz w:val="24"/>
          <w:szCs w:val="24"/>
        </w:rPr>
        <w:t xml:space="preserve">.  If the grantee requests an informal meeting, the responsible HHS official must schedule a meeting within </w:t>
      </w:r>
      <w:r w:rsidR="003B39DE" w:rsidRPr="00C1694A">
        <w:rPr>
          <w:rFonts w:ascii="Times New Roman" w:eastAsia="Times New Roman" w:hAnsi="Times New Roman" w:cs="Times New Roman"/>
          <w:sz w:val="24"/>
          <w:szCs w:val="24"/>
        </w:rPr>
        <w:t>five</w:t>
      </w:r>
      <w:r w:rsidRPr="00C1694A">
        <w:rPr>
          <w:rFonts w:ascii="Times New Roman" w:eastAsia="Times New Roman" w:hAnsi="Times New Roman" w:cs="Times New Roman"/>
          <w:sz w:val="24"/>
          <w:szCs w:val="24"/>
        </w:rPr>
        <w:t xml:space="preserve"> workdays after it receives the grantee’s request.  The suspension will continue until the grantee has been afforded such opportunity and until the responsible HHS official renders a decision. Notwithstanding provisions in this section, the responsible HHS official may proceed to deny refunding or to initiate termination proceedings at any time even though the grantee’s financial assistance has been suspended in whole or in part.</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(d) </w:t>
      </w:r>
      <w:r w:rsidRPr="00C1694A">
        <w:rPr>
          <w:rFonts w:ascii="Times New Roman" w:eastAsia="Times New Roman" w:hAnsi="Times New Roman" w:cs="Times New Roman"/>
          <w:sz w:val="24"/>
          <w:szCs w:val="24"/>
          <w:u w:val="single"/>
        </w:rPr>
        <w:t>Decision</w:t>
      </w:r>
      <w:r w:rsidRPr="00C1694A">
        <w:rPr>
          <w:rFonts w:ascii="Times New Roman" w:eastAsia="Times New Roman" w:hAnsi="Times New Roman" w:cs="Times New Roman"/>
          <w:sz w:val="24"/>
          <w:szCs w:val="24"/>
        </w:rPr>
        <w:t xml:space="preserve">. (1) The responsible HHS official will consider any written material presented before or during the informal meeting, as well as any proof the grantee has adequately corrected what led to suspension, and render a decision within five work days after the informal meeting.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If the responsible HHS official finds the grantee failed to show cause why suspension should be rescinded, the responsible HHS official may continue the suspension, in whole or in part, and under the terms and conditions specified in the emergency suspension notification.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A suspension must not exceed 30 days, unless the conditions under section 646(a)(5)(B) are applicable or the grantee requests the suspension to continue for an additional period of time and the responsible HHS official agrees.</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rPr>
          <w:rFonts w:ascii="Times New Roman" w:eastAsia="Times New Roman" w:hAnsi="Times New Roman" w:cs="Times New Roman"/>
          <w:sz w:val="24"/>
          <w:szCs w:val="24"/>
        </w:rPr>
      </w:pPr>
      <w:r w:rsidRPr="00C1694A" w:rsidDel="004C4344">
        <w:rPr>
          <w:rFonts w:ascii="Times New Roman" w:eastAsia="Times New Roman" w:hAnsi="Times New Roman" w:cs="Times New Roman"/>
          <w:sz w:val="24"/>
          <w:szCs w:val="24"/>
        </w:rPr>
        <w:t xml:space="preserve"> </w:t>
      </w:r>
      <w:r w:rsidRPr="00C1694A">
        <w:rPr>
          <w:rFonts w:ascii="Times New Roman" w:eastAsia="Times New Roman" w:hAnsi="Times New Roman" w:cs="Times New Roman"/>
          <w:sz w:val="24"/>
          <w:szCs w:val="24"/>
        </w:rPr>
        <w:tab/>
        <w:t>(4) The responsible HHS official may appoint an agency to serve as an interim grantee to operate the program until either the grantee’s emergency suspension is lifted or a new grantee is selected.</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(e) </w:t>
      </w:r>
      <w:r w:rsidRPr="00C1694A">
        <w:rPr>
          <w:rFonts w:ascii="Times New Roman" w:eastAsia="Times New Roman" w:hAnsi="Times New Roman" w:cs="Times New Roman"/>
          <w:sz w:val="24"/>
          <w:szCs w:val="24"/>
          <w:u w:val="single"/>
        </w:rPr>
        <w:t>Obligations incurred during suspension</w:t>
      </w:r>
      <w:r w:rsidRPr="00C1694A">
        <w:rPr>
          <w:rFonts w:ascii="Times New Roman" w:eastAsia="Times New Roman" w:hAnsi="Times New Roman" w:cs="Times New Roman"/>
          <w:sz w:val="24"/>
          <w:szCs w:val="24"/>
        </w:rPr>
        <w:t xml:space="preserve">.  Any new obligations the grantee incurs during the suspension period will not be allowed unless the responsible HHS official expressly authorizes them in the suspension notice or in an amendment to the suspension notice.  Necessary and otherwise allowable costs which the grantee could not reasonably avoid during the suspension period will be allowed if those costs result from obligations properly incurred before suspension and not in anticipation of suspension, denial of refunding or termination.  The responsible HHS official may allow third-party in-kind contributions applicable to the suspension period to satisfy cost sharing or matching requirements.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b/>
          <w:sz w:val="24"/>
          <w:szCs w:val="24"/>
        </w:rPr>
      </w:pPr>
      <w:r w:rsidRPr="00C1694A">
        <w:rPr>
          <w:rFonts w:ascii="Times New Roman" w:eastAsia="Times New Roman" w:hAnsi="Times New Roman" w:cs="Times New Roman"/>
          <w:sz w:val="24"/>
          <w:szCs w:val="24"/>
        </w:rPr>
        <w:t xml:space="preserve">(f) </w:t>
      </w:r>
      <w:r w:rsidRPr="00C1694A">
        <w:rPr>
          <w:rFonts w:ascii="Times New Roman" w:eastAsia="Times New Roman" w:hAnsi="Times New Roman" w:cs="Times New Roman"/>
          <w:sz w:val="24"/>
          <w:szCs w:val="24"/>
          <w:u w:val="single"/>
        </w:rPr>
        <w:t>Modify or rescind suspension</w:t>
      </w:r>
      <w:r w:rsidRPr="00C1694A">
        <w:rPr>
          <w:rFonts w:ascii="Times New Roman" w:eastAsia="Times New Roman" w:hAnsi="Times New Roman" w:cs="Times New Roman"/>
          <w:sz w:val="24"/>
          <w:szCs w:val="24"/>
        </w:rPr>
        <w:t>. The responsible HHS official may modify or rescind suspension at any time, if the grantee can satisfactorily show that is has adequately corrected what led to the suspension and that it will not repeat such actions or inactions. Nothing in this section precludes the HHS official from imposing suspension again for additional 30 day</w:t>
      </w:r>
      <w:r w:rsidR="0085435F" w:rsidRPr="00C1694A">
        <w:rPr>
          <w:rFonts w:ascii="Times New Roman" w:eastAsia="Times New Roman" w:hAnsi="Times New Roman" w:cs="Times New Roman"/>
          <w:sz w:val="24"/>
          <w:szCs w:val="24"/>
        </w:rPr>
        <w:t xml:space="preserve"> periods</w:t>
      </w:r>
      <w:r w:rsidRPr="00C1694A">
        <w:rPr>
          <w:rFonts w:ascii="Times New Roman" w:eastAsia="Times New Roman" w:hAnsi="Times New Roman" w:cs="Times New Roman"/>
          <w:sz w:val="24"/>
          <w:szCs w:val="24"/>
        </w:rPr>
        <w:t xml:space="preserve"> if the cause of the suspension has not been corrected.</w:t>
      </w:r>
    </w:p>
    <w:p w:rsidR="00C03FE8" w:rsidRPr="00C1694A" w:rsidRDefault="00C03FE8" w:rsidP="00AC521C">
      <w:pPr>
        <w:spacing w:after="0" w:line="480" w:lineRule="auto"/>
        <w:contextualSpacing/>
        <w:rPr>
          <w:rFonts w:ascii="Times New Roman" w:eastAsia="Calibri" w:hAnsi="Times New Roman" w:cs="Times New Roman"/>
          <w:b/>
          <w:sz w:val="24"/>
          <w:szCs w:val="24"/>
        </w:rPr>
      </w:pPr>
    </w:p>
    <w:p w:rsidR="00C03FE8" w:rsidRPr="00C1694A" w:rsidRDefault="00C03FE8" w:rsidP="00AC521C">
      <w:pPr>
        <w:spacing w:after="0" w:line="480" w:lineRule="auto"/>
        <w:contextualSpacing/>
        <w:rPr>
          <w:rFonts w:ascii="Times New Roman" w:hAnsi="Times New Roman" w:cs="Times New Roman"/>
          <w:b/>
          <w:sz w:val="24"/>
          <w:szCs w:val="24"/>
        </w:rPr>
      </w:pPr>
      <w:r w:rsidRPr="00C1694A">
        <w:rPr>
          <w:rFonts w:ascii="Times New Roman" w:hAnsi="Times New Roman" w:cs="Times New Roman"/>
          <w:b/>
          <w:sz w:val="24"/>
          <w:szCs w:val="24"/>
        </w:rPr>
        <w:t>§1304.5 Termination and denial of refunding.</w:t>
      </w:r>
    </w:p>
    <w:p w:rsidR="00C03FE8" w:rsidRPr="00C1694A" w:rsidRDefault="00C03FE8" w:rsidP="00AC521C">
      <w:pPr>
        <w:spacing w:after="0" w:line="480" w:lineRule="auto"/>
        <w:contextualSpacing/>
        <w:rPr>
          <w:rFonts w:ascii="Times New Roman" w:eastAsia="Calibri" w:hAnsi="Times New Roman" w:cs="Times New Roman"/>
          <w:sz w:val="24"/>
          <w:szCs w:val="24"/>
        </w:rPr>
      </w:pP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(a)</w:t>
      </w:r>
      <w:r w:rsidRPr="00AC521C">
        <w:rPr>
          <w:rFonts w:ascii="Times New Roman" w:eastAsia="Calibri" w:hAnsi="Times New Roman" w:cs="Times New Roman"/>
          <w:sz w:val="24"/>
          <w:szCs w:val="24"/>
        </w:rPr>
        <w:t xml:space="preserve"> </w:t>
      </w:r>
      <w:r w:rsidRPr="00C1694A">
        <w:rPr>
          <w:rFonts w:ascii="Times New Roman" w:eastAsia="Calibri" w:hAnsi="Times New Roman" w:cs="Times New Roman"/>
          <w:sz w:val="24"/>
          <w:szCs w:val="24"/>
          <w:u w:val="single"/>
        </w:rPr>
        <w:t>Grounds to terminate financial assistance or deny a grantee’s application for refunding.</w:t>
      </w:r>
      <w:r w:rsidRPr="00C1694A">
        <w:rPr>
          <w:rFonts w:ascii="Times New Roman" w:eastAsia="Calibri" w:hAnsi="Times New Roman" w:cs="Times New Roman"/>
          <w:sz w:val="24"/>
          <w:szCs w:val="24"/>
        </w:rPr>
        <w:t xml:space="preserve">  (1) A responsible HHS official may terminate financial assistance in whole or in part to a grantee or deny a grantee’s application for refunding.</w:t>
      </w: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ab/>
      </w:r>
    </w:p>
    <w:p w:rsidR="00C03FE8" w:rsidRPr="00C1694A" w:rsidRDefault="00C03FE8" w:rsidP="00AC521C">
      <w:pPr>
        <w:pStyle w:val="ListParagraph"/>
        <w:tabs>
          <w:tab w:val="left" w:pos="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(2) The responsible HHS official may terminate financial assistance in whole or in part, or deny refunding to a grantee for any one or for all of the following reasons: </w:t>
      </w:r>
    </w:p>
    <w:p w:rsidR="00C03FE8" w:rsidRPr="00C1694A" w:rsidRDefault="00C03FE8" w:rsidP="00AC521C">
      <w:pPr>
        <w:pStyle w:val="ListParagraph"/>
        <w:tabs>
          <w:tab w:val="left" w:pos="0"/>
        </w:tabs>
        <w:spacing w:after="0" w:line="480" w:lineRule="auto"/>
        <w:ind w:left="0"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(i) </w:t>
      </w:r>
      <w:r w:rsidRPr="00C1694A">
        <w:rPr>
          <w:rFonts w:ascii="Times New Roman" w:hAnsi="Times New Roman" w:cs="Times New Roman"/>
          <w:sz w:val="24"/>
          <w:szCs w:val="24"/>
        </w:rPr>
        <w:t xml:space="preserve">The grantee is no longer financially viable;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(ii) The grantee has lost the requisite legal status or permits;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pStyle w:val="ListParagraph"/>
        <w:tabs>
          <w:tab w:val="left" w:pos="0"/>
          <w:tab w:val="left" w:pos="36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(iii) The grantee has failed to timely correct one or more deficiencies as defined in the Act; </w:t>
      </w:r>
    </w:p>
    <w:p w:rsidR="00C03FE8" w:rsidRPr="00C1694A" w:rsidRDefault="00C03FE8" w:rsidP="00AC521C">
      <w:pPr>
        <w:pStyle w:val="ListParagraph"/>
        <w:tabs>
          <w:tab w:val="left" w:pos="360"/>
        </w:tabs>
        <w:spacing w:after="0" w:line="480" w:lineRule="auto"/>
        <w:ind w:left="0" w:firstLine="720"/>
        <w:rPr>
          <w:rFonts w:ascii="Times New Roman" w:eastAsia="Calibri" w:hAnsi="Times New Roman" w:cs="Times New Roman"/>
          <w:sz w:val="24"/>
          <w:szCs w:val="24"/>
        </w:rPr>
      </w:pP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(iv) T</w:t>
      </w:r>
      <w:r w:rsidRPr="00C1694A">
        <w:rPr>
          <w:rFonts w:ascii="Times New Roman" w:hAnsi="Times New Roman" w:cs="Times New Roman"/>
          <w:sz w:val="24"/>
          <w:szCs w:val="24"/>
        </w:rPr>
        <w:t xml:space="preserve">he grantee has failed to comply with eligibility requirements; </w:t>
      </w:r>
    </w:p>
    <w:p w:rsidR="00C03FE8" w:rsidRPr="00C1694A" w:rsidRDefault="00C03FE8" w:rsidP="00AC521C">
      <w:pPr>
        <w:tabs>
          <w:tab w:val="left" w:pos="360"/>
        </w:tabs>
        <w:spacing w:after="0" w:line="480" w:lineRule="auto"/>
        <w:ind w:firstLine="720"/>
        <w:rPr>
          <w:rFonts w:ascii="Times New Roman" w:hAnsi="Times New Roman" w:cs="Times New Roman"/>
          <w:sz w:val="24"/>
          <w:szCs w:val="24"/>
        </w:rPr>
      </w:pPr>
    </w:p>
    <w:p w:rsidR="00C03FE8" w:rsidRPr="00C1694A" w:rsidRDefault="00C03FE8" w:rsidP="00AC521C">
      <w:pPr>
        <w:pStyle w:val="ListParagraph"/>
        <w:tabs>
          <w:tab w:val="left" w:pos="360"/>
          <w:tab w:val="left" w:pos="450"/>
        </w:tabs>
        <w:spacing w:after="0" w:line="480" w:lineRule="auto"/>
        <w:ind w:left="0"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(v) The grantee has failed to comply with the Head Start grants administration or fiscal requirements set forth in 45 CFR part 1303;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(vi) The grantee has failed to comply with requirements in the Act;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(vii) The grantee is debarred from receiving federal grants or contracts; or</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(viii) The grantee has failed to abide by any other terms and conditions of its award of financial assistance, or any other applicable laws, regulations, or other applicable federal or state requirements or policies.</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(b) </w:t>
      </w:r>
      <w:r w:rsidRPr="00C1694A">
        <w:rPr>
          <w:rFonts w:ascii="Times New Roman" w:eastAsia="Calibri" w:hAnsi="Times New Roman" w:cs="Times New Roman"/>
          <w:sz w:val="24"/>
          <w:szCs w:val="24"/>
          <w:u w:val="single"/>
        </w:rPr>
        <w:t>Notice requirements.</w:t>
      </w:r>
      <w:r w:rsidRPr="00C1694A">
        <w:rPr>
          <w:rFonts w:ascii="Times New Roman" w:eastAsia="Calibri" w:hAnsi="Times New Roman" w:cs="Times New Roman"/>
          <w:i/>
          <w:sz w:val="24"/>
          <w:szCs w:val="24"/>
        </w:rPr>
        <w:t xml:space="preserve"> </w:t>
      </w:r>
      <w:r w:rsidRPr="00C1694A">
        <w:rPr>
          <w:rFonts w:ascii="Times New Roman" w:eastAsia="Calibri" w:hAnsi="Times New Roman" w:cs="Times New Roman"/>
          <w:sz w:val="24"/>
          <w:szCs w:val="24"/>
        </w:rPr>
        <w:t xml:space="preserve">(1) The responsible HHS official will notify the grantee and such notice will: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(i) Include the legal basis for termination or adverse action as described in paragraph (a) of this section;</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(ii) Include factual findings on which the action is based or reference specific findings in another document that form the basis for termination or denial of refunding;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(iii) Cite to any statutory provisions, regulations, or policy issuances on which ACF relies for its determination;</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(iv) Inform the grantee that it may appeal the denial or termination within 30 days to the Departmental Appeals Board, that the appeal will be governed by 45 CFR part 16, except as otherwise provided in the Head Start appeals regulations, that a copy of the appeal must sent to the responsible HHS official, and that it has the right to request and receive a hearing, as mandated under </w:t>
      </w:r>
      <w:r w:rsidR="00147BAE" w:rsidRPr="00C1694A">
        <w:rPr>
          <w:rFonts w:ascii="Times New Roman" w:eastAsia="Calibri" w:hAnsi="Times New Roman" w:cs="Times New Roman"/>
          <w:sz w:val="24"/>
          <w:szCs w:val="24"/>
        </w:rPr>
        <w:t>s</w:t>
      </w:r>
      <w:r w:rsidRPr="00C1694A">
        <w:rPr>
          <w:rFonts w:ascii="Times New Roman" w:eastAsia="Calibri" w:hAnsi="Times New Roman" w:cs="Times New Roman"/>
          <w:sz w:val="24"/>
          <w:szCs w:val="24"/>
        </w:rPr>
        <w:t xml:space="preserve">ection 646 of the Act;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(v) Inform the grantee that only its board of directors, or an official acting on the board’s behalf can appeal the decision;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(vi) Name the delegate agency, if the actions of that delegate are the basis, in whole or in part, for the proposed action; and,</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(vii) Inform the grantee that the appeal must meet requirements in paragraph (c) of this section; and, that if the responsible HHS official fails to meet requirements in this paragraph, the pending action may be dismissed without prejudice or remanded to reissue it with corrections.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E5749E" w:rsidRPr="00C1694A" w:rsidRDefault="00E5749E" w:rsidP="00AC521C">
      <w:pPr>
        <w:spacing w:after="0" w:line="480" w:lineRule="auto"/>
        <w:ind w:firstLine="720"/>
        <w:rPr>
          <w:rFonts w:ascii="Times New Roman" w:hAnsi="Times New Roman" w:cs="Times New Roman"/>
          <w:sz w:val="24"/>
          <w:szCs w:val="24"/>
        </w:rPr>
      </w:pPr>
      <w:r w:rsidRPr="00C1694A">
        <w:rPr>
          <w:rFonts w:ascii="Times New Roman" w:eastAsia="Calibri" w:hAnsi="Times New Roman" w:cs="Times New Roman"/>
          <w:sz w:val="24"/>
          <w:szCs w:val="24"/>
        </w:rPr>
        <w:t xml:space="preserve">(2) </w:t>
      </w:r>
      <w:r w:rsidRPr="00C1694A">
        <w:rPr>
          <w:rFonts w:ascii="Times New Roman" w:hAnsi="Times New Roman" w:cs="Times New Roman"/>
          <w:sz w:val="24"/>
          <w:szCs w:val="24"/>
        </w:rPr>
        <w:t>The responsible HHS official must provide the grantee as much notice</w:t>
      </w:r>
      <w:r w:rsidR="004B1E6C" w:rsidRPr="00C1694A">
        <w:rPr>
          <w:rFonts w:ascii="Times New Roman" w:hAnsi="Times New Roman" w:cs="Times New Roman"/>
          <w:sz w:val="24"/>
          <w:szCs w:val="24"/>
        </w:rPr>
        <w:t xml:space="preserve"> as possible</w:t>
      </w:r>
      <w:r w:rsidRPr="00C1694A">
        <w:rPr>
          <w:rFonts w:ascii="Times New Roman" w:hAnsi="Times New Roman" w:cs="Times New Roman"/>
          <w:sz w:val="24"/>
          <w:szCs w:val="24"/>
        </w:rPr>
        <w:t xml:space="preserve">, but </w:t>
      </w:r>
      <w:r w:rsidR="007917F9" w:rsidRPr="00C1694A">
        <w:rPr>
          <w:rFonts w:ascii="Times New Roman" w:hAnsi="Times New Roman" w:cs="Times New Roman"/>
          <w:sz w:val="24"/>
          <w:szCs w:val="24"/>
        </w:rPr>
        <w:t xml:space="preserve">must notify the grantee </w:t>
      </w:r>
      <w:r w:rsidRPr="00C1694A">
        <w:rPr>
          <w:rFonts w:ascii="Times New Roman" w:hAnsi="Times New Roman" w:cs="Times New Roman"/>
          <w:sz w:val="24"/>
          <w:szCs w:val="24"/>
        </w:rPr>
        <w:t xml:space="preserve">no later than 30 days after ACF receives the </w:t>
      </w:r>
      <w:r w:rsidR="00F71F62" w:rsidRPr="00C1694A">
        <w:rPr>
          <w:rFonts w:ascii="Times New Roman" w:hAnsi="Times New Roman" w:cs="Times New Roman"/>
          <w:sz w:val="24"/>
          <w:szCs w:val="24"/>
        </w:rPr>
        <w:t xml:space="preserve">annual application for </w:t>
      </w:r>
      <w:r w:rsidR="004B1E6C" w:rsidRPr="00C1694A">
        <w:rPr>
          <w:rFonts w:ascii="Times New Roman" w:hAnsi="Times New Roman" w:cs="Times New Roman"/>
          <w:sz w:val="24"/>
          <w:szCs w:val="24"/>
        </w:rPr>
        <w:t>refunding</w:t>
      </w:r>
      <w:r w:rsidRPr="00C1694A">
        <w:rPr>
          <w:rFonts w:ascii="Times New Roman" w:hAnsi="Times New Roman" w:cs="Times New Roman"/>
          <w:sz w:val="24"/>
          <w:szCs w:val="24"/>
        </w:rPr>
        <w:t xml:space="preserve">, that it has the opportunity for a full and fair hearing on whether refunding should be denied.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(c) </w:t>
      </w:r>
      <w:r w:rsidRPr="00C1694A">
        <w:rPr>
          <w:rFonts w:ascii="Times New Roman" w:eastAsia="Calibri" w:hAnsi="Times New Roman" w:cs="Times New Roman"/>
          <w:sz w:val="24"/>
          <w:szCs w:val="24"/>
          <w:u w:val="single"/>
        </w:rPr>
        <w:t>Grantee’s appeal.</w:t>
      </w:r>
      <w:r w:rsidRPr="00C1694A">
        <w:rPr>
          <w:rFonts w:ascii="Times New Roman" w:eastAsia="Calibri" w:hAnsi="Times New Roman" w:cs="Times New Roman"/>
          <w:i/>
          <w:sz w:val="24"/>
          <w:szCs w:val="24"/>
        </w:rPr>
        <w:t xml:space="preserve">  </w:t>
      </w:r>
      <w:r w:rsidRPr="00C1694A">
        <w:rPr>
          <w:rFonts w:ascii="Times New Roman" w:eastAsia="Calibri" w:hAnsi="Times New Roman" w:cs="Times New Roman"/>
          <w:sz w:val="24"/>
          <w:szCs w:val="24"/>
        </w:rPr>
        <w:t xml:space="preserve">(1) The grantee must adhere to procedures and requirements for appeals in 45 CFR part 16, file the appeal with the Departmental Appeals Board, and serve a copy of the appeal on the responsible HHS official who issued the termination or denial of refunding notice.  The grantees must also serve a copy of its appeal on any affected delegate.    </w:t>
      </w:r>
    </w:p>
    <w:p w:rsidR="00C03FE8" w:rsidRPr="00C1694A" w:rsidRDefault="00C03FE8" w:rsidP="00AC521C">
      <w:pPr>
        <w:spacing w:after="0" w:line="480" w:lineRule="auto"/>
        <w:ind w:firstLine="720"/>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(2) </w:t>
      </w:r>
      <w:r w:rsidR="00F71F62" w:rsidRPr="00C1694A">
        <w:rPr>
          <w:rFonts w:ascii="Times New Roman" w:eastAsia="Calibri" w:hAnsi="Times New Roman" w:cs="Times New Roman"/>
          <w:sz w:val="24"/>
          <w:szCs w:val="24"/>
        </w:rPr>
        <w:t>Unless funding has been suspended, funding will continue w</w:t>
      </w:r>
      <w:r w:rsidRPr="00C1694A">
        <w:rPr>
          <w:rFonts w:ascii="Times New Roman" w:eastAsia="Calibri" w:hAnsi="Times New Roman" w:cs="Times New Roman"/>
          <w:sz w:val="24"/>
          <w:szCs w:val="24"/>
        </w:rPr>
        <w:t>hile a grantee appeals a termination decision, unless the responsible HHS official renders an adverse decision, or unless the current budget period is expired.  If the responsible HHS official has not rendered a decision by the end of the current budget period, the official will award the grantee interim funding until a decision is made</w:t>
      </w:r>
      <w:r w:rsidR="00A94E8A" w:rsidRPr="00C1694A">
        <w:rPr>
          <w:rFonts w:ascii="Times New Roman" w:eastAsia="Calibri" w:hAnsi="Times New Roman" w:cs="Times New Roman"/>
          <w:sz w:val="24"/>
          <w:szCs w:val="24"/>
        </w:rPr>
        <w:t xml:space="preserve"> or the project period ends</w:t>
      </w:r>
      <w:r w:rsidRPr="00C1694A">
        <w:rPr>
          <w:rFonts w:ascii="Times New Roman" w:eastAsia="Calibri" w:hAnsi="Times New Roman" w:cs="Times New Roman"/>
          <w:sz w:val="24"/>
          <w:szCs w:val="24"/>
        </w:rPr>
        <w:t xml:space="preserve">.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(d) </w:t>
      </w:r>
      <w:r w:rsidRPr="00C1694A">
        <w:rPr>
          <w:rFonts w:ascii="Times New Roman" w:eastAsia="Calibri" w:hAnsi="Times New Roman" w:cs="Times New Roman"/>
          <w:sz w:val="24"/>
          <w:szCs w:val="24"/>
          <w:u w:val="single"/>
        </w:rPr>
        <w:t>Funding during</w:t>
      </w:r>
      <w:r w:rsidRPr="00C1694A">
        <w:rPr>
          <w:rFonts w:ascii="Times New Roman" w:hAnsi="Times New Roman" w:cs="Times New Roman"/>
          <w:sz w:val="24"/>
          <w:szCs w:val="24"/>
          <w:u w:val="single"/>
        </w:rPr>
        <w:t xml:space="preserve"> </w:t>
      </w:r>
      <w:r w:rsidRPr="00C1694A">
        <w:rPr>
          <w:rFonts w:ascii="Times New Roman" w:eastAsia="Calibri" w:hAnsi="Times New Roman" w:cs="Times New Roman"/>
          <w:sz w:val="24"/>
          <w:szCs w:val="24"/>
          <w:u w:val="single"/>
        </w:rPr>
        <w:t>suspension.</w:t>
      </w:r>
      <w:r w:rsidRPr="00C1694A">
        <w:rPr>
          <w:rFonts w:ascii="Times New Roman" w:eastAsia="Calibri" w:hAnsi="Times New Roman" w:cs="Times New Roman"/>
          <w:sz w:val="24"/>
          <w:szCs w:val="24"/>
        </w:rPr>
        <w:t xml:space="preserve">  If a grantee’s funding is suspended, the grantee will not receive funding during the termination proceedings, or at any other time, unless the action is rescinded or the grantee’s appeal is successful.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(e) </w:t>
      </w:r>
      <w:r w:rsidRPr="00C1694A">
        <w:rPr>
          <w:rFonts w:ascii="Times New Roman" w:eastAsia="Calibri" w:hAnsi="Times New Roman" w:cs="Times New Roman"/>
          <w:sz w:val="24"/>
          <w:szCs w:val="24"/>
          <w:u w:val="single"/>
        </w:rPr>
        <w:t>Interim and replacement grantees</w:t>
      </w:r>
      <w:r w:rsidRPr="00C1694A">
        <w:rPr>
          <w:rFonts w:ascii="Times New Roman" w:eastAsia="Calibri" w:hAnsi="Times New Roman" w:cs="Times New Roman"/>
          <w:sz w:val="24"/>
          <w:szCs w:val="24"/>
        </w:rPr>
        <w:t>. The responsible HHS official may appoint an interim or replacement grantee as soon as a termination action is affirmed by the Departmental Appeals Board.</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(f) </w:t>
      </w:r>
      <w:r w:rsidRPr="00C1694A">
        <w:rPr>
          <w:rFonts w:ascii="Times New Roman" w:eastAsia="Calibri" w:hAnsi="Times New Roman" w:cs="Times New Roman"/>
          <w:sz w:val="24"/>
          <w:szCs w:val="24"/>
          <w:u w:val="single"/>
        </w:rPr>
        <w:t>Opportunity to show cause.</w:t>
      </w:r>
      <w:r w:rsidRPr="00C1694A">
        <w:rPr>
          <w:rFonts w:ascii="Times New Roman" w:eastAsia="Calibri" w:hAnsi="Times New Roman" w:cs="Times New Roman"/>
          <w:sz w:val="24"/>
          <w:szCs w:val="24"/>
        </w:rPr>
        <w:t xml:space="preserve"> (1) If the Departmental Appeals Board sets a hearing for a proposed termination or denial of refunding action, the grantee has </w:t>
      </w:r>
      <w:r w:rsidR="003F121A" w:rsidRPr="00C1694A">
        <w:rPr>
          <w:rFonts w:ascii="Times New Roman" w:eastAsia="Calibri" w:hAnsi="Times New Roman" w:cs="Times New Roman"/>
          <w:sz w:val="24"/>
          <w:szCs w:val="24"/>
        </w:rPr>
        <w:t>five</w:t>
      </w:r>
      <w:r w:rsidRPr="00C1694A">
        <w:rPr>
          <w:rFonts w:ascii="Times New Roman" w:eastAsia="Calibri" w:hAnsi="Times New Roman" w:cs="Times New Roman"/>
          <w:sz w:val="24"/>
          <w:szCs w:val="24"/>
        </w:rPr>
        <w:t xml:space="preserve"> workdays to send a copy of the notice it receives from the Departmental Appeals Board, to all delegate agencies that would be financially affected by termination and to each delegate agency identified in the notice.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(2) The grantee must send to the Departmental Appeals Board and to the responsible HHS official a list of the delegate agencies it notified and the dates when it notified them.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(3) If the responsible HHS official initiated proceedings because of a delegate agency’s activities, the official must inform the delegate agency that it may participate in the hearing.  If the delegate agency chooses to participate in the hearing, it must notify the responsible HHS official in writing within 30 days of the grantee’s appeal.  If any other delegate agency, person, agency or organization wishes to participate in the hearing, it may request permission to do so from the Departmental Appeals Board.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(4) If the grantee fails to appear at the hearing, without good cause, the grantee will be deemed to have waived its right to a hearing and consented to have the Departmental Appeals Board make a decision based on the parties’ written information and argument.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(5) A grantee may waive the hearing and submit written information and argument for the record, within a reasonable period of time to be fixed by the Departmental Appeals Board. </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(6) The responsible HHS official may attempt, either personally or through a representative, to resolve the issues in dispute by informal means prior to the hearing.</w:t>
      </w: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p>
    <w:p w:rsidR="00C03FE8" w:rsidRPr="00C1694A" w:rsidRDefault="00C03FE8" w:rsidP="00AC521C">
      <w:pPr>
        <w:spacing w:after="0" w:line="480" w:lineRule="auto"/>
        <w:ind w:firstLine="720"/>
        <w:contextualSpacing/>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(g) </w:t>
      </w:r>
      <w:r w:rsidRPr="00C1694A">
        <w:rPr>
          <w:rFonts w:ascii="Times New Roman" w:eastAsia="Calibri" w:hAnsi="Times New Roman" w:cs="Times New Roman"/>
          <w:sz w:val="24"/>
          <w:szCs w:val="24"/>
          <w:u w:val="single"/>
        </w:rPr>
        <w:t>Decision</w:t>
      </w:r>
      <w:r w:rsidRPr="00C1694A">
        <w:rPr>
          <w:rFonts w:ascii="Times New Roman" w:eastAsia="Calibri" w:hAnsi="Times New Roman" w:cs="Times New Roman"/>
          <w:sz w:val="24"/>
          <w:szCs w:val="24"/>
        </w:rPr>
        <w:t xml:space="preserve">.  The Departmental Appeals Board’s decision and any measure the responsible HHS official takes after the decision is fully binding upon the grantee and its delegate agencies, whether or not they actually participated in the hearing.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§1304.6 Appeal for prospective delegate agencies.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 xml:space="preserve">(a) </w:t>
      </w:r>
      <w:r w:rsidR="00887BBB">
        <w:rPr>
          <w:rFonts w:ascii="Times New Roman" w:hAnsi="Times New Roman" w:cs="Times New Roman"/>
          <w:bCs/>
          <w:sz w:val="24"/>
          <w:szCs w:val="24"/>
          <w:u w:val="single"/>
        </w:rPr>
        <w:t>Appeal</w:t>
      </w:r>
      <w:r w:rsidRPr="00C1694A">
        <w:rPr>
          <w:rFonts w:ascii="Times New Roman" w:hAnsi="Times New Roman" w:cs="Times New Roman"/>
          <w:bCs/>
          <w:sz w:val="24"/>
          <w:szCs w:val="24"/>
          <w:u w:val="single"/>
        </w:rPr>
        <w:t>.</w:t>
      </w:r>
      <w:r w:rsidRPr="00C1694A">
        <w:rPr>
          <w:rFonts w:ascii="Times New Roman" w:hAnsi="Times New Roman" w:cs="Times New Roman"/>
          <w:bCs/>
          <w:i/>
          <w:sz w:val="24"/>
          <w:szCs w:val="24"/>
        </w:rPr>
        <w:t xml:space="preserve">  </w:t>
      </w:r>
      <w:r w:rsidRPr="00C1694A">
        <w:rPr>
          <w:rFonts w:ascii="Times New Roman" w:hAnsi="Times New Roman" w:cs="Times New Roman"/>
          <w:bCs/>
          <w:sz w:val="24"/>
          <w:szCs w:val="24"/>
        </w:rPr>
        <w:t xml:space="preserve">If a grantee denies, or fails to act on, a prospective delegate agency’s funding application, the prospective delegate may appeal the grantee’s decision or inaction.   </w:t>
      </w:r>
    </w:p>
    <w:p w:rsidR="00C03FE8" w:rsidRPr="00C1694A" w:rsidRDefault="00C03FE8" w:rsidP="00AC521C">
      <w:pPr>
        <w:autoSpaceDE w:val="0"/>
        <w:autoSpaceDN w:val="0"/>
        <w:adjustRightInd w:val="0"/>
        <w:spacing w:after="0" w:line="480" w:lineRule="auto"/>
        <w:ind w:firstLine="720"/>
        <w:rPr>
          <w:rFonts w:ascii="Times New Roman" w:hAnsi="Times New Roman" w:cs="Times New Roman"/>
          <w:bCs/>
          <w:sz w:val="24"/>
          <w:szCs w:val="24"/>
        </w:rPr>
      </w:pPr>
    </w:p>
    <w:p w:rsidR="00C03FE8" w:rsidRPr="00C1694A" w:rsidRDefault="00C03FE8" w:rsidP="00AC521C">
      <w:pPr>
        <w:autoSpaceDE w:val="0"/>
        <w:autoSpaceDN w:val="0"/>
        <w:adjustRightInd w:val="0"/>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 xml:space="preserve">(b) </w:t>
      </w:r>
      <w:r w:rsidRPr="00C1694A">
        <w:rPr>
          <w:rFonts w:ascii="Times New Roman" w:hAnsi="Times New Roman" w:cs="Times New Roman"/>
          <w:bCs/>
          <w:sz w:val="24"/>
          <w:szCs w:val="24"/>
          <w:u w:val="single"/>
        </w:rPr>
        <w:t>Process for prospective delegates.</w:t>
      </w:r>
      <w:r w:rsidRPr="00C1694A">
        <w:rPr>
          <w:rFonts w:ascii="Times New Roman" w:hAnsi="Times New Roman" w:cs="Times New Roman"/>
          <w:bCs/>
          <w:sz w:val="24"/>
          <w:szCs w:val="24"/>
        </w:rPr>
        <w:t xml:space="preserve">  To appeal, a prospective delegate must:</w:t>
      </w:r>
    </w:p>
    <w:p w:rsidR="00C03FE8" w:rsidRPr="00C1694A" w:rsidRDefault="00C03FE8" w:rsidP="00AC521C">
      <w:pPr>
        <w:pStyle w:val="ListParagraph"/>
        <w:autoSpaceDE w:val="0"/>
        <w:autoSpaceDN w:val="0"/>
        <w:adjustRightInd w:val="0"/>
        <w:spacing w:after="0" w:line="480" w:lineRule="auto"/>
        <w:ind w:left="0" w:firstLine="720"/>
        <w:rPr>
          <w:rFonts w:ascii="Times New Roman" w:hAnsi="Times New Roman" w:cs="Times New Roman"/>
          <w:bCs/>
          <w:sz w:val="24"/>
          <w:szCs w:val="24"/>
        </w:rPr>
      </w:pPr>
    </w:p>
    <w:p w:rsidR="00C03FE8" w:rsidRPr="00C1694A" w:rsidRDefault="00C03FE8" w:rsidP="00AC521C">
      <w:pPr>
        <w:pStyle w:val="ListParagraph"/>
        <w:autoSpaceDE w:val="0"/>
        <w:autoSpaceDN w:val="0"/>
        <w:adjustRightInd w:val="0"/>
        <w:spacing w:after="0" w:line="480" w:lineRule="auto"/>
        <w:ind w:left="0" w:firstLine="720"/>
        <w:rPr>
          <w:rFonts w:ascii="Times New Roman" w:hAnsi="Times New Roman" w:cs="Times New Roman"/>
          <w:bCs/>
          <w:sz w:val="24"/>
          <w:szCs w:val="24"/>
        </w:rPr>
      </w:pPr>
      <w:r w:rsidRPr="00C1694A">
        <w:rPr>
          <w:rFonts w:ascii="Times New Roman" w:hAnsi="Times New Roman" w:cs="Times New Roman"/>
          <w:bCs/>
          <w:sz w:val="24"/>
          <w:szCs w:val="24"/>
        </w:rPr>
        <w:t xml:space="preserve">(1) Submits the appeal, including a copy of the funding application, to the responsible HHS official within 30 days after it receives the grantee’s decision; or within 30 days after the grantee has had 120 days to review but has not notified the applicant of a decision; and, </w:t>
      </w:r>
    </w:p>
    <w:p w:rsidR="00C03FE8" w:rsidRPr="00C1694A" w:rsidRDefault="00C03FE8" w:rsidP="00AC521C">
      <w:pPr>
        <w:pStyle w:val="ListParagraph"/>
        <w:autoSpaceDE w:val="0"/>
        <w:autoSpaceDN w:val="0"/>
        <w:adjustRightInd w:val="0"/>
        <w:spacing w:after="0" w:line="480" w:lineRule="auto"/>
        <w:ind w:left="0" w:firstLine="720"/>
        <w:rPr>
          <w:rFonts w:ascii="Times New Roman" w:hAnsi="Times New Roman" w:cs="Times New Roman"/>
          <w:bCs/>
          <w:sz w:val="24"/>
          <w:szCs w:val="24"/>
        </w:rPr>
      </w:pPr>
    </w:p>
    <w:p w:rsidR="00C03FE8" w:rsidRPr="00C1694A" w:rsidRDefault="00C03FE8" w:rsidP="00AC521C">
      <w:pPr>
        <w:tabs>
          <w:tab w:val="left" w:pos="-90"/>
        </w:tabs>
        <w:autoSpaceDE w:val="0"/>
        <w:autoSpaceDN w:val="0"/>
        <w:adjustRightInd w:val="0"/>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 xml:space="preserve">(2) Provide the grantee with a copy of the appeal at the same time the appeal is filed with the responsible HHS official. </w:t>
      </w:r>
    </w:p>
    <w:p w:rsidR="00C03FE8" w:rsidRPr="00C1694A" w:rsidRDefault="00C03FE8" w:rsidP="00AC521C">
      <w:pPr>
        <w:pStyle w:val="ListParagraph"/>
        <w:tabs>
          <w:tab w:val="num" w:pos="720"/>
        </w:tabs>
        <w:autoSpaceDE w:val="0"/>
        <w:autoSpaceDN w:val="0"/>
        <w:adjustRightInd w:val="0"/>
        <w:spacing w:after="0" w:line="480" w:lineRule="auto"/>
        <w:ind w:left="0" w:firstLine="720"/>
        <w:rPr>
          <w:rFonts w:ascii="Times New Roman" w:hAnsi="Times New Roman" w:cs="Times New Roman"/>
          <w:bCs/>
          <w:sz w:val="24"/>
          <w:szCs w:val="24"/>
        </w:rPr>
      </w:pPr>
    </w:p>
    <w:p w:rsidR="00C03FE8" w:rsidRPr="00C1694A" w:rsidRDefault="00C03FE8" w:rsidP="00AC521C">
      <w:pPr>
        <w:pStyle w:val="ListParagraph"/>
        <w:tabs>
          <w:tab w:val="num" w:pos="720"/>
        </w:tabs>
        <w:autoSpaceDE w:val="0"/>
        <w:autoSpaceDN w:val="0"/>
        <w:adjustRightInd w:val="0"/>
        <w:spacing w:after="0" w:line="480" w:lineRule="auto"/>
        <w:ind w:left="0" w:firstLine="720"/>
        <w:rPr>
          <w:rFonts w:ascii="Times New Roman" w:hAnsi="Times New Roman" w:cs="Times New Roman"/>
          <w:bCs/>
          <w:sz w:val="24"/>
          <w:szCs w:val="24"/>
        </w:rPr>
      </w:pPr>
      <w:r w:rsidRPr="00C1694A">
        <w:rPr>
          <w:rFonts w:ascii="Times New Roman" w:hAnsi="Times New Roman" w:cs="Times New Roman"/>
          <w:bCs/>
          <w:sz w:val="24"/>
          <w:szCs w:val="24"/>
        </w:rPr>
        <w:t xml:space="preserve">(c) </w:t>
      </w:r>
      <w:r w:rsidRPr="00C1694A">
        <w:rPr>
          <w:rFonts w:ascii="Times New Roman" w:hAnsi="Times New Roman" w:cs="Times New Roman"/>
          <w:bCs/>
          <w:sz w:val="24"/>
          <w:szCs w:val="24"/>
          <w:u w:val="single"/>
        </w:rPr>
        <w:t>Process for grantees.</w:t>
      </w:r>
      <w:r w:rsidRPr="00C1694A">
        <w:rPr>
          <w:rFonts w:ascii="Times New Roman" w:hAnsi="Times New Roman" w:cs="Times New Roman"/>
          <w:bCs/>
          <w:i/>
          <w:sz w:val="24"/>
          <w:szCs w:val="24"/>
        </w:rPr>
        <w:t xml:space="preserve">  </w:t>
      </w:r>
      <w:r w:rsidRPr="00C1694A">
        <w:rPr>
          <w:rFonts w:ascii="Times New Roman" w:hAnsi="Times New Roman" w:cs="Times New Roman"/>
          <w:bCs/>
          <w:sz w:val="24"/>
          <w:szCs w:val="24"/>
        </w:rPr>
        <w:t xml:space="preserve">When an appeal is filed with the responsible HHS official, the grantee must respond to the appeal and submit a copy of its response to the responsible HHS official and to the prospective delegate agency within 30 work days. </w:t>
      </w:r>
    </w:p>
    <w:p w:rsidR="00C03FE8" w:rsidRPr="00C1694A" w:rsidRDefault="00C03FE8" w:rsidP="00AC521C">
      <w:pPr>
        <w:pStyle w:val="ListParagraph"/>
        <w:autoSpaceDE w:val="0"/>
        <w:autoSpaceDN w:val="0"/>
        <w:adjustRightInd w:val="0"/>
        <w:spacing w:after="0" w:line="480" w:lineRule="auto"/>
        <w:ind w:left="0" w:firstLine="720"/>
        <w:rPr>
          <w:rFonts w:ascii="Times New Roman" w:hAnsi="Times New Roman" w:cs="Times New Roman"/>
          <w:bCs/>
          <w:sz w:val="24"/>
          <w:szCs w:val="24"/>
        </w:rPr>
      </w:pPr>
    </w:p>
    <w:p w:rsidR="00C03FE8" w:rsidRPr="00C1694A" w:rsidRDefault="00C03FE8" w:rsidP="00AC521C">
      <w:pPr>
        <w:pStyle w:val="ListParagraph"/>
        <w:tabs>
          <w:tab w:val="num" w:pos="720"/>
        </w:tabs>
        <w:autoSpaceDE w:val="0"/>
        <w:autoSpaceDN w:val="0"/>
        <w:adjustRightInd w:val="0"/>
        <w:spacing w:after="0" w:line="480" w:lineRule="auto"/>
        <w:ind w:left="0" w:firstLine="720"/>
        <w:rPr>
          <w:rFonts w:ascii="Times New Roman" w:hAnsi="Times New Roman" w:cs="Times New Roman"/>
          <w:bCs/>
          <w:sz w:val="24"/>
          <w:szCs w:val="24"/>
        </w:rPr>
      </w:pPr>
      <w:r w:rsidRPr="00C1694A">
        <w:rPr>
          <w:rFonts w:ascii="Times New Roman" w:hAnsi="Times New Roman" w:cs="Times New Roman"/>
          <w:bCs/>
          <w:sz w:val="24"/>
          <w:szCs w:val="24"/>
        </w:rPr>
        <w:t xml:space="preserve">(d) </w:t>
      </w:r>
      <w:r w:rsidRPr="00C1694A">
        <w:rPr>
          <w:rFonts w:ascii="Times New Roman" w:hAnsi="Times New Roman" w:cs="Times New Roman"/>
          <w:bCs/>
          <w:sz w:val="24"/>
          <w:szCs w:val="24"/>
          <w:u w:val="single"/>
        </w:rPr>
        <w:t>Decision</w:t>
      </w:r>
      <w:r w:rsidRPr="00C1694A">
        <w:rPr>
          <w:rFonts w:ascii="Times New Roman" w:hAnsi="Times New Roman" w:cs="Times New Roman"/>
          <w:bCs/>
          <w:i/>
          <w:sz w:val="24"/>
          <w:szCs w:val="24"/>
        </w:rPr>
        <w:t xml:space="preserve">. </w:t>
      </w:r>
      <w:r w:rsidRPr="00C1694A">
        <w:rPr>
          <w:rFonts w:ascii="Times New Roman" w:hAnsi="Times New Roman" w:cs="Times New Roman"/>
          <w:bCs/>
          <w:sz w:val="24"/>
          <w:szCs w:val="24"/>
        </w:rPr>
        <w:t>(1) The responsible HHS official will sustain the grantee’s decision, if the official determines the grantee did not act arbitrarily, capriciously, or otherwise contrary to law, regulation, or other applicable requirements.</w:t>
      </w:r>
    </w:p>
    <w:p w:rsidR="00C03FE8" w:rsidRPr="00C1694A" w:rsidRDefault="00C03FE8" w:rsidP="00AC521C">
      <w:pPr>
        <w:tabs>
          <w:tab w:val="left" w:pos="360"/>
        </w:tabs>
        <w:autoSpaceDE w:val="0"/>
        <w:autoSpaceDN w:val="0"/>
        <w:adjustRightInd w:val="0"/>
        <w:spacing w:after="0" w:line="480" w:lineRule="auto"/>
        <w:ind w:firstLine="720"/>
        <w:rPr>
          <w:rFonts w:ascii="Times New Roman" w:hAnsi="Times New Roman" w:cs="Times New Roman"/>
          <w:bCs/>
          <w:sz w:val="24"/>
          <w:szCs w:val="24"/>
        </w:rPr>
      </w:pPr>
    </w:p>
    <w:p w:rsidR="00C03FE8" w:rsidRPr="00C1694A" w:rsidRDefault="00C03FE8" w:rsidP="00AC521C">
      <w:pPr>
        <w:tabs>
          <w:tab w:val="left" w:pos="0"/>
        </w:tabs>
        <w:autoSpaceDE w:val="0"/>
        <w:autoSpaceDN w:val="0"/>
        <w:adjustRightInd w:val="0"/>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(2) The responsible HHS official will render a written decision to each party within a reasonable timeframe.  The official’s decision is final and not subject to further appeal.</w:t>
      </w:r>
    </w:p>
    <w:p w:rsidR="00C03FE8" w:rsidRPr="00C1694A" w:rsidRDefault="00C03FE8" w:rsidP="00AC521C">
      <w:pPr>
        <w:tabs>
          <w:tab w:val="left" w:pos="0"/>
        </w:tabs>
        <w:autoSpaceDE w:val="0"/>
        <w:autoSpaceDN w:val="0"/>
        <w:adjustRightInd w:val="0"/>
        <w:spacing w:after="0" w:line="480" w:lineRule="auto"/>
        <w:ind w:firstLine="720"/>
        <w:rPr>
          <w:rFonts w:ascii="Times New Roman" w:hAnsi="Times New Roman" w:cs="Times New Roman"/>
          <w:bCs/>
          <w:sz w:val="24"/>
          <w:szCs w:val="24"/>
        </w:rPr>
      </w:pPr>
      <w:r w:rsidRPr="00C1694A">
        <w:rPr>
          <w:rFonts w:ascii="Times New Roman" w:hAnsi="Times New Roman" w:cs="Times New Roman"/>
          <w:bCs/>
          <w:sz w:val="24"/>
          <w:szCs w:val="24"/>
        </w:rPr>
        <w:t xml:space="preserve"> </w:t>
      </w:r>
    </w:p>
    <w:p w:rsidR="00C03FE8" w:rsidRPr="00C1694A" w:rsidRDefault="00C03FE8" w:rsidP="00AC521C">
      <w:pPr>
        <w:spacing w:after="0" w:line="480" w:lineRule="auto"/>
        <w:ind w:firstLine="720"/>
        <w:rPr>
          <w:rFonts w:ascii="Times New Roman" w:hAnsi="Times New Roman" w:cs="Times New Roman"/>
          <w:b/>
          <w:sz w:val="24"/>
          <w:szCs w:val="24"/>
        </w:rPr>
      </w:pPr>
      <w:r w:rsidRPr="00C1694A">
        <w:rPr>
          <w:rFonts w:ascii="Times New Roman" w:hAnsi="Times New Roman" w:cs="Times New Roman"/>
          <w:sz w:val="24"/>
          <w:szCs w:val="24"/>
        </w:rPr>
        <w:t xml:space="preserve">(3) If the responsible HHS official finds the grantee did act </w:t>
      </w:r>
      <w:r w:rsidRPr="00C1694A">
        <w:rPr>
          <w:rFonts w:ascii="Times New Roman" w:hAnsi="Times New Roman" w:cs="Times New Roman"/>
          <w:bCs/>
          <w:sz w:val="24"/>
          <w:szCs w:val="24"/>
        </w:rPr>
        <w:t>arbitrarily, capriciously, or otherwise contrary to law, regulation, or other applicable requirements, the grantee will be directed to reevaluate their applications.</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§1304.7 Legal fees.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(a) An agency is not authorized to charge to its grant legal fees or other costs incurred to appeal terminations, reductions of funding, or denials of applications of refunding decisions.</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If a program prevails in a termination, reduction, or denial of refunding decision, the responsible HHS official may reimburse the agency for reasonable and customary legal fees, incurred during the appeal, if: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(1) The Departmental Appeals Board overturns the responsible HHS official’s decision;</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(2) The agency can prove it incurred fees during the appeal; and,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(3) The agency can prove the fees incurred are reasonable and customary.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B</w:t>
      </w:r>
      <w:r w:rsidR="001B3183" w:rsidRPr="00C1694A">
        <w:rPr>
          <w:rFonts w:ascii="Times New Roman" w:eastAsia="Calibri" w:hAnsi="Times New Roman" w:cs="Times New Roman"/>
          <w:sz w:val="24"/>
          <w:szCs w:val="24"/>
        </w:rPr>
        <w:t>—</w:t>
      </w:r>
      <w:r w:rsidRPr="00C1694A">
        <w:rPr>
          <w:rFonts w:ascii="Times New Roman" w:hAnsi="Times New Roman" w:cs="Times New Roman"/>
          <w:b/>
          <w:sz w:val="24"/>
          <w:szCs w:val="24"/>
        </w:rPr>
        <w:t>Designation Renewal</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§1304.10 Purpose and scope.</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hd w:val="clear" w:color="auto" w:fill="FFFFFF"/>
        <w:spacing w:after="0" w:line="480" w:lineRule="auto"/>
        <w:ind w:right="302" w:firstLine="720"/>
        <w:rPr>
          <w:rFonts w:ascii="Times New Roman" w:hAnsi="Times New Roman" w:cs="Times New Roman"/>
          <w:b/>
          <w:sz w:val="24"/>
          <w:szCs w:val="24"/>
        </w:rPr>
      </w:pPr>
      <w:r w:rsidRPr="00C1694A">
        <w:rPr>
          <w:rFonts w:ascii="Times New Roman" w:eastAsia="Times New Roman" w:hAnsi="Times New Roman" w:cs="Times New Roman"/>
          <w:sz w:val="24"/>
          <w:szCs w:val="24"/>
        </w:rPr>
        <w:t xml:space="preserve">The purpose of this subpart is to set forth policies and procedures for the designation renewal of Head Start and Early Head Start programs. It is intended that these programs be administered effectively and responsibly; that applicants to administer programs receive fair and equitable consideration; and that the legal rights of current Head Start and Early Head Start grantees be fully protected. The Designation Renewal System is established in this </w:t>
      </w:r>
      <w:r w:rsidR="00B12891">
        <w:rPr>
          <w:rFonts w:ascii="Times New Roman" w:eastAsia="Times New Roman" w:hAnsi="Times New Roman" w:cs="Times New Roman"/>
          <w:sz w:val="24"/>
          <w:szCs w:val="24"/>
        </w:rPr>
        <w:t>p</w:t>
      </w:r>
      <w:r w:rsidRPr="00C1694A">
        <w:rPr>
          <w:rFonts w:ascii="Times New Roman" w:eastAsia="Times New Roman" w:hAnsi="Times New Roman" w:cs="Times New Roman"/>
          <w:sz w:val="24"/>
          <w:szCs w:val="24"/>
        </w:rPr>
        <w:t xml:space="preserve">art to determine whether Head Start and Early Head Start agencies deliver high-quality services to meet the educational, health, nutritional, and social needs of the children and families they serve; meet the program and financial requirements and standards described in section 641A(a)(1) of the Head Start Act; and qualify to be designated for funding for five years without competing for such funding as required under section 641(c) of the Head Start Act with respect to Head Start agencies and pursuant to section 645A(b)(12) and (d) with respect to Early Head Start agencies. A competition to select a new Head Start or Early Head Start agency to replace a Head Start or Early Head Start agency that has been terminated voluntarily or involuntarily is not part of the Designation Renewal System established in this Part, and is subject instead to the requirements of </w:t>
      </w:r>
      <w:r w:rsidRPr="00C1694A">
        <w:rPr>
          <w:rFonts w:ascii="Times New Roman" w:hAnsi="Times New Roman" w:cs="Times New Roman"/>
          <w:sz w:val="24"/>
          <w:szCs w:val="24"/>
        </w:rPr>
        <w:t>§</w:t>
      </w:r>
      <w:r w:rsidRPr="00C1694A">
        <w:rPr>
          <w:rFonts w:ascii="Times New Roman" w:eastAsia="Times New Roman" w:hAnsi="Times New Roman" w:cs="Times New Roman"/>
          <w:sz w:val="24"/>
          <w:szCs w:val="24"/>
        </w:rPr>
        <w:t>1304.20.</w:t>
      </w:r>
    </w:p>
    <w:p w:rsidR="00C03FE8" w:rsidRPr="00C1694A" w:rsidRDefault="00C03FE8" w:rsidP="00AC521C">
      <w:pPr>
        <w:shd w:val="clear" w:color="auto" w:fill="FFFFFF"/>
        <w:spacing w:after="0" w:line="480" w:lineRule="auto"/>
        <w:ind w:right="300"/>
        <w:rPr>
          <w:rFonts w:ascii="Times New Roman" w:hAnsi="Times New Roman" w:cs="Times New Roman"/>
          <w:b/>
          <w:sz w:val="24"/>
          <w:szCs w:val="24"/>
        </w:rPr>
      </w:pP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r w:rsidRPr="00C1694A">
        <w:rPr>
          <w:rFonts w:ascii="Times New Roman" w:hAnsi="Times New Roman" w:cs="Times New Roman"/>
          <w:b/>
          <w:sz w:val="24"/>
          <w:szCs w:val="24"/>
        </w:rPr>
        <w:t>§</w:t>
      </w:r>
      <w:r w:rsidRPr="00C1694A">
        <w:rPr>
          <w:rFonts w:ascii="Times New Roman" w:eastAsia="Times New Roman" w:hAnsi="Times New Roman" w:cs="Times New Roman"/>
          <w:b/>
          <w:sz w:val="24"/>
          <w:szCs w:val="24"/>
        </w:rPr>
        <w:t>1304.</w:t>
      </w:r>
      <w:r w:rsidRPr="00C1694A">
        <w:rPr>
          <w:rFonts w:ascii="Times New Roman" w:hAnsi="Times New Roman" w:cs="Times New Roman"/>
          <w:b/>
          <w:sz w:val="24"/>
          <w:szCs w:val="24"/>
        </w:rPr>
        <w:t>11 Basis for determining whether a Head Start agency will be subject to an open competition</w:t>
      </w:r>
      <w:r w:rsidRPr="00C1694A">
        <w:rPr>
          <w:rFonts w:ascii="Times New Roman" w:hAnsi="Times New Roman" w:cs="Times New Roman"/>
          <w:sz w:val="24"/>
          <w:szCs w:val="24"/>
        </w:rPr>
        <w:t>.</w:t>
      </w: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right="300"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 Head Start or Early Head Start agency shall be required to compete for its next five years of funding whenever the responsible HHS official determines that one or more of the following seven conditions existed during the relevant time period covered by the responsible HHS official's review under §1304.15:</w:t>
      </w: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right="300"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An agency has been determined by the responsible HHS official to have one or more deficiencies on a single review conducted under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ection 641A(c)(1)(A), (C), or (D) of the Act in the relevant time period covered by the responsible HHS official's review under </w:t>
      </w:r>
      <w:r w:rsidRPr="00C1694A">
        <w:rPr>
          <w:rFonts w:ascii="Times New Roman" w:eastAsia="Times New Roman" w:hAnsi="Times New Roman" w:cs="Times New Roman"/>
          <w:iCs/>
          <w:sz w:val="24"/>
          <w:szCs w:val="24"/>
        </w:rPr>
        <w:t>§</w:t>
      </w:r>
      <w:r w:rsidRPr="00C1694A">
        <w:rPr>
          <w:rFonts w:ascii="Times New Roman" w:eastAsia="Times New Roman" w:hAnsi="Times New Roman" w:cs="Times New Roman"/>
          <w:sz w:val="24"/>
          <w:szCs w:val="24"/>
        </w:rPr>
        <w:t>1304.15.</w:t>
      </w: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right="300"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An agency has been determined by the responsible HHS official based on a review conducted under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641A(c)(1)(A), (C), or (D) of the Act during the relevant time period covered by the responsible HHS official's review under §1304.15</w:t>
      </w:r>
      <w:r w:rsidRPr="00C1694A">
        <w:rPr>
          <w:rFonts w:ascii="Times New Roman" w:hAnsi="Times New Roman" w:cs="Times New Roman"/>
          <w:b/>
          <w:sz w:val="24"/>
          <w:szCs w:val="24"/>
        </w:rPr>
        <w:t xml:space="preserve"> </w:t>
      </w:r>
      <w:r w:rsidRPr="00C1694A">
        <w:rPr>
          <w:rFonts w:ascii="Times New Roman" w:eastAsia="Times New Roman" w:hAnsi="Times New Roman" w:cs="Times New Roman"/>
          <w:sz w:val="24"/>
          <w:szCs w:val="24"/>
        </w:rPr>
        <w:t>not to have:</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 After December 9, 2011, established program goals for improving the school readiness of children participating in its program in accordance with the requirements of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641A(g)(2) of the Act and demonstrated that such goals:</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Appropriately reflect the ages of children, birth to five, participating in the program;</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Align with the Birth to Five Head Start Child Outcomes Framework, state early learning guidelines, and the requirements and expectations of the schools, to the extent that they apply to the ages of children, birth to five, participating in the program and at a minimum address the domains of language and literacy development, cognition and general knowledge, approaches toward learning, physical well-being and motor development, and social and emotional development;</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(iii) Were established in consultation with the parents of children participating in the program.</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After December 9, 2011, taken steps to achieve the school readiness goals described under paragraph (b)(1) of this section demonstrated by:</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Aggregating and analyzing aggregate child-level assessment data at least three times per year (except for programs operating less than 90 days, which will be required to do so at least twice within their operating program period) and using that data in combination with other program data to determine grantees' progress toward meeting its goals, to inform parents and the community of results, and to direct continuous improvement related to curriculum, instruction, professional development, program design and other program decisions; and,</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Analyzing individual ongoing, child-level assessment data for all children birth to age five participating in the program and using that data in combination with input from parents and families to determine each child's status and progress with regard to, at a minimum, language and literacy development, cognition and general knowledge, approaches toward learning, physical well-being and motor development, and social and emotional development and to individualize the experiences, instructional strategies, and services to best support each child.</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(c) An agency has been determined during the relevant time period covered by the responsible HHS official's review under §1304.15:</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After December 9, 2011, to have an average score across all classrooms observed below the following minimum thresholds on any of the three CLASS: Pre-K domains from the most recent CLASS: Pre-K observation:</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For the Emotional Support domain the minimum threshold is 4;</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For the Classroom Organization domain, the minimum threshold is 3;</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(iii) For the Instructional Support domain, the minimum threshold is 2;</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After December 9, 2011, to have an average score across all classrooms observed that is in the lowest 10 percent on any of the three CLASS: Pre-K domains from the most recent CLASS: Pre-K observation among those currently being reviewed unless the average score across all classrooms observed for that CLASS: Pre-K domain is equal to or above the standard of excellence that demonstrates that the classroom interactions are above an exceptional level of quality. For all three domains, the “standard of excellence” is a 6.</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(d) An agency has had a revocation of its license to operate a Head Start or Early Head Start center or program by a state or local licensing agency during the relevant time period covered by the responsible HHS official's review under §1304.15, and the revocation has not been overturned or withdrawn before a competition for funding for the next five-year period is announced. A pending challenge to the license revocation or restoration of the license after correction of the violation shall not affect application of this requirement after the competition for funding for the next five-year period has been announced.</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(e) An agency has been suspended from the Head Start or Early Head Start program by ACF during the relevant time period covered by the responsible HHS official's review under §1304.16 and the suspension has not been overturned or withdrawn. If there is a pending appeal and the agency did not have an opportunity to show cause as to why the suspension should not have been imposed or why the suspension should have been lifted if it had already been imposed under </w:t>
      </w:r>
      <w:r w:rsidR="008A61B7">
        <w:rPr>
          <w:rFonts w:ascii="Times New Roman" w:eastAsia="Times New Roman" w:hAnsi="Times New Roman" w:cs="Times New Roman"/>
          <w:sz w:val="24"/>
          <w:szCs w:val="24"/>
        </w:rPr>
        <w:t xml:space="preserve">this </w:t>
      </w:r>
      <w:r w:rsidRPr="00C1694A">
        <w:rPr>
          <w:rFonts w:ascii="Times New Roman" w:eastAsia="Times New Roman" w:hAnsi="Times New Roman" w:cs="Times New Roman"/>
          <w:sz w:val="24"/>
          <w:szCs w:val="24"/>
        </w:rPr>
        <w:t>part, the agency will not be required to compete based on this condition. If an agency has received an opportunity to show cause, the condition will be implemented regardless of appeal status.</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(f) An agency has been debarred from receiving federal or state funds from any federal or state department or agency or has been disqualified from the Child and Adult Care Food Program (CACFP) any time during the relevant time period covered by the responsible HHS official's review under §1304.15 but has not yet been terminated or denied refunding by ACF. (A debarred agency will only be eligible to compete for Head Start funding if it receives a waiver described in 2 CFR 180.135.)</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(g) An agency has been determined within the twelve months preceding the responsible HHS official's review under §1304.15 to be at risk of failing to continue functioning as a going concern. The final determination is made by the responsible HHS official based on a review of the findings and opinions of an audit conducted in accordance with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647 of the Act; an audit, review or investigation by a state agency; a review by the National External Audit Review (NEAR) Center; or an audit, investigation or inspection by the Department of Health and Human Services Office of Inspector General.</w:t>
      </w:r>
    </w:p>
    <w:p w:rsidR="00C03FE8" w:rsidRPr="00C1694A" w:rsidRDefault="00C03FE8" w:rsidP="00AC521C">
      <w:pPr>
        <w:shd w:val="clear" w:color="auto" w:fill="FFFFFF"/>
        <w:spacing w:after="0" w:line="480" w:lineRule="auto"/>
        <w:ind w:firstLine="720"/>
        <w:rPr>
          <w:rFonts w:ascii="Times New Roman" w:hAnsi="Times New Roman" w:cs="Times New Roman"/>
          <w:b/>
          <w:sz w:val="24"/>
          <w:szCs w:val="24"/>
        </w:rPr>
      </w:pPr>
    </w:p>
    <w:p w:rsidR="00C03FE8" w:rsidRPr="00C1694A" w:rsidRDefault="00C03FE8" w:rsidP="00AC521C">
      <w:pPr>
        <w:shd w:val="clear" w:color="auto" w:fill="FFFFFF"/>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§1304.12 Grantee reporting requirements concerning certain conditions.</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 Head Start agencies must report in writing to the responsible HHS official within 30 working days of December 9, 2011, if the agency has had a revocation of a license to operate a center by a state of local licensing entity during the period between June 12, 2009, and December 9, 2011.</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(b) Head Start agencies must report in writing to the responsible HHS official within 10 working days of occurrence any of the following events following December 9, 2011:</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The agency has had a revocation of a license to operate a center by a state or local licensing entity.</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The agency has filed for bankruptcy or agreed to a reorganization plan as part of a bankruptcy settlement.</w:t>
      </w:r>
    </w:p>
    <w:p w:rsidR="00C03FE8" w:rsidRPr="00C1694A" w:rsidRDefault="00C03FE8" w:rsidP="00AC521C">
      <w:pPr>
        <w:shd w:val="clear" w:color="auto" w:fill="FFFFFF"/>
        <w:tabs>
          <w:tab w:val="left" w:pos="180"/>
        </w:tabs>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tabs>
          <w:tab w:val="left" w:pos="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The agency has been debarred from receiving federal or state funds from any federal or state department or agency or has been disqualified from the Child and Adult Care Food Program (CACFP).</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(4) The agency has received an audit, audit review, investigation or inspection report from the agency's auditor, a state agency, or the cognizant federal audit agency containing a determination that the agency is at risk for ceasing to be a going concern.</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b/>
          <w:sz w:val="24"/>
          <w:szCs w:val="24"/>
        </w:rPr>
      </w:pPr>
    </w:p>
    <w:p w:rsidR="00C03FE8" w:rsidRPr="00C1694A" w:rsidRDefault="00C03FE8" w:rsidP="00AC521C">
      <w:pPr>
        <w:shd w:val="clear" w:color="auto" w:fill="FFFFFF"/>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§1304.13 Requirements to be considered for designation for a five-year period when the existing grantee in a community is not determined to be delivering a high-quality and comprehensive Head Start program and is not automatically renewed.</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In order to compete for the opportunity to be awarded a five-year grant, an agency must submit an application to the responsible HHS official that demonstrates that it is the most qualified entity to deliver a high-quality and comprehensive Head Start or Early Head Start program. The application must address the criteria for selection listed at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641(d)(2) of the Act for Head Start. Any agency that has had its Head Start or Early Head Start grant terminated for cause in the preceding five years is excluded from competing in such competition for the next five years. A Head Start or Early Head Start agency that has had a denial of refunding, as defined in 45 CFR part 1305, in the preceding five years is also excluded from competing.</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b/>
          <w:bCs/>
          <w:sz w:val="24"/>
          <w:szCs w:val="24"/>
        </w:rPr>
      </w:pPr>
      <w:r w:rsidRPr="00C1694A">
        <w:rPr>
          <w:rFonts w:ascii="Times New Roman" w:eastAsia="Times New Roman" w:hAnsi="Times New Roman" w:cs="Times New Roman"/>
          <w:b/>
          <w:bCs/>
          <w:sz w:val="24"/>
          <w:szCs w:val="24"/>
        </w:rPr>
        <w:t xml:space="preserve"> </w:t>
      </w:r>
    </w:p>
    <w:p w:rsidR="00C03FE8" w:rsidRPr="00C1694A" w:rsidRDefault="00C03FE8" w:rsidP="00AC521C">
      <w:pPr>
        <w:shd w:val="clear" w:color="auto" w:fill="FFFFFF"/>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§1304.14 Tribal government consultation under the Designation Renewal System for when an Indian Head Start grant is being considered for competition.</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(a) In the case of an Indian Head Start or Early Head Start agency determined not to be delivering a high-quality and comprehensive Head Start or Early Head Start program, the responsible HHS official will engage in government-to-government consultation with the appropriate tribal government or governments for the purpose of establishing a plan to improve the quality of the Head Start program or Early Head Start program operated by the Indian Head Start or Indian Early Head Start agency.</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The plan will be established and implemented within six months after the responsible HHS official's determination.</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Not more than six months after the implementation of that plan, the responsible HHS official will reevaluate the performance of the Indian Head Start or Early Head Start agency.</w:t>
      </w:r>
    </w:p>
    <w:p w:rsidR="00C03FE8" w:rsidRPr="00C1694A" w:rsidRDefault="00C03FE8" w:rsidP="00AC521C">
      <w:pPr>
        <w:shd w:val="clear" w:color="auto" w:fill="FFFFFF"/>
        <w:tabs>
          <w:tab w:val="left" w:pos="0"/>
        </w:tabs>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tabs>
          <w:tab w:val="left" w:pos="0"/>
        </w:tabs>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If the Indian Head Start or Early Head Start agency is still not delivering a high-quality and comprehensive Head Start or Early Head Start program, the responsible HHS official will conduct an open competition to select a grantee to provide services for the community currently being served by the Indian Head Start or Early Head Start agency.</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(b) A non-Indian Head Start or Early Head Start agency will not be eligible to receive a grant to carry out an Indian Head Start program, unless there is no Indian Head Start or Early Head Start agency available for designation to carry out an Indian Head Start or Indian Early Head Start program.</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A non-Indian Head Start or Early Head Start agency may receive a grant to carry out an Indian Head Start program only until such time as an Indian Head Start or Indian Early Head Start agency in such community becomes available and is designated pursuant to this </w:t>
      </w:r>
      <w:r w:rsidR="008A61B7">
        <w:rPr>
          <w:rFonts w:ascii="Times New Roman" w:eastAsia="Times New Roman" w:hAnsi="Times New Roman" w:cs="Times New Roman"/>
          <w:sz w:val="24"/>
          <w:szCs w:val="24"/>
        </w:rPr>
        <w:t>p</w:t>
      </w:r>
      <w:r w:rsidRPr="00C1694A">
        <w:rPr>
          <w:rFonts w:ascii="Times New Roman" w:eastAsia="Times New Roman" w:hAnsi="Times New Roman" w:cs="Times New Roman"/>
          <w:sz w:val="24"/>
          <w:szCs w:val="24"/>
        </w:rPr>
        <w:t>art.</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b/>
          <w:sz w:val="24"/>
          <w:szCs w:val="24"/>
        </w:rPr>
      </w:pPr>
    </w:p>
    <w:p w:rsidR="00C03FE8" w:rsidRPr="00C1694A" w:rsidRDefault="00C03FE8" w:rsidP="00AC521C">
      <w:pPr>
        <w:shd w:val="clear" w:color="auto" w:fill="FFFFFF"/>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§1304.15 Designation request, review and notification process.</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Grantees must apply to be considered for Designation Renewal. </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For the transition period, each Head Start or Early Head Start agency wishing to be considered to have their designation as a Head Start or Early Head Start agency renewed for a five year period without competition shall request that status from ACF within six months of December 9, 2011.</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After the transition period, each Head Start or Early Head Start agency wishing to be considered to have their designation as a Head Start or Early Head Start agency renewed for another five year period without competition shall request that status from ACF at least 12 months before the end of their five year grant period or by such time as required by the Secretary.</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(b) ACF will review the relevant data to determine if one or more of the conditions under §1304.11 were met by the Head Start and Early Head Start agency's program:</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(1) During the first year of the transition period, ACF shall review the data on each Head Start and Early Head Start agency to determine if any of the conditions under §1304.11(a) or (d) through (g) were met by the agency's program since June 12, 2009.</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During the remainder of the transition period, ACF shall review the data on each Head Start and Early Head Start agency still under grants with indefinite project periods and for whom ACF has relevant data on all of the conditions in §1304.11(a) through (g) to determine if any of the conditions under §1304.11(a) or (d) through (g) were met by the agency's program since June 12, 2009, or if the conditions under §1304.11(b) or (c) existed in the agency's program since December 9, 2011.</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Following the transition period, ACF shall review the data on each Head Start and Early Head Start agency in the fourth year of the grant to determine if any of the conditions under  §1304.11 existed in the agency’s program during the period of that grant.</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(c) ACF will give notice to grantees on Designation Renewal System status, except as provided in §1304.14:</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 During the first year of the transition period, ACF shall give written notice to all grantees meeting any of the conditions under §1304.11(a) or (d) through (g) since June 12, 2009, by certified mail return receipt requested or other system that establishes the date of receipt of the notice by the addressee, stating that the Head Start or Early Head Start agency will be required to compete for funding for an additional five-year period, identifying the conditions ACF found, and summarizing the basis for the finding. All grantees that do not meet any of the conditions under §1304.11(a) or (d) through (g) will remain under indefinite project periods until the time period described under </w:t>
      </w:r>
      <w:r w:rsidR="00AB39E2">
        <w:rPr>
          <w:rFonts w:ascii="Times New Roman" w:eastAsia="Times New Roman" w:hAnsi="Times New Roman" w:cs="Times New Roman"/>
          <w:sz w:val="24"/>
          <w:szCs w:val="24"/>
        </w:rPr>
        <w:t xml:space="preserve">paragraph </w:t>
      </w:r>
      <w:r w:rsidRPr="00C1694A">
        <w:rPr>
          <w:rFonts w:ascii="Times New Roman" w:eastAsia="Times New Roman" w:hAnsi="Times New Roman" w:cs="Times New Roman"/>
          <w:sz w:val="24"/>
          <w:szCs w:val="24"/>
        </w:rPr>
        <w:t>(b)(2)</w:t>
      </w:r>
      <w:r w:rsidR="00AB39E2">
        <w:rPr>
          <w:rFonts w:ascii="Times New Roman" w:eastAsia="Times New Roman" w:hAnsi="Times New Roman" w:cs="Times New Roman"/>
          <w:sz w:val="24"/>
          <w:szCs w:val="24"/>
        </w:rPr>
        <w:t xml:space="preserve"> of this section</w:t>
      </w:r>
      <w:r w:rsidRPr="00C1694A">
        <w:rPr>
          <w:rFonts w:ascii="Times New Roman" w:eastAsia="Times New Roman" w:hAnsi="Times New Roman" w:cs="Times New Roman"/>
          <w:sz w:val="24"/>
          <w:szCs w:val="24"/>
        </w:rPr>
        <w:t>.</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(2) During the remainder of the transition period, ACF shall give written notice to all grantees still under grants with indefinite project periods and on the conditions in §1304.11(a) through (g) by certified mail return receipt requested or other system that establishes the date of receipt of the notice by the addressee stating either:</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The Head Start or Early Head Start agency will be required to compete for funding for an additional five-year period because ACF finds that one or more conditions under §1304.11(a) through (g) has been met during the relevant time period described in paragraph (b) of this section, identifying the conditions ACF found, and summarizing the basis for the finding; or</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That such agency has been determined on a preliminary basis to be eligible for renewed funding for five years without competition because ACF finds that none of the conditions under §1304.11 have been met during the relevant time period described in paragraph (b) of this section. If prior to the award of that grant, ACF determines that the grantee has met one of the conditions under §1304.11 during the relevant time period described in paragraph (b) of this section, this determination will change and the grantee will receive notice under paragraph (c)(2)(i) of this section that it will be required to compete for funding for an additional five-year period.</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(3) Following the transition period, ACF shall give written notice to all grantees at least 12 months before the expiration date of a Head Start or Early Head Start agency's then current grant by certified mail return receipt requested or other system that establishes the date of receipt of the notice by the addressee, stating:</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 The Head Start or Early Head Start agency will be required to compete for funding for an additional five-year period because ACF finds that one or more conditions under §1304.11 were met by the agency's program during the relevant time period described in paragraph (b) of this section, identifying the conditions ACF found, and summarizing the basis for the finding; or,</w:t>
      </w: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p>
    <w:p w:rsidR="00C03FE8" w:rsidRPr="00C1694A" w:rsidRDefault="00C03FE8" w:rsidP="00AC521C">
      <w:pPr>
        <w:shd w:val="clear" w:color="auto" w:fill="FFFFFF"/>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(ii) That such agency has been determined on a preliminary basis to be eligible for renewed funding for five years without competition because ACF finds that none of the conditions under §1304.11 have been met during the relevant time period described in paragraph (b) of this section. If prior to the award of that grant, ACF determines that the grantee has met one of the conditions under §1304.11 during the relevant time period described in paragraph (b) of this section, this determination will change and the grantee will receive notice under paragraph (c)(3)(i) of this section that it will be required to compete for funding for an additional five-year period.</w:t>
      </w:r>
    </w:p>
    <w:p w:rsidR="00C03FE8" w:rsidRPr="00C1694A" w:rsidRDefault="00C03FE8" w:rsidP="00AC521C">
      <w:pPr>
        <w:shd w:val="clear" w:color="auto" w:fill="FFFFFF"/>
        <w:spacing w:after="0" w:line="480" w:lineRule="auto"/>
        <w:rPr>
          <w:rFonts w:ascii="Times New Roman" w:hAnsi="Times New Roman" w:cs="Times New Roman"/>
          <w:b/>
          <w:sz w:val="24"/>
          <w:szCs w:val="24"/>
        </w:rPr>
      </w:pPr>
    </w:p>
    <w:p w:rsidR="00C03FE8" w:rsidRPr="00C1694A" w:rsidRDefault="00C03FE8" w:rsidP="00AC521C">
      <w:pPr>
        <w:shd w:val="clear" w:color="auto" w:fill="FFFFFF"/>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 xml:space="preserve">§1304.16 Use of CLASS: Pre-K </w:t>
      </w:r>
      <w:r w:rsidR="00AB39E2">
        <w:rPr>
          <w:rFonts w:ascii="Times New Roman" w:hAnsi="Times New Roman" w:cs="Times New Roman"/>
          <w:b/>
          <w:sz w:val="24"/>
          <w:szCs w:val="24"/>
        </w:rPr>
        <w:t>i</w:t>
      </w:r>
      <w:r w:rsidRPr="00C1694A">
        <w:rPr>
          <w:rFonts w:ascii="Times New Roman" w:hAnsi="Times New Roman" w:cs="Times New Roman"/>
          <w:b/>
          <w:sz w:val="24"/>
          <w:szCs w:val="24"/>
        </w:rPr>
        <w:t>nstrument in the Designation Renewal System.</w:t>
      </w:r>
    </w:p>
    <w:p w:rsidR="00C03FE8" w:rsidRPr="00C1694A" w:rsidRDefault="00C03FE8" w:rsidP="00AC521C">
      <w:pPr>
        <w:shd w:val="clear" w:color="auto" w:fill="FFFFFF"/>
        <w:spacing w:after="0" w:line="480" w:lineRule="auto"/>
        <w:ind w:firstLine="720"/>
        <w:rPr>
          <w:rFonts w:ascii="Times New Roman" w:hAnsi="Times New Roman" w:cs="Times New Roman"/>
          <w:b/>
          <w:sz w:val="24"/>
          <w:szCs w:val="24"/>
        </w:rPr>
      </w:pPr>
    </w:p>
    <w:p w:rsidR="00C03FE8" w:rsidRPr="00C1694A" w:rsidRDefault="00C03FE8" w:rsidP="00AC521C">
      <w:pPr>
        <w:shd w:val="clear" w:color="auto" w:fill="FFFFFF"/>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Except when all children are served in a single classroom, ACF will conduct observations of multiple classes operated by the grantee based on a random sample of all classes and rate the conduct of the classes observed using the CLASS: Pre-K instrument. When the grantee serves children in its program in a single class, that class will be observed and rated using the CLASS: Pre-K instrument. The domain scores for that class will be the domain scores for the grantee for that observation. After the observations are completed, ACF will report to the grantee the scores of the classes observed during the CLASS: Pre-K observations in each of the domains covered by the CLASS: Pre-K instrument. ACF will average CLASS: Pre-K instrument scores in each domain for the classes operated by the agency that ACF observed to determine the agency's score in each domain.</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b/>
          <w:sz w:val="24"/>
          <w:szCs w:val="24"/>
        </w:rPr>
        <w:t>Subpart C</w:t>
      </w:r>
      <w:r w:rsidR="001B3183" w:rsidRPr="00C1694A">
        <w:rPr>
          <w:rFonts w:ascii="Times New Roman" w:eastAsia="Calibri" w:hAnsi="Times New Roman" w:cs="Times New Roman"/>
          <w:sz w:val="24"/>
          <w:szCs w:val="24"/>
        </w:rPr>
        <w:t>—</w:t>
      </w:r>
      <w:r w:rsidRPr="00C1694A">
        <w:rPr>
          <w:rFonts w:ascii="Times New Roman" w:hAnsi="Times New Roman" w:cs="Times New Roman"/>
          <w:b/>
          <w:sz w:val="24"/>
          <w:szCs w:val="24"/>
        </w:rPr>
        <w:t>Selection of Grantees through Competition</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b/>
          <w:sz w:val="24"/>
          <w:szCs w:val="24"/>
        </w:rPr>
        <w:t>§1304.20 Selection among applicants.</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(a) In selecting an agency to be designated to provide Head Start, Early Head Start, Migrant or Seasonal Head Start or tribal Head Start or Early Head Start services, the responsible HHS official will consider the applicable criteria at Section 641(d) of the Head Start Act and any other criteria outlined in the funding opportunity announcement.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 xml:space="preserve">(b) In competitions to replace or potentially replace a grantee the responsible HHS official will also consider the extent to which the applicant supports continuity for participating children, the community and the continued employment of effective, well qualified personnel.   </w:t>
      </w:r>
    </w:p>
    <w:p w:rsidR="00C03FE8" w:rsidRPr="00C1694A" w:rsidRDefault="00C03FE8" w:rsidP="00AC521C">
      <w:pPr>
        <w:spacing w:after="0" w:line="480" w:lineRule="auto"/>
        <w:ind w:firstLine="720"/>
        <w:rPr>
          <w:rFonts w:ascii="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hAnsi="Times New Roman" w:cs="Times New Roman"/>
          <w:sz w:val="24"/>
          <w:szCs w:val="24"/>
        </w:rPr>
        <w:t>(c) In competitions to replace or potentially replace a current grantee, the responsible HHS official will give priority to applicants that have demonstrated capacity in providing effective, comprehensive, and well-coordinated early childhood education and development services and programs to children and their families</w:t>
      </w:r>
      <w:r w:rsidR="00962AAA">
        <w:rPr>
          <w:rFonts w:ascii="Times New Roman" w:hAnsi="Times New Roman" w:cs="Times New Roman"/>
          <w:sz w:val="24"/>
          <w:szCs w:val="24"/>
        </w:rPr>
        <w:t>.</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szCs w:val="24"/>
        </w:rPr>
      </w:pPr>
      <w:r w:rsidRPr="00C1694A">
        <w:rPr>
          <w:rStyle w:val="title1"/>
          <w:rFonts w:ascii="Times New Roman" w:hAnsi="Times New Roman" w:cs="Times New Roman"/>
          <w:b/>
          <w:color w:val="auto"/>
          <w:sz w:val="24"/>
          <w:szCs w:val="24"/>
          <w:specVanish w:val="0"/>
        </w:rPr>
        <w:t>Subpart D</w:t>
      </w:r>
      <w:r w:rsidR="001B3183" w:rsidRPr="00C1694A">
        <w:rPr>
          <w:rFonts w:ascii="Times New Roman" w:eastAsia="Calibri" w:hAnsi="Times New Roman" w:cs="Times New Roman"/>
          <w:sz w:val="24"/>
          <w:szCs w:val="24"/>
        </w:rPr>
        <w:t>—</w:t>
      </w:r>
      <w:r w:rsidRPr="00C1694A">
        <w:rPr>
          <w:rStyle w:val="title1"/>
          <w:rFonts w:ascii="Times New Roman" w:hAnsi="Times New Roman" w:cs="Times New Roman"/>
          <w:b/>
          <w:color w:val="auto"/>
          <w:sz w:val="24"/>
          <w:szCs w:val="24"/>
          <w:specVanish w:val="0"/>
        </w:rPr>
        <w:t>Replacement of American Indian and Alaska Native Grantees</w:t>
      </w: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szCs w:val="24"/>
        </w:rPr>
      </w:pPr>
      <w:r w:rsidRPr="00C1694A">
        <w:rPr>
          <w:rStyle w:val="title1"/>
          <w:rFonts w:ascii="Times New Roman" w:hAnsi="Times New Roman" w:cs="Times New Roman"/>
          <w:b/>
          <w:color w:val="auto"/>
          <w:sz w:val="24"/>
          <w:szCs w:val="24"/>
          <w:specVanish w:val="0"/>
        </w:rPr>
        <w:t>§1304.30 Procedure for identification of alternative agency.</w:t>
      </w: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An Indian tribe whose Head Start grant has been terminated, relinquished, designated for competition or which has been denied refunding as a Head Start agency, may identify an alternate agency and request the responsible HHS official to designate such agency as an alternative agency to provide Head Start services to the tribe if: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 The tribe was the only agency that was receiving federal financial assistance to provide Head Start services to members of the tribe; and, </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The tribe would be otherwise precluded from providing such services to its members because of the termination or denial of refunding.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(b)(1) The responsible HHS official, when notifying a tribal grantee of the intent to terminate financial assistance or deny its application for refunding, or its designation for competition must notify the grantee that it may identify an agency and request that the agency serve as the alternative agency in the event that the grant is terminated or refunding denied, or the grant is not renewed without competition.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The tribe must identify the alternate agency to the responsible HHS official in writing.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(3) The responsible HHS official will notify the tribe, in writing, whether the alternative agency proposed by the tribe is found to be eligible for Head Start funding and capable of operating a Head Start program. If the alternative agency identified by the tribe is not an eligible agency capable of operating a Head Start program, the tribe will have 15 days from the date of the sending of the notification to that effect from the responsible HHS official to identify another agency and request that the agency be designated. The responsible HHS official will notify the tribe in writing whether the second proposed alternate agency is found to be an eligible agency capable of operating the Head Start program.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(4) If the tribe does not identify an eligible, suitable alternative agency, a grantee will be designated under these regulations.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If the tribe appeals a termination of financial assistance or a denial of refunding, it will, consistent with the terms of </w:t>
      </w:r>
      <w:r w:rsidRPr="00C1694A">
        <w:rPr>
          <w:rFonts w:ascii="Times New Roman" w:hAnsi="Times New Roman" w:cs="Times New Roman"/>
          <w:sz w:val="24"/>
          <w:szCs w:val="24"/>
        </w:rPr>
        <w:t>§</w:t>
      </w:r>
      <w:r w:rsidRPr="00C1694A">
        <w:rPr>
          <w:rFonts w:ascii="Times New Roman" w:eastAsia="Times New Roman" w:hAnsi="Times New Roman" w:cs="Times New Roman"/>
          <w:sz w:val="24"/>
          <w:szCs w:val="24"/>
        </w:rPr>
        <w:t xml:space="preserve">1304.5, continue to be funded pending resolution of the appeal. However, the responsible HHS official and the grantee will proceed with the steps outlined in this regulation during the appeal process.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r w:rsidRPr="00C1694A">
        <w:rPr>
          <w:rFonts w:ascii="Times New Roman" w:hAnsi="Times New Roman" w:cs="Times New Roman"/>
          <w:sz w:val="24"/>
          <w:szCs w:val="24"/>
        </w:rPr>
        <w:t xml:space="preserve">(d) If the tribe does not identify an agency and request that the agency be appointed as the alternative agency, the responsible HHS official will seek a permanent replacement grantee under these regulations. </w:t>
      </w: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rPr>
          <w:rStyle w:val="title1"/>
          <w:rFonts w:ascii="Times New Roman" w:hAnsi="Times New Roman" w:cs="Times New Roman"/>
          <w:color w:val="auto"/>
          <w:sz w:val="24"/>
          <w:szCs w:val="24"/>
        </w:rPr>
      </w:pPr>
      <w:r w:rsidRPr="00C1694A">
        <w:rPr>
          <w:rStyle w:val="title1"/>
          <w:rFonts w:ascii="Times New Roman" w:hAnsi="Times New Roman" w:cs="Times New Roman"/>
          <w:b/>
          <w:color w:val="auto"/>
          <w:sz w:val="24"/>
          <w:szCs w:val="24"/>
          <w:specVanish w:val="0"/>
        </w:rPr>
        <w:t>§1304.31 Requirements of alternative agency</w:t>
      </w:r>
      <w:r w:rsidRPr="00C1694A">
        <w:rPr>
          <w:rStyle w:val="title1"/>
          <w:rFonts w:ascii="Times New Roman" w:hAnsi="Times New Roman" w:cs="Times New Roman"/>
          <w:color w:val="auto"/>
          <w:sz w:val="24"/>
          <w:szCs w:val="24"/>
          <w:specVanish w:val="0"/>
        </w:rPr>
        <w:t>.</w:t>
      </w:r>
    </w:p>
    <w:p w:rsidR="00C03FE8" w:rsidRPr="00C1694A" w:rsidRDefault="00C03FE8" w:rsidP="00AC521C">
      <w:pPr>
        <w:spacing w:after="0" w:line="480" w:lineRule="auto"/>
        <w:rPr>
          <w:rStyle w:val="title1"/>
          <w:rFonts w:ascii="Times New Roman" w:hAnsi="Times New Roman" w:cs="Times New Roman"/>
          <w:color w:val="auto"/>
          <w:sz w:val="24"/>
          <w:szCs w:val="24"/>
        </w:rPr>
      </w:pPr>
    </w:p>
    <w:p w:rsidR="00C03FE8" w:rsidRPr="00C1694A" w:rsidRDefault="00C03FE8" w:rsidP="00AC521C">
      <w:pPr>
        <w:spacing w:after="0" w:line="480" w:lineRule="auto"/>
        <w:ind w:firstLine="720"/>
        <w:rPr>
          <w:rStyle w:val="title1"/>
          <w:rFonts w:ascii="Times New Roman" w:hAnsi="Times New Roman" w:cs="Times New Roman"/>
          <w:color w:val="auto"/>
          <w:sz w:val="24"/>
          <w:szCs w:val="24"/>
        </w:rPr>
      </w:pPr>
      <w:r w:rsidRPr="00C1694A">
        <w:rPr>
          <w:rFonts w:ascii="Times New Roman" w:hAnsi="Times New Roman" w:cs="Times New Roman"/>
          <w:sz w:val="24"/>
          <w:szCs w:val="24"/>
        </w:rPr>
        <w:t>The agency identified by the Indian tribe must establish that it meets all requirements established by the Head Start Act and these requirements for designation as a Head Start grantee and that it is capable of conducting a Head Start program. The responsible HHS official, in deciding whether to designate the proposed agency, will analyze the capacity and experience of the agency according to the criteria found in section 641(d) of the Head Start Act and §1304.20.</w:t>
      </w:r>
    </w:p>
    <w:p w:rsidR="00C03FE8" w:rsidRPr="00C1694A" w:rsidRDefault="00C03FE8" w:rsidP="00AC521C">
      <w:pPr>
        <w:spacing w:after="0" w:line="480" w:lineRule="auto"/>
        <w:rPr>
          <w:rStyle w:val="title1"/>
          <w:rFonts w:ascii="Times New Roman" w:hAnsi="Times New Roman" w:cs="Times New Roman"/>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szCs w:val="24"/>
        </w:rPr>
      </w:pPr>
      <w:r w:rsidRPr="00C1694A">
        <w:rPr>
          <w:rStyle w:val="title1"/>
          <w:rFonts w:ascii="Times New Roman" w:hAnsi="Times New Roman" w:cs="Times New Roman"/>
          <w:b/>
          <w:color w:val="auto"/>
          <w:sz w:val="24"/>
          <w:szCs w:val="24"/>
          <w:specVanish w:val="0"/>
        </w:rPr>
        <w:t>§1304.32 Alternative agency—prohibition.</w:t>
      </w:r>
    </w:p>
    <w:p w:rsidR="00C03FE8" w:rsidRPr="00C1694A" w:rsidRDefault="00C03FE8" w:rsidP="00AC521C">
      <w:pPr>
        <w:spacing w:after="0" w:line="480" w:lineRule="auto"/>
        <w:rPr>
          <w:rStyle w:val="title1"/>
          <w:rFonts w:ascii="Times New Roman" w:hAnsi="Times New Roman" w:cs="Times New Roman"/>
          <w:color w:val="auto"/>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No agency will be designated as the alternative agency pursuant to this subpart if the agency includes an employee who: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(1) Served on the administrative or program staff of the Indian tribal grantee described under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646(e)(1)(A) of the Act</w:t>
      </w:r>
      <w:r w:rsidR="000A2092">
        <w:rPr>
          <w:rFonts w:ascii="Times New Roman" w:eastAsia="Times New Roman" w:hAnsi="Times New Roman" w:cs="Times New Roman"/>
          <w:sz w:val="24"/>
          <w:szCs w:val="24"/>
        </w:rPr>
        <w:t>;</w:t>
      </w:r>
      <w:r w:rsidRPr="00C1694A">
        <w:rPr>
          <w:rFonts w:ascii="Times New Roman" w:eastAsia="Times New Roman" w:hAnsi="Times New Roman" w:cs="Times New Roman"/>
          <w:sz w:val="24"/>
          <w:szCs w:val="24"/>
        </w:rPr>
        <w:t xml:space="preserve"> and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(2) Was responsible for a deficiency that: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 Relates to the performance standards or financial management standards described in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641A(a)(1) of the Act; and,</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(ii) Was the basis for the termination of assistance under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 xml:space="preserve">ection 646(e)(1)(A) of the Act or denial of refunding described in </w:t>
      </w:r>
      <w:r w:rsidRPr="00C1694A">
        <w:rPr>
          <w:rFonts w:ascii="Times New Roman" w:hAnsi="Times New Roman" w:cs="Times New Roman"/>
          <w:sz w:val="24"/>
          <w:szCs w:val="24"/>
        </w:rPr>
        <w:t>§</w:t>
      </w:r>
      <w:r w:rsidRPr="00C1694A">
        <w:rPr>
          <w:rFonts w:ascii="Times New Roman" w:eastAsia="Times New Roman" w:hAnsi="Times New Roman" w:cs="Times New Roman"/>
          <w:sz w:val="24"/>
          <w:szCs w:val="24"/>
        </w:rPr>
        <w:t>1304.4.</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hAnsi="Times New Roman" w:cs="Times New Roman"/>
          <w:sz w:val="24"/>
          <w:szCs w:val="24"/>
        </w:rPr>
      </w:pPr>
      <w:r w:rsidRPr="00C1694A">
        <w:rPr>
          <w:rFonts w:ascii="Times New Roman" w:eastAsia="Times New Roman" w:hAnsi="Times New Roman" w:cs="Times New Roman"/>
          <w:sz w:val="24"/>
          <w:szCs w:val="24"/>
        </w:rPr>
        <w:t>(b) The responsible HHS official shall determine whether an employee was responsible for a deficiency within the meaning and context of this section.</w:t>
      </w: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szCs w:val="24"/>
        </w:rPr>
      </w:pPr>
      <w:r w:rsidRPr="00C1694A">
        <w:rPr>
          <w:rStyle w:val="title1"/>
          <w:rFonts w:ascii="Times New Roman" w:hAnsi="Times New Roman" w:cs="Times New Roman"/>
          <w:b/>
          <w:color w:val="auto"/>
          <w:sz w:val="24"/>
          <w:szCs w:val="24"/>
          <w:specVanish w:val="0"/>
        </w:rPr>
        <w:t>Subpart E</w:t>
      </w:r>
      <w:r w:rsidR="001B3183" w:rsidRPr="00C1694A">
        <w:rPr>
          <w:rFonts w:ascii="Times New Roman" w:eastAsia="Calibri" w:hAnsi="Times New Roman" w:cs="Times New Roman"/>
          <w:sz w:val="24"/>
          <w:szCs w:val="24"/>
        </w:rPr>
        <w:t>—</w:t>
      </w:r>
      <w:r w:rsidRPr="00C1694A">
        <w:rPr>
          <w:rStyle w:val="title1"/>
          <w:rFonts w:ascii="Times New Roman" w:hAnsi="Times New Roman" w:cs="Times New Roman"/>
          <w:b/>
          <w:color w:val="auto"/>
          <w:sz w:val="24"/>
          <w:szCs w:val="24"/>
          <w:specVanish w:val="0"/>
        </w:rPr>
        <w:t>Head Start Fellows Program</w:t>
      </w: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szCs w:val="24"/>
        </w:rPr>
      </w:pPr>
      <w:r w:rsidRPr="00C1694A">
        <w:rPr>
          <w:rStyle w:val="title1"/>
          <w:rFonts w:ascii="Times New Roman" w:hAnsi="Times New Roman" w:cs="Times New Roman"/>
          <w:b/>
          <w:color w:val="auto"/>
          <w:sz w:val="24"/>
          <w:szCs w:val="24"/>
          <w:specVanish w:val="0"/>
        </w:rPr>
        <w:t>§</w:t>
      </w:r>
      <w:r w:rsidR="00324E8A" w:rsidRPr="00C1694A">
        <w:rPr>
          <w:rStyle w:val="title1"/>
          <w:rFonts w:ascii="Times New Roman" w:hAnsi="Times New Roman" w:cs="Times New Roman"/>
          <w:b/>
          <w:color w:val="auto"/>
          <w:sz w:val="24"/>
          <w:szCs w:val="24"/>
          <w:specVanish w:val="0"/>
        </w:rPr>
        <w:t>1304</w:t>
      </w:r>
      <w:r w:rsidRPr="00C1694A">
        <w:rPr>
          <w:rStyle w:val="title1"/>
          <w:rFonts w:ascii="Times New Roman" w:hAnsi="Times New Roman" w:cs="Times New Roman"/>
          <w:b/>
          <w:color w:val="auto"/>
          <w:sz w:val="24"/>
          <w:szCs w:val="24"/>
          <w:specVanish w:val="0"/>
        </w:rPr>
        <w:t xml:space="preserve">.40 </w:t>
      </w:r>
      <w:r w:rsidR="00887BBB">
        <w:rPr>
          <w:rStyle w:val="title1"/>
          <w:rFonts w:ascii="Times New Roman" w:hAnsi="Times New Roman" w:cs="Times New Roman"/>
          <w:b/>
          <w:color w:val="auto"/>
          <w:sz w:val="24"/>
          <w:szCs w:val="24"/>
          <w:specVanish w:val="0"/>
        </w:rPr>
        <w:t>Purpose</w:t>
      </w:r>
      <w:r w:rsidRPr="00C1694A">
        <w:rPr>
          <w:rStyle w:val="title1"/>
          <w:rFonts w:ascii="Times New Roman" w:hAnsi="Times New Roman" w:cs="Times New Roman"/>
          <w:b/>
          <w:color w:val="auto"/>
          <w:sz w:val="24"/>
          <w:szCs w:val="24"/>
          <w:specVanish w:val="0"/>
        </w:rPr>
        <w:t xml:space="preserve">. </w:t>
      </w:r>
    </w:p>
    <w:p w:rsidR="00C03FE8" w:rsidRPr="00C1694A" w:rsidRDefault="00C03FE8" w:rsidP="00AC521C">
      <w:pPr>
        <w:spacing w:after="0" w:line="480" w:lineRule="auto"/>
        <w:rPr>
          <w:rFonts w:ascii="Times New Roman" w:eastAsiaTheme="minorHAnsi" w:hAnsi="Times New Roman" w:cs="Times New Roman"/>
          <w:b/>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As provided in </w:t>
      </w:r>
      <w:r w:rsidR="00147BAE" w:rsidRPr="00C1694A">
        <w:rPr>
          <w:rFonts w:ascii="Times New Roman" w:eastAsia="Times New Roman" w:hAnsi="Times New Roman" w:cs="Times New Roman"/>
          <w:sz w:val="24"/>
          <w:szCs w:val="24"/>
        </w:rPr>
        <w:t>s</w:t>
      </w:r>
      <w:r w:rsidRPr="00C1694A">
        <w:rPr>
          <w:rFonts w:ascii="Times New Roman" w:eastAsia="Times New Roman" w:hAnsi="Times New Roman" w:cs="Times New Roman"/>
          <w:sz w:val="24"/>
          <w:szCs w:val="24"/>
        </w:rPr>
        <w:t>ection 648A(d) of the Act, the Head Start Fellows Program is designed to enhance the ability of Head Start Fellows to make significant contributions to Head Start and to other child development and family services programs.</w:t>
      </w:r>
    </w:p>
    <w:p w:rsidR="00C03FE8" w:rsidRPr="00C1694A" w:rsidRDefault="00C03FE8" w:rsidP="00AC521C">
      <w:pPr>
        <w:spacing w:after="0" w:line="480" w:lineRule="auto"/>
        <w:ind w:firstLine="720"/>
        <w:rPr>
          <w:rStyle w:val="title1"/>
          <w:rFonts w:ascii="Times New Roman" w:hAnsi="Times New Roman" w:cs="Times New Roman"/>
          <w:b/>
          <w:color w:val="auto"/>
          <w:sz w:val="24"/>
          <w:szCs w:val="24"/>
        </w:rPr>
      </w:pPr>
    </w:p>
    <w:p w:rsidR="00C03FE8" w:rsidRPr="00C1694A" w:rsidRDefault="00C03FE8" w:rsidP="00AC521C">
      <w:pPr>
        <w:spacing w:after="0" w:line="480" w:lineRule="auto"/>
        <w:rPr>
          <w:rStyle w:val="title1"/>
          <w:rFonts w:ascii="Times New Roman" w:hAnsi="Times New Roman" w:cs="Times New Roman"/>
          <w:b/>
          <w:color w:val="auto"/>
          <w:sz w:val="24"/>
          <w:szCs w:val="24"/>
        </w:rPr>
      </w:pPr>
      <w:r w:rsidRPr="00C1694A">
        <w:rPr>
          <w:rStyle w:val="title1"/>
          <w:rFonts w:ascii="Times New Roman" w:hAnsi="Times New Roman" w:cs="Times New Roman"/>
          <w:b/>
          <w:color w:val="auto"/>
          <w:sz w:val="24"/>
          <w:szCs w:val="24"/>
          <w:specVanish w:val="0"/>
        </w:rPr>
        <w:t>§</w:t>
      </w:r>
      <w:r w:rsidR="00324E8A" w:rsidRPr="00C1694A">
        <w:rPr>
          <w:rStyle w:val="title1"/>
          <w:rFonts w:ascii="Times New Roman" w:hAnsi="Times New Roman" w:cs="Times New Roman"/>
          <w:b/>
          <w:color w:val="auto"/>
          <w:sz w:val="24"/>
          <w:szCs w:val="24"/>
          <w:specVanish w:val="0"/>
        </w:rPr>
        <w:t>1304</w:t>
      </w:r>
      <w:r w:rsidRPr="00C1694A">
        <w:rPr>
          <w:rStyle w:val="title1"/>
          <w:rFonts w:ascii="Times New Roman" w:hAnsi="Times New Roman" w:cs="Times New Roman"/>
          <w:b/>
          <w:color w:val="auto"/>
          <w:sz w:val="24"/>
          <w:szCs w:val="24"/>
          <w:specVanish w:val="0"/>
        </w:rPr>
        <w:t>.41 Fellows Program.</w:t>
      </w:r>
    </w:p>
    <w:p w:rsidR="00C03FE8" w:rsidRPr="00C1694A" w:rsidRDefault="00C03FE8" w:rsidP="00AC521C">
      <w:pPr>
        <w:spacing w:after="0" w:line="480" w:lineRule="auto"/>
        <w:rPr>
          <w:rStyle w:val="title1"/>
          <w:rFonts w:ascii="Times New Roman" w:hAnsi="Times New Roman" w:cs="Times New Roman"/>
          <w:b/>
          <w:color w:val="auto"/>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(a) </w:t>
      </w:r>
      <w:r w:rsidRPr="00C1694A">
        <w:rPr>
          <w:rFonts w:ascii="Times New Roman" w:eastAsia="Times New Roman" w:hAnsi="Times New Roman" w:cs="Times New Roman"/>
          <w:sz w:val="24"/>
          <w:szCs w:val="24"/>
          <w:u w:val="single"/>
        </w:rPr>
        <w:t>Selection.</w:t>
      </w:r>
      <w:r w:rsidRPr="00C1694A">
        <w:rPr>
          <w:rFonts w:ascii="Times New Roman" w:eastAsia="Times New Roman" w:hAnsi="Times New Roman" w:cs="Times New Roman"/>
          <w:sz w:val="24"/>
          <w:szCs w:val="24"/>
        </w:rPr>
        <w:t xml:space="preserve"> An applicant must be working on the date of application in a local Head Start program or otherwise working in the field of child development and family services. The qualifications of the applicants for Head Start Fellowship positions will be competitively reviewed.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(b) </w:t>
      </w:r>
      <w:r w:rsidRPr="00C1694A">
        <w:rPr>
          <w:rFonts w:ascii="Times New Roman" w:eastAsia="Times New Roman" w:hAnsi="Times New Roman" w:cs="Times New Roman"/>
          <w:sz w:val="24"/>
          <w:szCs w:val="24"/>
          <w:u w:val="single"/>
        </w:rPr>
        <w:t>Placement.</w:t>
      </w:r>
      <w:r w:rsidRPr="00C1694A">
        <w:rPr>
          <w:rFonts w:ascii="Times New Roman" w:eastAsia="Times New Roman" w:hAnsi="Times New Roman" w:cs="Times New Roman"/>
          <w:sz w:val="24"/>
          <w:szCs w:val="24"/>
        </w:rPr>
        <w:t xml:space="preserve"> Head Start Fellows may be placed in the Head Start national and regional offices; local Head Start agencies and programs; institutions of higher education; public or private entities and organizations concerned with services to children and families; and other appropriate settings.</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(c) </w:t>
      </w:r>
      <w:r w:rsidRPr="00C1694A">
        <w:rPr>
          <w:rFonts w:ascii="Times New Roman" w:eastAsia="Times New Roman" w:hAnsi="Times New Roman" w:cs="Times New Roman"/>
          <w:sz w:val="24"/>
          <w:szCs w:val="24"/>
          <w:u w:val="single"/>
        </w:rPr>
        <w:t>Restrictions.</w:t>
      </w:r>
      <w:r w:rsidRPr="00C1694A">
        <w:rPr>
          <w:rFonts w:ascii="Times New Roman" w:eastAsia="Times New Roman" w:hAnsi="Times New Roman" w:cs="Times New Roman"/>
          <w:sz w:val="24"/>
          <w:szCs w:val="24"/>
        </w:rPr>
        <w:t xml:space="preserve"> A Head Start Fellow who is not an employee of a local Head Start agency or program may only be placed in the national or regional offices within the Department of Health and Human Services that administer Head Start or local Head Start agencies. Head Start Fellows shall not be placed in any agency whose primary purpose, or one of whose major purposes is to influence federal, state or local legislation.</w:t>
      </w:r>
    </w:p>
    <w:p w:rsidR="00C03FE8" w:rsidRPr="00C1694A" w:rsidRDefault="00C03FE8" w:rsidP="00AC521C">
      <w:pPr>
        <w:spacing w:after="0" w:line="480" w:lineRule="auto"/>
        <w:ind w:firstLine="720"/>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(d) </w:t>
      </w:r>
      <w:r w:rsidRPr="00C1694A">
        <w:rPr>
          <w:rFonts w:ascii="Times New Roman" w:eastAsia="Times New Roman" w:hAnsi="Times New Roman" w:cs="Times New Roman"/>
          <w:sz w:val="24"/>
          <w:szCs w:val="24"/>
          <w:u w:val="single"/>
        </w:rPr>
        <w:t>Duration.</w:t>
      </w:r>
      <w:r w:rsidRPr="00C1694A">
        <w:rPr>
          <w:rFonts w:ascii="Times New Roman" w:eastAsia="Times New Roman" w:hAnsi="Times New Roman" w:cs="Times New Roman"/>
          <w:sz w:val="24"/>
          <w:szCs w:val="24"/>
        </w:rPr>
        <w:t xml:space="preserve"> Head Start Fellowships will be for terms of one year, and may be renewed for a term of one additional year. </w:t>
      </w:r>
    </w:p>
    <w:p w:rsidR="00C03FE8" w:rsidRPr="00C1694A" w:rsidRDefault="00C03FE8" w:rsidP="00AC521C">
      <w:pPr>
        <w:spacing w:after="0" w:line="480" w:lineRule="auto"/>
        <w:rPr>
          <w:rFonts w:ascii="Times New Roman" w:eastAsia="Times New Roman" w:hAnsi="Times New Roman" w:cs="Times New Roman"/>
          <w:sz w:val="24"/>
          <w:szCs w:val="24"/>
        </w:rPr>
      </w:pPr>
    </w:p>
    <w:p w:rsidR="00C03FE8" w:rsidRPr="00C1694A" w:rsidRDefault="00C03FE8" w:rsidP="00AC521C">
      <w:pPr>
        <w:spacing w:after="0" w:line="480" w:lineRule="auto"/>
        <w:ind w:firstLine="720"/>
        <w:rPr>
          <w:rFonts w:ascii="Times New Roman" w:eastAsia="Times New Roman" w:hAnsi="Times New Roman" w:cs="Times New Roman"/>
          <w:sz w:val="24"/>
          <w:szCs w:val="24"/>
        </w:rPr>
      </w:pPr>
      <w:r w:rsidRPr="00C1694A">
        <w:rPr>
          <w:rFonts w:ascii="Times New Roman" w:eastAsia="Times New Roman" w:hAnsi="Times New Roman" w:cs="Times New Roman"/>
          <w:sz w:val="24"/>
          <w:szCs w:val="24"/>
        </w:rPr>
        <w:t xml:space="preserve">(e) </w:t>
      </w:r>
      <w:r w:rsidRPr="00C1694A">
        <w:rPr>
          <w:rFonts w:ascii="Times New Roman" w:eastAsia="Times New Roman" w:hAnsi="Times New Roman" w:cs="Times New Roman"/>
          <w:sz w:val="24"/>
          <w:szCs w:val="24"/>
          <w:u w:val="single"/>
        </w:rPr>
        <w:t>Status.</w:t>
      </w:r>
      <w:r w:rsidRPr="00C1694A">
        <w:rPr>
          <w:rFonts w:ascii="Times New Roman" w:eastAsia="Times New Roman" w:hAnsi="Times New Roman" w:cs="Times New Roman"/>
          <w:sz w:val="24"/>
          <w:szCs w:val="24"/>
        </w:rPr>
        <w:t xml:space="preserve"> For the purposes of compensation for injuries under chapter 81 of title 5, United States Code, Head Start Fellows shall be considered to be employees, or otherwise in the service or employment, of the federal government.  Head Start Fellows assigned to the national or regional offices within the Department of Health and Human Services shall be considered employees in the Executive Branch of the federal government for the purposes of chapter 11 of title 18, United States Code, and for the purposes of any administrative standards of conduct applicable to the employees of the agency to which they are assigned.</w:t>
      </w:r>
    </w:p>
    <w:p w:rsidR="00C03FE8" w:rsidRPr="00C1694A" w:rsidRDefault="00C03FE8" w:rsidP="00AC521C">
      <w:pPr>
        <w:spacing w:after="0" w:line="480" w:lineRule="auto"/>
        <w:rPr>
          <w:rFonts w:ascii="Times New Roman" w:eastAsia="Calibri" w:hAnsi="Times New Roman" w:cs="Times New Roman"/>
          <w:b/>
          <w:sz w:val="24"/>
          <w:szCs w:val="24"/>
        </w:rPr>
      </w:pPr>
      <w:r w:rsidRPr="00C1694A">
        <w:rPr>
          <w:rFonts w:ascii="Times New Roman" w:eastAsia="Calibri" w:hAnsi="Times New Roman" w:cs="Times New Roman"/>
          <w:b/>
          <w:sz w:val="24"/>
          <w:szCs w:val="24"/>
        </w:rPr>
        <w:br w:type="page"/>
        <w:t xml:space="preserve">PART 1305 </w:t>
      </w:r>
      <w:r w:rsidR="008A61B7">
        <w:rPr>
          <w:rFonts w:ascii="Times New Roman" w:eastAsia="Calibri" w:hAnsi="Times New Roman" w:cs="Times New Roman"/>
          <w:b/>
          <w:sz w:val="24"/>
          <w:szCs w:val="24"/>
        </w:rPr>
        <w:t xml:space="preserve">-- </w:t>
      </w:r>
      <w:r w:rsidRPr="00C1694A">
        <w:rPr>
          <w:rFonts w:ascii="Times New Roman" w:eastAsia="Calibri" w:hAnsi="Times New Roman" w:cs="Times New Roman"/>
          <w:b/>
          <w:sz w:val="24"/>
          <w:szCs w:val="24"/>
        </w:rPr>
        <w:t>DEFINITIONS</w:t>
      </w:r>
    </w:p>
    <w:p w:rsidR="00C03FE8" w:rsidRPr="00C1694A" w:rsidRDefault="00C03FE8" w:rsidP="00AC521C">
      <w:pPr>
        <w:spacing w:after="0" w:line="480" w:lineRule="auto"/>
        <w:contextualSpacing/>
        <w:rPr>
          <w:rFonts w:ascii="Times New Roman" w:eastAsia="Calibri" w:hAnsi="Times New Roman" w:cs="Times New Roman"/>
          <w:b/>
          <w:sz w:val="24"/>
          <w:szCs w:val="24"/>
        </w:rPr>
      </w:pPr>
    </w:p>
    <w:p w:rsidR="000B5E8D" w:rsidRPr="00C1694A" w:rsidRDefault="000B5E8D" w:rsidP="00AC521C">
      <w:pPr>
        <w:spacing w:after="0" w:line="480" w:lineRule="auto"/>
        <w:rPr>
          <w:rFonts w:ascii="Times New Roman" w:hAnsi="Times New Roman" w:cs="Times New Roman"/>
          <w:sz w:val="24"/>
        </w:rPr>
      </w:pPr>
      <w:r w:rsidRPr="00C1694A">
        <w:rPr>
          <w:rFonts w:ascii="Times New Roman" w:hAnsi="Times New Roman" w:cs="Times New Roman"/>
          <w:sz w:val="24"/>
        </w:rPr>
        <w:t>Sec.</w:t>
      </w:r>
    </w:p>
    <w:p w:rsidR="000B5E8D" w:rsidRPr="00C1694A" w:rsidRDefault="000B5E8D" w:rsidP="00AC521C">
      <w:pPr>
        <w:spacing w:after="0" w:line="480" w:lineRule="auto"/>
        <w:ind w:firstLine="720"/>
        <w:rPr>
          <w:rFonts w:ascii="Times New Roman" w:hAnsi="Times New Roman" w:cs="Times New Roman"/>
          <w:sz w:val="24"/>
        </w:rPr>
      </w:pPr>
    </w:p>
    <w:p w:rsidR="00887BBB" w:rsidRDefault="000B5E8D" w:rsidP="00AC521C">
      <w:pPr>
        <w:spacing w:after="0" w:line="480" w:lineRule="auto"/>
        <w:rPr>
          <w:rFonts w:ascii="Times New Roman" w:eastAsia="Calibri" w:hAnsi="Times New Roman" w:cs="Times New Roman"/>
          <w:sz w:val="24"/>
          <w:szCs w:val="24"/>
        </w:rPr>
      </w:pPr>
      <w:r w:rsidRPr="00C1694A">
        <w:rPr>
          <w:rFonts w:ascii="Times New Roman" w:eastAsia="Calibri" w:hAnsi="Times New Roman" w:cs="Times New Roman"/>
          <w:sz w:val="24"/>
          <w:szCs w:val="24"/>
        </w:rPr>
        <w:t xml:space="preserve">1305.1 </w:t>
      </w:r>
      <w:r w:rsidR="00887BBB">
        <w:rPr>
          <w:rFonts w:ascii="Times New Roman" w:eastAsia="Calibri" w:hAnsi="Times New Roman" w:cs="Times New Roman"/>
          <w:sz w:val="24"/>
          <w:szCs w:val="24"/>
        </w:rPr>
        <w:t>Purpose.</w:t>
      </w:r>
    </w:p>
    <w:p w:rsidR="000B5E8D" w:rsidRPr="00C1694A" w:rsidRDefault="00887BBB" w:rsidP="00AC521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1305.2 Terms</w:t>
      </w:r>
      <w:r w:rsidR="000B5E8D" w:rsidRPr="00C1694A">
        <w:rPr>
          <w:rFonts w:ascii="Times New Roman" w:eastAsia="Calibri" w:hAnsi="Times New Roman" w:cs="Times New Roman"/>
          <w:sz w:val="24"/>
          <w:szCs w:val="24"/>
        </w:rPr>
        <w:t xml:space="preserve">.  </w:t>
      </w:r>
    </w:p>
    <w:p w:rsidR="000B5E8D" w:rsidRPr="00C1694A" w:rsidRDefault="000B5E8D" w:rsidP="00AC521C">
      <w:pPr>
        <w:spacing w:after="0" w:line="480" w:lineRule="auto"/>
        <w:rPr>
          <w:rFonts w:ascii="Times New Roman" w:eastAsia="Calibri" w:hAnsi="Times New Roman" w:cs="Times New Roman"/>
          <w:b/>
          <w:sz w:val="24"/>
          <w:szCs w:val="24"/>
        </w:rPr>
      </w:pPr>
    </w:p>
    <w:p w:rsidR="000B5E8D" w:rsidRPr="00C1694A" w:rsidRDefault="000B5E8D" w:rsidP="00AC521C">
      <w:pPr>
        <w:spacing w:after="0" w:line="480" w:lineRule="auto"/>
        <w:rPr>
          <w:rFonts w:ascii="Times New Roman" w:hAnsi="Times New Roman" w:cs="Times New Roman"/>
          <w:sz w:val="24"/>
        </w:rPr>
      </w:pPr>
    </w:p>
    <w:p w:rsidR="000B5E8D" w:rsidRPr="00C1694A" w:rsidRDefault="000B5E8D" w:rsidP="00AC521C">
      <w:pPr>
        <w:spacing w:after="0" w:line="480" w:lineRule="auto"/>
        <w:rPr>
          <w:rFonts w:ascii="Times New Roman" w:eastAsia="Calibri" w:hAnsi="Times New Roman" w:cs="Times New Roman"/>
          <w:sz w:val="24"/>
          <w:szCs w:val="24"/>
        </w:rPr>
      </w:pPr>
      <w:r w:rsidRPr="00C1694A">
        <w:rPr>
          <w:rFonts w:ascii="Times New Roman" w:hAnsi="Times New Roman" w:cs="Times New Roman"/>
          <w:smallCaps/>
          <w:sz w:val="24"/>
          <w:szCs w:val="24"/>
        </w:rPr>
        <w:t>Authority:</w:t>
      </w:r>
      <w:r w:rsidRPr="00C1694A">
        <w:rPr>
          <w:rFonts w:ascii="Times New Roman" w:hAnsi="Times New Roman" w:cs="Times New Roman"/>
          <w:sz w:val="24"/>
          <w:szCs w:val="24"/>
        </w:rPr>
        <w:t xml:space="preserve"> 42 U.S.C. 9801 </w:t>
      </w:r>
      <w:r w:rsidRPr="00C1694A">
        <w:rPr>
          <w:rFonts w:ascii="Times New Roman" w:hAnsi="Times New Roman" w:cs="Times New Roman"/>
          <w:i/>
          <w:iCs/>
          <w:sz w:val="24"/>
          <w:szCs w:val="24"/>
        </w:rPr>
        <w:t>et seq.</w:t>
      </w:r>
    </w:p>
    <w:p w:rsidR="000B5E8D" w:rsidRPr="00C1694A" w:rsidRDefault="000B5E8D" w:rsidP="00AC521C">
      <w:pPr>
        <w:spacing w:after="0" w:line="480" w:lineRule="auto"/>
        <w:rPr>
          <w:rFonts w:ascii="Times New Roman" w:hAnsi="Times New Roman" w:cs="Times New Roman"/>
          <w:sz w:val="24"/>
        </w:rPr>
      </w:pPr>
    </w:p>
    <w:p w:rsidR="00887BBB" w:rsidRPr="00C1694A" w:rsidRDefault="00887BBB" w:rsidP="00887BBB">
      <w:pPr>
        <w:spacing w:after="0" w:line="480" w:lineRule="auto"/>
        <w:rPr>
          <w:rFonts w:ascii="Times New Roman" w:eastAsia="Calibri" w:hAnsi="Times New Roman" w:cs="Times New Roman"/>
          <w:b/>
          <w:sz w:val="24"/>
          <w:szCs w:val="24"/>
        </w:rPr>
      </w:pPr>
      <w:r w:rsidRPr="00C1694A">
        <w:rPr>
          <w:rStyle w:val="title1"/>
          <w:rFonts w:ascii="Times New Roman" w:hAnsi="Times New Roman" w:cs="Times New Roman"/>
          <w:b/>
          <w:color w:val="auto"/>
          <w:sz w:val="24"/>
          <w:specVanish w:val="0"/>
        </w:rPr>
        <w:t>§</w:t>
      </w:r>
      <w:r w:rsidRPr="00C1694A">
        <w:rPr>
          <w:rFonts w:ascii="Times New Roman" w:eastAsia="Calibri" w:hAnsi="Times New Roman" w:cs="Times New Roman"/>
          <w:b/>
          <w:sz w:val="24"/>
          <w:szCs w:val="24"/>
        </w:rPr>
        <w:t>1305.</w:t>
      </w:r>
      <w:r>
        <w:rPr>
          <w:rFonts w:ascii="Times New Roman" w:eastAsia="Calibri" w:hAnsi="Times New Roman" w:cs="Times New Roman"/>
          <w:b/>
          <w:sz w:val="24"/>
          <w:szCs w:val="24"/>
        </w:rPr>
        <w:t>1 Purpose</w:t>
      </w:r>
      <w:r w:rsidRPr="00C1694A">
        <w:rPr>
          <w:rFonts w:ascii="Times New Roman" w:eastAsia="Calibri" w:hAnsi="Times New Roman" w:cs="Times New Roman"/>
          <w:b/>
          <w:sz w:val="24"/>
          <w:szCs w:val="24"/>
        </w:rPr>
        <w:t xml:space="preserve">. </w:t>
      </w:r>
    </w:p>
    <w:p w:rsidR="000B5E8D" w:rsidRPr="00C1694A" w:rsidRDefault="00887BBB" w:rsidP="00AC521C">
      <w:pPr>
        <w:spacing w:after="0" w:line="480" w:lineRule="auto"/>
        <w:rPr>
          <w:rFonts w:ascii="Times New Roman" w:hAnsi="Times New Roman" w:cs="Times New Roman"/>
          <w:sz w:val="24"/>
        </w:rPr>
      </w:pPr>
      <w:r w:rsidRPr="00A9043C">
        <w:rPr>
          <w:rFonts w:ascii="Times New Roman" w:hAnsi="Times New Roman" w:cs="Times New Roman"/>
          <w:sz w:val="24"/>
        </w:rPr>
        <w:t xml:space="preserve">The purpose of this </w:t>
      </w:r>
      <w:r>
        <w:rPr>
          <w:rFonts w:ascii="Times New Roman" w:hAnsi="Times New Roman" w:cs="Times New Roman"/>
          <w:sz w:val="24"/>
        </w:rPr>
        <w:t>part</w:t>
      </w:r>
      <w:r w:rsidRPr="00A9043C">
        <w:rPr>
          <w:rFonts w:ascii="Times New Roman" w:hAnsi="Times New Roman" w:cs="Times New Roman"/>
          <w:sz w:val="24"/>
        </w:rPr>
        <w:t xml:space="preserve"> is to define </w:t>
      </w:r>
      <w:r>
        <w:rPr>
          <w:rFonts w:ascii="Times New Roman" w:hAnsi="Times New Roman" w:cs="Times New Roman"/>
          <w:sz w:val="24"/>
        </w:rPr>
        <w:t>terms for the purposes of this subchapter.</w:t>
      </w:r>
    </w:p>
    <w:p w:rsidR="000B5E8D" w:rsidRPr="00C1694A" w:rsidRDefault="000B5E8D" w:rsidP="00AC521C">
      <w:pPr>
        <w:spacing w:after="0" w:line="480" w:lineRule="auto"/>
        <w:rPr>
          <w:rFonts w:ascii="Times New Roman" w:eastAsia="Calibri" w:hAnsi="Times New Roman" w:cs="Times New Roman"/>
          <w:b/>
          <w:sz w:val="24"/>
          <w:szCs w:val="24"/>
        </w:rPr>
      </w:pPr>
      <w:r w:rsidRPr="00C1694A">
        <w:rPr>
          <w:rStyle w:val="title1"/>
          <w:rFonts w:ascii="Times New Roman" w:hAnsi="Times New Roman" w:cs="Times New Roman"/>
          <w:b/>
          <w:color w:val="auto"/>
          <w:sz w:val="24"/>
          <w:specVanish w:val="0"/>
        </w:rPr>
        <w:t>§</w:t>
      </w:r>
      <w:r w:rsidRPr="00C1694A">
        <w:rPr>
          <w:rFonts w:ascii="Times New Roman" w:eastAsia="Calibri" w:hAnsi="Times New Roman" w:cs="Times New Roman"/>
          <w:b/>
          <w:sz w:val="24"/>
          <w:szCs w:val="24"/>
        </w:rPr>
        <w:t>1305.</w:t>
      </w:r>
      <w:r w:rsidR="00887BBB">
        <w:rPr>
          <w:rFonts w:ascii="Times New Roman" w:eastAsia="Calibri" w:hAnsi="Times New Roman" w:cs="Times New Roman"/>
          <w:b/>
          <w:sz w:val="24"/>
          <w:szCs w:val="24"/>
        </w:rPr>
        <w:t>2</w:t>
      </w:r>
      <w:r w:rsidRPr="00C1694A">
        <w:rPr>
          <w:rFonts w:ascii="Times New Roman" w:eastAsia="Calibri" w:hAnsi="Times New Roman" w:cs="Times New Roman"/>
          <w:b/>
          <w:sz w:val="24"/>
          <w:szCs w:val="24"/>
        </w:rPr>
        <w:t xml:space="preserve"> </w:t>
      </w:r>
      <w:r w:rsidR="00887BBB">
        <w:rPr>
          <w:rFonts w:ascii="Times New Roman" w:eastAsia="Calibri" w:hAnsi="Times New Roman" w:cs="Times New Roman"/>
          <w:b/>
          <w:sz w:val="24"/>
          <w:szCs w:val="24"/>
        </w:rPr>
        <w:t>Terms</w:t>
      </w:r>
      <w:r w:rsidRPr="00C1694A">
        <w:rPr>
          <w:rFonts w:ascii="Times New Roman" w:eastAsia="Calibri" w:hAnsi="Times New Roman" w:cs="Times New Roman"/>
          <w:b/>
          <w:sz w:val="24"/>
          <w:szCs w:val="24"/>
        </w:rPr>
        <w:t xml:space="preserve">. </w:t>
      </w:r>
    </w:p>
    <w:p w:rsidR="000B5E8D" w:rsidRPr="00C1694A" w:rsidRDefault="000B5E8D" w:rsidP="00AC521C">
      <w:pPr>
        <w:spacing w:after="0" w:line="480" w:lineRule="auto"/>
        <w:rPr>
          <w:rFonts w:ascii="Times New Roman" w:eastAsia="Calibri" w:hAnsi="Times New Roman" w:cs="Times New Roman"/>
          <w:b/>
          <w:sz w:val="24"/>
          <w:szCs w:val="24"/>
        </w:rPr>
      </w:pPr>
    </w:p>
    <w:p w:rsidR="000B5E8D" w:rsidRPr="00C1694A" w:rsidRDefault="000B5E8D" w:rsidP="00AC521C">
      <w:pPr>
        <w:spacing w:after="0" w:line="480" w:lineRule="auto"/>
        <w:rPr>
          <w:rFonts w:ascii="Times New Roman" w:hAnsi="Times New Roman" w:cs="Times New Roman"/>
          <w:sz w:val="24"/>
        </w:rPr>
      </w:pPr>
      <w:r w:rsidRPr="00C1694A">
        <w:rPr>
          <w:rFonts w:ascii="Times New Roman" w:hAnsi="Times New Roman" w:cs="Times New Roman"/>
          <w:sz w:val="24"/>
        </w:rPr>
        <w:tab/>
        <w:t xml:space="preserve">For the purposes of this subchapter, the following definitions apply: </w:t>
      </w:r>
    </w:p>
    <w:p w:rsidR="000B5E8D" w:rsidRPr="00C1694A" w:rsidRDefault="000B5E8D" w:rsidP="00AC521C">
      <w:pPr>
        <w:spacing w:after="0" w:line="480" w:lineRule="auto"/>
        <w:rPr>
          <w:rFonts w:ascii="Times New Roman" w:hAnsi="Times New Roman" w:cs="Times New Roman"/>
          <w:sz w:val="24"/>
        </w:rPr>
      </w:pP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ACF</w:t>
      </w:r>
      <w:r w:rsidRPr="00C1694A">
        <w:rPr>
          <w:rFonts w:ascii="Times New Roman" w:hAnsi="Times New Roman" w:cs="Times New Roman"/>
          <w:sz w:val="24"/>
          <w:szCs w:val="24"/>
        </w:rPr>
        <w:t xml:space="preserve"> means the Administration for Children and Families in the Department of Health and Human Services. </w:t>
      </w:r>
    </w:p>
    <w:p w:rsidR="00C03FE8" w:rsidRPr="00C1694A" w:rsidRDefault="00C03FE8" w:rsidP="00AC521C">
      <w:pPr>
        <w:tabs>
          <w:tab w:val="left" w:pos="0"/>
        </w:tabs>
        <w:spacing w:after="0" w:line="480" w:lineRule="auto"/>
        <w:rPr>
          <w:rFonts w:ascii="Times New Roman" w:hAnsi="Times New Roman" w:cs="Times New Roman"/>
          <w:sz w:val="24"/>
          <w:szCs w:val="24"/>
        </w:rPr>
      </w:pP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Act</w:t>
      </w:r>
      <w:r w:rsidRPr="00C1694A">
        <w:rPr>
          <w:rFonts w:ascii="Times New Roman" w:hAnsi="Times New Roman" w:cs="Times New Roman"/>
          <w:sz w:val="24"/>
          <w:szCs w:val="24"/>
        </w:rPr>
        <w:t xml:space="preserve"> means the Head Start Act, </w:t>
      </w:r>
      <w:r w:rsidR="00887BBB" w:rsidRPr="009919C3">
        <w:rPr>
          <w:rFonts w:ascii="Times New Roman" w:hAnsi="Times New Roman"/>
          <w:sz w:val="24"/>
          <w:szCs w:val="24"/>
        </w:rPr>
        <w:t xml:space="preserve">Sec. 635 </w:t>
      </w:r>
      <w:r w:rsidR="00887BBB" w:rsidRPr="009919C3">
        <w:rPr>
          <w:rFonts w:ascii="Times New Roman" w:hAnsi="Times New Roman"/>
          <w:i/>
          <w:iCs/>
          <w:sz w:val="24"/>
          <w:szCs w:val="24"/>
        </w:rPr>
        <w:t>et seq</w:t>
      </w:r>
      <w:r w:rsidR="00887BBB" w:rsidRPr="009919C3">
        <w:rPr>
          <w:rFonts w:ascii="Times New Roman" w:hAnsi="Times New Roman"/>
          <w:sz w:val="24"/>
          <w:szCs w:val="24"/>
        </w:rPr>
        <w:t>., Pub. L. 97-35, 95 Stat. 499-511 (codified as amended at</w:t>
      </w:r>
      <w:r w:rsidR="00887BBB" w:rsidRPr="00C1694A">
        <w:rPr>
          <w:rFonts w:ascii="Times New Roman" w:hAnsi="Times New Roman" w:cs="Times New Roman"/>
          <w:sz w:val="24"/>
          <w:szCs w:val="24"/>
        </w:rPr>
        <w:t xml:space="preserve"> </w:t>
      </w:r>
      <w:r w:rsidRPr="00C1694A">
        <w:rPr>
          <w:rFonts w:ascii="Times New Roman" w:hAnsi="Times New Roman" w:cs="Times New Roman"/>
          <w:sz w:val="24"/>
          <w:szCs w:val="24"/>
        </w:rPr>
        <w:t>42 U.S.C. Section 98</w:t>
      </w:r>
      <w:r w:rsidR="00887BBB">
        <w:rPr>
          <w:rFonts w:ascii="Times New Roman" w:hAnsi="Times New Roman" w:cs="Times New Roman"/>
          <w:sz w:val="24"/>
          <w:szCs w:val="24"/>
        </w:rPr>
        <w:t>0</w:t>
      </w:r>
      <w:r w:rsidRPr="00C1694A">
        <w:rPr>
          <w:rFonts w:ascii="Times New Roman" w:hAnsi="Times New Roman" w:cs="Times New Roman"/>
          <w:sz w:val="24"/>
          <w:szCs w:val="24"/>
        </w:rPr>
        <w:t xml:space="preserve">1, </w:t>
      </w:r>
      <w:r w:rsidRPr="00AC521C">
        <w:rPr>
          <w:rFonts w:ascii="Times New Roman" w:hAnsi="Times New Roman" w:cs="Times New Roman"/>
          <w:i/>
          <w:sz w:val="24"/>
          <w:szCs w:val="24"/>
        </w:rPr>
        <w:t>et seq</w:t>
      </w:r>
      <w:r w:rsidRPr="00C1694A">
        <w:rPr>
          <w:rFonts w:ascii="Times New Roman" w:hAnsi="Times New Roman" w:cs="Times New Roman"/>
          <w:sz w:val="24"/>
          <w:szCs w:val="24"/>
        </w:rPr>
        <w:t>.</w:t>
      </w:r>
      <w:r w:rsidR="00887BBB">
        <w:rPr>
          <w:rFonts w:ascii="Times New Roman" w:hAnsi="Times New Roman" w:cs="Times New Roman"/>
          <w:sz w:val="24"/>
          <w:szCs w:val="24"/>
        </w:rPr>
        <w:t>).</w:t>
      </w:r>
      <w:r w:rsidRPr="00C1694A">
        <w:rPr>
          <w:rFonts w:ascii="Times New Roman" w:hAnsi="Times New Roman" w:cs="Times New Roman"/>
          <w:sz w:val="24"/>
          <w:szCs w:val="24"/>
        </w:rPr>
        <w:t xml:space="preserve"> </w:t>
      </w:r>
    </w:p>
    <w:p w:rsidR="00C03FE8" w:rsidRPr="00C1694A" w:rsidRDefault="00C03FE8" w:rsidP="00AC521C">
      <w:pPr>
        <w:tabs>
          <w:tab w:val="left" w:pos="0"/>
        </w:tabs>
        <w:spacing w:after="0" w:line="480" w:lineRule="auto"/>
        <w:rPr>
          <w:rFonts w:ascii="Times New Roman" w:hAnsi="Times New Roman" w:cs="Times New Roman"/>
          <w:b/>
          <w:sz w:val="24"/>
          <w:szCs w:val="24"/>
        </w:rPr>
      </w:pP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Agency</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means the body that receives the Head Start grant.</w:t>
      </w:r>
    </w:p>
    <w:p w:rsidR="00C03FE8" w:rsidRPr="00C1694A" w:rsidRDefault="00C03FE8" w:rsidP="00AC521C">
      <w:pPr>
        <w:tabs>
          <w:tab w:val="left" w:pos="0"/>
        </w:tabs>
        <w:spacing w:after="0" w:line="480" w:lineRule="auto"/>
        <w:rPr>
          <w:rFonts w:ascii="Times New Roman" w:hAnsi="Times New Roman" w:cs="Times New Roman"/>
          <w:b/>
          <w:sz w:val="24"/>
          <w:szCs w:val="24"/>
        </w:rPr>
      </w:pP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r w:rsidRPr="00AC521C">
        <w:rPr>
          <w:rFonts w:ascii="Times New Roman" w:eastAsia="Times New Roman" w:hAnsi="Times New Roman" w:cs="Times New Roman"/>
          <w:i/>
          <w:iCs/>
          <w:sz w:val="24"/>
          <w:szCs w:val="24"/>
        </w:rPr>
        <w:t>Aggregate child-level assessment data</w:t>
      </w:r>
      <w:r w:rsidRPr="00C1694A">
        <w:rPr>
          <w:rFonts w:ascii="Times New Roman" w:eastAsia="Times New Roman" w:hAnsi="Times New Roman" w:cs="Times New Roman"/>
          <w:sz w:val="24"/>
          <w:szCs w:val="24"/>
        </w:rPr>
        <w:t xml:space="preserve"> means the data collected by an agency on the status and progress of the children it serves that have been combined to provide summary information about groups of children enrolled in specific classes, centers, home-based or other options, groups or settings, or other groups of children such as dual language learners, or to provide summary information by specific domains of development.</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Allowable alternate vehicle</w:t>
      </w:r>
      <w:r w:rsidRPr="00C1694A">
        <w:rPr>
          <w:rFonts w:ascii="Times New Roman" w:hAnsi="Times New Roman" w:cs="Times New Roman"/>
          <w:sz w:val="24"/>
          <w:szCs w:val="24"/>
        </w:rPr>
        <w:t xml:space="preserve"> means a vehicle designed for carrying eleven or more people, including the driver, that meets all the Federal Motor Vehicle Safety Standards applicable to school buses, except 49 CFR 571.108 and 571.131.</w:t>
      </w:r>
    </w:p>
    <w:p w:rsidR="00C03FE8" w:rsidRPr="00C1694A" w:rsidRDefault="00C03FE8" w:rsidP="00AC521C">
      <w:pPr>
        <w:tabs>
          <w:tab w:val="left" w:pos="0"/>
        </w:tabs>
        <w:spacing w:after="0" w:line="480" w:lineRule="auto"/>
        <w:rPr>
          <w:rFonts w:ascii="Times New Roman" w:hAnsi="Times New Roman" w:cs="Times New Roman"/>
          <w:sz w:val="24"/>
          <w:szCs w:val="24"/>
        </w:rPr>
      </w:pP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Budget period</w:t>
      </w:r>
      <w:r w:rsidRPr="00C1694A">
        <w:rPr>
          <w:rFonts w:ascii="Times New Roman" w:hAnsi="Times New Roman" w:cs="Times New Roman"/>
          <w:sz w:val="24"/>
          <w:szCs w:val="24"/>
        </w:rPr>
        <w:t xml:space="preserve"> means the interval of time, into which a multi-year period of assistance (project period) is divided for budgetary and funding purposes.</w:t>
      </w:r>
    </w:p>
    <w:p w:rsidR="0018477B" w:rsidRPr="00C1694A" w:rsidRDefault="0018477B" w:rsidP="00AC521C">
      <w:pPr>
        <w:shd w:val="clear" w:color="auto" w:fill="FFFFFF"/>
        <w:spacing w:after="0" w:line="480" w:lineRule="auto"/>
        <w:ind w:right="300"/>
        <w:rPr>
          <w:rFonts w:ascii="Times New Roman" w:eastAsia="Times New Roman" w:hAnsi="Times New Roman" w:cs="Times New Roman"/>
          <w:b/>
          <w:iCs/>
          <w:sz w:val="24"/>
          <w:szCs w:val="24"/>
        </w:rPr>
      </w:pPr>
    </w:p>
    <w:p w:rsidR="0018477B" w:rsidRPr="00C1694A" w:rsidRDefault="0018477B" w:rsidP="00AC521C">
      <w:pPr>
        <w:shd w:val="clear" w:color="auto" w:fill="FFFFFF"/>
        <w:spacing w:after="0" w:line="480" w:lineRule="auto"/>
        <w:ind w:right="300"/>
        <w:rPr>
          <w:rFonts w:ascii="Times New Roman" w:eastAsia="Times New Roman" w:hAnsi="Times New Roman" w:cs="Times New Roman"/>
          <w:iCs/>
          <w:sz w:val="24"/>
          <w:szCs w:val="24"/>
        </w:rPr>
      </w:pPr>
      <w:r w:rsidRPr="00AC521C">
        <w:rPr>
          <w:rFonts w:ascii="Times New Roman" w:eastAsia="Times New Roman" w:hAnsi="Times New Roman" w:cs="Times New Roman"/>
          <w:i/>
          <w:iCs/>
          <w:sz w:val="24"/>
          <w:szCs w:val="24"/>
        </w:rPr>
        <w:t>Case plan</w:t>
      </w:r>
      <w:r w:rsidRPr="00C1694A">
        <w:rPr>
          <w:rFonts w:ascii="Times New Roman" w:eastAsia="Times New Roman" w:hAnsi="Times New Roman" w:cs="Times New Roman"/>
          <w:b/>
          <w:iCs/>
          <w:sz w:val="24"/>
          <w:szCs w:val="24"/>
        </w:rPr>
        <w:t xml:space="preserve"> </w:t>
      </w:r>
      <w:r w:rsidRPr="00C1694A">
        <w:rPr>
          <w:rFonts w:ascii="Times New Roman" w:eastAsia="Times New Roman" w:hAnsi="Times New Roman" w:cs="Times New Roman"/>
          <w:iCs/>
          <w:sz w:val="24"/>
          <w:szCs w:val="24"/>
        </w:rPr>
        <w:t>is defined as presented in 42 U.S.C. 675(1) which, in summary, is a written document that must include a number of specified items including, but is not limited to, a plan for safe and proper care of the child in foster care placement, health records, and a plan for ensuring the educational stability of the child in foster care.</w:t>
      </w:r>
    </w:p>
    <w:p w:rsidR="0018477B" w:rsidRPr="00C1694A" w:rsidRDefault="0018477B" w:rsidP="00AC521C">
      <w:pPr>
        <w:shd w:val="clear" w:color="auto" w:fill="FFFFFF"/>
        <w:spacing w:after="0" w:line="480" w:lineRule="auto"/>
        <w:ind w:right="300"/>
        <w:rPr>
          <w:rFonts w:ascii="Times New Roman" w:eastAsia="Times New Roman" w:hAnsi="Times New Roman" w:cs="Times New Roman"/>
          <w:iCs/>
          <w:sz w:val="24"/>
          <w:szCs w:val="24"/>
        </w:rPr>
      </w:pP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r w:rsidRPr="00AC521C">
        <w:rPr>
          <w:rFonts w:ascii="Times New Roman" w:eastAsia="Times New Roman" w:hAnsi="Times New Roman" w:cs="Times New Roman"/>
          <w:i/>
          <w:iCs/>
          <w:sz w:val="24"/>
          <w:szCs w:val="24"/>
        </w:rPr>
        <w:t>Child-level assessment data</w:t>
      </w:r>
      <w:r w:rsidRPr="00C1694A">
        <w:rPr>
          <w:rFonts w:ascii="Times New Roman" w:eastAsia="Times New Roman" w:hAnsi="Times New Roman" w:cs="Times New Roman"/>
          <w:sz w:val="24"/>
          <w:szCs w:val="24"/>
        </w:rPr>
        <w:t xml:space="preserve"> means the data collected by an agency on an individual child from one or more valid and reliable assessments of a child's status and progress, including but not limited to direct assessment, structured observations, checklists, staff or parent report measures, and portfolio records or work samples.</w:t>
      </w:r>
    </w:p>
    <w:p w:rsidR="00C03FE8" w:rsidRPr="00C1694A" w:rsidRDefault="00C03FE8" w:rsidP="00AC521C">
      <w:pPr>
        <w:tabs>
          <w:tab w:val="left" w:pos="0"/>
        </w:tabs>
        <w:spacing w:after="0" w:line="480" w:lineRule="auto"/>
        <w:rPr>
          <w:rFonts w:ascii="Times New Roman" w:hAnsi="Times New Roman" w:cs="Times New Roman"/>
          <w:b/>
          <w:sz w:val="24"/>
          <w:szCs w:val="24"/>
        </w:rPr>
      </w:pPr>
    </w:p>
    <w:p w:rsidR="00770863"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Child records</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means records that: </w:t>
      </w:r>
    </w:p>
    <w:p w:rsidR="00770863" w:rsidRDefault="00C03FE8" w:rsidP="00AC521C">
      <w:pPr>
        <w:tabs>
          <w:tab w:val="left" w:pos="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(1) </w:t>
      </w:r>
      <w:r w:rsidR="00770863">
        <w:rPr>
          <w:rFonts w:ascii="Times New Roman" w:hAnsi="Times New Roman" w:cs="Times New Roman"/>
          <w:sz w:val="24"/>
          <w:szCs w:val="24"/>
        </w:rPr>
        <w:t>A</w:t>
      </w:r>
      <w:r w:rsidRPr="00C1694A">
        <w:rPr>
          <w:rFonts w:ascii="Times New Roman" w:hAnsi="Times New Roman" w:cs="Times New Roman"/>
          <w:sz w:val="24"/>
          <w:szCs w:val="24"/>
        </w:rPr>
        <w:t xml:space="preserve">re directly related to the child; </w:t>
      </w:r>
    </w:p>
    <w:p w:rsidR="00770863" w:rsidRDefault="00C03FE8" w:rsidP="00AC521C">
      <w:pPr>
        <w:tabs>
          <w:tab w:val="left" w:pos="0"/>
        </w:tabs>
        <w:spacing w:after="0" w:line="480" w:lineRule="auto"/>
        <w:rPr>
          <w:rFonts w:ascii="Times New Roman" w:hAnsi="Times New Roman" w:cs="Times New Roman"/>
          <w:sz w:val="24"/>
          <w:szCs w:val="24"/>
        </w:rPr>
      </w:pPr>
      <w:r w:rsidRPr="00C1694A">
        <w:rPr>
          <w:rFonts w:ascii="Times New Roman" w:hAnsi="Times New Roman" w:cs="Times New Roman"/>
          <w:sz w:val="24"/>
          <w:szCs w:val="24"/>
        </w:rPr>
        <w:t xml:space="preserve">(2) </w:t>
      </w:r>
      <w:r w:rsidR="00770863">
        <w:rPr>
          <w:rFonts w:ascii="Times New Roman" w:hAnsi="Times New Roman" w:cs="Times New Roman"/>
          <w:sz w:val="24"/>
          <w:szCs w:val="24"/>
        </w:rPr>
        <w:t>A</w:t>
      </w:r>
      <w:r w:rsidRPr="00C1694A">
        <w:rPr>
          <w:rFonts w:ascii="Times New Roman" w:hAnsi="Times New Roman" w:cs="Times New Roman"/>
          <w:sz w:val="24"/>
          <w:szCs w:val="24"/>
        </w:rPr>
        <w:t xml:space="preserve">re maintained by the program, or by a party acting for the program; and </w:t>
      </w:r>
    </w:p>
    <w:p w:rsidR="00C03FE8" w:rsidRPr="00C1694A" w:rsidRDefault="00C03FE8" w:rsidP="00AC521C">
      <w:pPr>
        <w:tabs>
          <w:tab w:val="left" w:pos="0"/>
        </w:tabs>
        <w:spacing w:after="0" w:line="480" w:lineRule="auto"/>
        <w:rPr>
          <w:rFonts w:ascii="Times New Roman" w:hAnsi="Times New Roman" w:cs="Times New Roman"/>
          <w:b/>
          <w:sz w:val="24"/>
          <w:szCs w:val="24"/>
        </w:rPr>
      </w:pPr>
      <w:r w:rsidRPr="00C1694A">
        <w:rPr>
          <w:rFonts w:ascii="Times New Roman" w:hAnsi="Times New Roman" w:cs="Times New Roman"/>
          <w:sz w:val="24"/>
          <w:szCs w:val="24"/>
        </w:rPr>
        <w:t xml:space="preserve">(3) </w:t>
      </w:r>
      <w:r w:rsidR="00770863">
        <w:rPr>
          <w:rFonts w:ascii="Times New Roman" w:hAnsi="Times New Roman" w:cs="Times New Roman"/>
          <w:sz w:val="24"/>
          <w:szCs w:val="24"/>
        </w:rPr>
        <w:t>I</w:t>
      </w:r>
      <w:r w:rsidRPr="00C1694A">
        <w:rPr>
          <w:rFonts w:ascii="Times New Roman" w:hAnsi="Times New Roman" w:cs="Times New Roman"/>
          <w:sz w:val="24"/>
          <w:szCs w:val="24"/>
        </w:rPr>
        <w:t>nclude information recorded in any way, such as print, electronic, or digital means, including media, video, image, or audio format.</w:t>
      </w:r>
    </w:p>
    <w:p w:rsidR="00C03FE8" w:rsidRPr="00C1694A" w:rsidRDefault="00C03FE8" w:rsidP="00AC521C">
      <w:pPr>
        <w:tabs>
          <w:tab w:val="left" w:pos="0"/>
        </w:tabs>
        <w:spacing w:after="0" w:line="480" w:lineRule="auto"/>
        <w:rPr>
          <w:rFonts w:ascii="Times New Roman" w:hAnsi="Times New Roman" w:cs="Times New Roman"/>
          <w:b/>
          <w:sz w:val="24"/>
          <w:szCs w:val="24"/>
        </w:rPr>
      </w:pP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Child restraint system</w:t>
      </w:r>
      <w:r w:rsidRPr="00C1694A">
        <w:rPr>
          <w:rFonts w:ascii="Times New Roman" w:hAnsi="Times New Roman" w:cs="Times New Roman"/>
          <w:sz w:val="24"/>
          <w:szCs w:val="24"/>
        </w:rPr>
        <w:t xml:space="preserve"> means any device designed to restrain, seat, or position children that meets the current requirements of Federal Motor Vehicle Safety Standard No. 213, Child Restraint Systems, 49 CFR 571.213, for children in the weight category established under the regulation, or any device designed to restrain, seat, or position children, other than a Type I seat belt as defined at 49 CFR 571.209, for children not in the weight category currently established by 49 CFR 571.213. </w:t>
      </w:r>
    </w:p>
    <w:p w:rsidR="00887BBB" w:rsidRPr="00010D2E" w:rsidRDefault="00887BBB" w:rsidP="00887BBB">
      <w:pPr>
        <w:tabs>
          <w:tab w:val="left" w:pos="0"/>
        </w:tabs>
        <w:spacing w:after="0" w:line="480" w:lineRule="auto"/>
        <w:rPr>
          <w:rFonts w:ascii="Times New Roman" w:hAnsi="Times New Roman" w:cs="Times New Roman"/>
          <w:b/>
          <w:sz w:val="24"/>
          <w:szCs w:val="24"/>
        </w:rPr>
      </w:pPr>
      <w:r>
        <w:rPr>
          <w:rFonts w:ascii="Times New Roman" w:hAnsi="Times New Roman" w:cs="Times New Roman"/>
          <w:i/>
          <w:sz w:val="24"/>
          <w:szCs w:val="24"/>
        </w:rPr>
        <w:t>C</w:t>
      </w:r>
      <w:r w:rsidRPr="00C1694A">
        <w:rPr>
          <w:rFonts w:ascii="Times New Roman" w:hAnsi="Times New Roman" w:cs="Times New Roman"/>
          <w:i/>
          <w:sz w:val="24"/>
          <w:szCs w:val="24"/>
        </w:rPr>
        <w:t>hild with a disability</w:t>
      </w:r>
      <w:r>
        <w:rPr>
          <w:rFonts w:ascii="Times New Roman" w:hAnsi="Times New Roman" w:cs="Times New Roman"/>
          <w:sz w:val="24"/>
          <w:szCs w:val="24"/>
        </w:rPr>
        <w:t xml:space="preserve"> is defined in </w:t>
      </w:r>
      <w:r w:rsidRPr="00C1694A">
        <w:rPr>
          <w:rFonts w:ascii="Times New Roman" w:hAnsi="Times New Roman" w:cs="Times New Roman"/>
          <w:sz w:val="24"/>
          <w:szCs w:val="24"/>
        </w:rPr>
        <w:t>the same manner as presented in the Head Start Act, 42 U.S.C. 9801</w:t>
      </w:r>
      <w:r>
        <w:rPr>
          <w:rFonts w:ascii="Times New Roman" w:hAnsi="Times New Roman" w:cs="Times New Roman"/>
          <w:sz w:val="24"/>
          <w:szCs w:val="24"/>
        </w:rPr>
        <w:t>.</w:t>
      </w:r>
    </w:p>
    <w:p w:rsidR="00887BBB" w:rsidRPr="001E00C8" w:rsidRDefault="00887BBB" w:rsidP="00887BBB">
      <w:pPr>
        <w:tabs>
          <w:tab w:val="left" w:pos="0"/>
        </w:tabs>
        <w:spacing w:after="0" w:line="480" w:lineRule="auto"/>
        <w:rPr>
          <w:rFonts w:ascii="Times New Roman" w:hAnsi="Times New Roman" w:cs="Times New Roman"/>
          <w:sz w:val="24"/>
          <w:szCs w:val="24"/>
        </w:rPr>
      </w:pPr>
    </w:p>
    <w:p w:rsidR="00887BBB" w:rsidRPr="00480E9D" w:rsidRDefault="00887BBB" w:rsidP="00887BBB">
      <w:pPr>
        <w:spacing w:line="480" w:lineRule="auto"/>
        <w:rPr>
          <w:rFonts w:ascii="Times New Roman" w:hAnsi="Times New Roman" w:cs="Times New Roman"/>
          <w:sz w:val="24"/>
          <w:szCs w:val="24"/>
        </w:rPr>
      </w:pPr>
      <w:r w:rsidRPr="001E00C8">
        <w:rPr>
          <w:rFonts w:ascii="Times New Roman" w:hAnsi="Times New Roman" w:cs="Times New Roman"/>
          <w:i/>
          <w:sz w:val="24"/>
          <w:szCs w:val="24"/>
        </w:rPr>
        <w:t>CLASS: Pre-K</w:t>
      </w:r>
      <w:r w:rsidRPr="001E00C8">
        <w:rPr>
          <w:rFonts w:ascii="Times New Roman" w:hAnsi="Times New Roman" w:cs="Times New Roman"/>
          <w:sz w:val="24"/>
          <w:szCs w:val="24"/>
        </w:rPr>
        <w:t xml:space="preserve"> </w:t>
      </w:r>
      <w:r w:rsidRPr="00480E9D">
        <w:rPr>
          <w:rFonts w:ascii="Times New Roman" w:hAnsi="Times New Roman" w:cs="Times New Roman"/>
          <w:sz w:val="24"/>
          <w:szCs w:val="24"/>
        </w:rPr>
        <w:t xml:space="preserve">means The Classroom Assessment Scoring System (CLASS).  The CLASS is an observational instrument that assesses classroom quality in preschool through third grade classrooms.  This tool meets the requirements described in 641(c)(1)(D) and 641A(c)(2)(F) of the Head Start Act (42 U.S.C. 9836(c)(1)(D) and 9836a(c)(2)(F)). The CLASS assesses three domains of classroom experience: Emotional Support, Classroom Organization, and Instructional Support.  </w:t>
      </w:r>
    </w:p>
    <w:p w:rsidR="00887BBB" w:rsidRPr="00480E9D" w:rsidRDefault="00887BBB" w:rsidP="00887BBB">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480E9D">
        <w:rPr>
          <w:rFonts w:ascii="Times New Roman" w:hAnsi="Times New Roman" w:cs="Times New Roman"/>
          <w:sz w:val="24"/>
          <w:szCs w:val="24"/>
        </w:rPr>
        <w:t xml:space="preserve">Emotional Support measures children’s social and emotional functioning in the classroom, and includes four dimensions: Positive Climate, Negative Climate, Teacher Sensitivity and </w:t>
      </w:r>
      <w:r>
        <w:rPr>
          <w:rFonts w:ascii="Times New Roman" w:hAnsi="Times New Roman" w:cs="Times New Roman"/>
          <w:sz w:val="24"/>
          <w:szCs w:val="24"/>
        </w:rPr>
        <w:t xml:space="preserve">Regard for </w:t>
      </w:r>
      <w:r w:rsidRPr="00480E9D">
        <w:rPr>
          <w:rFonts w:ascii="Times New Roman" w:hAnsi="Times New Roman" w:cs="Times New Roman"/>
          <w:sz w:val="24"/>
          <w:szCs w:val="24"/>
        </w:rPr>
        <w:t xml:space="preserve">Student Perspectives. Positive Climate </w:t>
      </w:r>
      <w:r>
        <w:rPr>
          <w:rFonts w:ascii="Times New Roman" w:hAnsi="Times New Roman" w:cs="Times New Roman"/>
          <w:sz w:val="24"/>
          <w:szCs w:val="24"/>
        </w:rPr>
        <w:t>addresses</w:t>
      </w:r>
      <w:r w:rsidRPr="00480E9D">
        <w:rPr>
          <w:rFonts w:ascii="Times New Roman" w:hAnsi="Times New Roman" w:cs="Times New Roman"/>
          <w:sz w:val="24"/>
          <w:szCs w:val="24"/>
        </w:rPr>
        <w:t xml:space="preserve"> the emotional connection, respect, and enjoyment demonstrated between teachers and </w:t>
      </w:r>
      <w:r>
        <w:rPr>
          <w:rFonts w:ascii="Times New Roman" w:hAnsi="Times New Roman" w:cs="Times New Roman"/>
          <w:sz w:val="24"/>
          <w:szCs w:val="24"/>
        </w:rPr>
        <w:t>children</w:t>
      </w:r>
      <w:r w:rsidRPr="00480E9D">
        <w:rPr>
          <w:rFonts w:ascii="Times New Roman" w:hAnsi="Times New Roman" w:cs="Times New Roman"/>
          <w:sz w:val="24"/>
          <w:szCs w:val="24"/>
        </w:rPr>
        <w:t xml:space="preserve"> and among </w:t>
      </w:r>
      <w:r>
        <w:rPr>
          <w:rFonts w:ascii="Times New Roman" w:hAnsi="Times New Roman" w:cs="Times New Roman"/>
          <w:sz w:val="24"/>
          <w:szCs w:val="24"/>
        </w:rPr>
        <w:t>children</w:t>
      </w:r>
      <w:r w:rsidRPr="00480E9D">
        <w:rPr>
          <w:rFonts w:ascii="Times New Roman" w:hAnsi="Times New Roman" w:cs="Times New Roman"/>
          <w:sz w:val="24"/>
          <w:szCs w:val="24"/>
        </w:rPr>
        <w:t xml:space="preserve">. Negative Climate </w:t>
      </w:r>
      <w:r>
        <w:rPr>
          <w:rFonts w:ascii="Times New Roman" w:hAnsi="Times New Roman" w:cs="Times New Roman"/>
          <w:sz w:val="24"/>
          <w:szCs w:val="24"/>
        </w:rPr>
        <w:t>addresses</w:t>
      </w:r>
      <w:r w:rsidRPr="00480E9D">
        <w:rPr>
          <w:rFonts w:ascii="Times New Roman" w:hAnsi="Times New Roman" w:cs="Times New Roman"/>
          <w:sz w:val="24"/>
          <w:szCs w:val="24"/>
        </w:rPr>
        <w:t xml:space="preserve"> the level of expressed negativity such as anger, hostility, or aggression exhibited by teachers and/or </w:t>
      </w:r>
      <w:r>
        <w:rPr>
          <w:rFonts w:ascii="Times New Roman" w:hAnsi="Times New Roman" w:cs="Times New Roman"/>
          <w:sz w:val="24"/>
          <w:szCs w:val="24"/>
        </w:rPr>
        <w:t>children</w:t>
      </w:r>
      <w:r w:rsidRPr="00480E9D">
        <w:rPr>
          <w:rFonts w:ascii="Times New Roman" w:hAnsi="Times New Roman" w:cs="Times New Roman"/>
          <w:sz w:val="24"/>
          <w:szCs w:val="24"/>
        </w:rPr>
        <w:t xml:space="preserve"> in the classroom. Teacher Sensitivity </w:t>
      </w:r>
      <w:r>
        <w:rPr>
          <w:rFonts w:ascii="Times New Roman" w:hAnsi="Times New Roman" w:cs="Times New Roman"/>
          <w:sz w:val="24"/>
          <w:szCs w:val="24"/>
        </w:rPr>
        <w:t>addresses</w:t>
      </w:r>
      <w:r w:rsidRPr="00480E9D">
        <w:rPr>
          <w:rFonts w:ascii="Times New Roman" w:hAnsi="Times New Roman" w:cs="Times New Roman"/>
          <w:sz w:val="24"/>
          <w:szCs w:val="24"/>
        </w:rPr>
        <w:t xml:space="preserve"> teachers’ awareness of and responsivity to </w:t>
      </w:r>
      <w:r>
        <w:rPr>
          <w:rFonts w:ascii="Times New Roman" w:hAnsi="Times New Roman" w:cs="Times New Roman"/>
          <w:sz w:val="24"/>
          <w:szCs w:val="24"/>
        </w:rPr>
        <w:t>children’s</w:t>
      </w:r>
      <w:r w:rsidRPr="00480E9D">
        <w:rPr>
          <w:rFonts w:ascii="Times New Roman" w:hAnsi="Times New Roman" w:cs="Times New Roman"/>
          <w:sz w:val="24"/>
          <w:szCs w:val="24"/>
        </w:rPr>
        <w:t xml:space="preserve"> academic and emotional concerns. Regard for </w:t>
      </w:r>
      <w:r>
        <w:rPr>
          <w:rFonts w:ascii="Times New Roman" w:hAnsi="Times New Roman" w:cs="Times New Roman"/>
          <w:sz w:val="24"/>
          <w:szCs w:val="24"/>
        </w:rPr>
        <w:t>S</w:t>
      </w:r>
      <w:r w:rsidRPr="00480E9D">
        <w:rPr>
          <w:rFonts w:ascii="Times New Roman" w:hAnsi="Times New Roman" w:cs="Times New Roman"/>
          <w:sz w:val="24"/>
          <w:szCs w:val="24"/>
        </w:rPr>
        <w:t xml:space="preserve">tudent </w:t>
      </w:r>
      <w:r>
        <w:rPr>
          <w:rFonts w:ascii="Times New Roman" w:hAnsi="Times New Roman" w:cs="Times New Roman"/>
          <w:sz w:val="24"/>
          <w:szCs w:val="24"/>
        </w:rPr>
        <w:t>P</w:t>
      </w:r>
      <w:r w:rsidRPr="00480E9D">
        <w:rPr>
          <w:rFonts w:ascii="Times New Roman" w:hAnsi="Times New Roman" w:cs="Times New Roman"/>
          <w:sz w:val="24"/>
          <w:szCs w:val="24"/>
        </w:rPr>
        <w:t xml:space="preserve">erspectives </w:t>
      </w:r>
      <w:r>
        <w:rPr>
          <w:rFonts w:ascii="Times New Roman" w:hAnsi="Times New Roman" w:cs="Times New Roman"/>
          <w:sz w:val="24"/>
          <w:szCs w:val="24"/>
        </w:rPr>
        <w:t>addresses</w:t>
      </w:r>
      <w:r w:rsidRPr="00480E9D">
        <w:rPr>
          <w:rFonts w:ascii="Times New Roman" w:hAnsi="Times New Roman" w:cs="Times New Roman"/>
          <w:sz w:val="24"/>
          <w:szCs w:val="24"/>
        </w:rPr>
        <w:t xml:space="preserve"> the degree to which teachers’ interactions with </w:t>
      </w:r>
      <w:r>
        <w:rPr>
          <w:rFonts w:ascii="Times New Roman" w:hAnsi="Times New Roman" w:cs="Times New Roman"/>
          <w:sz w:val="24"/>
          <w:szCs w:val="24"/>
        </w:rPr>
        <w:t>children</w:t>
      </w:r>
      <w:r w:rsidRPr="00480E9D">
        <w:rPr>
          <w:rFonts w:ascii="Times New Roman" w:hAnsi="Times New Roman" w:cs="Times New Roman"/>
          <w:sz w:val="24"/>
          <w:szCs w:val="24"/>
        </w:rPr>
        <w:t xml:space="preserve"> and classroom activities place an emphasis on </w:t>
      </w:r>
      <w:r>
        <w:rPr>
          <w:rFonts w:ascii="Times New Roman" w:hAnsi="Times New Roman" w:cs="Times New Roman"/>
          <w:sz w:val="24"/>
          <w:szCs w:val="24"/>
        </w:rPr>
        <w:t>children’s</w:t>
      </w:r>
      <w:r w:rsidRPr="00480E9D">
        <w:rPr>
          <w:rFonts w:ascii="Times New Roman" w:hAnsi="Times New Roman" w:cs="Times New Roman"/>
          <w:sz w:val="24"/>
          <w:szCs w:val="24"/>
        </w:rPr>
        <w:t xml:space="preserve"> interests, motivations, and points of view.</w:t>
      </w:r>
    </w:p>
    <w:p w:rsidR="00887BBB" w:rsidRPr="00480E9D" w:rsidRDefault="00887BBB" w:rsidP="00887BBB">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480E9D">
        <w:rPr>
          <w:rFonts w:ascii="Times New Roman" w:hAnsi="Times New Roman" w:cs="Times New Roman"/>
          <w:sz w:val="24"/>
          <w:szCs w:val="24"/>
        </w:rPr>
        <w:t xml:space="preserve">Classroom Organization measures </w:t>
      </w:r>
      <w:r>
        <w:rPr>
          <w:rFonts w:ascii="Times New Roman" w:hAnsi="Times New Roman" w:cs="Times New Roman"/>
          <w:sz w:val="24"/>
          <w:szCs w:val="24"/>
        </w:rPr>
        <w:t>a</w:t>
      </w:r>
      <w:r w:rsidRPr="00480E9D">
        <w:rPr>
          <w:rFonts w:ascii="Times New Roman" w:hAnsi="Times New Roman" w:cs="Times New Roman"/>
          <w:sz w:val="24"/>
          <w:szCs w:val="24"/>
        </w:rPr>
        <w:t xml:space="preserve"> broad array of classroom processes related to the organization and management of </w:t>
      </w:r>
      <w:r>
        <w:rPr>
          <w:rFonts w:ascii="Times New Roman" w:hAnsi="Times New Roman" w:cs="Times New Roman"/>
          <w:sz w:val="24"/>
          <w:szCs w:val="24"/>
        </w:rPr>
        <w:t>children’s</w:t>
      </w:r>
      <w:r w:rsidRPr="00480E9D">
        <w:rPr>
          <w:rFonts w:ascii="Times New Roman" w:hAnsi="Times New Roman" w:cs="Times New Roman"/>
          <w:sz w:val="24"/>
          <w:szCs w:val="24"/>
        </w:rPr>
        <w:t xml:space="preserve"> behavior, time, and attention in the classroom.  It includes three dimensions: Behavior Management, Productivity, and Instructional Learning Formats. Behavior Management </w:t>
      </w:r>
      <w:r>
        <w:rPr>
          <w:rFonts w:ascii="Times New Roman" w:hAnsi="Times New Roman" w:cs="Times New Roman"/>
          <w:sz w:val="24"/>
          <w:szCs w:val="24"/>
        </w:rPr>
        <w:t>addresses</w:t>
      </w:r>
      <w:r w:rsidRPr="00480E9D">
        <w:rPr>
          <w:rFonts w:ascii="Times New Roman" w:hAnsi="Times New Roman" w:cs="Times New Roman"/>
          <w:sz w:val="24"/>
          <w:szCs w:val="24"/>
        </w:rPr>
        <w:t xml:space="preserve"> how effectively teachers monitor, prevent, and redirect behavior. Productivity </w:t>
      </w:r>
      <w:r>
        <w:rPr>
          <w:rFonts w:ascii="Times New Roman" w:hAnsi="Times New Roman" w:cs="Times New Roman"/>
          <w:sz w:val="24"/>
          <w:szCs w:val="24"/>
        </w:rPr>
        <w:t>addresses</w:t>
      </w:r>
      <w:r w:rsidRPr="00480E9D">
        <w:rPr>
          <w:rFonts w:ascii="Times New Roman" w:hAnsi="Times New Roman" w:cs="Times New Roman"/>
          <w:sz w:val="24"/>
          <w:szCs w:val="24"/>
        </w:rPr>
        <w:t xml:space="preserve"> how well the classroom runs with respect to routines and the degree to which teachers organize activities and directions so that maximum time can be spent on learning activities. Instructional Learning Formats </w:t>
      </w:r>
      <w:r>
        <w:rPr>
          <w:rFonts w:ascii="Times New Roman" w:hAnsi="Times New Roman" w:cs="Times New Roman"/>
          <w:sz w:val="24"/>
          <w:szCs w:val="24"/>
        </w:rPr>
        <w:t>addresses</w:t>
      </w:r>
      <w:r w:rsidRPr="00480E9D">
        <w:rPr>
          <w:rFonts w:ascii="Times New Roman" w:hAnsi="Times New Roman" w:cs="Times New Roman"/>
          <w:sz w:val="24"/>
          <w:szCs w:val="24"/>
        </w:rPr>
        <w:t xml:space="preserve"> how teachers facilitate activities and provide interesting materials so that </w:t>
      </w:r>
      <w:r>
        <w:rPr>
          <w:rFonts w:ascii="Times New Roman" w:hAnsi="Times New Roman" w:cs="Times New Roman"/>
          <w:sz w:val="24"/>
          <w:szCs w:val="24"/>
        </w:rPr>
        <w:t>children</w:t>
      </w:r>
      <w:r w:rsidRPr="00480E9D">
        <w:rPr>
          <w:rFonts w:ascii="Times New Roman" w:hAnsi="Times New Roman" w:cs="Times New Roman"/>
          <w:sz w:val="24"/>
          <w:szCs w:val="24"/>
        </w:rPr>
        <w:t xml:space="preserve"> are engaged and learning opportunities are maximized.</w:t>
      </w:r>
    </w:p>
    <w:p w:rsidR="00887BBB" w:rsidRPr="00480E9D" w:rsidRDefault="00887BBB" w:rsidP="00887BBB">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480E9D">
        <w:rPr>
          <w:rFonts w:ascii="Times New Roman" w:hAnsi="Times New Roman" w:cs="Times New Roman"/>
          <w:sz w:val="24"/>
          <w:szCs w:val="24"/>
        </w:rPr>
        <w:t xml:space="preserve">Instructional Support measures the ways in which teachers implement curriculum to effectively support cognitive and language development.  It includes three dimensions: Concept Development, Quality of Feedback, and Language Modeling.  Concept Development </w:t>
      </w:r>
      <w:r>
        <w:rPr>
          <w:rFonts w:ascii="Times New Roman" w:hAnsi="Times New Roman" w:cs="Times New Roman"/>
          <w:sz w:val="24"/>
          <w:szCs w:val="24"/>
        </w:rPr>
        <w:t>addresses</w:t>
      </w:r>
      <w:r w:rsidRPr="00480E9D">
        <w:rPr>
          <w:rFonts w:ascii="Times New Roman" w:hAnsi="Times New Roman" w:cs="Times New Roman"/>
          <w:sz w:val="24"/>
          <w:szCs w:val="24"/>
        </w:rPr>
        <w:t xml:space="preserve"> how teachers use instructional discussions and activities to promote </w:t>
      </w:r>
      <w:r>
        <w:rPr>
          <w:rFonts w:ascii="Times New Roman" w:hAnsi="Times New Roman" w:cs="Times New Roman"/>
          <w:sz w:val="24"/>
          <w:szCs w:val="24"/>
        </w:rPr>
        <w:t>children’s</w:t>
      </w:r>
      <w:r w:rsidRPr="00480E9D">
        <w:rPr>
          <w:rFonts w:ascii="Times New Roman" w:hAnsi="Times New Roman" w:cs="Times New Roman"/>
          <w:sz w:val="24"/>
          <w:szCs w:val="24"/>
        </w:rPr>
        <w:t xml:space="preserve"> higher order thinking skills in contrast to a focus on rote instruction.  Quality of Feedback </w:t>
      </w:r>
      <w:r>
        <w:rPr>
          <w:rFonts w:ascii="Times New Roman" w:hAnsi="Times New Roman" w:cs="Times New Roman"/>
          <w:sz w:val="24"/>
          <w:szCs w:val="24"/>
        </w:rPr>
        <w:t>addresses</w:t>
      </w:r>
      <w:r w:rsidRPr="00480E9D">
        <w:rPr>
          <w:rFonts w:ascii="Times New Roman" w:hAnsi="Times New Roman" w:cs="Times New Roman"/>
          <w:sz w:val="24"/>
          <w:szCs w:val="24"/>
        </w:rPr>
        <w:t xml:space="preserve"> how teachers extend </w:t>
      </w:r>
      <w:r>
        <w:rPr>
          <w:rFonts w:ascii="Times New Roman" w:hAnsi="Times New Roman" w:cs="Times New Roman"/>
          <w:sz w:val="24"/>
          <w:szCs w:val="24"/>
        </w:rPr>
        <w:t>children’s</w:t>
      </w:r>
      <w:r w:rsidRPr="00480E9D">
        <w:rPr>
          <w:rFonts w:ascii="Times New Roman" w:hAnsi="Times New Roman" w:cs="Times New Roman"/>
          <w:sz w:val="24"/>
          <w:szCs w:val="24"/>
        </w:rPr>
        <w:t xml:space="preserve"> learning through their responses to </w:t>
      </w:r>
      <w:r>
        <w:rPr>
          <w:rFonts w:ascii="Times New Roman" w:hAnsi="Times New Roman" w:cs="Times New Roman"/>
          <w:sz w:val="24"/>
          <w:szCs w:val="24"/>
        </w:rPr>
        <w:t>children’s</w:t>
      </w:r>
      <w:r w:rsidRPr="00480E9D">
        <w:rPr>
          <w:rFonts w:ascii="Times New Roman" w:hAnsi="Times New Roman" w:cs="Times New Roman"/>
          <w:sz w:val="24"/>
          <w:szCs w:val="24"/>
        </w:rPr>
        <w:t xml:space="preserve"> ideas, comments, and work.  Language Modeling </w:t>
      </w:r>
      <w:r>
        <w:rPr>
          <w:rFonts w:ascii="Times New Roman" w:hAnsi="Times New Roman" w:cs="Times New Roman"/>
          <w:sz w:val="24"/>
          <w:szCs w:val="24"/>
        </w:rPr>
        <w:t>addresses</w:t>
      </w:r>
      <w:r w:rsidRPr="00480E9D">
        <w:rPr>
          <w:rFonts w:ascii="Times New Roman" w:hAnsi="Times New Roman" w:cs="Times New Roman"/>
          <w:sz w:val="24"/>
          <w:szCs w:val="24"/>
        </w:rPr>
        <w:t xml:space="preserve"> the extent to which teachers facilitate and encourage </w:t>
      </w:r>
      <w:r>
        <w:rPr>
          <w:rFonts w:ascii="Times New Roman" w:hAnsi="Times New Roman" w:cs="Times New Roman"/>
          <w:sz w:val="24"/>
          <w:szCs w:val="24"/>
        </w:rPr>
        <w:t>children’s</w:t>
      </w:r>
      <w:r w:rsidRPr="00480E9D">
        <w:rPr>
          <w:rFonts w:ascii="Times New Roman" w:hAnsi="Times New Roman" w:cs="Times New Roman"/>
          <w:sz w:val="24"/>
          <w:szCs w:val="24"/>
        </w:rPr>
        <w:t xml:space="preserve"> language.</w:t>
      </w:r>
    </w:p>
    <w:p w:rsidR="00C03FE8" w:rsidRPr="00C1694A" w:rsidRDefault="00887BBB" w:rsidP="00AC521C">
      <w:pPr>
        <w:spacing w:line="480" w:lineRule="auto"/>
        <w:rPr>
          <w:rFonts w:ascii="Times New Roman" w:hAnsi="Times New Roman" w:cs="Times New Roman"/>
          <w:b/>
          <w:sz w:val="24"/>
          <w:szCs w:val="24"/>
        </w:rPr>
      </w:pPr>
      <w:r>
        <w:rPr>
          <w:rFonts w:ascii="Times New Roman" w:hAnsi="Times New Roman" w:cs="Times New Roman"/>
          <w:sz w:val="24"/>
          <w:szCs w:val="24"/>
        </w:rPr>
        <w:t xml:space="preserve">(4) </w:t>
      </w:r>
      <w:r w:rsidRPr="00480E9D">
        <w:rPr>
          <w:rFonts w:ascii="Times New Roman" w:hAnsi="Times New Roman" w:cs="Times New Roman"/>
          <w:sz w:val="24"/>
          <w:szCs w:val="24"/>
        </w:rPr>
        <w:t xml:space="preserve">Assessments with the CLASS involve </w:t>
      </w:r>
      <w:r>
        <w:rPr>
          <w:rFonts w:ascii="Times New Roman" w:hAnsi="Times New Roman" w:cs="Times New Roman"/>
          <w:sz w:val="24"/>
          <w:szCs w:val="24"/>
        </w:rPr>
        <w:t xml:space="preserve">observation-based </w:t>
      </w:r>
      <w:r w:rsidRPr="00480E9D">
        <w:rPr>
          <w:rFonts w:ascii="Times New Roman" w:hAnsi="Times New Roman" w:cs="Times New Roman"/>
          <w:sz w:val="24"/>
          <w:szCs w:val="24"/>
        </w:rPr>
        <w:t>measur</w:t>
      </w:r>
      <w:r>
        <w:rPr>
          <w:rFonts w:ascii="Times New Roman" w:hAnsi="Times New Roman" w:cs="Times New Roman"/>
          <w:sz w:val="24"/>
          <w:szCs w:val="24"/>
        </w:rPr>
        <w:t xml:space="preserve">ement of </w:t>
      </w:r>
      <w:r w:rsidRPr="00480E9D">
        <w:rPr>
          <w:rFonts w:ascii="Times New Roman" w:hAnsi="Times New Roman" w:cs="Times New Roman"/>
          <w:sz w:val="24"/>
          <w:szCs w:val="24"/>
        </w:rPr>
        <w:t xml:space="preserve">each dimension on a seven point scale.  A score ranging from 1 (minimally characteristic) to 7 (highly characteristic) is given for each dimension and represents the extent to which that dimension is characteristic of that classroom.  </w:t>
      </w:r>
      <w:r>
        <w:rPr>
          <w:rFonts w:ascii="Times New Roman" w:hAnsi="Times New Roman" w:cs="Times New Roman"/>
          <w:sz w:val="24"/>
          <w:szCs w:val="24"/>
        </w:rPr>
        <w:t xml:space="preserve">Relevant dimension scores are used to calculate each domain score. </w:t>
      </w: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Commercial Driver's License (CDL)</w:t>
      </w:r>
      <w:r w:rsidRPr="00C1694A">
        <w:rPr>
          <w:rFonts w:ascii="Times New Roman" w:hAnsi="Times New Roman" w:cs="Times New Roman"/>
          <w:sz w:val="24"/>
          <w:szCs w:val="24"/>
        </w:rPr>
        <w:t xml:space="preserve"> means a license issued by a state or other jurisdiction, in accordance with the standards contained in 49 CFR part 383, to an individual which authorizes the individual to operate a class of commercial motor vehicles. </w:t>
      </w:r>
    </w:p>
    <w:p w:rsidR="00C03FE8" w:rsidRPr="00C1694A" w:rsidRDefault="00C03FE8" w:rsidP="00AC521C">
      <w:pPr>
        <w:tabs>
          <w:tab w:val="left" w:pos="0"/>
        </w:tabs>
        <w:spacing w:after="0" w:line="480" w:lineRule="auto"/>
        <w:rPr>
          <w:rFonts w:ascii="Times New Roman" w:hAnsi="Times New Roman" w:cs="Times New Roman"/>
          <w:sz w:val="24"/>
          <w:szCs w:val="24"/>
        </w:rPr>
      </w:pP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Construction</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means new buildings, and excludes renovations, alterations, additions, or work of any kind to existing buildings.</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Continuity of care</w:t>
      </w:r>
      <w:r w:rsidRPr="00C1694A">
        <w:rPr>
          <w:rFonts w:ascii="Times New Roman" w:hAnsi="Times New Roman" w:cs="Times New Roman"/>
          <w:sz w:val="24"/>
          <w:szCs w:val="24"/>
        </w:rPr>
        <w:t xml:space="preserve"> means Head Start or Early Head Start services provided to children in a manner that promotes primary caregiving and minimizes the number of transitions in teachers and teacher assistants that children experience over the course of the day, week, program year, and to the extent possible, during the course of their participation from birth to age three in Early Head Start and in Head Start. </w:t>
      </w:r>
    </w:p>
    <w:p w:rsidR="00887BBB" w:rsidRPr="00010D2E" w:rsidRDefault="00887BBB" w:rsidP="00887BBB">
      <w:pPr>
        <w:tabs>
          <w:tab w:val="left" w:pos="0"/>
        </w:tabs>
        <w:spacing w:after="0" w:line="480" w:lineRule="auto"/>
        <w:rPr>
          <w:rFonts w:ascii="Times New Roman" w:hAnsi="Times New Roman" w:cs="Times New Roman"/>
          <w:b/>
          <w:sz w:val="24"/>
          <w:szCs w:val="24"/>
        </w:rPr>
      </w:pPr>
      <w:r>
        <w:rPr>
          <w:rFonts w:ascii="Times New Roman" w:hAnsi="Times New Roman" w:cs="Times New Roman"/>
          <w:i/>
          <w:sz w:val="24"/>
          <w:szCs w:val="24"/>
        </w:rPr>
        <w:t>Deficiency</w:t>
      </w:r>
      <w:r>
        <w:rPr>
          <w:rFonts w:ascii="Times New Roman" w:hAnsi="Times New Roman" w:cs="Times New Roman"/>
          <w:sz w:val="24"/>
          <w:szCs w:val="24"/>
        </w:rPr>
        <w:t xml:space="preserve"> is defined in </w:t>
      </w:r>
      <w:r w:rsidRPr="00C1694A">
        <w:rPr>
          <w:rFonts w:ascii="Times New Roman" w:hAnsi="Times New Roman" w:cs="Times New Roman"/>
          <w:sz w:val="24"/>
          <w:szCs w:val="24"/>
        </w:rPr>
        <w:t>the same manner as presented in the Head Start Act, 42 U.S.C. 9801</w:t>
      </w:r>
      <w:r>
        <w:rPr>
          <w:rFonts w:ascii="Times New Roman" w:hAnsi="Times New Roman" w:cs="Times New Roman"/>
          <w:sz w:val="24"/>
          <w:szCs w:val="24"/>
        </w:rPr>
        <w:t>.</w:t>
      </w:r>
    </w:p>
    <w:p w:rsidR="00887BBB" w:rsidRDefault="00887BBB" w:rsidP="00887BBB">
      <w:pPr>
        <w:spacing w:after="0" w:line="480" w:lineRule="auto"/>
        <w:rPr>
          <w:rFonts w:ascii="Times New Roman" w:hAnsi="Times New Roman" w:cs="Times New Roman"/>
          <w:b/>
          <w:sz w:val="24"/>
          <w:szCs w:val="24"/>
        </w:rPr>
      </w:pPr>
    </w:p>
    <w:p w:rsidR="00BD11D4" w:rsidRPr="00C1694A" w:rsidRDefault="00887BBB" w:rsidP="00AC521C">
      <w:pPr>
        <w:spacing w:after="0" w:line="480" w:lineRule="auto"/>
        <w:rPr>
          <w:rFonts w:ascii="Times New Roman" w:hAnsi="Times New Roman" w:cs="Times New Roman"/>
          <w:b/>
          <w:sz w:val="24"/>
          <w:szCs w:val="24"/>
        </w:rPr>
      </w:pPr>
      <w:r>
        <w:rPr>
          <w:rFonts w:ascii="Times New Roman" w:hAnsi="Times New Roman" w:cs="Times New Roman"/>
          <w:i/>
          <w:sz w:val="24"/>
          <w:szCs w:val="24"/>
        </w:rPr>
        <w:t>Delegate agency</w:t>
      </w:r>
      <w:r>
        <w:rPr>
          <w:rFonts w:ascii="Times New Roman" w:hAnsi="Times New Roman" w:cs="Times New Roman"/>
          <w:sz w:val="24"/>
          <w:szCs w:val="24"/>
        </w:rPr>
        <w:t xml:space="preserve"> is defined in </w:t>
      </w:r>
      <w:r w:rsidRPr="00C1694A">
        <w:rPr>
          <w:rFonts w:ascii="Times New Roman" w:hAnsi="Times New Roman" w:cs="Times New Roman"/>
          <w:sz w:val="24"/>
          <w:szCs w:val="24"/>
        </w:rPr>
        <w:t>the same manner as presented in the Head Start Act, 42 U.S.C. 9801</w:t>
      </w:r>
      <w:r>
        <w:rPr>
          <w:rFonts w:ascii="Times New Roman" w:hAnsi="Times New Roman" w:cs="Times New Roman"/>
          <w:sz w:val="24"/>
          <w:szCs w:val="24"/>
        </w:rPr>
        <w:t>.</w:t>
      </w:r>
    </w:p>
    <w:p w:rsidR="00C03FE8" w:rsidRPr="00C1694A" w:rsidRDefault="00C03FE8" w:rsidP="00AC521C">
      <w:pPr>
        <w:tabs>
          <w:tab w:val="left" w:pos="0"/>
        </w:tabs>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Development and administrative costs</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 xml:space="preserve">mean costs incurred in accordance with an approved Head Start budget which do not directly relate to the provision of program component services, including services to children with disabilities, as set forth and described in the Head Start program performance standards (45 CFR part 1304).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AC521C">
        <w:rPr>
          <w:rFonts w:ascii="Times New Roman" w:hAnsi="Times New Roman" w:cs="Times New Roman"/>
          <w:i/>
          <w:sz w:val="24"/>
          <w:szCs w:val="24"/>
        </w:rPr>
        <w:t>Disclosure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means to permit access to or the release, transfer, or other communication of PII contained in child records by any means, including oral, written, or electronic means, to any party except the party identified as the party that provided or created the record.</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Double session variation</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means a center-based option that employs a single teacher to work with one group of children in the morning and a different group of children in the afternoon.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Dual benefit costs</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mean costs incurred in accordance with an approved Head Start budget which directly relate to both development and administrative functions and to the program component services, including services to children with disabilities, as set forth and described in the Head Start program performance standards (45 CFR part 1304). </w:t>
      </w:r>
    </w:p>
    <w:p w:rsidR="00C03FE8" w:rsidRPr="00C1694A" w:rsidRDefault="00C03FE8" w:rsidP="00AC521C">
      <w:pPr>
        <w:spacing w:after="0" w:line="480" w:lineRule="auto"/>
        <w:rPr>
          <w:rFonts w:ascii="Times New Roman" w:hAnsi="Times New Roman" w:cs="Times New Roman"/>
          <w:b/>
          <w:sz w:val="24"/>
          <w:szCs w:val="24"/>
        </w:rPr>
      </w:pPr>
    </w:p>
    <w:p w:rsidR="00BD11D4" w:rsidRPr="00C1694A" w:rsidRDefault="00BD11D4" w:rsidP="00AC521C">
      <w:pPr>
        <w:shd w:val="clear" w:color="auto" w:fill="FFFFFF"/>
        <w:spacing w:after="0" w:line="480" w:lineRule="auto"/>
        <w:ind w:right="300"/>
        <w:rPr>
          <w:rFonts w:ascii="Times New Roman" w:eastAsia="Times New Roman" w:hAnsi="Times New Roman" w:cs="Times New Roman"/>
          <w:b/>
          <w:iCs/>
          <w:sz w:val="24"/>
          <w:szCs w:val="24"/>
        </w:rPr>
      </w:pPr>
      <w:r w:rsidRPr="00AC521C">
        <w:rPr>
          <w:rFonts w:ascii="Times New Roman" w:eastAsia="Times New Roman" w:hAnsi="Times New Roman" w:cs="Times New Roman"/>
          <w:i/>
          <w:iCs/>
          <w:sz w:val="24"/>
          <w:szCs w:val="24"/>
        </w:rPr>
        <w:t>Dual language learner</w:t>
      </w:r>
      <w:r w:rsidRPr="00C1694A">
        <w:rPr>
          <w:rFonts w:ascii="Times New Roman" w:eastAsia="Times New Roman" w:hAnsi="Times New Roman" w:cs="Times New Roman"/>
          <w:b/>
          <w:iCs/>
          <w:sz w:val="24"/>
          <w:szCs w:val="24"/>
        </w:rPr>
        <w:t xml:space="preserve"> </w:t>
      </w:r>
      <w:r w:rsidRPr="00C1694A">
        <w:rPr>
          <w:rFonts w:ascii="Times New Roman" w:eastAsia="Times New Roman" w:hAnsi="Times New Roman" w:cs="Times New Roman"/>
          <w:iCs/>
          <w:sz w:val="24"/>
          <w:szCs w:val="24"/>
        </w:rPr>
        <w:t>means a child who is acquiring two or more languages at the same time, or a child who is learning a second language while continuing to develop their first language. The t</w:t>
      </w:r>
      <w:r w:rsidR="00207724">
        <w:rPr>
          <w:rFonts w:ascii="Times New Roman" w:eastAsia="Times New Roman" w:hAnsi="Times New Roman" w:cs="Times New Roman"/>
          <w:iCs/>
          <w:sz w:val="24"/>
          <w:szCs w:val="24"/>
        </w:rPr>
        <w:t>erm "dual language learner" may</w:t>
      </w:r>
      <w:r w:rsidRPr="00C1694A">
        <w:rPr>
          <w:rFonts w:ascii="Times New Roman" w:eastAsia="Times New Roman" w:hAnsi="Times New Roman" w:cs="Times New Roman"/>
          <w:iCs/>
          <w:sz w:val="24"/>
          <w:szCs w:val="24"/>
        </w:rPr>
        <w:t xml:space="preserve"> encompass or overlap substantially with other terms frequently used, such as bilingual, English language learner (ELL), Limited English Proficient (LEP), English learner, and children who speak a Language Other Than English (LOTE).</w:t>
      </w:r>
    </w:p>
    <w:p w:rsidR="00C03FE8" w:rsidRPr="00C1694A" w:rsidRDefault="00C03FE8" w:rsidP="00AC521C">
      <w:pPr>
        <w:shd w:val="clear" w:color="auto" w:fill="FFFFFF"/>
        <w:spacing w:after="0" w:line="480" w:lineRule="auto"/>
        <w:ind w:right="300"/>
        <w:rPr>
          <w:rFonts w:ascii="Times New Roman" w:eastAsia="Times New Roman" w:hAnsi="Times New Roman" w:cs="Times New Roman"/>
          <w:b/>
          <w:iCs/>
          <w:sz w:val="24"/>
          <w:szCs w:val="24"/>
        </w:rPr>
      </w:pP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r w:rsidRPr="00AC521C">
        <w:rPr>
          <w:rFonts w:ascii="Times New Roman" w:eastAsia="Times New Roman" w:hAnsi="Times New Roman" w:cs="Times New Roman"/>
          <w:i/>
          <w:iCs/>
          <w:sz w:val="24"/>
          <w:szCs w:val="24"/>
        </w:rPr>
        <w:t>Early Head Start agency</w:t>
      </w:r>
      <w:r w:rsidRPr="00C1694A">
        <w:rPr>
          <w:rFonts w:ascii="Times New Roman" w:eastAsia="Times New Roman" w:hAnsi="Times New Roman" w:cs="Times New Roman"/>
          <w:sz w:val="24"/>
          <w:szCs w:val="24"/>
        </w:rPr>
        <w:t xml:space="preserve"> means a public or private non-profit or for-profit entity designated by ACF to operate an Early Head Start program to serve pregnant women and children from birth to age three, pursuant to Section 645A(e) of the Head Start Act.</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 xml:space="preserve">Enrolled (or any variation of) </w:t>
      </w:r>
      <w:r w:rsidRPr="00C1694A">
        <w:rPr>
          <w:rFonts w:ascii="Times New Roman" w:hAnsi="Times New Roman" w:cs="Times New Roman"/>
          <w:sz w:val="24"/>
          <w:szCs w:val="24"/>
        </w:rPr>
        <w:t>means a child has been accepted and attended at least one class for center-based or family child care option or at least one home visit for the home-based option.</w:t>
      </w:r>
    </w:p>
    <w:p w:rsidR="00AD0D03" w:rsidRPr="00C1694A" w:rsidRDefault="00AD0D03"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AC521C">
        <w:rPr>
          <w:rFonts w:ascii="Times New Roman" w:hAnsi="Times New Roman" w:cs="Times New Roman"/>
          <w:i/>
          <w:sz w:val="24"/>
          <w:szCs w:val="24"/>
        </w:rPr>
        <w:t>Enrollment year</w:t>
      </w:r>
      <w:r w:rsidRPr="00C1694A">
        <w:rPr>
          <w:rFonts w:ascii="Times New Roman" w:hAnsi="Times New Roman" w:cs="Times New Roman"/>
          <w:sz w:val="24"/>
          <w:szCs w:val="24"/>
        </w:rPr>
        <w:t xml:space="preserve"> means the period of time, not to exceed twelve months, during which a Head Start program provides center or home-based services to a group of children and their families.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Facility</w:t>
      </w:r>
      <w:r w:rsidRPr="00C1694A">
        <w:rPr>
          <w:rFonts w:ascii="Times New Roman" w:hAnsi="Times New Roman" w:cs="Times New Roman"/>
          <w:sz w:val="24"/>
          <w:szCs w:val="24"/>
        </w:rPr>
        <w:t xml:space="preserve"> means a structure, such as a building or modular unit, appropriate for use in carrying out a Head Start program and used primarily to provide Head Start services, including services to children and their families, or for administrative purposes or other activities necessary to carry out a Head Start program.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Family</w:t>
      </w:r>
      <w:r w:rsidRPr="00C1694A">
        <w:rPr>
          <w:rFonts w:ascii="Times New Roman" w:hAnsi="Times New Roman" w:cs="Times New Roman"/>
          <w:sz w:val="24"/>
          <w:szCs w:val="24"/>
        </w:rPr>
        <w:t xml:space="preserve"> means all persons living in the same household who are supported by the child’s parent(s)’ or guardian(s)’ income; and are related to the child’s parent(s) or guardian(s) by blood, marriage, or adoption; or are the child’s authorized caregiver or legally responsible party.</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AC521C">
        <w:rPr>
          <w:rFonts w:ascii="Times New Roman" w:hAnsi="Times New Roman" w:cs="Times New Roman"/>
          <w:i/>
          <w:sz w:val="24"/>
          <w:szCs w:val="24"/>
        </w:rPr>
        <w:t xml:space="preserve">Federal </w:t>
      </w:r>
      <w:r w:rsidR="002315D0" w:rsidRPr="00AC521C">
        <w:rPr>
          <w:rFonts w:ascii="Times New Roman" w:hAnsi="Times New Roman" w:cs="Times New Roman"/>
          <w:i/>
          <w:sz w:val="24"/>
          <w:szCs w:val="24"/>
        </w:rPr>
        <w:t>i</w:t>
      </w:r>
      <w:r w:rsidRPr="00AC521C">
        <w:rPr>
          <w:rFonts w:ascii="Times New Roman" w:hAnsi="Times New Roman" w:cs="Times New Roman"/>
          <w:i/>
          <w:sz w:val="24"/>
          <w:szCs w:val="24"/>
        </w:rPr>
        <w:t>nterest</w:t>
      </w:r>
      <w:r w:rsidRPr="00C1694A">
        <w:rPr>
          <w:rFonts w:ascii="Times New Roman" w:hAnsi="Times New Roman" w:cs="Times New Roman"/>
          <w:sz w:val="24"/>
          <w:szCs w:val="24"/>
        </w:rPr>
        <w:t xml:space="preserve"> is a property right which secures the right of the federal awarding agency to recover the current fair market value of its percentage of participation in the cost of the facility in the event the facility is no longer used for Head Start purposes by the grantee or upon the disposition of the property.  </w:t>
      </w:r>
      <w:r w:rsidRPr="00C1694A">
        <w:rPr>
          <w:rFonts w:ascii="Times New Roman" w:eastAsia="Times New Roman" w:hAnsi="Times New Roman" w:cs="Times New Roman"/>
          <w:sz w:val="24"/>
          <w:szCs w:val="24"/>
        </w:rPr>
        <w:t xml:space="preserve">When a grantee uses Head Start funds to purchase, construct or renovate a facility, or make mortgage payments, it creates a federal interest.  The federal interest includes any portion of the cost of purchase, construction, or renovation contributed by or for the entity, or a related donor organization, to satisfy a matching requirement. </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Federal Motor Vehicle Safety Standards (FMVSS)</w:t>
      </w:r>
      <w:r w:rsidRPr="00C1694A">
        <w:rPr>
          <w:rFonts w:ascii="Times New Roman" w:hAnsi="Times New Roman" w:cs="Times New Roman"/>
          <w:sz w:val="24"/>
          <w:szCs w:val="24"/>
        </w:rPr>
        <w:t xml:space="preserve"> means the National Highway and Traffic Safety Administration's standards for motor vehicles and motor vehicle equipment (49 CFR part 571) established under section 30111 of Title 49, United States Code.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lang w:val="en"/>
        </w:rPr>
      </w:pPr>
      <w:r w:rsidRPr="00AC521C">
        <w:rPr>
          <w:rFonts w:ascii="Times New Roman" w:hAnsi="Times New Roman" w:cs="Times New Roman"/>
          <w:i/>
          <w:sz w:val="24"/>
          <w:szCs w:val="24"/>
          <w:lang w:val="en"/>
        </w:rPr>
        <w:t>Financial viability</w:t>
      </w:r>
      <w:r w:rsidRPr="00C1694A">
        <w:rPr>
          <w:rFonts w:ascii="Times New Roman" w:hAnsi="Times New Roman" w:cs="Times New Roman"/>
          <w:sz w:val="24"/>
          <w:szCs w:val="24"/>
          <w:lang w:val="en"/>
        </w:rPr>
        <w:t xml:space="preserve"> means that an organization is able to meet its financial obligations, balance funding and expenses and maintain sufficient funding to achieve organizational goals and objectives.</w:t>
      </w:r>
    </w:p>
    <w:p w:rsidR="00C03FE8" w:rsidRPr="00C1694A" w:rsidRDefault="00C03FE8" w:rsidP="00AC521C">
      <w:pPr>
        <w:spacing w:after="0" w:line="480" w:lineRule="auto"/>
        <w:rPr>
          <w:rFonts w:ascii="Times New Roman" w:hAnsi="Times New Roman" w:cs="Times New Roman"/>
          <w:sz w:val="24"/>
          <w:szCs w:val="24"/>
          <w:lang w:val="en"/>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Fixed route</w:t>
      </w:r>
      <w:r w:rsidRPr="00C1694A">
        <w:rPr>
          <w:rFonts w:ascii="Times New Roman" w:hAnsi="Times New Roman" w:cs="Times New Roman"/>
          <w:sz w:val="24"/>
          <w:szCs w:val="24"/>
        </w:rPr>
        <w:t xml:space="preserve"> means the established routes to be traveled on a regular basis by vehicles that transport children to and from Head Start or Early Head Start program activities, and which include specifically designated stops where children board or exit the vehicle.</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Foster care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means 24-hour substitute care for children placed away from their parents or guardians and for whom the state agency has placement and care responsibility.  This includes, but is not limited to, placements in foster family homes, foster homes of relatives, group homes, emergency shelters, residential facilities, child-care institutions, and pre-adoptive homes.  A child is in foster care in accordance with this definition regardless of whether the foster care facility is licensed and payments are made by the state or local agency for the care of the child, whether adoption subsidy payments are being made prior to the finalization of an adoption, or whether there is federal matching of any payments that are made.</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Full-working-day</w:t>
      </w:r>
      <w:r w:rsidRPr="00C1694A">
        <w:rPr>
          <w:rFonts w:ascii="Times New Roman" w:hAnsi="Times New Roman" w:cs="Times New Roman"/>
          <w:sz w:val="24"/>
          <w:szCs w:val="24"/>
        </w:rPr>
        <w:t xml:space="preserve"> means not less than 10 hours of Head Start or Early Head Start services per day.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AC521C">
        <w:rPr>
          <w:rFonts w:ascii="Times New Roman" w:hAnsi="Times New Roman" w:cs="Times New Roman"/>
          <w:i/>
          <w:sz w:val="24"/>
          <w:szCs w:val="24"/>
        </w:rPr>
        <w:t>Funded enrollment</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means the number of participants which the Head Start grantee is to serve, as indicated on the grant award.</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r w:rsidRPr="00AC521C">
        <w:rPr>
          <w:rFonts w:ascii="Times New Roman" w:eastAsia="Times New Roman" w:hAnsi="Times New Roman" w:cs="Times New Roman"/>
          <w:i/>
          <w:iCs/>
          <w:sz w:val="24"/>
          <w:szCs w:val="24"/>
        </w:rPr>
        <w:t>Going concern</w:t>
      </w:r>
      <w:r w:rsidRPr="00C1694A">
        <w:rPr>
          <w:rFonts w:ascii="Times New Roman" w:eastAsia="Times New Roman" w:hAnsi="Times New Roman" w:cs="Times New Roman"/>
          <w:sz w:val="24"/>
          <w:szCs w:val="24"/>
        </w:rPr>
        <w:t xml:space="preserve"> means an organization that operates </w:t>
      </w:r>
      <w:r w:rsidRPr="00C1694A">
        <w:rPr>
          <w:rFonts w:ascii="Times New Roman" w:eastAsia="Times New Roman" w:hAnsi="Times New Roman" w:cs="Times New Roman"/>
          <w:i/>
          <w:iCs/>
          <w:sz w:val="24"/>
          <w:szCs w:val="24"/>
        </w:rPr>
        <w:t>without</w:t>
      </w:r>
      <w:r w:rsidRPr="00C1694A">
        <w:rPr>
          <w:rFonts w:ascii="Times New Roman" w:eastAsia="Times New Roman" w:hAnsi="Times New Roman" w:cs="Times New Roman"/>
          <w:sz w:val="24"/>
          <w:szCs w:val="24"/>
        </w:rPr>
        <w:t xml:space="preserve"> the threat of liquidation for the foreseeable future, a period of at least 12 months.</w:t>
      </w:r>
    </w:p>
    <w:p w:rsidR="00C03FE8" w:rsidRPr="00C1694A" w:rsidRDefault="00C03FE8" w:rsidP="00AC521C">
      <w:pPr>
        <w:shd w:val="clear" w:color="auto" w:fill="FFFFFF"/>
        <w:spacing w:after="0" w:line="480" w:lineRule="auto"/>
        <w:ind w:right="300"/>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 xml:space="preserve">Grantee </w:t>
      </w:r>
      <w:r w:rsidRPr="00C1694A">
        <w:rPr>
          <w:rFonts w:ascii="Times New Roman" w:hAnsi="Times New Roman" w:cs="Times New Roman"/>
          <w:sz w:val="24"/>
          <w:szCs w:val="24"/>
        </w:rPr>
        <w:t>means the local public or private non-profit agency or for-profit agency which has been designated as a Head Start agency under 42 U.S.C. 9836 and which has been granted financial assistance by the responsible HHS official to operate a Head Start program.</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r w:rsidRPr="00AC521C">
        <w:rPr>
          <w:rFonts w:ascii="Times New Roman" w:eastAsia="Times New Roman" w:hAnsi="Times New Roman" w:cs="Times New Roman"/>
          <w:i/>
          <w:iCs/>
          <w:sz w:val="24"/>
          <w:szCs w:val="24"/>
        </w:rPr>
        <w:t>Head Start agency</w:t>
      </w:r>
      <w:r w:rsidRPr="00C1694A">
        <w:rPr>
          <w:rFonts w:ascii="Times New Roman" w:eastAsia="Times New Roman" w:hAnsi="Times New Roman" w:cs="Times New Roman"/>
          <w:b/>
          <w:sz w:val="24"/>
          <w:szCs w:val="24"/>
        </w:rPr>
        <w:t xml:space="preserve"> </w:t>
      </w:r>
      <w:r w:rsidRPr="00C1694A">
        <w:rPr>
          <w:rFonts w:ascii="Times New Roman" w:eastAsia="Times New Roman" w:hAnsi="Times New Roman" w:cs="Times New Roman"/>
          <w:sz w:val="24"/>
          <w:szCs w:val="24"/>
        </w:rPr>
        <w:t>means a local public or private non-profit or for-profit entity designated by ACF to operate a Head Start program to serve children age three to compulsory school age, pursuant to section 641(b) and (d) of the Head Start Act.</w:t>
      </w:r>
    </w:p>
    <w:p w:rsidR="00887BBB" w:rsidRPr="00480E9D" w:rsidRDefault="00C03FE8" w:rsidP="00887BBB">
      <w:pPr>
        <w:spacing w:line="480" w:lineRule="auto"/>
        <w:rPr>
          <w:rFonts w:ascii="Times New Roman" w:hAnsi="Times New Roman" w:cs="Times New Roman"/>
          <w:sz w:val="24"/>
          <w:szCs w:val="24"/>
        </w:rPr>
      </w:pPr>
      <w:r w:rsidRPr="00C1694A">
        <w:rPr>
          <w:rFonts w:ascii="Times New Roman" w:hAnsi="Times New Roman" w:cs="Times New Roman"/>
          <w:b/>
          <w:sz w:val="24"/>
          <w:szCs w:val="24"/>
        </w:rPr>
        <w:br/>
      </w:r>
      <w:r w:rsidR="00887BBB" w:rsidRPr="001E00C8">
        <w:rPr>
          <w:rFonts w:ascii="Times New Roman" w:hAnsi="Times New Roman" w:cs="Times New Roman"/>
          <w:i/>
          <w:sz w:val="24"/>
          <w:szCs w:val="24"/>
        </w:rPr>
        <w:t>Head Start Early Learning Outcomes Framework: Ages Birth to Five</w:t>
      </w:r>
      <w:r w:rsidR="00887BBB" w:rsidRPr="00480E9D">
        <w:rPr>
          <w:rFonts w:ascii="Times New Roman" w:hAnsi="Times New Roman" w:cs="Times New Roman"/>
          <w:sz w:val="24"/>
          <w:szCs w:val="24"/>
        </w:rPr>
        <w:t xml:space="preserve"> means the </w:t>
      </w:r>
      <w:r w:rsidR="00887BBB" w:rsidRPr="00480E9D">
        <w:rPr>
          <w:rFonts w:ascii="Times New Roman" w:hAnsi="Times New Roman" w:cs="Times New Roman"/>
          <w:sz w:val="24"/>
          <w:szCs w:val="24"/>
          <w:u w:val="single"/>
        </w:rPr>
        <w:t>Head Start Early Learning Outcomes Framework: Ages Birth to Five</w:t>
      </w:r>
      <w:r w:rsidR="00887BBB" w:rsidRPr="00480E9D">
        <w:rPr>
          <w:rFonts w:ascii="Times New Roman" w:hAnsi="Times New Roman" w:cs="Times New Roman"/>
          <w:sz w:val="24"/>
          <w:szCs w:val="24"/>
        </w:rPr>
        <w:t xml:space="preserve">, which describes the skills, behaviors, and knowledge that programs must foster in all children.  It includes five central domains: Approaches to Learning; Social and Emotional Development; Language and Literacy; Cognition; and Perceptual, Motor, and Physical Development.  These central domains are broken into five domains for infants and toddlers and seven domains for preschoolers.  Infant and Toddler domains are Approaches to Learning; Social and Emotional Development; Language and Communication; Cognition; and Perceptual, Motor, and Physical Development.  Preschool domains are Approaches to Learning; Social and Emotional Development; Language and Communication; Literacy; Mathematics Development; Scientific Reasoning; and Perceptual, Motor, and Physical Development.  Domains are divided into sub-domains with goals that describe broad skills, behaviors, and concepts that are important for school success.  Developmental progressions describe the skills, behaviors and concepts that children may demonstrate as they progress.  As described in the Head Start Act, the Framework is central to program operations </w:t>
      </w:r>
      <w:r w:rsidR="00887BBB">
        <w:rPr>
          <w:rFonts w:ascii="Times New Roman" w:hAnsi="Times New Roman" w:cs="Times New Roman"/>
          <w:sz w:val="24"/>
          <w:szCs w:val="24"/>
        </w:rPr>
        <w:t>that</w:t>
      </w:r>
      <w:r w:rsidR="00887BBB" w:rsidRPr="00480E9D">
        <w:rPr>
          <w:rFonts w:ascii="Times New Roman" w:hAnsi="Times New Roman" w:cs="Times New Roman"/>
          <w:sz w:val="24"/>
          <w:szCs w:val="24"/>
        </w:rPr>
        <w:t xml:space="preserve"> </w:t>
      </w:r>
      <w:r w:rsidR="00887BBB">
        <w:rPr>
          <w:rFonts w:ascii="Times New Roman" w:hAnsi="Times New Roman" w:cs="Times New Roman"/>
          <w:sz w:val="24"/>
          <w:szCs w:val="24"/>
        </w:rPr>
        <w:t>promote</w:t>
      </w:r>
      <w:r w:rsidR="00887BBB" w:rsidRPr="00480E9D">
        <w:rPr>
          <w:rFonts w:ascii="Times New Roman" w:hAnsi="Times New Roman" w:cs="Times New Roman"/>
          <w:sz w:val="24"/>
          <w:szCs w:val="24"/>
        </w:rPr>
        <w:t xml:space="preserve"> high-quality early learning environments (42 U.S.C. 9832(21)(G)(iv)(II)(aa), 42 U.S.C. 9835(o), 42 U.S.C. 9836(d)(2)(C), 42 U.S.C. 9836</w:t>
      </w:r>
      <w:r w:rsidR="00887BBB">
        <w:rPr>
          <w:rFonts w:ascii="Times New Roman" w:hAnsi="Times New Roman" w:cs="Times New Roman"/>
          <w:sz w:val="24"/>
          <w:szCs w:val="24"/>
        </w:rPr>
        <w:t>a</w:t>
      </w:r>
      <w:r w:rsidR="00887BBB" w:rsidRPr="00480E9D">
        <w:rPr>
          <w:rFonts w:ascii="Times New Roman" w:hAnsi="Times New Roman" w:cs="Times New Roman"/>
          <w:sz w:val="24"/>
          <w:szCs w:val="24"/>
        </w:rPr>
        <w:t>(g)(2)(A), 42 U.S.C. 9837(f)(3)(E), 42 U.S.C. 9837a(a)(3), 42 U.S.C. 9837a(a)(14), 42 U.S.C. 9837b(a)(2)(B)(iii), 42 U.S.C. 9837b(a)(4)(A</w:t>
      </w:r>
      <w:r w:rsidR="00887BBB">
        <w:rPr>
          <w:rFonts w:ascii="Times New Roman" w:hAnsi="Times New Roman" w:cs="Times New Roman"/>
          <w:sz w:val="24"/>
          <w:szCs w:val="24"/>
        </w:rPr>
        <w:t>)(i</w:t>
      </w:r>
      <w:r w:rsidR="00887BBB" w:rsidRPr="00480E9D">
        <w:rPr>
          <w:rFonts w:ascii="Times New Roman" w:hAnsi="Times New Roman" w:cs="Times New Roman"/>
          <w:sz w:val="24"/>
          <w:szCs w:val="24"/>
        </w:rPr>
        <w:t>), and 42 U.S.C. 9837b(a)(4)(B)(iii)).</w:t>
      </w:r>
    </w:p>
    <w:p w:rsidR="00C03FE8" w:rsidRPr="00C1694A" w:rsidRDefault="00C03FE8" w:rsidP="00AC521C">
      <w:pPr>
        <w:spacing w:after="0" w:line="480" w:lineRule="auto"/>
        <w:rPr>
          <w:rFonts w:ascii="Times New Roman" w:hAnsi="Times New Roman" w:cs="Times New Roman"/>
          <w:b/>
          <w:sz w:val="24"/>
          <w:szCs w:val="24"/>
        </w:rPr>
      </w:pPr>
      <w:r w:rsidRPr="00AC521C">
        <w:rPr>
          <w:rFonts w:ascii="Times New Roman" w:hAnsi="Times New Roman" w:cs="Times New Roman"/>
          <w:i/>
          <w:sz w:val="24"/>
          <w:szCs w:val="24"/>
        </w:rPr>
        <w:t>Homeless children</w:t>
      </w:r>
      <w:r w:rsidRPr="00C1694A">
        <w:rPr>
          <w:rFonts w:ascii="Times New Roman" w:hAnsi="Times New Roman" w:cs="Times New Roman"/>
          <w:sz w:val="24"/>
          <w:szCs w:val="24"/>
        </w:rPr>
        <w:t xml:space="preserve"> means the same as </w:t>
      </w:r>
      <w:r w:rsidRPr="00C1694A">
        <w:rPr>
          <w:rFonts w:ascii="Times New Roman" w:hAnsi="Times New Roman" w:cs="Times New Roman"/>
          <w:i/>
          <w:sz w:val="24"/>
          <w:szCs w:val="24"/>
        </w:rPr>
        <w:t>homeless children and youths</w:t>
      </w:r>
      <w:r w:rsidRPr="00C1694A">
        <w:rPr>
          <w:rFonts w:ascii="Times New Roman" w:hAnsi="Times New Roman" w:cs="Times New Roman"/>
          <w:sz w:val="24"/>
          <w:szCs w:val="24"/>
        </w:rPr>
        <w:t xml:space="preserve"> in Section 725(2) of the McKinney-Vento Homeless Assistance Act at 42 U.S.C. 11434a (2).  </w:t>
      </w:r>
    </w:p>
    <w:p w:rsidR="00C03FE8" w:rsidRPr="00C1694A" w:rsidRDefault="00C03FE8" w:rsidP="00AC521C">
      <w:pPr>
        <w:spacing w:after="0" w:line="480" w:lineRule="auto"/>
        <w:rPr>
          <w:rFonts w:ascii="Times New Roman" w:hAnsi="Times New Roman" w:cs="Times New Roman"/>
          <w:b/>
          <w:sz w:val="24"/>
          <w:szCs w:val="24"/>
        </w:rPr>
      </w:pPr>
    </w:p>
    <w:p w:rsidR="00800D1B"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Home visitor</w:t>
      </w:r>
      <w:r w:rsidRPr="00C1694A">
        <w:rPr>
          <w:rFonts w:ascii="Times New Roman" w:hAnsi="Times New Roman" w:cs="Times New Roman"/>
          <w:sz w:val="24"/>
          <w:szCs w:val="24"/>
        </w:rPr>
        <w:t xml:space="preserve"> means the staff member in the home-based program option assigned to work with parents to provide comprehensive services to children and their families through home visits and g</w:t>
      </w:r>
      <w:r w:rsidR="00800D1B" w:rsidRPr="00C1694A">
        <w:rPr>
          <w:rFonts w:ascii="Times New Roman" w:hAnsi="Times New Roman" w:cs="Times New Roman"/>
          <w:sz w:val="24"/>
          <w:szCs w:val="24"/>
        </w:rPr>
        <w:t xml:space="preserve">roup socialization activities. </w:t>
      </w:r>
    </w:p>
    <w:p w:rsidR="00800D1B" w:rsidRPr="00C1694A" w:rsidRDefault="00800D1B"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Hours of planned class operations</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means hours when children are scheduled to attend. Professional development, training, orientation, teacher planning, data analysis, parent-teacher conferences, home visits, classroom sanitation, and transportation do not count toward the hours of planned class operations.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Income</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means gross cash income and includes earned income, military income (including pay and allowances, except those described in Section 645(a)(3)(B)</w:t>
      </w:r>
      <w:r w:rsidR="00AE028D" w:rsidRPr="00C1694A">
        <w:rPr>
          <w:rFonts w:ascii="Times New Roman" w:hAnsi="Times New Roman" w:cs="Times New Roman"/>
          <w:sz w:val="24"/>
          <w:szCs w:val="24"/>
        </w:rPr>
        <w:t xml:space="preserve"> of the Act</w:t>
      </w:r>
      <w:r w:rsidRPr="00C1694A">
        <w:rPr>
          <w:rFonts w:ascii="Times New Roman" w:hAnsi="Times New Roman" w:cs="Times New Roman"/>
          <w:sz w:val="24"/>
          <w:szCs w:val="24"/>
        </w:rPr>
        <w:t>), veteran’s benefits, Social Security benefits, unemployment compensation, and public assistance benefits. Additional examples of gross cash income are listed in the definition of “income” which appears in U.S. Bureau of the Census, Current Population Reports, Series P-60-185</w:t>
      </w:r>
      <w:r w:rsidR="00887BBB">
        <w:rPr>
          <w:rFonts w:ascii="Times New Roman" w:hAnsi="Times New Roman" w:cs="Times New Roman"/>
          <w:sz w:val="24"/>
          <w:szCs w:val="24"/>
        </w:rPr>
        <w:t xml:space="preserve"> </w:t>
      </w:r>
      <w:r w:rsidR="00887BBB" w:rsidRPr="00303FFC">
        <w:rPr>
          <w:rFonts w:ascii="Times New Roman" w:hAnsi="Times New Roman" w:cs="Times New Roman"/>
          <w:sz w:val="24"/>
          <w:szCs w:val="24"/>
        </w:rPr>
        <w:t>(</w:t>
      </w:r>
      <w:r w:rsidR="00887BBB">
        <w:rPr>
          <w:rFonts w:ascii="Times New Roman" w:hAnsi="Times New Roman" w:cs="Times New Roman"/>
          <w:sz w:val="24"/>
          <w:szCs w:val="24"/>
        </w:rPr>
        <w:t>available at</w:t>
      </w:r>
      <w:r w:rsidR="00887BBB" w:rsidRPr="00303FFC">
        <w:rPr>
          <w:rFonts w:ascii="Times New Roman" w:hAnsi="Times New Roman" w:cs="Times New Roman"/>
          <w:sz w:val="24"/>
          <w:szCs w:val="24"/>
        </w:rPr>
        <w:t xml:space="preserve"> </w:t>
      </w:r>
      <w:r w:rsidR="00887BBB" w:rsidRPr="001E00C8">
        <w:rPr>
          <w:rStyle w:val="HTMLCite"/>
          <w:rFonts w:ascii="Times New Roman" w:hAnsi="Times New Roman" w:cs="Times New Roman"/>
          <w:i w:val="0"/>
          <w:iCs w:val="0"/>
          <w:sz w:val="24"/>
          <w:szCs w:val="24"/>
        </w:rPr>
        <w:t>https://www2.census.gov/prod2/popscan/p60-185.pdf</w:t>
      </w:r>
      <w:r w:rsidR="00887BBB">
        <w:rPr>
          <w:rFonts w:ascii="Times New Roman" w:hAnsi="Times New Roman" w:cs="Times New Roman"/>
          <w:color w:val="1F497D"/>
          <w:sz w:val="24"/>
          <w:szCs w:val="24"/>
        </w:rPr>
        <w:t>)</w:t>
      </w:r>
      <w:r w:rsidRPr="00C1694A">
        <w:rPr>
          <w:rFonts w:ascii="Times New Roman" w:hAnsi="Times New Roman" w:cs="Times New Roman"/>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Indian Head Start agency</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means a program operated by an Indian tribe (as defined by the Act) or designated by an Indian tribe to operate on its behalf.</w:t>
      </w:r>
    </w:p>
    <w:p w:rsidR="00887BBB" w:rsidRPr="00010D2E" w:rsidRDefault="00887BBB" w:rsidP="00887BBB">
      <w:pPr>
        <w:tabs>
          <w:tab w:val="left" w:pos="0"/>
        </w:tabs>
        <w:spacing w:after="0" w:line="480" w:lineRule="auto"/>
        <w:rPr>
          <w:rFonts w:ascii="Times New Roman" w:hAnsi="Times New Roman" w:cs="Times New Roman"/>
          <w:b/>
          <w:sz w:val="24"/>
          <w:szCs w:val="24"/>
        </w:rPr>
      </w:pPr>
      <w:r>
        <w:rPr>
          <w:rFonts w:ascii="Times New Roman" w:hAnsi="Times New Roman" w:cs="Times New Roman"/>
          <w:i/>
          <w:sz w:val="24"/>
          <w:szCs w:val="24"/>
        </w:rPr>
        <w:t xml:space="preserve">Indian tribe </w:t>
      </w:r>
      <w:r>
        <w:rPr>
          <w:rFonts w:ascii="Times New Roman" w:hAnsi="Times New Roman" w:cs="Times New Roman"/>
          <w:sz w:val="24"/>
          <w:szCs w:val="24"/>
        </w:rPr>
        <w:t xml:space="preserve">is defined in </w:t>
      </w:r>
      <w:r w:rsidRPr="00C1694A">
        <w:rPr>
          <w:rFonts w:ascii="Times New Roman" w:hAnsi="Times New Roman" w:cs="Times New Roman"/>
          <w:sz w:val="24"/>
          <w:szCs w:val="24"/>
        </w:rPr>
        <w:t>the same manner as presented in the Head Start Act, 42 U.S.C. 9801</w:t>
      </w:r>
      <w:r>
        <w:rPr>
          <w:rFonts w:ascii="Times New Roman" w:hAnsi="Times New Roman" w:cs="Times New Roman"/>
          <w:sz w:val="24"/>
          <w:szCs w:val="24"/>
        </w:rPr>
        <w:t>.</w:t>
      </w:r>
    </w:p>
    <w:p w:rsidR="00887BBB" w:rsidRDefault="00887BBB" w:rsidP="00887BBB">
      <w:pPr>
        <w:spacing w:after="0" w:line="480" w:lineRule="auto"/>
        <w:rPr>
          <w:rFonts w:ascii="Times New Roman" w:hAnsi="Times New Roman" w:cs="Times New Roman"/>
          <w:sz w:val="24"/>
          <w:szCs w:val="24"/>
        </w:rPr>
      </w:pPr>
    </w:p>
    <w:p w:rsidR="00887BBB" w:rsidRDefault="00887BBB" w:rsidP="00887BBB">
      <w:pPr>
        <w:spacing w:after="0" w:line="480" w:lineRule="auto"/>
        <w:rPr>
          <w:rFonts w:ascii="Times New Roman" w:hAnsi="Times New Roman" w:cs="Times New Roman"/>
          <w:sz w:val="24"/>
          <w:szCs w:val="24"/>
        </w:rPr>
      </w:pPr>
      <w:r w:rsidRPr="00C1694A">
        <w:rPr>
          <w:rFonts w:ascii="Times New Roman" w:hAnsi="Times New Roman" w:cs="Times New Roman"/>
          <w:i/>
          <w:sz w:val="24"/>
          <w:szCs w:val="24"/>
        </w:rPr>
        <w:t>Individualized Education Program</w:t>
      </w:r>
      <w:r>
        <w:rPr>
          <w:rFonts w:ascii="Times New Roman" w:hAnsi="Times New Roman" w:cs="Times New Roman"/>
          <w:sz w:val="24"/>
          <w:szCs w:val="24"/>
        </w:rPr>
        <w:t xml:space="preserve"> is </w:t>
      </w:r>
      <w:r w:rsidRPr="00C1694A">
        <w:rPr>
          <w:rFonts w:ascii="Times New Roman" w:hAnsi="Times New Roman" w:cs="Times New Roman"/>
          <w:sz w:val="24"/>
          <w:szCs w:val="24"/>
        </w:rPr>
        <w:t xml:space="preserve">defined in the same manner as presented in the Individuals with Disabilities Education Act (20 U.S.C. 1400 </w:t>
      </w:r>
      <w:r w:rsidRPr="00CD6177">
        <w:rPr>
          <w:rFonts w:ascii="Times New Roman" w:hAnsi="Times New Roman" w:cs="Times New Roman"/>
          <w:i/>
          <w:sz w:val="24"/>
          <w:szCs w:val="24"/>
        </w:rPr>
        <w:t>et seq</w:t>
      </w:r>
      <w:r w:rsidRPr="00C1694A">
        <w:rPr>
          <w:rFonts w:ascii="Times New Roman" w:hAnsi="Times New Roman" w:cs="Times New Roman"/>
          <w:sz w:val="24"/>
          <w:szCs w:val="24"/>
        </w:rPr>
        <w:t>.)</w:t>
      </w:r>
      <w:r>
        <w:rPr>
          <w:rFonts w:ascii="Times New Roman" w:hAnsi="Times New Roman" w:cs="Times New Roman"/>
          <w:sz w:val="24"/>
          <w:szCs w:val="24"/>
        </w:rPr>
        <w:t>.</w:t>
      </w:r>
    </w:p>
    <w:p w:rsidR="00887BBB" w:rsidRPr="00010D2E" w:rsidRDefault="00887BBB" w:rsidP="00887BBB">
      <w:pPr>
        <w:spacing w:after="0" w:line="480" w:lineRule="auto"/>
        <w:rPr>
          <w:rFonts w:ascii="Times New Roman" w:hAnsi="Times New Roman" w:cs="Times New Roman"/>
          <w:sz w:val="24"/>
          <w:szCs w:val="24"/>
        </w:rPr>
      </w:pPr>
    </w:p>
    <w:p w:rsidR="00C03FE8" w:rsidRPr="00C1694A" w:rsidRDefault="00887BBB" w:rsidP="00AC521C">
      <w:pPr>
        <w:spacing w:after="0" w:line="480" w:lineRule="auto"/>
        <w:rPr>
          <w:rFonts w:ascii="Times New Roman" w:hAnsi="Times New Roman" w:cs="Times New Roman"/>
          <w:sz w:val="24"/>
          <w:szCs w:val="24"/>
        </w:rPr>
      </w:pPr>
      <w:r w:rsidRPr="00C1694A">
        <w:rPr>
          <w:rFonts w:ascii="Times New Roman" w:hAnsi="Times New Roman" w:cs="Times New Roman"/>
          <w:i/>
          <w:sz w:val="24"/>
          <w:szCs w:val="24"/>
        </w:rPr>
        <w:t>Individualized Family Service Plan</w:t>
      </w:r>
      <w:r>
        <w:rPr>
          <w:rFonts w:ascii="Times New Roman" w:hAnsi="Times New Roman" w:cs="Times New Roman"/>
          <w:i/>
          <w:sz w:val="24"/>
          <w:szCs w:val="24"/>
        </w:rPr>
        <w:t xml:space="preserve"> </w:t>
      </w:r>
      <w:r>
        <w:rPr>
          <w:rFonts w:ascii="Times New Roman" w:hAnsi="Times New Roman" w:cs="Times New Roman"/>
          <w:sz w:val="24"/>
          <w:szCs w:val="24"/>
        </w:rPr>
        <w:t xml:space="preserve">is </w:t>
      </w:r>
      <w:r w:rsidRPr="00C1694A">
        <w:rPr>
          <w:rFonts w:ascii="Times New Roman" w:hAnsi="Times New Roman" w:cs="Times New Roman"/>
          <w:sz w:val="24"/>
          <w:szCs w:val="24"/>
        </w:rPr>
        <w:t xml:space="preserve">defined in the same manner as presented in the Individuals with Disabilities Education Act (20 U.S.C. 1400 </w:t>
      </w:r>
      <w:r w:rsidRPr="00CD6177">
        <w:rPr>
          <w:rFonts w:ascii="Times New Roman" w:hAnsi="Times New Roman" w:cs="Times New Roman"/>
          <w:i/>
          <w:sz w:val="24"/>
          <w:szCs w:val="24"/>
        </w:rPr>
        <w:t>et seq</w:t>
      </w:r>
      <w:r w:rsidRPr="00C1694A">
        <w:rPr>
          <w:rFonts w:ascii="Times New Roman" w:hAnsi="Times New Roman" w:cs="Times New Roman"/>
          <w:sz w:val="24"/>
          <w:szCs w:val="24"/>
        </w:rPr>
        <w:t>.)</w:t>
      </w:r>
      <w:r>
        <w:rPr>
          <w:rFonts w:ascii="Times New Roman" w:hAnsi="Times New Roman" w:cs="Times New Roman"/>
          <w:sz w:val="24"/>
          <w:szCs w:val="24"/>
        </w:rPr>
        <w:t>.</w:t>
      </w: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Legal status</w:t>
      </w:r>
      <w:r w:rsidRPr="00C1694A">
        <w:rPr>
          <w:rFonts w:ascii="Times New Roman" w:hAnsi="Times New Roman" w:cs="Times New Roman"/>
          <w:sz w:val="24"/>
          <w:szCs w:val="24"/>
        </w:rPr>
        <w:t xml:space="preserve"> means the existence of an applicant or grantee as a public agency or organization under the law of the state in which it is located, or existence as a private nonprofit or for-profit agency or organization as a legal entity recognized under the law of the state in which it is located. Existence as a private non-profit agency or organization may be established under applicable state or federal law.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Local agency responsible for implementing IDEA</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means the early intervention service provider under Part C of IDEA and the local educational agency under Part B of IDEA.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Major renovation</w:t>
      </w:r>
      <w:r w:rsidRPr="00C1694A">
        <w:rPr>
          <w:rFonts w:ascii="Times New Roman" w:hAnsi="Times New Roman" w:cs="Times New Roman"/>
          <w:sz w:val="24"/>
          <w:szCs w:val="24"/>
        </w:rPr>
        <w:t xml:space="preserve"> means any individual or collection renovation that has a cost equal to or exceeding $250,000.  It excludes minor renovations and repairs except when they are included in a purchase application.</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Migrant family</w:t>
      </w:r>
      <w:r w:rsidRPr="00C1694A">
        <w:rPr>
          <w:rFonts w:ascii="Times New Roman" w:hAnsi="Times New Roman" w:cs="Times New Roman"/>
          <w:sz w:val="24"/>
          <w:szCs w:val="24"/>
        </w:rPr>
        <w:t xml:space="preserve"> means, for purposes of Head Start eligibility, a family with children under the age of compulsory school attendance who changed their residence by moving from one geographic location to another, either intrastate or interstate, within the preceding two years for the purpose of engaging in agricultural work and whose family income comes primarily from this activity. </w:t>
      </w:r>
    </w:p>
    <w:p w:rsidR="00C03FE8" w:rsidRPr="00C1694A" w:rsidRDefault="00C03FE8" w:rsidP="00AC521C">
      <w:pPr>
        <w:spacing w:after="0" w:line="480" w:lineRule="auto"/>
        <w:rPr>
          <w:rFonts w:ascii="Times New Roman" w:hAnsi="Times New Roman" w:cs="Times New Roman"/>
          <w:b/>
          <w:sz w:val="24"/>
          <w:szCs w:val="24"/>
        </w:rPr>
      </w:pPr>
    </w:p>
    <w:p w:rsidR="00770863"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Migrant or Seasonal Head Start Program</w:t>
      </w:r>
      <w:r w:rsidRPr="00C1694A">
        <w:rPr>
          <w:rFonts w:ascii="Times New Roman" w:hAnsi="Times New Roman" w:cs="Times New Roman"/>
          <w:sz w:val="24"/>
          <w:szCs w:val="24"/>
        </w:rPr>
        <w:t xml:space="preserve"> means: </w:t>
      </w:r>
    </w:p>
    <w:p w:rsidR="00770863"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w:t>
      </w:r>
      <w:r w:rsidR="00887BBB">
        <w:rPr>
          <w:rFonts w:ascii="Times New Roman" w:hAnsi="Times New Roman" w:cs="Times New Roman"/>
          <w:sz w:val="24"/>
          <w:szCs w:val="24"/>
        </w:rPr>
        <w:t>1</w:t>
      </w:r>
      <w:r w:rsidRPr="00C1694A">
        <w:rPr>
          <w:rFonts w:ascii="Times New Roman" w:hAnsi="Times New Roman" w:cs="Times New Roman"/>
          <w:sz w:val="24"/>
          <w:szCs w:val="24"/>
        </w:rPr>
        <w:t xml:space="preserve">) </w:t>
      </w:r>
      <w:r w:rsidR="00770863">
        <w:rPr>
          <w:rFonts w:ascii="Times New Roman" w:hAnsi="Times New Roman" w:cs="Times New Roman"/>
          <w:sz w:val="24"/>
          <w:szCs w:val="24"/>
        </w:rPr>
        <w:t>W</w:t>
      </w:r>
      <w:r w:rsidRPr="00C1694A">
        <w:rPr>
          <w:rFonts w:ascii="Times New Roman" w:hAnsi="Times New Roman" w:cs="Times New Roman"/>
          <w:sz w:val="24"/>
          <w:szCs w:val="24"/>
        </w:rPr>
        <w:t xml:space="preserve">ith respect to services for migrant farm workers, a Head Start program that serves families who are engaged in agricultural labor and who have changed their residence from one geographic location to another in the preceding 2-year period; and, </w:t>
      </w:r>
    </w:p>
    <w:p w:rsidR="00C03FE8" w:rsidRPr="00C1694A" w:rsidRDefault="00C03FE8" w:rsidP="00AC521C">
      <w:pPr>
        <w:spacing w:after="0" w:line="480" w:lineRule="auto"/>
        <w:rPr>
          <w:rFonts w:ascii="Times New Roman" w:hAnsi="Times New Roman" w:cs="Times New Roman"/>
          <w:b/>
          <w:sz w:val="24"/>
          <w:szCs w:val="24"/>
        </w:rPr>
      </w:pPr>
      <w:r w:rsidRPr="00C1694A">
        <w:rPr>
          <w:rFonts w:ascii="Times New Roman" w:hAnsi="Times New Roman" w:cs="Times New Roman"/>
          <w:sz w:val="24"/>
          <w:szCs w:val="24"/>
        </w:rPr>
        <w:t>(</w:t>
      </w:r>
      <w:r w:rsidR="00887BBB">
        <w:rPr>
          <w:rFonts w:ascii="Times New Roman" w:hAnsi="Times New Roman" w:cs="Times New Roman"/>
          <w:sz w:val="24"/>
          <w:szCs w:val="24"/>
        </w:rPr>
        <w:t>2</w:t>
      </w:r>
      <w:r w:rsidRPr="00C1694A">
        <w:rPr>
          <w:rFonts w:ascii="Times New Roman" w:hAnsi="Times New Roman" w:cs="Times New Roman"/>
          <w:sz w:val="24"/>
          <w:szCs w:val="24"/>
        </w:rPr>
        <w:t xml:space="preserve">) </w:t>
      </w:r>
      <w:r w:rsidR="00770863">
        <w:rPr>
          <w:rFonts w:ascii="Times New Roman" w:hAnsi="Times New Roman" w:cs="Times New Roman"/>
          <w:sz w:val="24"/>
          <w:szCs w:val="24"/>
        </w:rPr>
        <w:t>W</w:t>
      </w:r>
      <w:r w:rsidRPr="00C1694A">
        <w:rPr>
          <w:rFonts w:ascii="Times New Roman" w:hAnsi="Times New Roman" w:cs="Times New Roman"/>
          <w:sz w:val="24"/>
          <w:szCs w:val="24"/>
        </w:rPr>
        <w:t>ith respect to services for seasonal farmworkers, a Head Start program that serves families who are engaged primarily in seasonal agricultural labor and who have not changed their residence to another geographic location in the preceding 2-year period.</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iCs/>
          <w:sz w:val="24"/>
          <w:szCs w:val="24"/>
        </w:rPr>
        <w:t>Minor renovation</w:t>
      </w:r>
      <w:r w:rsidRPr="00C1694A">
        <w:rPr>
          <w:rFonts w:ascii="Times New Roman" w:hAnsi="Times New Roman" w:cs="Times New Roman"/>
          <w:sz w:val="24"/>
          <w:szCs w:val="24"/>
        </w:rPr>
        <w:t xml:space="preserve"> means improvements to facilities, which do not meet the definition of major renovation.</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Modular unit</w:t>
      </w:r>
      <w:r w:rsidRPr="00C1694A">
        <w:rPr>
          <w:rFonts w:ascii="Times New Roman" w:hAnsi="Times New Roman" w:cs="Times New Roman"/>
          <w:sz w:val="24"/>
          <w:szCs w:val="24"/>
        </w:rPr>
        <w:t xml:space="preserve"> means a portable prefabricated structure made at another location and moved to a site for use by a Head Start grantee to carry out a Head Start program, regardless of the manner or extent to which the modular unit is attached to underlying real property.</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AC521C">
        <w:rPr>
          <w:rFonts w:ascii="Times New Roman" w:hAnsi="Times New Roman" w:cs="Times New Roman"/>
          <w:i/>
          <w:sz w:val="24"/>
          <w:szCs w:val="24"/>
        </w:rPr>
        <w:t>National Driver Register</w:t>
      </w:r>
      <w:r w:rsidRPr="00C1694A">
        <w:rPr>
          <w:rFonts w:ascii="Times New Roman" w:hAnsi="Times New Roman" w:cs="Times New Roman"/>
          <w:sz w:val="24"/>
          <w:szCs w:val="24"/>
        </w:rPr>
        <w:t xml:space="preserve"> means the National Highway Traffic Safety Administration's automated system for assisting state driver license officials in obtaining information regarding the driving records of individuals who have been denied licenses for cause; had their licenses denied for cause, had their licenses canceled, revoked, or suspended for cause, or have been convicted of certain serious driving offenses.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 xml:space="preserve">Parent </w:t>
      </w:r>
      <w:r w:rsidRPr="00C1694A">
        <w:rPr>
          <w:rFonts w:ascii="Times New Roman" w:hAnsi="Times New Roman" w:cs="Times New Roman"/>
          <w:sz w:val="24"/>
          <w:szCs w:val="24"/>
        </w:rPr>
        <w:t>means a Head Start child's mother or father, other family member who is a primary caregiver, foster parent or authorized caregiver, guardian or the person with whom the child has been placed for purposes of adoption pending a final adoption decree.</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b/>
          <w:sz w:val="24"/>
          <w:szCs w:val="24"/>
        </w:rPr>
      </w:pPr>
      <w:r w:rsidRPr="00AC521C">
        <w:rPr>
          <w:rFonts w:ascii="Times New Roman" w:hAnsi="Times New Roman" w:cs="Times New Roman"/>
          <w:i/>
          <w:sz w:val="24"/>
          <w:szCs w:val="24"/>
        </w:rPr>
        <w:t>Participant</w:t>
      </w:r>
      <w:r w:rsidRPr="00C1694A">
        <w:rPr>
          <w:rFonts w:ascii="Times New Roman" w:hAnsi="Times New Roman" w:cs="Times New Roman"/>
          <w:sz w:val="24"/>
          <w:szCs w:val="24"/>
        </w:rPr>
        <w:t xml:space="preserve"> means a pregnant woman or child who is enrolled in and receives services from a Head Start, an Early Head Start, a Migrant or Seasonal Head Start, or an American Indian and Alaska Native Head Start program.</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 xml:space="preserve">Personally identifiable information (PII) </w:t>
      </w:r>
      <w:r w:rsidRPr="00C1694A">
        <w:rPr>
          <w:rFonts w:ascii="Times New Roman" w:hAnsi="Times New Roman" w:cs="Times New Roman"/>
          <w:sz w:val="24"/>
          <w:szCs w:val="24"/>
        </w:rPr>
        <w:t>means any information that could identify a specific individual, including but not limited to a child’s name, name of a child’s family member, street address of the child, social security number, or other information that is linked or linkable to the child.</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Program</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means a Head Start, Early Head Start, migrant, seasonal, or tribal program, funded under the Act and carried out by an agency, or delegate agency, to provide ongoing comprehensive child development services.</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Program costs</w:t>
      </w:r>
      <w:r w:rsidRPr="00C1694A">
        <w:rPr>
          <w:rFonts w:ascii="Times New Roman" w:hAnsi="Times New Roman" w:cs="Times New Roman"/>
          <w:sz w:val="24"/>
          <w:szCs w:val="24"/>
        </w:rPr>
        <w:t xml:space="preserve"> mean costs incurred in accordance with an approved Head Start budget which directly relate to the provision of program component services, including services to children with disabilities, as set forth and described in the Head Start Program Performance Standards (45 CFR part 1304).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Purchase</w:t>
      </w:r>
      <w:r w:rsidRPr="00C1694A">
        <w:rPr>
          <w:rFonts w:ascii="Times New Roman" w:hAnsi="Times New Roman" w:cs="Times New Roman"/>
          <w:sz w:val="24"/>
          <w:szCs w:val="24"/>
        </w:rPr>
        <w:t xml:space="preserve"> means to buy an existing facility, including outright purchase, down payment or through payments made in satisfaction of a mortgage or other loan agreement, whether principal, interest or an allocated portion principal and/or interest.  The use of grant funds to make a payment under a capital lease agreement, as defined in the cost principles, is a purchase subject to these provisions.  Purchase also refers to an approved use of Head Start funds to continue paying the cost of purchasing facilities or refinance an existing loan or mortgage beginning in 1987.</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Real property</w:t>
      </w:r>
      <w:r w:rsidRPr="00C1694A">
        <w:rPr>
          <w:rFonts w:ascii="Times New Roman" w:hAnsi="Times New Roman" w:cs="Times New Roman"/>
          <w:sz w:val="24"/>
          <w:szCs w:val="24"/>
        </w:rPr>
        <w:t xml:space="preserve"> means land, including land improvements, buildings, structures and all appurtenances thereto, excluding movable machinery and equipment. </w:t>
      </w:r>
    </w:p>
    <w:p w:rsidR="00C03FE8" w:rsidRPr="00C1694A" w:rsidRDefault="00C03FE8" w:rsidP="00AC521C">
      <w:pPr>
        <w:spacing w:after="0" w:line="480" w:lineRule="auto"/>
        <w:rPr>
          <w:rFonts w:ascii="Times New Roman" w:hAnsi="Times New Roman" w:cs="Times New Roman"/>
          <w:b/>
          <w:sz w:val="24"/>
          <w:szCs w:val="24"/>
        </w:rPr>
      </w:pPr>
      <w:r w:rsidRPr="00C1694A" w:rsidDel="00136139">
        <w:rPr>
          <w:rFonts w:ascii="Times New Roman" w:hAnsi="Times New Roman" w:cs="Times New Roman"/>
          <w:b/>
          <w:sz w:val="24"/>
          <w:szCs w:val="24"/>
        </w:rPr>
        <w:t xml:space="preserve"> </w:t>
      </w: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Recruitment area</w:t>
      </w:r>
      <w:r w:rsidRPr="00C1694A">
        <w:rPr>
          <w:rFonts w:ascii="Times New Roman" w:hAnsi="Times New Roman" w:cs="Times New Roman"/>
          <w:sz w:val="24"/>
          <w:szCs w:val="24"/>
        </w:rPr>
        <w:t xml:space="preserve"> means that geographic locality within which a Head Start program seeks to enroll Head Start children and families. The recruitment area can be the same as the service area or it can be a smaller area or areas within the service area. </w:t>
      </w:r>
    </w:p>
    <w:p w:rsidR="00C03FE8" w:rsidRPr="00C1694A" w:rsidRDefault="00C03FE8" w:rsidP="00AC521C">
      <w:pPr>
        <w:spacing w:after="0" w:line="480" w:lineRule="auto"/>
        <w:ind w:left="90"/>
        <w:rPr>
          <w:rFonts w:ascii="Times New Roman" w:hAnsi="Times New Roman" w:cs="Times New Roman"/>
          <w:b/>
          <w:sz w:val="24"/>
          <w:szCs w:val="24"/>
        </w:rPr>
      </w:pPr>
    </w:p>
    <w:p w:rsidR="00770863"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Relevant time period</w:t>
      </w:r>
      <w:r w:rsidRPr="00C1694A">
        <w:rPr>
          <w:rFonts w:ascii="Times New Roman" w:hAnsi="Times New Roman" w:cs="Times New Roman"/>
          <w:sz w:val="24"/>
          <w:szCs w:val="24"/>
        </w:rPr>
        <w:t xml:space="preserve"> means: </w:t>
      </w:r>
    </w:p>
    <w:p w:rsidR="00770863"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w:t>
      </w:r>
      <w:r w:rsidR="00887BBB">
        <w:rPr>
          <w:rFonts w:ascii="Times New Roman" w:hAnsi="Times New Roman" w:cs="Times New Roman"/>
          <w:sz w:val="24"/>
          <w:szCs w:val="24"/>
        </w:rPr>
        <w:t>1</w:t>
      </w:r>
      <w:r w:rsidRPr="00C1694A">
        <w:rPr>
          <w:rFonts w:ascii="Times New Roman" w:hAnsi="Times New Roman" w:cs="Times New Roman"/>
          <w:sz w:val="24"/>
          <w:szCs w:val="24"/>
        </w:rPr>
        <w:t xml:space="preserve">) </w:t>
      </w:r>
      <w:r w:rsidR="00770863">
        <w:rPr>
          <w:rFonts w:ascii="Times New Roman" w:hAnsi="Times New Roman" w:cs="Times New Roman"/>
          <w:sz w:val="24"/>
          <w:szCs w:val="24"/>
        </w:rPr>
        <w:t>T</w:t>
      </w:r>
      <w:r w:rsidRPr="00C1694A">
        <w:rPr>
          <w:rFonts w:ascii="Times New Roman" w:hAnsi="Times New Roman" w:cs="Times New Roman"/>
          <w:sz w:val="24"/>
          <w:szCs w:val="24"/>
        </w:rPr>
        <w:t xml:space="preserve">he 12 months preceding the month in which the application is submitted; or </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w:t>
      </w:r>
      <w:r w:rsidR="00887BBB">
        <w:rPr>
          <w:rFonts w:ascii="Times New Roman" w:hAnsi="Times New Roman" w:cs="Times New Roman"/>
          <w:sz w:val="24"/>
          <w:szCs w:val="24"/>
        </w:rPr>
        <w:t>2</w:t>
      </w:r>
      <w:r w:rsidRPr="00C1694A">
        <w:rPr>
          <w:rFonts w:ascii="Times New Roman" w:hAnsi="Times New Roman" w:cs="Times New Roman"/>
          <w:sz w:val="24"/>
          <w:szCs w:val="24"/>
        </w:rPr>
        <w:t xml:space="preserve">) </w:t>
      </w:r>
      <w:r w:rsidR="00770863">
        <w:rPr>
          <w:rFonts w:ascii="Times New Roman" w:hAnsi="Times New Roman" w:cs="Times New Roman"/>
          <w:sz w:val="24"/>
          <w:szCs w:val="24"/>
        </w:rPr>
        <w:t>D</w:t>
      </w:r>
      <w:r w:rsidRPr="00C1694A">
        <w:rPr>
          <w:rFonts w:ascii="Times New Roman" w:hAnsi="Times New Roman" w:cs="Times New Roman"/>
          <w:sz w:val="24"/>
          <w:szCs w:val="24"/>
        </w:rPr>
        <w:t>uring the calendar year preceding the calendar year in which the application is submitted, whichever more accurately reflects the needs of the family at the time of application.</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Repair</w:t>
      </w:r>
      <w:r w:rsidRPr="00C1694A">
        <w:rPr>
          <w:rFonts w:ascii="Times New Roman" w:hAnsi="Times New Roman" w:cs="Times New Roman"/>
          <w:sz w:val="24"/>
          <w:szCs w:val="24"/>
        </w:rPr>
        <w:t xml:space="preserve"> means maintenance that is necessary to keep a Head Start facility in working condition. Repairs do not add significant value to the property or extend its useful life.</w:t>
      </w:r>
    </w:p>
    <w:p w:rsidR="00C03FE8" w:rsidRPr="00C1694A" w:rsidRDefault="00C03FE8" w:rsidP="00AC521C">
      <w:pPr>
        <w:spacing w:after="0" w:line="480" w:lineRule="auto"/>
        <w:ind w:left="90"/>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Responsible HHS official</w:t>
      </w:r>
      <w:r w:rsidRPr="00C1694A">
        <w:rPr>
          <w:rFonts w:ascii="Times New Roman" w:hAnsi="Times New Roman" w:cs="Times New Roman"/>
          <w:sz w:val="24"/>
          <w:szCs w:val="24"/>
        </w:rPr>
        <w:t xml:space="preserve"> means the official of the Department of Health and Human Services who has authority to make grants under the Act.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r w:rsidRPr="00AC521C">
        <w:rPr>
          <w:rFonts w:ascii="Times New Roman" w:eastAsia="Times New Roman" w:hAnsi="Times New Roman" w:cs="Times New Roman"/>
          <w:i/>
          <w:iCs/>
          <w:sz w:val="24"/>
          <w:szCs w:val="24"/>
        </w:rPr>
        <w:t>School readiness goals</w:t>
      </w:r>
      <w:r w:rsidRPr="00C1694A">
        <w:rPr>
          <w:rFonts w:ascii="Times New Roman" w:eastAsia="Times New Roman" w:hAnsi="Times New Roman" w:cs="Times New Roman"/>
          <w:sz w:val="24"/>
          <w:szCs w:val="24"/>
        </w:rPr>
        <w:t xml:space="preserve"> mean the expectations of children's status and progress across domains of language and literacy development, cognition and general knowledge, approaches to learning, physical well-being and motor development, and social and emotional development that will improve their readiness for kindergarten.</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School bus</w:t>
      </w:r>
      <w:r w:rsidRPr="00C1694A">
        <w:rPr>
          <w:rFonts w:ascii="Times New Roman" w:hAnsi="Times New Roman" w:cs="Times New Roman"/>
          <w:b/>
          <w:sz w:val="24"/>
          <w:szCs w:val="24"/>
        </w:rPr>
        <w:t xml:space="preserve"> </w:t>
      </w:r>
      <w:r w:rsidRPr="00C1694A">
        <w:rPr>
          <w:rFonts w:ascii="Times New Roman" w:hAnsi="Times New Roman" w:cs="Times New Roman"/>
          <w:sz w:val="24"/>
          <w:szCs w:val="24"/>
        </w:rPr>
        <w:t xml:space="preserve">means a motor vehicle designed for carrying 11 or more persons (including the driver) and which complies with the Federal Motor Vehicle Safety Standards applicable to school buses.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autoSpaceDE w:val="0"/>
        <w:autoSpaceDN w:val="0"/>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Service area</w:t>
      </w:r>
      <w:r w:rsidRPr="00C1694A">
        <w:rPr>
          <w:rFonts w:ascii="Times New Roman" w:hAnsi="Times New Roman" w:cs="Times New Roman"/>
          <w:i/>
          <w:sz w:val="24"/>
          <w:szCs w:val="24"/>
        </w:rPr>
        <w:t xml:space="preserve"> </w:t>
      </w:r>
      <w:r w:rsidRPr="00C1694A">
        <w:rPr>
          <w:rFonts w:ascii="Times New Roman" w:hAnsi="Times New Roman" w:cs="Times New Roman"/>
          <w:sz w:val="24"/>
          <w:szCs w:val="24"/>
        </w:rPr>
        <w:t xml:space="preserve">means the geographic area identified in an approved grant application within which a grantee may provide Head Start services.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Staff</w:t>
      </w:r>
      <w:r w:rsidRPr="00C1694A">
        <w:rPr>
          <w:rFonts w:ascii="Times New Roman" w:hAnsi="Times New Roman" w:cs="Times New Roman"/>
          <w:sz w:val="24"/>
          <w:szCs w:val="24"/>
        </w:rPr>
        <w:t xml:space="preserve"> means paid adults who have responsibilities related to children and their families who are enrolled in programs</w:t>
      </w:r>
    </w:p>
    <w:p w:rsidR="00C03FE8" w:rsidRPr="00C1694A" w:rsidRDefault="00887BBB" w:rsidP="00AC521C">
      <w:pPr>
        <w:spacing w:after="0" w:line="480" w:lineRule="auto"/>
        <w:rPr>
          <w:rFonts w:ascii="Times New Roman" w:hAnsi="Times New Roman" w:cs="Times New Roman"/>
          <w:b/>
          <w:sz w:val="24"/>
          <w:szCs w:val="24"/>
        </w:rPr>
      </w:pPr>
      <w:r>
        <w:rPr>
          <w:rFonts w:ascii="Times New Roman" w:hAnsi="Times New Roman" w:cs="Times New Roman"/>
          <w:i/>
          <w:sz w:val="24"/>
          <w:szCs w:val="24"/>
        </w:rPr>
        <w:t xml:space="preserve">State </w:t>
      </w:r>
      <w:r>
        <w:rPr>
          <w:rFonts w:ascii="Times New Roman" w:hAnsi="Times New Roman" w:cs="Times New Roman"/>
          <w:sz w:val="24"/>
          <w:szCs w:val="24"/>
        </w:rPr>
        <w:t xml:space="preserve">is defined in </w:t>
      </w:r>
      <w:r w:rsidRPr="00C1694A">
        <w:rPr>
          <w:rFonts w:ascii="Times New Roman" w:hAnsi="Times New Roman" w:cs="Times New Roman"/>
          <w:sz w:val="24"/>
          <w:szCs w:val="24"/>
        </w:rPr>
        <w:t>the same manner as presented in the Head Start Act, 42 U.S.C. 9801</w:t>
      </w:r>
      <w:r>
        <w:rPr>
          <w:rFonts w:ascii="Times New Roman" w:hAnsi="Times New Roman" w:cs="Times New Roman"/>
          <w:sz w:val="24"/>
          <w:szCs w:val="24"/>
        </w:rPr>
        <w:t>.</w:t>
      </w:r>
    </w:p>
    <w:p w:rsidR="00770863"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Termination of a grant or delegate agency agreement</w:t>
      </w:r>
      <w:r w:rsidRPr="00C1694A">
        <w:rPr>
          <w:rFonts w:ascii="Times New Roman" w:hAnsi="Times New Roman" w:cs="Times New Roman"/>
          <w:sz w:val="24"/>
          <w:szCs w:val="24"/>
        </w:rPr>
        <w:t xml:space="preserve"> means permanent withdrawal of the grantee's or delegate agency's authority to obligate previously awarded grant funds before that authority would otherwise expire. It also means the voluntary relinquishment of that authority by the grantee or delegate agency. Termination does not include: </w:t>
      </w:r>
    </w:p>
    <w:p w:rsidR="00770863"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w:t>
      </w:r>
      <w:r w:rsidR="00887BBB">
        <w:rPr>
          <w:rFonts w:ascii="Times New Roman" w:hAnsi="Times New Roman" w:cs="Times New Roman"/>
          <w:sz w:val="24"/>
          <w:szCs w:val="24"/>
        </w:rPr>
        <w:t>1</w:t>
      </w:r>
      <w:r w:rsidRPr="00C1694A">
        <w:rPr>
          <w:rFonts w:ascii="Times New Roman" w:hAnsi="Times New Roman" w:cs="Times New Roman"/>
          <w:sz w:val="24"/>
          <w:szCs w:val="24"/>
        </w:rPr>
        <w:t xml:space="preserve">) Withdrawal of funds awarded on the basis of the grantee's or delegate agency's underestimate of the unobligated balance in a prior period; </w:t>
      </w:r>
    </w:p>
    <w:p w:rsidR="00770863"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w:t>
      </w:r>
      <w:r w:rsidR="00887BBB">
        <w:rPr>
          <w:rFonts w:ascii="Times New Roman" w:hAnsi="Times New Roman" w:cs="Times New Roman"/>
          <w:sz w:val="24"/>
          <w:szCs w:val="24"/>
        </w:rPr>
        <w:t>2</w:t>
      </w:r>
      <w:r w:rsidRPr="00C1694A">
        <w:rPr>
          <w:rFonts w:ascii="Times New Roman" w:hAnsi="Times New Roman" w:cs="Times New Roman"/>
          <w:sz w:val="24"/>
          <w:szCs w:val="24"/>
        </w:rPr>
        <w:t xml:space="preserve">) Refusal by the funding agency to extend a grant or award additional funds (such as refusal to make a competing or noncompeting continuation renewal, extension or supplemental award); </w:t>
      </w:r>
    </w:p>
    <w:p w:rsidR="00770863"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w:t>
      </w:r>
      <w:r w:rsidR="00887BBB">
        <w:rPr>
          <w:rFonts w:ascii="Times New Roman" w:hAnsi="Times New Roman" w:cs="Times New Roman"/>
          <w:sz w:val="24"/>
          <w:szCs w:val="24"/>
        </w:rPr>
        <w:t>3</w:t>
      </w:r>
      <w:r w:rsidRPr="00C1694A">
        <w:rPr>
          <w:rFonts w:ascii="Times New Roman" w:hAnsi="Times New Roman" w:cs="Times New Roman"/>
          <w:sz w:val="24"/>
          <w:szCs w:val="24"/>
        </w:rPr>
        <w:t xml:space="preserve">) Withdrawal of the unobligated balance as of the expiration of a grant; </w:t>
      </w:r>
      <w:r w:rsidR="00770863">
        <w:rPr>
          <w:rFonts w:ascii="Times New Roman" w:hAnsi="Times New Roman" w:cs="Times New Roman"/>
          <w:sz w:val="24"/>
          <w:szCs w:val="24"/>
        </w:rPr>
        <w:t>and</w:t>
      </w:r>
    </w:p>
    <w:p w:rsidR="00C03FE8" w:rsidRPr="00C1694A" w:rsidRDefault="00C03FE8" w:rsidP="00AC521C">
      <w:pPr>
        <w:spacing w:after="0" w:line="480" w:lineRule="auto"/>
        <w:rPr>
          <w:rFonts w:ascii="Times New Roman" w:hAnsi="Times New Roman" w:cs="Times New Roman"/>
          <w:sz w:val="24"/>
          <w:szCs w:val="24"/>
        </w:rPr>
      </w:pPr>
      <w:r w:rsidRPr="00C1694A">
        <w:rPr>
          <w:rFonts w:ascii="Times New Roman" w:hAnsi="Times New Roman" w:cs="Times New Roman"/>
          <w:sz w:val="24"/>
          <w:szCs w:val="24"/>
        </w:rPr>
        <w:t>(</w:t>
      </w:r>
      <w:r w:rsidR="00887BBB">
        <w:rPr>
          <w:rFonts w:ascii="Times New Roman" w:hAnsi="Times New Roman" w:cs="Times New Roman"/>
          <w:sz w:val="24"/>
          <w:szCs w:val="24"/>
        </w:rPr>
        <w:t>4</w:t>
      </w:r>
      <w:r w:rsidRPr="00C1694A">
        <w:rPr>
          <w:rFonts w:ascii="Times New Roman" w:hAnsi="Times New Roman" w:cs="Times New Roman"/>
          <w:sz w:val="24"/>
          <w:szCs w:val="24"/>
        </w:rPr>
        <w:t xml:space="preserve">) Annulment, i.e., voiding of a grant upon determination that the award was obtained fraudulently or was otherwise illegal or invalid from its inception.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Total approved costs</w:t>
      </w:r>
      <w:r w:rsidRPr="00C1694A">
        <w:rPr>
          <w:rFonts w:ascii="Times New Roman" w:hAnsi="Times New Roman" w:cs="Times New Roman"/>
          <w:sz w:val="24"/>
          <w:szCs w:val="24"/>
        </w:rPr>
        <w:t xml:space="preserve"> mean the sum of all costs of the Head Start program approved for a given budget period by the Administration for Children and Families, as indicated on the Financial Assistance Award. Total approved costs consist of the federal share plus any approved non-federal match, including non-federal match above the statutory minimum. </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hd w:val="clear" w:color="auto" w:fill="FFFFFF"/>
        <w:spacing w:after="0" w:line="480" w:lineRule="auto"/>
        <w:ind w:right="300"/>
        <w:rPr>
          <w:rFonts w:ascii="Times New Roman" w:eastAsia="Times New Roman" w:hAnsi="Times New Roman" w:cs="Times New Roman"/>
          <w:sz w:val="24"/>
          <w:szCs w:val="24"/>
        </w:rPr>
      </w:pPr>
      <w:r w:rsidRPr="00AC521C">
        <w:rPr>
          <w:rFonts w:ascii="Times New Roman" w:eastAsia="Times New Roman" w:hAnsi="Times New Roman" w:cs="Times New Roman"/>
          <w:i/>
          <w:iCs/>
          <w:sz w:val="24"/>
          <w:szCs w:val="24"/>
        </w:rPr>
        <w:t>Transition period</w:t>
      </w:r>
      <w:r w:rsidRPr="00C1694A">
        <w:rPr>
          <w:rFonts w:ascii="Times New Roman" w:eastAsia="Times New Roman" w:hAnsi="Times New Roman" w:cs="Times New Roman"/>
          <w:sz w:val="24"/>
          <w:szCs w:val="24"/>
        </w:rPr>
        <w:t xml:space="preserve"> means the three-year time period after December 9, 2011, on the Designation Renewal System during which ACF will convert all of the current continuous Head Start and Early Head Start grants into five-year grants after reviewing each grantee to determine if it meets any of the conditions under </w:t>
      </w:r>
      <w:r w:rsidRPr="00C1694A">
        <w:rPr>
          <w:rFonts w:ascii="Times New Roman" w:hAnsi="Times New Roman" w:cs="Times New Roman"/>
          <w:b/>
          <w:sz w:val="24"/>
          <w:szCs w:val="24"/>
        </w:rPr>
        <w:t>§</w:t>
      </w:r>
      <w:r w:rsidRPr="00C1694A">
        <w:rPr>
          <w:rFonts w:ascii="Times New Roman" w:eastAsia="Times New Roman" w:hAnsi="Times New Roman" w:cs="Times New Roman"/>
          <w:sz w:val="24"/>
          <w:szCs w:val="24"/>
        </w:rPr>
        <w:t>1304.12</w:t>
      </w:r>
      <w:r w:rsidR="00770863">
        <w:rPr>
          <w:rFonts w:ascii="Times New Roman" w:eastAsia="Times New Roman" w:hAnsi="Times New Roman" w:cs="Times New Roman"/>
          <w:sz w:val="24"/>
          <w:szCs w:val="24"/>
        </w:rPr>
        <w:t xml:space="preserve"> of this chapter</w:t>
      </w:r>
      <w:r w:rsidRPr="00C1694A">
        <w:rPr>
          <w:rFonts w:ascii="Times New Roman" w:eastAsia="Times New Roman" w:hAnsi="Times New Roman" w:cs="Times New Roman"/>
          <w:sz w:val="24"/>
          <w:szCs w:val="24"/>
        </w:rPr>
        <w:t xml:space="preserve"> that require recompetition or if the grantee will receive its first five-year grant non-competitively.</w:t>
      </w:r>
    </w:p>
    <w:p w:rsidR="00C03FE8" w:rsidRPr="00C1694A" w:rsidRDefault="00C03FE8" w:rsidP="00AC521C">
      <w:pPr>
        <w:spacing w:after="0" w:line="480" w:lineRule="auto"/>
        <w:rPr>
          <w:rFonts w:ascii="Times New Roman" w:hAnsi="Times New Roman" w:cs="Times New Roman"/>
          <w:b/>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Transportation services</w:t>
      </w:r>
      <w:r w:rsidRPr="00C1694A">
        <w:rPr>
          <w:rFonts w:ascii="Times New Roman" w:hAnsi="Times New Roman" w:cs="Times New Roman"/>
          <w:sz w:val="24"/>
          <w:szCs w:val="24"/>
        </w:rPr>
        <w:t xml:space="preserve"> means the planned transporting of children to and from sites where an agency provides services funded under the Head Start Act. Transportation services can involve the pick-up and discharge of children at regularly scheduled times and pre-arranged sites, including trips between children's homes and program settings. The term includes services provided directly by the Head Start and Early Head Start grantee or delegate agency and services which such agencies arrange to be provided by another organization or an individual. Incidental trips, such as transporting a sick child home before the end of the day, or such as might be required to transport small groups of children to and from necessary services, are not included under the term. </w:t>
      </w:r>
    </w:p>
    <w:p w:rsidR="00C03FE8" w:rsidRPr="00C1694A" w:rsidRDefault="00C03FE8" w:rsidP="00AC521C">
      <w:pPr>
        <w:spacing w:after="0" w:line="480" w:lineRule="auto"/>
        <w:rPr>
          <w:rFonts w:ascii="Times New Roman" w:hAnsi="Times New Roman" w:cs="Times New Roman"/>
          <w:sz w:val="24"/>
          <w:szCs w:val="24"/>
        </w:rPr>
      </w:pPr>
    </w:p>
    <w:p w:rsidR="00C03FE8" w:rsidRPr="00C1694A" w:rsidRDefault="00C03FE8" w:rsidP="00AC521C">
      <w:pPr>
        <w:spacing w:after="0" w:line="480" w:lineRule="auto"/>
        <w:rPr>
          <w:rFonts w:ascii="Times New Roman" w:hAnsi="Times New Roman" w:cs="Times New Roman"/>
          <w:sz w:val="24"/>
          <w:szCs w:val="24"/>
        </w:rPr>
      </w:pPr>
      <w:r w:rsidRPr="00AC521C">
        <w:rPr>
          <w:rFonts w:ascii="Times New Roman" w:hAnsi="Times New Roman" w:cs="Times New Roman"/>
          <w:i/>
          <w:sz w:val="24"/>
          <w:szCs w:val="24"/>
        </w:rPr>
        <w:t>Verify</w:t>
      </w:r>
      <w:r w:rsidRPr="00C1694A">
        <w:rPr>
          <w:rFonts w:ascii="Times New Roman" w:hAnsi="Times New Roman" w:cs="Times New Roman"/>
          <w:sz w:val="24"/>
          <w:szCs w:val="24"/>
        </w:rPr>
        <w:t xml:space="preserve"> or any variance of the word means to check or determine the correctness or truth by investigation or by reference.</w:t>
      </w:r>
    </w:p>
    <w:p w:rsidR="00C03FE8" w:rsidRPr="00C1694A" w:rsidRDefault="00C03FE8" w:rsidP="00C03FE8">
      <w:pPr>
        <w:pStyle w:val="ListParagraph"/>
        <w:autoSpaceDE w:val="0"/>
        <w:autoSpaceDN w:val="0"/>
        <w:adjustRightInd w:val="0"/>
        <w:spacing w:after="0" w:line="480" w:lineRule="auto"/>
        <w:ind w:left="0"/>
        <w:rPr>
          <w:rFonts w:ascii="Times New Roman" w:hAnsi="Times New Roman" w:cs="Times New Roman"/>
          <w:sz w:val="24"/>
          <w:szCs w:val="24"/>
        </w:rPr>
      </w:pPr>
    </w:p>
    <w:sectPr w:rsidR="00C03FE8" w:rsidRPr="00C1694A" w:rsidSect="003101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398A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39" w:rsidRDefault="00960E39" w:rsidP="008D6FB8">
      <w:pPr>
        <w:spacing w:after="0" w:line="240" w:lineRule="auto"/>
      </w:pPr>
      <w:r>
        <w:separator/>
      </w:r>
    </w:p>
  </w:endnote>
  <w:endnote w:type="continuationSeparator" w:id="0">
    <w:p w:rsidR="00960E39" w:rsidRDefault="00960E39" w:rsidP="008D6FB8">
      <w:pPr>
        <w:spacing w:after="0" w:line="240" w:lineRule="auto"/>
      </w:pPr>
      <w:r>
        <w:continuationSeparator/>
      </w:r>
    </w:p>
  </w:endnote>
  <w:endnote w:type="continuationNotice" w:id="1">
    <w:p w:rsidR="00960E39" w:rsidRDefault="00960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GHEH B+ M Ionic">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BBB" w:rsidRDefault="00887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797812"/>
      <w:docPartObj>
        <w:docPartGallery w:val="Page Numbers (Bottom of Page)"/>
        <w:docPartUnique/>
      </w:docPartObj>
    </w:sdtPr>
    <w:sdtEndPr>
      <w:rPr>
        <w:rFonts w:ascii="Times New Roman" w:hAnsi="Times New Roman" w:cs="Times New Roman"/>
        <w:noProof/>
        <w:sz w:val="24"/>
        <w:szCs w:val="24"/>
      </w:rPr>
    </w:sdtEndPr>
    <w:sdtContent>
      <w:p w:rsidR="00887BBB" w:rsidRPr="002563E8" w:rsidRDefault="00887BBB">
        <w:pPr>
          <w:pStyle w:val="Footer"/>
          <w:jc w:val="center"/>
          <w:rPr>
            <w:rFonts w:ascii="Times New Roman" w:hAnsi="Times New Roman" w:cs="Times New Roman"/>
            <w:sz w:val="24"/>
            <w:szCs w:val="24"/>
          </w:rPr>
        </w:pPr>
        <w:r w:rsidRPr="002563E8">
          <w:rPr>
            <w:rFonts w:ascii="Times New Roman" w:hAnsi="Times New Roman" w:cs="Times New Roman"/>
            <w:sz w:val="24"/>
            <w:szCs w:val="24"/>
          </w:rPr>
          <w:fldChar w:fldCharType="begin"/>
        </w:r>
        <w:r w:rsidRPr="002563E8">
          <w:rPr>
            <w:rFonts w:ascii="Times New Roman" w:hAnsi="Times New Roman" w:cs="Times New Roman"/>
            <w:sz w:val="24"/>
            <w:szCs w:val="24"/>
          </w:rPr>
          <w:instrText xml:space="preserve"> PAGE   \* MERGEFORMAT </w:instrText>
        </w:r>
        <w:r w:rsidRPr="002563E8">
          <w:rPr>
            <w:rFonts w:ascii="Times New Roman" w:hAnsi="Times New Roman" w:cs="Times New Roman"/>
            <w:sz w:val="24"/>
            <w:szCs w:val="24"/>
          </w:rPr>
          <w:fldChar w:fldCharType="separate"/>
        </w:r>
        <w:r w:rsidR="00AC521C">
          <w:rPr>
            <w:rFonts w:ascii="Times New Roman" w:hAnsi="Times New Roman" w:cs="Times New Roman"/>
            <w:noProof/>
            <w:sz w:val="24"/>
            <w:szCs w:val="24"/>
          </w:rPr>
          <w:t>5</w:t>
        </w:r>
        <w:r w:rsidRPr="002563E8">
          <w:rPr>
            <w:rFonts w:ascii="Times New Roman" w:hAnsi="Times New Roman" w:cs="Times New Roman"/>
            <w:noProof/>
            <w:sz w:val="24"/>
            <w:szCs w:val="24"/>
          </w:rPr>
          <w:fldChar w:fldCharType="end"/>
        </w:r>
      </w:p>
    </w:sdtContent>
  </w:sdt>
  <w:p w:rsidR="00887BBB" w:rsidRDefault="00887B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790340"/>
      <w:docPartObj>
        <w:docPartGallery w:val="Page Numbers (Bottom of Page)"/>
        <w:docPartUnique/>
      </w:docPartObj>
    </w:sdtPr>
    <w:sdtEndPr>
      <w:rPr>
        <w:noProof/>
      </w:rPr>
    </w:sdtEndPr>
    <w:sdtContent>
      <w:p w:rsidR="00887BBB" w:rsidRDefault="00887BBB">
        <w:pPr>
          <w:pStyle w:val="Footer"/>
          <w:jc w:val="center"/>
        </w:pPr>
        <w:r>
          <w:fldChar w:fldCharType="begin"/>
        </w:r>
        <w:r>
          <w:instrText xml:space="preserve"> PAGE   \* MERGEFORMAT </w:instrText>
        </w:r>
        <w:r>
          <w:fldChar w:fldCharType="separate"/>
        </w:r>
        <w:r w:rsidR="00AC521C">
          <w:rPr>
            <w:noProof/>
          </w:rPr>
          <w:t>1</w:t>
        </w:r>
        <w:r>
          <w:rPr>
            <w:noProof/>
          </w:rPr>
          <w:fldChar w:fldCharType="end"/>
        </w:r>
      </w:p>
    </w:sdtContent>
  </w:sdt>
  <w:p w:rsidR="00887BBB" w:rsidRDefault="00887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39" w:rsidRDefault="00960E39" w:rsidP="008D6FB8">
      <w:pPr>
        <w:spacing w:after="0" w:line="240" w:lineRule="auto"/>
      </w:pPr>
      <w:r>
        <w:separator/>
      </w:r>
    </w:p>
  </w:footnote>
  <w:footnote w:type="continuationSeparator" w:id="0">
    <w:p w:rsidR="00960E39" w:rsidRDefault="00960E39" w:rsidP="008D6FB8">
      <w:pPr>
        <w:spacing w:after="0" w:line="240" w:lineRule="auto"/>
      </w:pPr>
      <w:r>
        <w:continuationSeparator/>
      </w:r>
    </w:p>
  </w:footnote>
  <w:footnote w:type="continuationNotice" w:id="1">
    <w:p w:rsidR="00960E39" w:rsidRDefault="00960E39">
      <w:pPr>
        <w:spacing w:after="0" w:line="240" w:lineRule="auto"/>
      </w:pPr>
    </w:p>
  </w:footnote>
  <w:footnote w:id="2">
    <w:p w:rsidR="00887BBB" w:rsidRPr="004932C1" w:rsidRDefault="00887BBB" w:rsidP="00A61B65">
      <w:pPr>
        <w:pStyle w:val="FootnoteText"/>
        <w:ind w:left="180" w:hanging="180"/>
      </w:pPr>
      <w:r w:rsidRPr="004932C1">
        <w:rPr>
          <w:rStyle w:val="FootnoteReference"/>
        </w:rPr>
        <w:footnoteRef/>
      </w:r>
      <w:r w:rsidRPr="004932C1">
        <w:t xml:space="preserve"> </w:t>
      </w:r>
      <w:r w:rsidRPr="004932C1">
        <w:rPr>
          <w:rFonts w:ascii="Times New Roman" w:hAnsi="Times New Roman"/>
          <w:sz w:val="20"/>
          <w:szCs w:val="20"/>
        </w:rPr>
        <w:t xml:space="preserve">U.S. Department of Health and Human Services, Administration for Children and Families (2015). </w:t>
      </w:r>
      <w:r w:rsidRPr="004932C1">
        <w:rPr>
          <w:rFonts w:ascii="Times New Roman" w:hAnsi="Times New Roman"/>
          <w:i/>
          <w:sz w:val="20"/>
          <w:szCs w:val="20"/>
        </w:rPr>
        <w:t>Office of Head Start Program Information Report, 2014-2015</w:t>
      </w:r>
      <w:r w:rsidRPr="004932C1">
        <w:rPr>
          <w:rFonts w:ascii="Times New Roman" w:hAnsi="Times New Roman"/>
          <w:sz w:val="20"/>
          <w:szCs w:val="20"/>
        </w:rPr>
        <w:t>. Washington, DC: Author.</w:t>
      </w:r>
    </w:p>
  </w:footnote>
  <w:footnote w:id="3">
    <w:p w:rsidR="00887BBB" w:rsidRPr="0096266B" w:rsidRDefault="00887BBB" w:rsidP="00832E6D">
      <w:pPr>
        <w:pStyle w:val="FootnoteText"/>
        <w:rPr>
          <w:rStyle w:val="Hyperlink"/>
          <w:color w:val="auto"/>
          <w:u w:val="none"/>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 xml:space="preserve">See </w:t>
      </w:r>
      <w:r w:rsidRPr="00001E53">
        <w:rPr>
          <w:rFonts w:ascii="Times New Roman" w:hAnsi="Times New Roman" w:cs="Times New Roman"/>
          <w:sz w:val="20"/>
          <w:szCs w:val="20"/>
        </w:rPr>
        <w:t>https://www.congress.gov/congressional-report/110th-congress/house-report/439/1</w:t>
      </w:r>
      <w:r>
        <w:rPr>
          <w:rStyle w:val="Hyperlink"/>
          <w:rFonts w:ascii="Times New Roman" w:hAnsi="Times New Roman" w:cs="Times New Roman"/>
          <w:color w:val="auto"/>
          <w:sz w:val="20"/>
          <w:szCs w:val="20"/>
        </w:rPr>
        <w:t xml:space="preserve"> </w:t>
      </w:r>
      <w:r w:rsidRPr="0096266B">
        <w:rPr>
          <w:rStyle w:val="Hyperlink"/>
          <w:rFonts w:ascii="Times New Roman" w:hAnsi="Times New Roman" w:cs="Times New Roman"/>
          <w:color w:val="auto"/>
          <w:sz w:val="20"/>
          <w:szCs w:val="20"/>
          <w:u w:val="none"/>
        </w:rPr>
        <w:t xml:space="preserve">and </w:t>
      </w:r>
      <w:r w:rsidRPr="0096266B">
        <w:rPr>
          <w:rStyle w:val="Hyperlink"/>
          <w:color w:val="auto"/>
          <w:sz w:val="20"/>
          <w:szCs w:val="20"/>
          <w:u w:val="none"/>
        </w:rPr>
        <w:t>42 U</w:t>
      </w:r>
      <w:r>
        <w:rPr>
          <w:rStyle w:val="Hyperlink"/>
          <w:color w:val="auto"/>
          <w:sz w:val="20"/>
          <w:szCs w:val="20"/>
          <w:u w:val="none"/>
        </w:rPr>
        <w:t>.</w:t>
      </w:r>
      <w:r w:rsidRPr="0096266B">
        <w:rPr>
          <w:rStyle w:val="Hyperlink"/>
          <w:color w:val="auto"/>
          <w:sz w:val="20"/>
          <w:szCs w:val="20"/>
          <w:u w:val="none"/>
        </w:rPr>
        <w:t>S</w:t>
      </w:r>
      <w:r>
        <w:rPr>
          <w:rStyle w:val="Hyperlink"/>
          <w:color w:val="auto"/>
          <w:sz w:val="20"/>
          <w:szCs w:val="20"/>
          <w:u w:val="none"/>
        </w:rPr>
        <w:t>.</w:t>
      </w:r>
      <w:r w:rsidRPr="0096266B">
        <w:rPr>
          <w:rStyle w:val="Hyperlink"/>
          <w:color w:val="auto"/>
          <w:sz w:val="20"/>
          <w:szCs w:val="20"/>
          <w:u w:val="none"/>
        </w:rPr>
        <w:t>C</w:t>
      </w:r>
      <w:r>
        <w:rPr>
          <w:rStyle w:val="Hyperlink"/>
          <w:color w:val="auto"/>
          <w:sz w:val="20"/>
          <w:szCs w:val="20"/>
          <w:u w:val="none"/>
        </w:rPr>
        <w:t>.</w:t>
      </w:r>
      <w:r w:rsidRPr="0096266B">
        <w:rPr>
          <w:rStyle w:val="Hyperlink"/>
          <w:color w:val="auto"/>
          <w:sz w:val="20"/>
          <w:szCs w:val="20"/>
          <w:u w:val="none"/>
        </w:rPr>
        <w:t xml:space="preserve"> 9836A(a)(1)(B)</w:t>
      </w:r>
      <w:r>
        <w:rPr>
          <w:rStyle w:val="Hyperlink"/>
          <w:color w:val="auto"/>
          <w:sz w:val="20"/>
          <w:szCs w:val="20"/>
          <w:u w:val="none"/>
        </w:rPr>
        <w:t>.</w:t>
      </w:r>
    </w:p>
  </w:footnote>
  <w:footnote w:id="4">
    <w:p w:rsidR="00887BBB" w:rsidRPr="00D23898" w:rsidRDefault="00887BBB">
      <w:pPr>
        <w:pStyle w:val="FootnoteText"/>
        <w:rPr>
          <w:rStyle w:val="Hyperlink"/>
          <w:rFonts w:ascii="Times New Roman" w:hAnsi="Times New Roman" w:cs="Times New Roman"/>
          <w:color w:val="auto"/>
          <w:sz w:val="20"/>
          <w:szCs w:val="20"/>
        </w:rPr>
      </w:pPr>
      <w:r w:rsidRPr="0096266B">
        <w:rPr>
          <w:rStyle w:val="FootnoteReference"/>
          <w:rFonts w:ascii="Times New Roman" w:hAnsi="Times New Roman" w:cs="Times New Roman"/>
          <w:sz w:val="20"/>
          <w:szCs w:val="20"/>
        </w:rPr>
        <w:footnoteRef/>
      </w:r>
      <w:r w:rsidRPr="0096266B">
        <w:rPr>
          <w:rFonts w:ascii="Times New Roman" w:hAnsi="Times New Roman" w:cs="Times New Roman"/>
          <w:sz w:val="20"/>
          <w:szCs w:val="20"/>
        </w:rPr>
        <w:t xml:space="preserve"> </w:t>
      </w:r>
      <w:r w:rsidRPr="0096266B">
        <w:rPr>
          <w:rStyle w:val="Hyperlink"/>
          <w:color w:val="auto"/>
          <w:sz w:val="20"/>
          <w:szCs w:val="20"/>
          <w:u w:val="none"/>
        </w:rPr>
        <w:t>42 U</w:t>
      </w:r>
      <w:r>
        <w:rPr>
          <w:rStyle w:val="Hyperlink"/>
          <w:color w:val="auto"/>
          <w:sz w:val="20"/>
          <w:szCs w:val="20"/>
          <w:u w:val="none"/>
        </w:rPr>
        <w:t>.</w:t>
      </w:r>
      <w:r w:rsidRPr="0096266B">
        <w:rPr>
          <w:rStyle w:val="Hyperlink"/>
          <w:color w:val="auto"/>
          <w:sz w:val="20"/>
          <w:szCs w:val="20"/>
          <w:u w:val="none"/>
        </w:rPr>
        <w:t>S</w:t>
      </w:r>
      <w:r>
        <w:rPr>
          <w:rStyle w:val="Hyperlink"/>
          <w:color w:val="auto"/>
          <w:sz w:val="20"/>
          <w:szCs w:val="20"/>
          <w:u w:val="none"/>
        </w:rPr>
        <w:t>.</w:t>
      </w:r>
      <w:r w:rsidRPr="0096266B">
        <w:rPr>
          <w:rStyle w:val="Hyperlink"/>
          <w:color w:val="auto"/>
          <w:sz w:val="20"/>
          <w:szCs w:val="20"/>
          <w:u w:val="none"/>
        </w:rPr>
        <w:t>C</w:t>
      </w:r>
      <w:r>
        <w:rPr>
          <w:rStyle w:val="Hyperlink"/>
          <w:color w:val="auto"/>
          <w:sz w:val="20"/>
          <w:szCs w:val="20"/>
          <w:u w:val="none"/>
        </w:rPr>
        <w:t>.</w:t>
      </w:r>
      <w:r w:rsidRPr="0096266B">
        <w:rPr>
          <w:rStyle w:val="Hyperlink"/>
          <w:color w:val="auto"/>
          <w:sz w:val="20"/>
          <w:szCs w:val="20"/>
          <w:u w:val="none"/>
        </w:rPr>
        <w:t xml:space="preserve"> 9836A(a)(2)(C)(ii)</w:t>
      </w:r>
      <w:r>
        <w:rPr>
          <w:rStyle w:val="Hyperlink"/>
          <w:color w:val="auto"/>
          <w:sz w:val="20"/>
          <w:szCs w:val="20"/>
          <w:u w:val="none"/>
        </w:rPr>
        <w:t>.</w:t>
      </w:r>
    </w:p>
  </w:footnote>
  <w:footnote w:id="5">
    <w:p w:rsidR="00887BBB" w:rsidRPr="00C50710" w:rsidRDefault="00887BBB">
      <w:pPr>
        <w:pStyle w:val="FootnoteText"/>
        <w:rPr>
          <w:rFonts w:ascii="Times New Roman" w:hAnsi="Times New Roman" w:cs="Times New Roman"/>
          <w:sz w:val="20"/>
          <w:szCs w:val="20"/>
        </w:rPr>
      </w:pPr>
      <w:r w:rsidRPr="004932C1">
        <w:rPr>
          <w:rStyle w:val="FootnoteReference"/>
          <w:rFonts w:ascii="Times New Roman" w:hAnsi="Times New Roman" w:cs="Times New Roman"/>
        </w:rPr>
        <w:footnoteRef/>
      </w:r>
      <w:r w:rsidRPr="004932C1">
        <w:rPr>
          <w:rFonts w:ascii="Times New Roman" w:hAnsi="Times New Roman" w:cs="Times New Roman"/>
        </w:rPr>
        <w:t xml:space="preserve"> </w:t>
      </w:r>
      <w:r w:rsidRPr="004932C1">
        <w:rPr>
          <w:rFonts w:ascii="Times New Roman" w:hAnsi="Times New Roman" w:cs="Times New Roman"/>
          <w:bCs/>
          <w:i/>
          <w:sz w:val="20"/>
          <w:szCs w:val="20"/>
        </w:rPr>
        <w:t>Advisory Committee on Head Start Research and Evaluation: Final Report</w:t>
      </w:r>
      <w:r w:rsidRPr="004932C1">
        <w:rPr>
          <w:rFonts w:ascii="Times New Roman" w:hAnsi="Times New Roman" w:cs="Times New Roman"/>
          <w:bCs/>
          <w:sz w:val="20"/>
          <w:szCs w:val="20"/>
        </w:rPr>
        <w:t xml:space="preserve">. (2012).  </w:t>
      </w:r>
      <w:r w:rsidRPr="004932C1">
        <w:rPr>
          <w:rFonts w:ascii="Times New Roman" w:hAnsi="Times New Roman" w:cs="Times New Roman"/>
          <w:sz w:val="20"/>
          <w:szCs w:val="20"/>
        </w:rPr>
        <w:t xml:space="preserve">Washington, DC: Office of </w:t>
      </w:r>
      <w:r w:rsidRPr="00C50710">
        <w:rPr>
          <w:rFonts w:ascii="Times New Roman" w:hAnsi="Times New Roman" w:cs="Times New Roman"/>
          <w:sz w:val="20"/>
          <w:szCs w:val="20"/>
        </w:rPr>
        <w:t xml:space="preserve">Head Start, Administration for Children and Families, U.S. Department of Health and Human Services. </w:t>
      </w:r>
      <w:r w:rsidRPr="00C50710">
        <w:rPr>
          <w:rFonts w:ascii="Times New Roman" w:hAnsi="Times New Roman" w:cs="Times New Roman"/>
          <w:bCs/>
          <w:i/>
          <w:sz w:val="20"/>
          <w:szCs w:val="20"/>
        </w:rPr>
        <w:t xml:space="preserve">See </w:t>
      </w:r>
      <w:r w:rsidRPr="00001E53">
        <w:rPr>
          <w:rFonts w:ascii="Times New Roman" w:hAnsi="Times New Roman" w:cs="Times New Roman"/>
          <w:bCs/>
          <w:sz w:val="20"/>
          <w:szCs w:val="20"/>
        </w:rPr>
        <w:t>https://www.acf.hhs.gov/sites/default/files/opre/eval_final.pdf</w:t>
      </w:r>
    </w:p>
  </w:footnote>
  <w:footnote w:id="6">
    <w:p w:rsidR="00887BBB" w:rsidRPr="00C50710" w:rsidRDefault="00887BBB">
      <w:pPr>
        <w:pStyle w:val="FootnoteText"/>
        <w:rPr>
          <w:rFonts w:ascii="Times New Roman" w:hAnsi="Times New Roman" w:cs="Times New Roman"/>
          <w:sz w:val="20"/>
          <w:szCs w:val="20"/>
        </w:rPr>
      </w:pPr>
      <w:r w:rsidRPr="00C50710">
        <w:rPr>
          <w:rStyle w:val="FootnoteReference"/>
          <w:rFonts w:ascii="Times New Roman" w:hAnsi="Times New Roman" w:cs="Times New Roman"/>
          <w:sz w:val="20"/>
          <w:szCs w:val="20"/>
        </w:rPr>
        <w:footnoteRef/>
      </w:r>
      <w:r w:rsidRPr="00C50710">
        <w:rPr>
          <w:rFonts w:ascii="Times New Roman" w:hAnsi="Times New Roman" w:cs="Times New Roman"/>
          <w:sz w:val="20"/>
          <w:szCs w:val="20"/>
        </w:rPr>
        <w:t xml:space="preserve"> </w:t>
      </w:r>
      <w:r w:rsidRPr="00C50710">
        <w:rPr>
          <w:rFonts w:ascii="Times New Roman" w:hAnsi="Times New Roman" w:cs="Times New Roman"/>
          <w:i/>
          <w:sz w:val="20"/>
          <w:szCs w:val="20"/>
        </w:rPr>
        <w:t>Ibid</w:t>
      </w:r>
      <w:r>
        <w:rPr>
          <w:rFonts w:ascii="Times New Roman" w:hAnsi="Times New Roman" w:cs="Times New Roman"/>
          <w:sz w:val="20"/>
          <w:szCs w:val="20"/>
        </w:rPr>
        <w:t>, (p.1).</w:t>
      </w:r>
    </w:p>
  </w:footnote>
  <w:footnote w:id="7">
    <w:p w:rsidR="00887BBB" w:rsidRPr="004932C1" w:rsidRDefault="00887BBB" w:rsidP="000D78FE">
      <w:pPr>
        <w:pStyle w:val="FootnoteText"/>
        <w:rPr>
          <w:rFonts w:ascii="Times New Roman" w:hAnsi="Times New Roman"/>
          <w:sz w:val="20"/>
        </w:rPr>
      </w:pPr>
      <w:r w:rsidRPr="00C50710">
        <w:rPr>
          <w:rStyle w:val="FootnoteReference"/>
          <w:rFonts w:ascii="Times New Roman" w:hAnsi="Times New Roman" w:cs="Times New Roman"/>
          <w:sz w:val="20"/>
          <w:szCs w:val="20"/>
        </w:rPr>
        <w:footnoteRef/>
      </w:r>
      <w:r w:rsidRPr="00C50710">
        <w:rPr>
          <w:rFonts w:ascii="Times New Roman" w:hAnsi="Times New Roman" w:cs="Times New Roman"/>
          <w:sz w:val="20"/>
          <w:szCs w:val="20"/>
        </w:rPr>
        <w:t xml:space="preserve"> Puma, M.,</w:t>
      </w:r>
      <w:r w:rsidRPr="004932C1">
        <w:rPr>
          <w:rFonts w:ascii="Times New Roman" w:hAnsi="Times New Roman"/>
          <w:sz w:val="20"/>
        </w:rPr>
        <w:t xml:space="preserve"> Bell, S., Cook, R., Heid, C., Broene, P., Jenkins, F., &amp; Downer, J. (2012). </w:t>
      </w:r>
      <w:r w:rsidRPr="004932C1">
        <w:rPr>
          <w:rFonts w:ascii="Times New Roman" w:hAnsi="Times New Roman"/>
          <w:i/>
          <w:sz w:val="20"/>
        </w:rPr>
        <w:t>Third grade follow-up to the Head Start impact study final report</w:t>
      </w:r>
      <w:r w:rsidRPr="004932C1">
        <w:rPr>
          <w:rFonts w:ascii="Times New Roman" w:hAnsi="Times New Roman"/>
          <w:sz w:val="20"/>
        </w:rPr>
        <w:t>. U.S. Department of Health and Human Services Office of Planning, Research and Evaluation.</w:t>
      </w:r>
    </w:p>
  </w:footnote>
  <w:footnote w:id="8">
    <w:p w:rsidR="00887BBB" w:rsidRPr="004932C1" w:rsidRDefault="00887BBB" w:rsidP="000D78FE">
      <w:pPr>
        <w:spacing w:after="0" w:line="240" w:lineRule="auto"/>
        <w:rPr>
          <w:rFonts w:ascii="Times New Roman" w:eastAsia="Times New Roman" w:hAnsi="Times New Roman" w:cs="Times New Roman"/>
          <w:sz w:val="20"/>
          <w:szCs w:val="20"/>
        </w:rPr>
      </w:pPr>
      <w:r w:rsidRPr="004932C1">
        <w:rPr>
          <w:rStyle w:val="FootnoteReference"/>
        </w:rPr>
        <w:footnoteRef/>
      </w:r>
      <w:r w:rsidRPr="004932C1">
        <w:t xml:space="preserve"> </w:t>
      </w:r>
      <w:r w:rsidRPr="004932C1">
        <w:rPr>
          <w:rFonts w:ascii="Times New Roman" w:hAnsi="Times New Roman"/>
          <w:sz w:val="20"/>
        </w:rPr>
        <w:t xml:space="preserve">Cohen, R. C., Vogel, C. A., Xue, Y., Moiduddin, E. M., Carlson, B. L., Twin Peaks Partners, L. L. C., &amp; Kisker, E. E. (2010). </w:t>
      </w:r>
      <w:r w:rsidRPr="004932C1">
        <w:rPr>
          <w:rFonts w:ascii="Times New Roman" w:hAnsi="Times New Roman"/>
          <w:i/>
          <w:sz w:val="20"/>
        </w:rPr>
        <w:t>Early Head Start Children in Grade 5: Long-Term Follow-Up of the Early Head Start Research and Evaluation Project Study Sample</w:t>
      </w:r>
      <w:r w:rsidRPr="004932C1">
        <w:rPr>
          <w:rFonts w:ascii="Times New Roman" w:hAnsi="Times New Roman"/>
          <w:sz w:val="20"/>
        </w:rPr>
        <w:t>. Washington, DC: U.S. Department of Health and Human Services, Administration for Children and Families, Office of Planning, Research, and Evaluation, (6933).</w:t>
      </w:r>
    </w:p>
  </w:footnote>
  <w:footnote w:id="9">
    <w:p w:rsidR="00887BBB" w:rsidRDefault="00887BBB">
      <w:pPr>
        <w:pStyle w:val="FootnoteText"/>
      </w:pPr>
      <w:r>
        <w:rPr>
          <w:rStyle w:val="FootnoteReference"/>
        </w:rPr>
        <w:footnoteRef/>
      </w:r>
      <w:r>
        <w:t xml:space="preserve"> </w:t>
      </w:r>
      <w:r w:rsidRPr="004932C1">
        <w:rPr>
          <w:rFonts w:ascii="Times New Roman" w:hAnsi="Times New Roman" w:cs="Times New Roman"/>
          <w:bCs/>
          <w:i/>
          <w:sz w:val="20"/>
          <w:szCs w:val="20"/>
        </w:rPr>
        <w:t>Advisory Committee on Head Start Research and Evaluation: Final Report</w:t>
      </w:r>
      <w:r w:rsidRPr="004932C1">
        <w:rPr>
          <w:rFonts w:ascii="Times New Roman" w:hAnsi="Times New Roman" w:cs="Times New Roman"/>
          <w:bCs/>
          <w:sz w:val="20"/>
          <w:szCs w:val="20"/>
        </w:rPr>
        <w:t xml:space="preserve">. (2012).  </w:t>
      </w:r>
      <w:r w:rsidRPr="004932C1">
        <w:rPr>
          <w:rFonts w:ascii="Times New Roman" w:hAnsi="Times New Roman" w:cs="Times New Roman"/>
          <w:sz w:val="20"/>
          <w:szCs w:val="20"/>
        </w:rPr>
        <w:t xml:space="preserve">Washington, DC: Office of </w:t>
      </w:r>
      <w:r w:rsidRPr="00C50710">
        <w:rPr>
          <w:rFonts w:ascii="Times New Roman" w:hAnsi="Times New Roman" w:cs="Times New Roman"/>
          <w:sz w:val="20"/>
          <w:szCs w:val="20"/>
        </w:rPr>
        <w:t xml:space="preserve">Head Start, Administration for Children and Families, U.S. Department of Health and Human Services. </w:t>
      </w:r>
      <w:r w:rsidRPr="00C50710">
        <w:rPr>
          <w:rFonts w:ascii="Times New Roman" w:hAnsi="Times New Roman" w:cs="Times New Roman"/>
          <w:bCs/>
          <w:i/>
          <w:sz w:val="20"/>
          <w:szCs w:val="20"/>
        </w:rPr>
        <w:t xml:space="preserve">See </w:t>
      </w:r>
      <w:r w:rsidRPr="00001E53">
        <w:rPr>
          <w:rFonts w:ascii="Times New Roman" w:hAnsi="Times New Roman" w:cs="Times New Roman"/>
          <w:bCs/>
          <w:sz w:val="20"/>
          <w:szCs w:val="20"/>
        </w:rPr>
        <w:t>https://www.acf.hhs.gov/sites/default/files/opre/eval_final.pdf</w:t>
      </w:r>
      <w:r>
        <w:rPr>
          <w:rStyle w:val="Hyperlink"/>
          <w:rFonts w:ascii="Times New Roman" w:hAnsi="Times New Roman" w:cs="Times New Roman"/>
          <w:bCs/>
          <w:color w:val="auto"/>
          <w:sz w:val="20"/>
          <w:szCs w:val="20"/>
        </w:rPr>
        <w:t xml:space="preserve"> (p. 30).</w:t>
      </w:r>
    </w:p>
  </w:footnote>
  <w:footnote w:id="10">
    <w:p w:rsidR="00887BBB" w:rsidRPr="002353F7" w:rsidRDefault="00887BBB">
      <w:pPr>
        <w:pStyle w:val="FootnoteText"/>
      </w:pPr>
      <w:r w:rsidRPr="002353F7">
        <w:rPr>
          <w:rStyle w:val="FootnoteReference"/>
          <w:rFonts w:ascii="Times New Roman" w:hAnsi="Times New Roman" w:cs="Times New Roman"/>
          <w:sz w:val="20"/>
        </w:rPr>
        <w:footnoteRef/>
      </w:r>
      <w:r w:rsidRPr="002353F7">
        <w:rPr>
          <w:rFonts w:ascii="Times New Roman" w:hAnsi="Times New Roman" w:cs="Times New Roman"/>
          <w:sz w:val="20"/>
        </w:rPr>
        <w:t xml:space="preserve"> </w:t>
      </w:r>
      <w:r w:rsidRPr="002353F7">
        <w:rPr>
          <w:rFonts w:ascii="Times New Roman" w:hAnsi="Times New Roman" w:cs="Times New Roman"/>
          <w:i/>
          <w:sz w:val="20"/>
          <w:szCs w:val="20"/>
        </w:rPr>
        <w:t xml:space="preserve">Ibid, </w:t>
      </w:r>
      <w:r w:rsidRPr="002353F7">
        <w:rPr>
          <w:rFonts w:ascii="Times New Roman" w:hAnsi="Times New Roman" w:cs="Times New Roman"/>
          <w:sz w:val="20"/>
          <w:szCs w:val="20"/>
        </w:rPr>
        <w:t>(p.30).</w:t>
      </w:r>
    </w:p>
  </w:footnote>
  <w:footnote w:id="11">
    <w:p w:rsidR="00887BBB" w:rsidRPr="004932C1" w:rsidRDefault="00887BBB" w:rsidP="00210415">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 xml:space="preserve">See </w:t>
      </w:r>
      <w:r w:rsidRPr="004932C1">
        <w:rPr>
          <w:rFonts w:ascii="Times New Roman" w:hAnsi="Times New Roman" w:cs="Times New Roman"/>
          <w:sz w:val="20"/>
          <w:szCs w:val="20"/>
        </w:rPr>
        <w:t xml:space="preserve">section </w:t>
      </w:r>
      <w:r w:rsidRPr="00400B29">
        <w:rPr>
          <w:rFonts w:ascii="Times New Roman" w:hAnsi="Times New Roman" w:cs="Times New Roman"/>
          <w:sz w:val="20"/>
          <w:szCs w:val="20"/>
        </w:rPr>
        <w:t>42 U</w:t>
      </w:r>
      <w:r>
        <w:rPr>
          <w:rFonts w:ascii="Times New Roman" w:hAnsi="Times New Roman" w:cs="Times New Roman"/>
          <w:sz w:val="20"/>
          <w:szCs w:val="20"/>
        </w:rPr>
        <w:t>.</w:t>
      </w:r>
      <w:r w:rsidRPr="00400B29">
        <w:rPr>
          <w:rFonts w:ascii="Times New Roman" w:hAnsi="Times New Roman" w:cs="Times New Roman"/>
          <w:sz w:val="20"/>
          <w:szCs w:val="20"/>
        </w:rPr>
        <w:t>S</w:t>
      </w:r>
      <w:r>
        <w:rPr>
          <w:rFonts w:ascii="Times New Roman" w:hAnsi="Times New Roman" w:cs="Times New Roman"/>
          <w:sz w:val="20"/>
          <w:szCs w:val="20"/>
        </w:rPr>
        <w:t>.</w:t>
      </w:r>
      <w:r w:rsidRPr="00400B29">
        <w:rPr>
          <w:rFonts w:ascii="Times New Roman" w:hAnsi="Times New Roman" w:cs="Times New Roman"/>
          <w:sz w:val="20"/>
          <w:szCs w:val="20"/>
        </w:rPr>
        <w:t>C</w:t>
      </w:r>
      <w:r>
        <w:rPr>
          <w:rFonts w:ascii="Times New Roman" w:hAnsi="Times New Roman" w:cs="Times New Roman"/>
          <w:sz w:val="20"/>
          <w:szCs w:val="20"/>
        </w:rPr>
        <w:t>.</w:t>
      </w:r>
      <w:r w:rsidRPr="00400B29">
        <w:rPr>
          <w:rFonts w:ascii="Times New Roman" w:hAnsi="Times New Roman" w:cs="Times New Roman"/>
          <w:sz w:val="20"/>
          <w:szCs w:val="20"/>
        </w:rPr>
        <w:t xml:space="preserve"> 9836A</w:t>
      </w:r>
      <w:r>
        <w:rPr>
          <w:rFonts w:ascii="Times New Roman" w:hAnsi="Times New Roman" w:cs="Times New Roman"/>
          <w:sz w:val="20"/>
          <w:szCs w:val="20"/>
        </w:rPr>
        <w:t xml:space="preserve"> </w:t>
      </w:r>
      <w:r w:rsidRPr="004932C1">
        <w:rPr>
          <w:rFonts w:ascii="Times New Roman" w:hAnsi="Times New Roman" w:cs="Times New Roman"/>
          <w:sz w:val="20"/>
          <w:szCs w:val="20"/>
        </w:rPr>
        <w:t>(a)(1) and (2).</w:t>
      </w:r>
    </w:p>
  </w:footnote>
  <w:footnote w:id="12">
    <w:p w:rsidR="00887BBB" w:rsidRPr="004932C1" w:rsidRDefault="00887BBB" w:rsidP="009276A4">
      <w:pPr>
        <w:pStyle w:val="Plain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 xml:space="preserve">See </w:t>
      </w:r>
      <w:r w:rsidRPr="00001E53">
        <w:rPr>
          <w:rFonts w:ascii="Times New Roman" w:hAnsi="Times New Roman" w:cs="Times New Roman"/>
          <w:sz w:val="20"/>
          <w:szCs w:val="20"/>
        </w:rPr>
        <w:t>http://beta.congress.gov/crec/2007/11/14/CREC-2007-11-14-pt1-PgH13876- 4.pdf</w:t>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 xml:space="preserve"> </w:t>
      </w:r>
    </w:p>
  </w:footnote>
  <w:footnote w:id="13">
    <w:p w:rsidR="00887BBB" w:rsidRPr="004932C1" w:rsidRDefault="00887BBB" w:rsidP="009276A4">
      <w:pPr>
        <w:pStyle w:val="Plain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 xml:space="preserve">See </w:t>
      </w:r>
      <w:r w:rsidRPr="00001E53">
        <w:rPr>
          <w:rFonts w:ascii="Times New Roman" w:hAnsi="Times New Roman" w:cs="Times New Roman"/>
          <w:sz w:val="20"/>
          <w:szCs w:val="20"/>
        </w:rPr>
        <w:t>http://beta.congress.gov/crec/2007/11/14/CREC-2007-11-14-pt1-PgS14375-2.pdf</w:t>
      </w:r>
    </w:p>
  </w:footnote>
  <w:footnote w:id="14">
    <w:p w:rsidR="00887BBB" w:rsidRPr="004932C1" w:rsidRDefault="00887BBB" w:rsidP="009A526A">
      <w:pPr>
        <w:pStyle w:val="FootnoteText"/>
        <w:rPr>
          <w:rFonts w:ascii="Times New Roman" w:hAnsi="Times New Roman"/>
          <w:i/>
          <w:sz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See</w:t>
      </w:r>
      <w:r w:rsidRPr="004932C1">
        <w:rPr>
          <w:rFonts w:ascii="Times New Roman" w:hAnsi="Times New Roman" w:cs="Times New Roman"/>
          <w:sz w:val="20"/>
          <w:szCs w:val="20"/>
        </w:rPr>
        <w:t xml:space="preserve"> </w:t>
      </w:r>
      <w:r w:rsidRPr="00001E53">
        <w:rPr>
          <w:rFonts w:ascii="Times New Roman" w:hAnsi="Times New Roman" w:cs="Times New Roman"/>
          <w:i/>
          <w:sz w:val="20"/>
          <w:szCs w:val="20"/>
        </w:rPr>
        <w:t>http://beta.congress.gov/crec/2007/11/14/CREC-2007-11-14-pt1-PgS14375-2.pdf</w:t>
      </w:r>
      <w:r w:rsidRPr="004932C1">
        <w:rPr>
          <w:rFonts w:ascii="Times New Roman" w:hAnsi="Times New Roman"/>
          <w:i/>
          <w:sz w:val="20"/>
        </w:rPr>
        <w:t xml:space="preserve"> </w:t>
      </w:r>
    </w:p>
  </w:footnote>
  <w:footnote w:id="15">
    <w:p w:rsidR="00887BBB" w:rsidRPr="004932C1" w:rsidRDefault="00887BBB" w:rsidP="009A526A">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National Academy of Sciences (October, 2008) </w:t>
      </w:r>
      <w:r w:rsidRPr="004932C1">
        <w:rPr>
          <w:rFonts w:ascii="Times New Roman" w:hAnsi="Times New Roman" w:cs="Times New Roman"/>
          <w:i/>
          <w:sz w:val="20"/>
          <w:szCs w:val="20"/>
        </w:rPr>
        <w:t>Early Childhood Assessment: Who, What, How.</w:t>
      </w:r>
      <w:r w:rsidRPr="004932C1">
        <w:rPr>
          <w:rFonts w:ascii="Times New Roman" w:hAnsi="Times New Roman" w:cs="Times New Roman"/>
          <w:sz w:val="20"/>
          <w:szCs w:val="20"/>
        </w:rPr>
        <w:t xml:space="preserve">  Washington, DC.</w:t>
      </w:r>
    </w:p>
  </w:footnote>
  <w:footnote w:id="16">
    <w:p w:rsidR="00887BBB" w:rsidRPr="004932C1" w:rsidRDefault="00887BBB" w:rsidP="004932C1">
      <w:pPr>
        <w:spacing w:after="0" w:line="240" w:lineRule="auto"/>
        <w:ind w:left="187" w:hanging="187"/>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National Academy of Sciences (April, 2015) </w:t>
      </w:r>
      <w:r w:rsidRPr="004932C1">
        <w:rPr>
          <w:rFonts w:ascii="Times New Roman" w:hAnsi="Times New Roman" w:cs="Times New Roman"/>
          <w:i/>
          <w:sz w:val="20"/>
          <w:szCs w:val="20"/>
        </w:rPr>
        <w:t>Transforming the Workforce for Children Birth through Age 8: A Unifying Foundation.</w:t>
      </w:r>
      <w:r w:rsidRPr="004932C1">
        <w:rPr>
          <w:rFonts w:ascii="Times New Roman" w:hAnsi="Times New Roman" w:cs="Times New Roman"/>
          <w:sz w:val="20"/>
          <w:szCs w:val="20"/>
        </w:rPr>
        <w:t xml:space="preserve">  Washington, DC.</w:t>
      </w:r>
    </w:p>
  </w:footnote>
  <w:footnote w:id="17">
    <w:p w:rsidR="00887BBB" w:rsidRPr="004932C1" w:rsidRDefault="00887BBB" w:rsidP="009A526A">
      <w:pPr>
        <w:spacing w:after="0" w:line="240" w:lineRule="auto"/>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cs="Times New Roman"/>
          <w:sz w:val="16"/>
          <w:szCs w:val="16"/>
        </w:rPr>
        <w:t xml:space="preserve"> </w:t>
      </w:r>
      <w:r w:rsidRPr="004932C1">
        <w:rPr>
          <w:rFonts w:ascii="Times New Roman" w:eastAsia="Times New Roman" w:hAnsi="Times New Roman" w:cs="Times New Roman"/>
          <w:sz w:val="20"/>
          <w:szCs w:val="20"/>
        </w:rPr>
        <w:t xml:space="preserve">Robin, K. B., Frede, E. C., Barnett, W. S. (2006.) </w:t>
      </w:r>
      <w:r w:rsidRPr="004932C1">
        <w:rPr>
          <w:rFonts w:ascii="Times New Roman" w:eastAsia="Times New Roman" w:hAnsi="Times New Roman" w:cs="Times New Roman"/>
          <w:i/>
          <w:sz w:val="20"/>
          <w:szCs w:val="20"/>
        </w:rPr>
        <w:t>NIEER Working Paper - Is More Better? The Effects of Full-Day vs Half-Day Preschool on Early School Achievement</w:t>
      </w:r>
      <w:r w:rsidRPr="004932C1">
        <w:rPr>
          <w:rFonts w:ascii="Times New Roman" w:eastAsia="Times New Roman" w:hAnsi="Times New Roman" w:cs="Times New Roman"/>
          <w:sz w:val="20"/>
          <w:szCs w:val="20"/>
        </w:rPr>
        <w:t>. NIEER.</w:t>
      </w:r>
    </w:p>
  </w:footnote>
  <w:footnote w:id="18">
    <w:p w:rsidR="00887BBB" w:rsidRPr="004932C1" w:rsidRDefault="00887BBB" w:rsidP="009A526A">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cs="Times New Roman"/>
          <w:sz w:val="16"/>
          <w:szCs w:val="16"/>
        </w:rPr>
        <w:t xml:space="preserve"> </w:t>
      </w:r>
      <w:r w:rsidRPr="004932C1">
        <w:rPr>
          <w:rFonts w:ascii="Times New Roman" w:eastAsia="Times New Roman" w:hAnsi="Times New Roman" w:cs="Times New Roman"/>
          <w:sz w:val="20"/>
          <w:szCs w:val="20"/>
          <w:bdr w:val="none" w:sz="0" w:space="0" w:color="auto" w:frame="1"/>
          <w:shd w:val="clear" w:color="auto" w:fill="FFFFFF"/>
        </w:rPr>
        <w:t xml:space="preserve">Votruba-Drzal, E., Li-Grining, C. P., &amp; Maldonado-Carreno, C. (2008). A developmental perspective on full- versus part-day kindergarten and children’s academic trajectories through fifth grade. </w:t>
      </w:r>
      <w:r w:rsidRPr="004932C1">
        <w:rPr>
          <w:rFonts w:ascii="Times New Roman" w:eastAsia="Times New Roman" w:hAnsi="Times New Roman" w:cs="Times New Roman"/>
          <w:i/>
          <w:iCs/>
          <w:sz w:val="20"/>
          <w:szCs w:val="20"/>
          <w:bdr w:val="none" w:sz="0" w:space="0" w:color="auto" w:frame="1"/>
          <w:shd w:val="clear" w:color="auto" w:fill="FFFFFF"/>
        </w:rPr>
        <w:t>Child Development, 79</w:t>
      </w:r>
      <w:r w:rsidRPr="004932C1">
        <w:rPr>
          <w:rFonts w:ascii="Times New Roman" w:eastAsia="Times New Roman" w:hAnsi="Times New Roman" w:cs="Times New Roman"/>
          <w:sz w:val="20"/>
          <w:szCs w:val="20"/>
          <w:bdr w:val="none" w:sz="0" w:space="0" w:color="auto" w:frame="1"/>
          <w:shd w:val="clear" w:color="auto" w:fill="FFFFFF"/>
        </w:rPr>
        <w:t>, 957-978.</w:t>
      </w:r>
    </w:p>
  </w:footnote>
  <w:footnote w:id="19">
    <w:p w:rsidR="00887BBB" w:rsidRPr="004932C1" w:rsidRDefault="00887BBB" w:rsidP="002C6786">
      <w:pPr>
        <w:spacing w:after="0" w:line="240" w:lineRule="auto"/>
        <w:ind w:left="187" w:hanging="187"/>
        <w:rPr>
          <w:rFonts w:ascii="Times New Roman" w:eastAsia="Times New Roman" w:hAnsi="Times New Roman" w:cs="Times New Roman"/>
          <w:sz w:val="20"/>
          <w:szCs w:val="20"/>
          <w:bdr w:val="none" w:sz="0" w:space="0" w:color="auto" w:frame="1"/>
          <w:shd w:val="clear" w:color="auto" w:fill="FFFFFF"/>
        </w:rPr>
      </w:pPr>
      <w:r w:rsidRPr="004932C1">
        <w:rPr>
          <w:rStyle w:val="FootnoteReference"/>
          <w:rFonts w:ascii="Times New Roman" w:hAnsi="Times New Roman" w:cs="Times New Roman"/>
          <w:sz w:val="20"/>
          <w:szCs w:val="20"/>
        </w:rPr>
        <w:footnoteRef/>
      </w:r>
      <w:r w:rsidRPr="004932C1">
        <w:rPr>
          <w:rFonts w:cs="Times New Roman"/>
          <w:sz w:val="16"/>
          <w:szCs w:val="16"/>
        </w:rPr>
        <w:t xml:space="preserve"> </w:t>
      </w:r>
      <w:r w:rsidRPr="004932C1">
        <w:rPr>
          <w:rFonts w:ascii="Times New Roman" w:eastAsia="Times New Roman" w:hAnsi="Times New Roman" w:cs="Times New Roman"/>
          <w:sz w:val="20"/>
          <w:szCs w:val="20"/>
          <w:bdr w:val="none" w:sz="0" w:space="0" w:color="auto" w:frame="1"/>
          <w:shd w:val="clear" w:color="auto" w:fill="FFFFFF"/>
        </w:rPr>
        <w:t xml:space="preserve">Lee, V. E., Burkam, D. T., Ready, D. D., Honigman, J., &amp; Meisels, S. J. (2006). Full-day vs. half-day kindergarten: In which program do children learn more? </w:t>
      </w:r>
      <w:r w:rsidRPr="004932C1">
        <w:rPr>
          <w:rFonts w:ascii="Times New Roman" w:eastAsia="Times New Roman" w:hAnsi="Times New Roman" w:cs="Times New Roman"/>
          <w:i/>
          <w:iCs/>
          <w:sz w:val="20"/>
          <w:szCs w:val="20"/>
          <w:bdr w:val="none" w:sz="0" w:space="0" w:color="auto" w:frame="1"/>
          <w:shd w:val="clear" w:color="auto" w:fill="FFFFFF"/>
        </w:rPr>
        <w:t>American Journal of Education, 112</w:t>
      </w:r>
      <w:r w:rsidRPr="004932C1">
        <w:rPr>
          <w:rFonts w:ascii="Times New Roman" w:eastAsia="Times New Roman" w:hAnsi="Times New Roman" w:cs="Times New Roman"/>
          <w:sz w:val="20"/>
          <w:szCs w:val="20"/>
          <w:bdr w:val="none" w:sz="0" w:space="0" w:color="auto" w:frame="1"/>
          <w:shd w:val="clear" w:color="auto" w:fill="FFFFFF"/>
        </w:rPr>
        <w:t>, 163-208.</w:t>
      </w:r>
    </w:p>
  </w:footnote>
  <w:footnote w:id="20">
    <w:p w:rsidR="00887BBB" w:rsidRPr="004932C1" w:rsidRDefault="00887BBB" w:rsidP="004932C1">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bCs/>
          <w:sz w:val="20"/>
          <w:szCs w:val="20"/>
        </w:rPr>
        <w:t>Li, W.</w:t>
      </w:r>
      <w:r w:rsidRPr="004932C1">
        <w:rPr>
          <w:rFonts w:ascii="Times New Roman" w:hAnsi="Times New Roman" w:cs="Times New Roman"/>
          <w:sz w:val="20"/>
          <w:szCs w:val="20"/>
        </w:rPr>
        <w:t xml:space="preserve"> (2012). </w:t>
      </w:r>
      <w:r w:rsidRPr="004932C1">
        <w:rPr>
          <w:rFonts w:ascii="Times New Roman" w:hAnsi="Times New Roman" w:cs="Times New Roman"/>
          <w:i/>
          <w:sz w:val="20"/>
          <w:szCs w:val="20"/>
        </w:rPr>
        <w:t>Effects of Head Start hours on children’s cognitive, pre-academic, and behavioral outcomes: An instrumental variable analysis</w:t>
      </w:r>
      <w:r w:rsidRPr="004932C1">
        <w:rPr>
          <w:rFonts w:ascii="Times New Roman" w:hAnsi="Times New Roman" w:cs="Times New Roman"/>
          <w:sz w:val="20"/>
          <w:szCs w:val="20"/>
        </w:rPr>
        <w:t>. Presented at Fall 2012 Conference of the Association for Public Policy Analysis and Management.</w:t>
      </w:r>
    </w:p>
  </w:footnote>
  <w:footnote w:id="21">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Heckman, J. J., Moon, S. H., Pinto, R., Savelyev, P. A., &amp; Yavitz, A. (2010). The rate of return to the HighScope Perry Preschool Program. </w:t>
      </w:r>
      <w:r w:rsidRPr="004932C1">
        <w:rPr>
          <w:rFonts w:ascii="Times New Roman" w:hAnsi="Times New Roman" w:cs="Times New Roman"/>
          <w:i/>
          <w:sz w:val="20"/>
          <w:szCs w:val="20"/>
        </w:rPr>
        <w:t>Journal of Public Economics, 94,</w:t>
      </w:r>
      <w:r w:rsidRPr="004932C1">
        <w:rPr>
          <w:rFonts w:ascii="Times New Roman" w:hAnsi="Times New Roman" w:cs="Times New Roman"/>
          <w:sz w:val="20"/>
          <w:szCs w:val="20"/>
        </w:rPr>
        <w:t xml:space="preserve"> 114-128.</w:t>
      </w:r>
    </w:p>
  </w:footnote>
  <w:footnote w:id="22">
    <w:p w:rsidR="00887BBB" w:rsidRPr="004932C1" w:rsidRDefault="00887BBB" w:rsidP="004932C1">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Walters, C. R. (2015). Inputs in the Production of Early Childhood Human Capital: Evidence from Head Start, </w:t>
      </w:r>
      <w:r w:rsidRPr="004932C1">
        <w:rPr>
          <w:rFonts w:ascii="Times New Roman" w:hAnsi="Times New Roman" w:cs="Times New Roman"/>
          <w:i/>
          <w:sz w:val="20"/>
          <w:szCs w:val="20"/>
        </w:rPr>
        <w:t>American Economic Journal: Applied Economics, 7</w:t>
      </w:r>
      <w:r w:rsidRPr="004932C1">
        <w:rPr>
          <w:rFonts w:ascii="Times New Roman" w:hAnsi="Times New Roman" w:cs="Times New Roman"/>
          <w:sz w:val="20"/>
          <w:szCs w:val="20"/>
        </w:rPr>
        <w:t>(4), 76–102.</w:t>
      </w:r>
    </w:p>
  </w:footnote>
  <w:footnote w:id="23">
    <w:p w:rsidR="00887BBB" w:rsidRPr="004932C1" w:rsidRDefault="00887BBB" w:rsidP="004932C1">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Wasik, B. &amp; Snell, E. (2015). </w:t>
      </w:r>
      <w:r w:rsidRPr="004932C1">
        <w:rPr>
          <w:rFonts w:ascii="Times New Roman" w:hAnsi="Times New Roman" w:cs="Times New Roman"/>
          <w:i/>
          <w:sz w:val="20"/>
          <w:szCs w:val="20"/>
        </w:rPr>
        <w:t>Synthesis of Preschool Dosage: Unpacking How Quantity, Quality and Content Impacts Child Outcomes</w:t>
      </w:r>
      <w:r w:rsidRPr="004932C1">
        <w:rPr>
          <w:rFonts w:ascii="Times New Roman" w:hAnsi="Times New Roman" w:cs="Times New Roman"/>
          <w:sz w:val="20"/>
          <w:szCs w:val="20"/>
        </w:rPr>
        <w:t>. Temple University, Philadelphia, PA.</w:t>
      </w:r>
    </w:p>
  </w:footnote>
  <w:footnote w:id="24">
    <w:p w:rsidR="00887BBB" w:rsidRPr="004932C1" w:rsidRDefault="00887BBB" w:rsidP="004932C1">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Yoshikawa, H., Weiland, C., Brooks-Gunn, J., Burchinal, M.R., Espinosa, L.M., Gormley,  W.T., Ludwig, J., Magnuson, K.A., Phillips, D., &amp; Zaslow, M.J. (2013).  </w:t>
      </w:r>
      <w:r w:rsidRPr="004932C1">
        <w:rPr>
          <w:rFonts w:ascii="Times New Roman" w:hAnsi="Times New Roman" w:cs="Times New Roman"/>
          <w:i/>
          <w:iCs/>
          <w:sz w:val="20"/>
          <w:szCs w:val="20"/>
        </w:rPr>
        <w:t>Investing in Our Future: The Evidence Base on Preschool Education.</w:t>
      </w:r>
      <w:r w:rsidRPr="004932C1">
        <w:rPr>
          <w:rFonts w:ascii="Times New Roman" w:hAnsi="Times New Roman" w:cs="Times New Roman"/>
          <w:sz w:val="20"/>
          <w:szCs w:val="20"/>
        </w:rPr>
        <w:t xml:space="preserve">  Policy Brief. Foundation for Child Development.</w:t>
      </w:r>
    </w:p>
  </w:footnote>
  <w:footnote w:id="25">
    <w:p w:rsidR="00887BBB" w:rsidRPr="004932C1" w:rsidRDefault="00887BBB" w:rsidP="002C6786">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DeCicca, P. (2007). </w:t>
      </w:r>
      <w:r w:rsidRPr="004932C1">
        <w:rPr>
          <w:rFonts w:ascii="Times New Roman" w:eastAsia="Arial Unicode MS" w:hAnsi="Times New Roman" w:cs="Times New Roman"/>
          <w:sz w:val="20"/>
          <w:szCs w:val="20"/>
        </w:rPr>
        <w:t xml:space="preserve">Does full-day kindergarten matter? Evidence from the first two years of schooling.  </w:t>
      </w:r>
      <w:r w:rsidRPr="004932C1">
        <w:rPr>
          <w:rFonts w:ascii="Times New Roman" w:eastAsia="Arial Unicode MS" w:hAnsi="Times New Roman" w:cs="Times New Roman"/>
          <w:i/>
          <w:sz w:val="20"/>
          <w:szCs w:val="20"/>
        </w:rPr>
        <w:t>Economics of Education Review, 26</w:t>
      </w:r>
      <w:r w:rsidRPr="004932C1">
        <w:rPr>
          <w:rFonts w:ascii="Times New Roman" w:eastAsia="Arial Unicode MS" w:hAnsi="Times New Roman" w:cs="Times New Roman"/>
          <w:sz w:val="20"/>
          <w:szCs w:val="20"/>
        </w:rPr>
        <w:t xml:space="preserve">(1), 67-82.; </w:t>
      </w:r>
      <w:r w:rsidRPr="004932C1">
        <w:rPr>
          <w:rFonts w:ascii="Times New Roman" w:hAnsi="Times New Roman" w:cs="Times New Roman"/>
          <w:sz w:val="20"/>
          <w:szCs w:val="20"/>
        </w:rPr>
        <w:t>Cryan, J. R., Sheehan, R., Wiechel, J., &amp; Bandy-Hedden, I. G. (1992). Success outcomes of full-day kindergarten: More positive behavior and increased achievement in the years after. </w:t>
      </w:r>
      <w:r w:rsidRPr="004932C1">
        <w:rPr>
          <w:rFonts w:ascii="Times New Roman" w:hAnsi="Times New Roman" w:cs="Times New Roman"/>
          <w:i/>
          <w:sz w:val="20"/>
          <w:szCs w:val="20"/>
        </w:rPr>
        <w:t xml:space="preserve">Early Childhood Research Quarterly, 7(2), </w:t>
      </w:r>
      <w:r w:rsidRPr="004932C1">
        <w:rPr>
          <w:rFonts w:ascii="Times New Roman" w:hAnsi="Times New Roman" w:cs="Times New Roman"/>
          <w:sz w:val="20"/>
          <w:szCs w:val="20"/>
        </w:rPr>
        <w:t>187-203.</w:t>
      </w:r>
    </w:p>
  </w:footnote>
  <w:footnote w:id="26">
    <w:p w:rsidR="00887BBB" w:rsidRPr="004932C1" w:rsidRDefault="00887BBB" w:rsidP="002C6786">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Lee, V. E., Burkam, D. T., Ready, D. D., Honigman, J., &amp; Meisels, S. J. (2006). Full-Day versus Half-Day Kindergarten: In Which Program Do Children Learn More? </w:t>
      </w:r>
      <w:r w:rsidRPr="004932C1">
        <w:rPr>
          <w:rFonts w:ascii="Times New Roman" w:hAnsi="Times New Roman" w:cs="Times New Roman"/>
          <w:i/>
          <w:sz w:val="20"/>
          <w:szCs w:val="20"/>
        </w:rPr>
        <w:t>American Journal of Education, 112(2),</w:t>
      </w:r>
      <w:r w:rsidRPr="004932C1">
        <w:rPr>
          <w:rFonts w:ascii="Times New Roman" w:hAnsi="Times New Roman" w:cs="Times New Roman"/>
          <w:sz w:val="20"/>
          <w:szCs w:val="20"/>
        </w:rPr>
        <w:t xml:space="preserve"> 163-208.</w:t>
      </w:r>
    </w:p>
  </w:footnote>
  <w:footnote w:id="27">
    <w:p w:rsidR="00887BBB" w:rsidRPr="004932C1" w:rsidRDefault="00887BBB" w:rsidP="002C6786">
      <w:pPr>
        <w:pStyle w:val="NoSpacing"/>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Walston, J.T., and West, J. (2004). </w:t>
      </w:r>
      <w:r w:rsidRPr="004932C1">
        <w:rPr>
          <w:rFonts w:ascii="Times New Roman" w:hAnsi="Times New Roman" w:cs="Times New Roman"/>
          <w:i/>
          <w:sz w:val="20"/>
          <w:szCs w:val="20"/>
        </w:rPr>
        <w:t>Full-day and Half-day Kindergarten in the United States: Findings from the Early Childhood Longitudinal Study, Kindergarten Class of 1998–99 (NCES 2004–078)</w:t>
      </w:r>
      <w:r w:rsidRPr="004932C1">
        <w:rPr>
          <w:rFonts w:ascii="Times New Roman" w:hAnsi="Times New Roman" w:cs="Times New Roman"/>
          <w:sz w:val="20"/>
          <w:szCs w:val="20"/>
        </w:rPr>
        <w:t xml:space="preserve">. U.S. Department of Education, National Center for Education Statistics. Washington, DC: U.S. Government Printing Office.  </w:t>
      </w:r>
      <w:r w:rsidRPr="004932C1">
        <w:rPr>
          <w:rFonts w:ascii="Times New Roman" w:eastAsia="Arial Unicode MS" w:hAnsi="Times New Roman" w:cs="Times New Roman"/>
          <w:sz w:val="20"/>
          <w:szCs w:val="20"/>
        </w:rPr>
        <w:t xml:space="preserve">   </w:t>
      </w:r>
      <w:r w:rsidRPr="004932C1">
        <w:rPr>
          <w:rFonts w:ascii="Times New Roman" w:eastAsia="Times New Roman" w:hAnsi="Times New Roman" w:cs="Times New Roman"/>
          <w:sz w:val="20"/>
          <w:szCs w:val="20"/>
        </w:rPr>
        <w:t xml:space="preserve"> </w:t>
      </w:r>
    </w:p>
  </w:footnote>
  <w:footnote w:id="28">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Allington, R.L. &amp; McGill-Franzen, A. (2003).  The Impact of Summer Setback on the Reading Achievement Gap.  </w:t>
      </w:r>
      <w:r w:rsidRPr="004932C1">
        <w:rPr>
          <w:rFonts w:ascii="Times New Roman" w:hAnsi="Times New Roman" w:cs="Times New Roman"/>
          <w:i/>
          <w:sz w:val="20"/>
          <w:szCs w:val="20"/>
        </w:rPr>
        <w:t xml:space="preserve">The Phi Delta Kappan, 85(1), </w:t>
      </w:r>
      <w:r w:rsidRPr="004932C1">
        <w:rPr>
          <w:rFonts w:ascii="Times New Roman" w:hAnsi="Times New Roman" w:cs="Times New Roman"/>
          <w:sz w:val="20"/>
          <w:szCs w:val="20"/>
        </w:rPr>
        <w:t xml:space="preserve">68-75.; Fairchild, R. &amp; Noam, G. (Eds.) (2007).  </w:t>
      </w:r>
      <w:r w:rsidRPr="004932C1">
        <w:rPr>
          <w:rFonts w:ascii="Times New Roman" w:hAnsi="Times New Roman" w:cs="Times New Roman"/>
          <w:i/>
          <w:sz w:val="20"/>
          <w:szCs w:val="20"/>
        </w:rPr>
        <w:t xml:space="preserve">Summertime: Confronting Risks, Exploring Solutions. </w:t>
      </w:r>
      <w:r w:rsidRPr="004932C1">
        <w:rPr>
          <w:rFonts w:ascii="Times New Roman" w:hAnsi="Times New Roman" w:cs="Times New Roman"/>
          <w:sz w:val="20"/>
          <w:szCs w:val="20"/>
        </w:rPr>
        <w:t xml:space="preserve"> San Francisco: Jossey-Bass/Wiley.</w:t>
      </w:r>
    </w:p>
  </w:footnote>
  <w:footnote w:id="29">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Downey, D.B., von Hippel, P.T. &amp; Broh, B.A. (2004).  Are Schools the Great Equalizer? Cognitive Inequality During the Sum</w:t>
      </w:r>
      <w:r w:rsidRPr="004932C1">
        <w:rPr>
          <w:rStyle w:val="A11"/>
          <w:rFonts w:ascii="Times New Roman" w:hAnsi="Times New Roman" w:cs="Times New Roman"/>
          <w:color w:val="auto"/>
          <w:sz w:val="20"/>
          <w:szCs w:val="20"/>
        </w:rPr>
        <w:softHyphen/>
        <w:t xml:space="preserve">mer Months and the School Year.  </w:t>
      </w:r>
      <w:r w:rsidRPr="004932C1">
        <w:rPr>
          <w:rStyle w:val="A11"/>
          <w:rFonts w:ascii="Times New Roman" w:hAnsi="Times New Roman" w:cs="Times New Roman"/>
          <w:i/>
          <w:color w:val="auto"/>
          <w:sz w:val="20"/>
          <w:szCs w:val="20"/>
        </w:rPr>
        <w:t>American Sociological Review,</w:t>
      </w:r>
      <w:r w:rsidRPr="004932C1">
        <w:rPr>
          <w:rStyle w:val="A11"/>
          <w:rFonts w:ascii="Times New Roman" w:hAnsi="Times New Roman" w:cs="Times New Roman"/>
          <w:color w:val="auto"/>
          <w:sz w:val="20"/>
          <w:szCs w:val="20"/>
        </w:rPr>
        <w:t xml:space="preserve"> </w:t>
      </w:r>
      <w:r w:rsidRPr="004932C1">
        <w:rPr>
          <w:rStyle w:val="A11"/>
          <w:rFonts w:ascii="Times New Roman" w:hAnsi="Times New Roman" w:cs="Times New Roman"/>
          <w:i/>
          <w:color w:val="auto"/>
          <w:sz w:val="20"/>
          <w:szCs w:val="20"/>
        </w:rPr>
        <w:t>69</w:t>
      </w:r>
      <w:r w:rsidRPr="004932C1">
        <w:rPr>
          <w:rStyle w:val="A11"/>
          <w:rFonts w:ascii="Times New Roman" w:hAnsi="Times New Roman" w:cs="Times New Roman"/>
          <w:color w:val="auto"/>
          <w:sz w:val="20"/>
          <w:szCs w:val="20"/>
        </w:rPr>
        <w:t>(5), 613–635.</w:t>
      </w:r>
    </w:p>
  </w:footnote>
  <w:footnote w:id="30">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 xml:space="preserve">Benson, J., &amp; Borman, G.D. (2010).  Family, Neighborhood, and School Settings Across Seasons: When Do Socioeconomic Context and Racial Composition Matter for the Reading Achievement Growth of Young Children? </w:t>
      </w:r>
      <w:r w:rsidRPr="004932C1">
        <w:rPr>
          <w:rStyle w:val="A11"/>
          <w:rFonts w:ascii="Times New Roman" w:hAnsi="Times New Roman" w:cs="Times New Roman"/>
          <w:i/>
          <w:color w:val="auto"/>
          <w:sz w:val="20"/>
          <w:szCs w:val="20"/>
        </w:rPr>
        <w:t>Teacher’s College Record, 112</w:t>
      </w:r>
      <w:r w:rsidRPr="004932C1">
        <w:rPr>
          <w:rStyle w:val="A11"/>
          <w:rFonts w:ascii="Times New Roman" w:hAnsi="Times New Roman" w:cs="Times New Roman"/>
          <w:color w:val="auto"/>
          <w:sz w:val="20"/>
          <w:szCs w:val="20"/>
        </w:rPr>
        <w:t>(5), 1338–1390.</w:t>
      </w:r>
      <w:r w:rsidRPr="004932C1">
        <w:rPr>
          <w:rFonts w:ascii="Times New Roman" w:hAnsi="Times New Roman" w:cs="Times New Roman"/>
          <w:sz w:val="20"/>
          <w:szCs w:val="20"/>
        </w:rPr>
        <w:t xml:space="preserve"> </w:t>
      </w:r>
    </w:p>
  </w:footnote>
  <w:footnote w:id="31">
    <w:p w:rsidR="00887BBB" w:rsidRPr="004932C1" w:rsidRDefault="00887BBB" w:rsidP="004932C1">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bCs/>
          <w:i/>
          <w:sz w:val="20"/>
          <w:szCs w:val="20"/>
        </w:rPr>
        <w:t>Advisory Committee on Head Start Research and Evaluation: Final Report.</w:t>
      </w:r>
      <w:r w:rsidRPr="004932C1">
        <w:rPr>
          <w:rFonts w:ascii="Times New Roman" w:hAnsi="Times New Roman" w:cs="Times New Roman"/>
          <w:bCs/>
          <w:sz w:val="20"/>
          <w:szCs w:val="20"/>
        </w:rPr>
        <w:t xml:space="preserve"> (2012). </w:t>
      </w:r>
      <w:r w:rsidRPr="004932C1">
        <w:rPr>
          <w:rFonts w:ascii="Times New Roman" w:hAnsi="Times New Roman" w:cs="Times New Roman"/>
          <w:sz w:val="20"/>
          <w:szCs w:val="20"/>
        </w:rPr>
        <w:t>Washington, DC: Office of Head Start, Administration for Children and Families, U.S. Department of Health and Human Services.</w:t>
      </w:r>
    </w:p>
  </w:footnote>
  <w:footnote w:id="32">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Curenton, S.M., Justice, L.M., Zucker, T.A., &amp; McGinty, A.S. (2014).  Language and literacy curriculum and instruction.  Chapter 15 in in </w:t>
      </w:r>
      <w:r w:rsidRPr="004932C1">
        <w:rPr>
          <w:rFonts w:ascii="Times New Roman" w:hAnsi="Times New Roman" w:cs="Times New Roman"/>
          <w:i/>
          <w:sz w:val="20"/>
          <w:szCs w:val="20"/>
        </w:rPr>
        <w:t>Handbook of Response to Intervention in Early Childhood</w:t>
      </w:r>
      <w:r w:rsidRPr="004932C1">
        <w:rPr>
          <w:rFonts w:ascii="Times New Roman" w:hAnsi="Times New Roman" w:cs="Times New Roman"/>
          <w:sz w:val="20"/>
          <w:szCs w:val="20"/>
        </w:rPr>
        <w:t>, Buysee, V., &amp; Peisner-Feinberg, E. (Eds.).  Baltimore: Paul H. Brookes Publishing.</w:t>
      </w:r>
    </w:p>
  </w:footnote>
  <w:footnote w:id="33">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Ginsburg, H.P., Ertle, B., &amp; Presser, A.L. (2014).  Math curriculum and instruction for young children.  Chapter 16 in </w:t>
      </w:r>
      <w:r w:rsidRPr="004932C1">
        <w:rPr>
          <w:rFonts w:ascii="Times New Roman" w:hAnsi="Times New Roman" w:cs="Times New Roman"/>
          <w:i/>
          <w:sz w:val="20"/>
          <w:szCs w:val="20"/>
        </w:rPr>
        <w:t>Handbook of Response to Intervention in Early Childhood</w:t>
      </w:r>
      <w:r w:rsidRPr="004932C1">
        <w:rPr>
          <w:rFonts w:ascii="Times New Roman" w:hAnsi="Times New Roman" w:cs="Times New Roman"/>
          <w:sz w:val="20"/>
          <w:szCs w:val="20"/>
        </w:rPr>
        <w:t xml:space="preserve">, Buysee, V., &amp; Peisner-Feinberg, E. (Eds.). Baltimore: Paul H. Brookes Publishing. </w:t>
      </w:r>
    </w:p>
  </w:footnote>
  <w:footnote w:id="34">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Justice, L.M., Mcginty, A., Cabell, S.Q., Kilday, C.R., Knighton, K., &amp; Huffman, G. (2010).  Language and literacy curriculum supplement for preschoolers who are academically at risk: A feasibility study.  </w:t>
      </w:r>
      <w:r w:rsidRPr="004932C1">
        <w:rPr>
          <w:rFonts w:ascii="Times New Roman" w:hAnsi="Times New Roman" w:cs="Times New Roman"/>
          <w:i/>
          <w:sz w:val="20"/>
          <w:szCs w:val="20"/>
        </w:rPr>
        <w:t xml:space="preserve">Language, Speech, and Hearing Services in Schools, 41, </w:t>
      </w:r>
      <w:r w:rsidRPr="004932C1">
        <w:rPr>
          <w:rFonts w:ascii="Times New Roman" w:hAnsi="Times New Roman" w:cs="Times New Roman"/>
          <w:sz w:val="20"/>
          <w:szCs w:val="20"/>
        </w:rPr>
        <w:t>161-178.</w:t>
      </w:r>
    </w:p>
  </w:footnote>
  <w:footnote w:id="35">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Ginsburg, H.P., Ertle, B., &amp; Presser, A.L. (2014).  Math curriculum and instruction for young children.  Chapter 16 in </w:t>
      </w:r>
      <w:r w:rsidRPr="004932C1">
        <w:rPr>
          <w:rFonts w:ascii="Times New Roman" w:hAnsi="Times New Roman" w:cs="Times New Roman"/>
          <w:i/>
          <w:sz w:val="20"/>
          <w:szCs w:val="20"/>
        </w:rPr>
        <w:t>Handbook of Response to Intervention in Early Childhood</w:t>
      </w:r>
      <w:r w:rsidRPr="004932C1">
        <w:rPr>
          <w:rFonts w:ascii="Times New Roman" w:hAnsi="Times New Roman" w:cs="Times New Roman"/>
          <w:sz w:val="20"/>
          <w:szCs w:val="20"/>
        </w:rPr>
        <w:t>, Buysee, V., &amp; Peisner-Feinberg, E. (Eds.).  Baltimore: Paul H. Brookes Publishing.</w:t>
      </w:r>
    </w:p>
  </w:footnote>
  <w:footnote w:id="36">
    <w:p w:rsidR="00887BBB" w:rsidRPr="004932C1" w:rsidRDefault="00887BBB" w:rsidP="002C6786">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Clements, D.H., &amp; Sarama, J., (2008). Experimental evaluation of the effects of a research-based preschool mathematics curriculum.  </w:t>
      </w:r>
      <w:r w:rsidRPr="004932C1">
        <w:rPr>
          <w:rFonts w:ascii="Times New Roman" w:hAnsi="Times New Roman" w:cs="Times New Roman"/>
          <w:i/>
          <w:sz w:val="20"/>
          <w:szCs w:val="20"/>
        </w:rPr>
        <w:t>American Educational Research Journal, 45</w:t>
      </w:r>
      <w:r w:rsidRPr="004932C1">
        <w:rPr>
          <w:rFonts w:ascii="Times New Roman" w:hAnsi="Times New Roman" w:cs="Times New Roman"/>
          <w:sz w:val="20"/>
          <w:szCs w:val="20"/>
        </w:rPr>
        <w:t xml:space="preserve">(2), 443-494. </w:t>
      </w:r>
    </w:p>
  </w:footnote>
  <w:footnote w:id="37">
    <w:p w:rsidR="00887BBB" w:rsidRPr="004932C1" w:rsidRDefault="00887BBB" w:rsidP="00B764B1">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 xml:space="preserve">See </w:t>
      </w:r>
      <w:r w:rsidRPr="004932C1">
        <w:rPr>
          <w:rFonts w:ascii="Times New Roman" w:hAnsi="Times New Roman" w:cs="Times New Roman"/>
          <w:sz w:val="20"/>
          <w:szCs w:val="20"/>
        </w:rPr>
        <w:t>Federal Register, 40 FR 27562, June 30, 1975.</w:t>
      </w:r>
    </w:p>
  </w:footnote>
  <w:footnote w:id="38">
    <w:p w:rsidR="00887BBB" w:rsidRPr="004932C1" w:rsidRDefault="00887BBB" w:rsidP="004932C1">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U.S. Department of Health and Human Services, Administration for Children and Families (2015). </w:t>
      </w:r>
      <w:r w:rsidRPr="004932C1">
        <w:rPr>
          <w:rFonts w:ascii="Times New Roman" w:hAnsi="Times New Roman" w:cs="Times New Roman"/>
          <w:i/>
          <w:sz w:val="20"/>
          <w:szCs w:val="20"/>
        </w:rPr>
        <w:t>Office of Head Start Program Information Report, 2014-2015</w:t>
      </w:r>
      <w:r w:rsidRPr="004932C1">
        <w:rPr>
          <w:rFonts w:ascii="Times New Roman" w:hAnsi="Times New Roman" w:cs="Times New Roman"/>
          <w:sz w:val="20"/>
          <w:szCs w:val="20"/>
        </w:rPr>
        <w:t>. Washington, DC: Author.</w:t>
      </w:r>
    </w:p>
  </w:footnote>
  <w:footnote w:id="39">
    <w:p w:rsidR="00887BBB" w:rsidRPr="004932C1" w:rsidRDefault="00887BBB" w:rsidP="00A60E33">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Mashburn, A.J., Justice, L., M., Downer, J.T., &amp; Pianta, R.C. (2009).  Peer effects on children’s language achievement during pre-kindergarten.  </w:t>
      </w:r>
      <w:r w:rsidRPr="004932C1">
        <w:rPr>
          <w:rFonts w:ascii="Times New Roman" w:hAnsi="Times New Roman" w:cs="Times New Roman"/>
          <w:i/>
          <w:sz w:val="20"/>
          <w:szCs w:val="20"/>
        </w:rPr>
        <w:t>Child Development, 80</w:t>
      </w:r>
      <w:r w:rsidRPr="004932C1">
        <w:rPr>
          <w:rFonts w:ascii="Times New Roman" w:hAnsi="Times New Roman" w:cs="Times New Roman"/>
          <w:sz w:val="20"/>
          <w:szCs w:val="20"/>
        </w:rPr>
        <w:t>(3), 686-702.</w:t>
      </w:r>
    </w:p>
  </w:footnote>
  <w:footnote w:id="40">
    <w:p w:rsidR="00887BBB" w:rsidRPr="004932C1" w:rsidRDefault="00887BBB" w:rsidP="00A60E33">
      <w:pPr>
        <w:pStyle w:val="FootnoteText"/>
        <w:rPr>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Henry, G.T., &amp; Rickman, D.K., (2007).  Do peers influence children’s skill development in preschool?  </w:t>
      </w:r>
      <w:r w:rsidRPr="004932C1">
        <w:rPr>
          <w:rFonts w:ascii="Times New Roman" w:hAnsi="Times New Roman" w:cs="Times New Roman"/>
          <w:i/>
          <w:sz w:val="20"/>
          <w:szCs w:val="20"/>
        </w:rPr>
        <w:t>Economics of Education Review, 26</w:t>
      </w:r>
      <w:r w:rsidRPr="004932C1">
        <w:rPr>
          <w:rFonts w:ascii="Times New Roman" w:hAnsi="Times New Roman" w:cs="Times New Roman"/>
          <w:sz w:val="20"/>
          <w:szCs w:val="20"/>
        </w:rPr>
        <w:t>(1), 100-112.</w:t>
      </w:r>
    </w:p>
  </w:footnote>
  <w:footnote w:id="41">
    <w:p w:rsidR="00887BBB" w:rsidRPr="004932C1" w:rsidRDefault="00887BBB" w:rsidP="007B034E">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Mashburn, A. J., Justice, L. M., Downer, J. T., &amp; Pianta, R. C. (2009). Peer effects on children’s language achievement during pre</w:t>
      </w:r>
      <w:r w:rsidRPr="004932C1">
        <w:rPr>
          <w:rFonts w:ascii="Cambria Math" w:hAnsi="Cambria Math" w:cs="Cambria Math"/>
          <w:sz w:val="20"/>
          <w:szCs w:val="20"/>
        </w:rPr>
        <w:t>‐</w:t>
      </w:r>
      <w:r w:rsidRPr="004932C1">
        <w:rPr>
          <w:rFonts w:ascii="Times New Roman" w:hAnsi="Times New Roman" w:cs="Times New Roman"/>
          <w:sz w:val="20"/>
          <w:szCs w:val="20"/>
        </w:rPr>
        <w:t xml:space="preserve">kindergarten. </w:t>
      </w:r>
      <w:r w:rsidRPr="004932C1">
        <w:rPr>
          <w:rFonts w:ascii="Times New Roman" w:hAnsi="Times New Roman" w:cs="Times New Roman"/>
          <w:i/>
          <w:sz w:val="20"/>
          <w:szCs w:val="20"/>
        </w:rPr>
        <w:t>Child Development</w:t>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80</w:t>
      </w:r>
      <w:r w:rsidRPr="004932C1">
        <w:rPr>
          <w:rFonts w:ascii="Times New Roman" w:hAnsi="Times New Roman" w:cs="Times New Roman"/>
          <w:sz w:val="20"/>
          <w:szCs w:val="20"/>
        </w:rPr>
        <w:t>(3), 686-702.</w:t>
      </w:r>
    </w:p>
  </w:footnote>
  <w:footnote w:id="42">
    <w:p w:rsidR="00887BBB" w:rsidRPr="004932C1" w:rsidRDefault="00887BBB" w:rsidP="004932C1">
      <w:pPr>
        <w:spacing w:after="0" w:line="240" w:lineRule="auto"/>
        <w:ind w:left="187" w:hanging="187"/>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Henry, G. T., &amp; Rickman, D. K. (2007). Do peers influence children's skill development in preschool? </w:t>
      </w:r>
      <w:r w:rsidRPr="004932C1">
        <w:rPr>
          <w:rFonts w:ascii="Times New Roman" w:hAnsi="Times New Roman" w:cs="Times New Roman"/>
          <w:i/>
          <w:sz w:val="20"/>
          <w:szCs w:val="20"/>
        </w:rPr>
        <w:t>Economics of Education Review</w:t>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26</w:t>
      </w:r>
      <w:r w:rsidRPr="004932C1">
        <w:rPr>
          <w:rFonts w:ascii="Times New Roman" w:hAnsi="Times New Roman" w:cs="Times New Roman"/>
          <w:sz w:val="20"/>
          <w:szCs w:val="20"/>
        </w:rPr>
        <w:t>(1), 100-112.</w:t>
      </w:r>
    </w:p>
  </w:footnote>
  <w:footnote w:id="43">
    <w:p w:rsidR="00887BBB" w:rsidRPr="004932C1" w:rsidRDefault="00887BBB" w:rsidP="004932C1">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U.S. Department of Health and Human Services, Administration for Children and Families (2015). </w:t>
      </w:r>
      <w:r w:rsidRPr="004932C1">
        <w:rPr>
          <w:rFonts w:ascii="Times New Roman" w:hAnsi="Times New Roman" w:cs="Times New Roman"/>
          <w:i/>
          <w:sz w:val="20"/>
          <w:szCs w:val="20"/>
        </w:rPr>
        <w:t>Office of Head Start Program Information Report, 2014-2015</w:t>
      </w:r>
      <w:r w:rsidRPr="004932C1">
        <w:rPr>
          <w:rFonts w:ascii="Times New Roman" w:hAnsi="Times New Roman" w:cs="Times New Roman"/>
          <w:sz w:val="20"/>
          <w:szCs w:val="20"/>
        </w:rPr>
        <w:t>. Washington, DC: Author.</w:t>
      </w:r>
    </w:p>
  </w:footnote>
  <w:footnote w:id="44">
    <w:p w:rsidR="00887BBB" w:rsidRPr="004932C1" w:rsidRDefault="00887BBB" w:rsidP="007B034E">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Ehrlich, S. B., Gwynne, J. A., Pareja, A. S., &amp; Allensworth, E. M. (2013). Preschool Attendance in Chicago Public Schools. </w:t>
      </w:r>
      <w:r w:rsidRPr="004932C1">
        <w:rPr>
          <w:rFonts w:ascii="Times New Roman" w:hAnsi="Times New Roman" w:cs="Times New Roman"/>
          <w:i/>
          <w:sz w:val="20"/>
          <w:szCs w:val="20"/>
        </w:rPr>
        <w:t>Research Summary</w:t>
      </w:r>
      <w:r w:rsidRPr="004932C1">
        <w:rPr>
          <w:rFonts w:ascii="Times New Roman" w:hAnsi="Times New Roman" w:cs="Times New Roman"/>
          <w:sz w:val="20"/>
          <w:szCs w:val="20"/>
        </w:rPr>
        <w:t>. University of Chicago Consortium on Chicago School Research.</w:t>
      </w:r>
    </w:p>
  </w:footnote>
  <w:footnote w:id="45">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Community Action Project Tulsa County. (2012). </w:t>
      </w:r>
      <w:r w:rsidRPr="004932C1">
        <w:rPr>
          <w:rFonts w:ascii="Times New Roman" w:hAnsi="Times New Roman" w:cs="Times New Roman"/>
          <w:i/>
          <w:sz w:val="20"/>
          <w:szCs w:val="20"/>
        </w:rPr>
        <w:t>Attendance Works Peer Learning Network Webinar</w:t>
      </w:r>
      <w:r w:rsidRPr="004932C1">
        <w:rPr>
          <w:rFonts w:ascii="Times New Roman" w:hAnsi="Times New Roman" w:cs="Times New Roman"/>
          <w:sz w:val="20"/>
          <w:szCs w:val="20"/>
        </w:rPr>
        <w:t xml:space="preserve">. </w:t>
      </w:r>
    </w:p>
  </w:footnote>
  <w:footnote w:id="46">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Connolly, F., &amp; Olson, L. S. (2012). Early Elementary Performance and Attendance in Baltimore City Schools' Pre-Kindergarten and Kindergarten. </w:t>
      </w:r>
      <w:r w:rsidRPr="004932C1">
        <w:rPr>
          <w:rFonts w:ascii="Times New Roman" w:hAnsi="Times New Roman" w:cs="Times New Roman"/>
          <w:i/>
          <w:sz w:val="20"/>
          <w:szCs w:val="20"/>
        </w:rPr>
        <w:t>Baltimore Education Research Consortium</w:t>
      </w:r>
      <w:r w:rsidRPr="004932C1">
        <w:rPr>
          <w:rFonts w:ascii="Times New Roman" w:hAnsi="Times New Roman" w:cs="Times New Roman"/>
          <w:sz w:val="20"/>
          <w:szCs w:val="20"/>
        </w:rPr>
        <w:t>.</w:t>
      </w:r>
    </w:p>
  </w:footnote>
  <w:footnote w:id="47">
    <w:p w:rsidR="00887BBB" w:rsidRPr="004932C1" w:rsidRDefault="00887BBB" w:rsidP="0056029C">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Gilliam, W. S. (2005). Prekindergarteners left behind: Expulsion rates in state prekindergarten systems. New York, NY: Foundation for Child Development.</w:t>
      </w:r>
    </w:p>
  </w:footnote>
  <w:footnote w:id="48">
    <w:p w:rsidR="00887BBB" w:rsidRPr="004932C1" w:rsidRDefault="00887BBB" w:rsidP="0056029C">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Gilliam, W.S., &amp; Shahar, G. (2006). Preschool and child care expulsion and suspension: Rates and predictors in one state. </w:t>
      </w:r>
      <w:r w:rsidRPr="004932C1">
        <w:rPr>
          <w:rFonts w:ascii="Times New Roman" w:hAnsi="Times New Roman" w:cs="Times New Roman"/>
          <w:i/>
          <w:sz w:val="20"/>
          <w:szCs w:val="20"/>
        </w:rPr>
        <w:t>Infants &amp; Young Children, 19</w:t>
      </w:r>
      <w:r w:rsidRPr="004932C1">
        <w:rPr>
          <w:rFonts w:ascii="Times New Roman" w:hAnsi="Times New Roman" w:cs="Times New Roman"/>
          <w:sz w:val="20"/>
          <w:szCs w:val="20"/>
        </w:rPr>
        <w:t>, 228–245.</w:t>
      </w:r>
    </w:p>
  </w:footnote>
  <w:footnote w:id="49">
    <w:p w:rsidR="00887BBB" w:rsidRPr="004932C1" w:rsidRDefault="00887BBB" w:rsidP="0056029C">
      <w:pPr>
        <w:pStyle w:val="FootnoteText"/>
        <w:rPr>
          <w:rFonts w:ascii="Times New Roman" w:hAnsi="Times New Roman" w:cs="Times New Roman"/>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Lamont, J. H., Devore, C. D., Allison, M., Ancona, R., Barnett, S. E., Gunther, R., &amp; Young, T. (2013). Out-of-school suspension and expulsion. </w:t>
      </w:r>
      <w:r w:rsidRPr="004932C1">
        <w:rPr>
          <w:rFonts w:ascii="Times New Roman" w:hAnsi="Times New Roman" w:cs="Times New Roman"/>
          <w:i/>
          <w:sz w:val="20"/>
          <w:szCs w:val="20"/>
        </w:rPr>
        <w:t>Pediatrics, 131</w:t>
      </w:r>
      <w:r w:rsidRPr="004932C1">
        <w:rPr>
          <w:rFonts w:ascii="Times New Roman" w:hAnsi="Times New Roman" w:cs="Times New Roman"/>
          <w:sz w:val="20"/>
          <w:szCs w:val="20"/>
        </w:rPr>
        <w:t>(3), e1000-e1007.</w:t>
      </w:r>
    </w:p>
  </w:footnote>
  <w:footnote w:id="50">
    <w:p w:rsidR="00887BBB" w:rsidRPr="004932C1" w:rsidRDefault="00887BBB" w:rsidP="007B034E">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Gilliam, W. S., &amp; Shahar, G. (2006) Preschool and Child Care Expulsion and Suspension: Rates and Predictors in One State.  </w:t>
      </w:r>
      <w:r w:rsidRPr="004932C1">
        <w:rPr>
          <w:rFonts w:ascii="Times New Roman" w:hAnsi="Times New Roman" w:cs="Times New Roman"/>
          <w:i/>
          <w:sz w:val="20"/>
          <w:szCs w:val="20"/>
        </w:rPr>
        <w:t>Infants and Young Children, 19</w:t>
      </w:r>
      <w:r w:rsidRPr="004932C1">
        <w:rPr>
          <w:rFonts w:ascii="Times New Roman" w:hAnsi="Times New Roman" w:cs="Times New Roman"/>
          <w:sz w:val="20"/>
          <w:szCs w:val="20"/>
        </w:rPr>
        <w:t>(3), 228-245.</w:t>
      </w:r>
    </w:p>
  </w:footnote>
  <w:footnote w:id="51">
    <w:p w:rsidR="00887BBB" w:rsidRPr="00400B29" w:rsidRDefault="00887BBB">
      <w:pPr>
        <w:pStyle w:val="FootnoteText"/>
        <w:rPr>
          <w:rFonts w:ascii="Times New Roman" w:hAnsi="Times New Roman" w:cs="Times New Roman"/>
          <w:sz w:val="20"/>
          <w:szCs w:val="20"/>
        </w:rPr>
      </w:pPr>
      <w:r w:rsidRPr="00400B29">
        <w:rPr>
          <w:rStyle w:val="FootnoteReference"/>
          <w:rFonts w:ascii="Times New Roman" w:hAnsi="Times New Roman" w:cs="Times New Roman"/>
          <w:sz w:val="20"/>
          <w:szCs w:val="20"/>
        </w:rPr>
        <w:footnoteRef/>
      </w:r>
      <w:r w:rsidRPr="00400B29">
        <w:rPr>
          <w:rFonts w:ascii="Times New Roman" w:hAnsi="Times New Roman" w:cs="Times New Roman"/>
          <w:sz w:val="20"/>
          <w:szCs w:val="20"/>
        </w:rPr>
        <w:t xml:space="preserve"> U.S. Department of Education, Civil Rights Data Collection (2016). Retrieved from: </w:t>
      </w:r>
      <w:r w:rsidRPr="00001E53">
        <w:rPr>
          <w:rFonts w:ascii="Times New Roman" w:hAnsi="Times New Roman" w:cs="Times New Roman"/>
          <w:sz w:val="20"/>
          <w:szCs w:val="20"/>
        </w:rPr>
        <w:t>http://www2.ed.gov/about/offices/list/ocr/docs/2013-14-first-look.pdf</w:t>
      </w:r>
    </w:p>
  </w:footnote>
  <w:footnote w:id="52">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Lamont, J. H., Devore, C. D., Allison, M., Ancona, R., Barnett, S. E., Gunther, R., &amp; Young, T. (2013). Out-of-school suspension and expulsion. </w:t>
      </w:r>
      <w:r w:rsidRPr="004932C1">
        <w:rPr>
          <w:rFonts w:ascii="Times New Roman" w:hAnsi="Times New Roman" w:cs="Times New Roman"/>
          <w:i/>
          <w:sz w:val="20"/>
          <w:szCs w:val="20"/>
        </w:rPr>
        <w:t>Pediatrics, 131</w:t>
      </w:r>
      <w:r w:rsidRPr="004932C1">
        <w:rPr>
          <w:rFonts w:ascii="Times New Roman" w:hAnsi="Times New Roman" w:cs="Times New Roman"/>
          <w:sz w:val="20"/>
          <w:szCs w:val="20"/>
        </w:rPr>
        <w:t>(3), e1000-e1007.</w:t>
      </w:r>
    </w:p>
  </w:footnote>
  <w:footnote w:id="53">
    <w:p w:rsidR="00887BBB" w:rsidRPr="004932C1" w:rsidRDefault="00887BBB" w:rsidP="007B034E">
      <w:pPr>
        <w:spacing w:after="0" w:line="240" w:lineRule="auto"/>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American Psychological Association, Zero Tolerance Task Force Report (2008). An evidentiary review and recommendations.</w:t>
      </w:r>
    </w:p>
  </w:footnote>
  <w:footnote w:id="54">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https://www.acf.hhs.gov/sites/default/files/ecd/expulsion_suspension_final.pdf</w:t>
      </w:r>
    </w:p>
  </w:footnote>
  <w:footnote w:id="55">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Mashburn, A. J., Justice, L. M., Downer, J. T., &amp; Pianta, R. C. (2009). Peer effects on children’s language achievement during pre</w:t>
      </w:r>
      <w:r w:rsidRPr="004932C1">
        <w:rPr>
          <w:rFonts w:ascii="Cambria Math" w:eastAsia="Times New Roman" w:hAnsi="Cambria Math" w:cs="Cambria Math"/>
          <w:sz w:val="20"/>
          <w:szCs w:val="20"/>
        </w:rPr>
        <w:t>‐</w:t>
      </w:r>
      <w:r w:rsidRPr="004932C1">
        <w:rPr>
          <w:rFonts w:ascii="Times New Roman" w:eastAsia="Times New Roman" w:hAnsi="Times New Roman" w:cs="Times New Roman"/>
          <w:sz w:val="20"/>
          <w:szCs w:val="20"/>
        </w:rPr>
        <w:t xml:space="preserve">kindergarten. </w:t>
      </w:r>
      <w:r w:rsidRPr="004932C1">
        <w:rPr>
          <w:rFonts w:ascii="Times New Roman" w:eastAsia="Times New Roman" w:hAnsi="Times New Roman" w:cs="Times New Roman"/>
          <w:i/>
          <w:iCs/>
          <w:sz w:val="20"/>
          <w:szCs w:val="20"/>
        </w:rPr>
        <w:t>Child Development</w:t>
      </w:r>
      <w:r w:rsidRPr="004932C1">
        <w:rPr>
          <w:rFonts w:ascii="Times New Roman" w:eastAsia="Times New Roman" w:hAnsi="Times New Roman" w:cs="Times New Roman"/>
          <w:sz w:val="20"/>
          <w:szCs w:val="20"/>
        </w:rPr>
        <w:t xml:space="preserve">, </w:t>
      </w:r>
      <w:r w:rsidRPr="004932C1">
        <w:rPr>
          <w:rFonts w:ascii="Times New Roman" w:eastAsia="Times New Roman" w:hAnsi="Times New Roman" w:cs="Times New Roman"/>
          <w:i/>
          <w:iCs/>
          <w:sz w:val="20"/>
          <w:szCs w:val="20"/>
        </w:rPr>
        <w:t>80</w:t>
      </w:r>
      <w:r w:rsidRPr="004932C1">
        <w:rPr>
          <w:rFonts w:ascii="Times New Roman" w:eastAsia="Times New Roman" w:hAnsi="Times New Roman" w:cs="Times New Roman"/>
          <w:i/>
          <w:sz w:val="20"/>
          <w:szCs w:val="20"/>
        </w:rPr>
        <w:t>(3),</w:t>
      </w:r>
      <w:r w:rsidRPr="004932C1">
        <w:rPr>
          <w:rFonts w:ascii="Times New Roman" w:eastAsia="Times New Roman" w:hAnsi="Times New Roman" w:cs="Times New Roman"/>
          <w:sz w:val="20"/>
          <w:szCs w:val="20"/>
        </w:rPr>
        <w:t xml:space="preserve"> 686-702.</w:t>
      </w:r>
    </w:p>
  </w:footnote>
  <w:footnote w:id="56">
    <w:p w:rsidR="00887BBB" w:rsidRPr="004932C1" w:rsidRDefault="00887BBB" w:rsidP="007B034E">
      <w:pPr>
        <w:spacing w:after="0" w:line="240" w:lineRule="auto"/>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 xml:space="preserve">Henry, G. T., &amp; Rickman, D. K. (2007). Do peers influence children's skill development in preschool? </w:t>
      </w:r>
      <w:r w:rsidRPr="004932C1">
        <w:rPr>
          <w:rFonts w:ascii="Times New Roman" w:eastAsia="Times New Roman" w:hAnsi="Times New Roman" w:cs="Times New Roman"/>
          <w:i/>
          <w:iCs/>
          <w:sz w:val="20"/>
          <w:szCs w:val="20"/>
        </w:rPr>
        <w:t>Economics of Education Review</w:t>
      </w:r>
      <w:r w:rsidRPr="004932C1">
        <w:rPr>
          <w:rFonts w:ascii="Times New Roman" w:eastAsia="Times New Roman" w:hAnsi="Times New Roman" w:cs="Times New Roman"/>
          <w:sz w:val="20"/>
          <w:szCs w:val="20"/>
        </w:rPr>
        <w:t xml:space="preserve">, </w:t>
      </w:r>
      <w:r w:rsidRPr="004932C1">
        <w:rPr>
          <w:rFonts w:ascii="Times New Roman" w:eastAsia="Times New Roman" w:hAnsi="Times New Roman" w:cs="Times New Roman"/>
          <w:i/>
          <w:iCs/>
          <w:sz w:val="20"/>
          <w:szCs w:val="20"/>
        </w:rPr>
        <w:t>26</w:t>
      </w:r>
      <w:r w:rsidRPr="004932C1">
        <w:rPr>
          <w:rFonts w:ascii="Times New Roman" w:eastAsia="Times New Roman" w:hAnsi="Times New Roman" w:cs="Times New Roman"/>
          <w:i/>
          <w:sz w:val="20"/>
          <w:szCs w:val="20"/>
        </w:rPr>
        <w:t>(1),</w:t>
      </w:r>
      <w:r w:rsidRPr="004932C1">
        <w:rPr>
          <w:rFonts w:ascii="Times New Roman" w:eastAsia="Times New Roman" w:hAnsi="Times New Roman" w:cs="Times New Roman"/>
          <w:sz w:val="20"/>
          <w:szCs w:val="20"/>
        </w:rPr>
        <w:t xml:space="preserve"> 100-112.</w:t>
      </w:r>
    </w:p>
  </w:footnote>
  <w:footnote w:id="57">
    <w:p w:rsidR="00887BBB" w:rsidRPr="004932C1" w:rsidRDefault="00887BBB" w:rsidP="007B034E">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Lee, V. E., Burkam, D. T., Ready, D. D., Honigman, J., &amp; Meisels, S. J. (2006). Full-Day versus Half-Day Kindergarten: In Which Program Do Children Learn More? </w:t>
      </w:r>
      <w:r w:rsidRPr="004932C1">
        <w:rPr>
          <w:rFonts w:ascii="Times New Roman" w:hAnsi="Times New Roman" w:cs="Times New Roman"/>
          <w:i/>
          <w:sz w:val="20"/>
          <w:szCs w:val="20"/>
        </w:rPr>
        <w:t>American Journal of Education, 112(2),</w:t>
      </w:r>
      <w:r w:rsidRPr="004932C1">
        <w:rPr>
          <w:rFonts w:ascii="Times New Roman" w:hAnsi="Times New Roman" w:cs="Times New Roman"/>
          <w:sz w:val="20"/>
          <w:szCs w:val="20"/>
        </w:rPr>
        <w:t xml:space="preserve"> 163-208.</w:t>
      </w:r>
    </w:p>
  </w:footnote>
  <w:footnote w:id="58">
    <w:p w:rsidR="00887BBB" w:rsidRPr="004932C1" w:rsidRDefault="00887BBB" w:rsidP="007B034E">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Walston, J.T., and West, J. (2004). </w:t>
      </w:r>
      <w:r w:rsidRPr="004932C1">
        <w:rPr>
          <w:rFonts w:ascii="Times New Roman" w:hAnsi="Times New Roman" w:cs="Times New Roman"/>
          <w:i/>
          <w:sz w:val="20"/>
          <w:szCs w:val="20"/>
        </w:rPr>
        <w:t>Full-day and Half-day Kindergarten in the United States: Findings from the Early Childhood Longitudinal Study, Kindergarten Class of 1998–99 (NCES 2004–078)</w:t>
      </w:r>
      <w:r w:rsidRPr="004932C1">
        <w:rPr>
          <w:rFonts w:ascii="Times New Roman" w:hAnsi="Times New Roman" w:cs="Times New Roman"/>
          <w:sz w:val="20"/>
          <w:szCs w:val="20"/>
        </w:rPr>
        <w:t>. U.S. Department of Education, National Center for Education Statistics. Washington, DC: U.S. Government Printing Office.</w:t>
      </w:r>
    </w:p>
  </w:footnote>
  <w:footnote w:id="59">
    <w:p w:rsidR="00887BBB" w:rsidRPr="004932C1" w:rsidRDefault="00887BBB" w:rsidP="007B034E">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Sloan McCombs, J. et al., (2011). Making Summer Count. How Summer Programs Can Boost Children’s Learning. Santa Monica, Calif.: RAND Corporation.</w:t>
      </w:r>
    </w:p>
  </w:footnote>
  <w:footnote w:id="60">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Downey, D.B., von Hippel, P.T. &amp; Broh, B.A. (2004).  Are Schools the Great Equalizer? Cognitive Inequality During the Sum</w:t>
      </w:r>
      <w:r w:rsidRPr="004932C1">
        <w:rPr>
          <w:rStyle w:val="A11"/>
          <w:rFonts w:ascii="Times New Roman" w:hAnsi="Times New Roman" w:cs="Times New Roman"/>
          <w:color w:val="auto"/>
          <w:sz w:val="20"/>
          <w:szCs w:val="20"/>
        </w:rPr>
        <w:softHyphen/>
        <w:t>mer Months and the School Year.  American Sociological Review, 69(5), 613–635.</w:t>
      </w:r>
    </w:p>
  </w:footnote>
  <w:footnote w:id="61">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Ehrlich, S.B., Gwynne, J.A…,..Sorice, E. (2014).  </w:t>
      </w:r>
      <w:r w:rsidRPr="004932C1">
        <w:rPr>
          <w:rFonts w:ascii="Times New Roman" w:hAnsi="Times New Roman" w:cs="Times New Roman"/>
          <w:i/>
          <w:sz w:val="20"/>
          <w:szCs w:val="20"/>
        </w:rPr>
        <w:t>Preschool Attendance in Chicago Public Schools: Relationships with Learning Outcomes and Reasons for Absences.</w:t>
      </w:r>
      <w:r w:rsidRPr="004932C1">
        <w:rPr>
          <w:rFonts w:ascii="Times New Roman" w:hAnsi="Times New Roman" w:cs="Times New Roman"/>
          <w:sz w:val="20"/>
          <w:szCs w:val="20"/>
        </w:rPr>
        <w:t xml:space="preserve">  University of Chicago Consortium on Chicago School Research.  Research Report.</w:t>
      </w:r>
    </w:p>
  </w:footnote>
  <w:footnote w:id="62">
    <w:p w:rsidR="00887BBB" w:rsidRPr="004932C1" w:rsidRDefault="00887BBB" w:rsidP="007B034E">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Peisner-Feinberg, E. S., Schaaf, J. M., LaForett, D. R., Hildebrandt, L.M., &amp; Sideris, J. (2014). </w:t>
      </w:r>
      <w:r w:rsidRPr="004932C1">
        <w:rPr>
          <w:rFonts w:ascii="Times New Roman" w:hAnsi="Times New Roman" w:cs="Times New Roman"/>
          <w:i/>
          <w:sz w:val="20"/>
          <w:szCs w:val="20"/>
        </w:rPr>
        <w:t>Effects of Georgia’s Pre-K Program on children’s school readiness skills: Findings from the 2012–2013 evaluation study.</w:t>
      </w:r>
      <w:r w:rsidRPr="004932C1">
        <w:rPr>
          <w:rFonts w:ascii="Times New Roman" w:hAnsi="Times New Roman" w:cs="Times New Roman"/>
          <w:sz w:val="20"/>
          <w:szCs w:val="20"/>
        </w:rPr>
        <w:t xml:space="preserve"> Chapel Hill: The University of North Carolina, FPG Child Development Institute.</w:t>
      </w:r>
    </w:p>
  </w:footnote>
  <w:footnote w:id="63">
    <w:p w:rsidR="00887BBB" w:rsidRPr="004932C1" w:rsidRDefault="00887BBB" w:rsidP="007B034E">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Barnett, W.S., Jung, K., Youn, M.J., and Frede, E.C. (2013).  </w:t>
      </w:r>
      <w:r w:rsidRPr="004932C1">
        <w:rPr>
          <w:rFonts w:ascii="Times New Roman" w:hAnsi="Times New Roman" w:cs="Times New Roman"/>
          <w:i/>
          <w:sz w:val="20"/>
          <w:szCs w:val="20"/>
        </w:rPr>
        <w:t xml:space="preserve">Abbott Preschool Program Longitudinal Effects Study: Fifth Grade Follow-Up. </w:t>
      </w:r>
      <w:r w:rsidRPr="004932C1">
        <w:rPr>
          <w:rFonts w:ascii="Times New Roman" w:hAnsi="Times New Roman" w:cs="Times New Roman"/>
          <w:sz w:val="20"/>
          <w:szCs w:val="20"/>
        </w:rPr>
        <w:t>National Institute for Early Education Research Rutgers—The State University of New Jersey.</w:t>
      </w:r>
    </w:p>
  </w:footnote>
  <w:footnote w:id="64">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Gormley, G.T., Gayer, T., Phillips, D., &amp; Dawson, B. (2005).  The effects of universal pre-k on cognitive development.  </w:t>
      </w:r>
      <w:r w:rsidRPr="004932C1">
        <w:rPr>
          <w:rFonts w:ascii="Times New Roman" w:hAnsi="Times New Roman" w:cs="Times New Roman"/>
          <w:i/>
          <w:sz w:val="20"/>
          <w:szCs w:val="20"/>
        </w:rPr>
        <w:t>Developmental Psychology, 4</w:t>
      </w:r>
      <w:r w:rsidRPr="004932C1">
        <w:rPr>
          <w:rFonts w:ascii="Times New Roman" w:hAnsi="Times New Roman" w:cs="Times New Roman"/>
          <w:sz w:val="20"/>
          <w:szCs w:val="20"/>
        </w:rPr>
        <w:t>(6), 872-884.</w:t>
      </w:r>
    </w:p>
  </w:footnote>
  <w:footnote w:id="65">
    <w:p w:rsidR="00887BBB" w:rsidRPr="004932C1" w:rsidRDefault="00887BBB" w:rsidP="007B034E">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Weiland, C., &amp; Yoshikawa, H. (2013). Impacts of a prekindergarten program on children’s mathematics, language, literacy, executive function, and emotional skills. </w:t>
      </w:r>
      <w:r w:rsidRPr="004932C1">
        <w:rPr>
          <w:rFonts w:ascii="Times New Roman" w:hAnsi="Times New Roman" w:cs="Times New Roman"/>
          <w:i/>
          <w:sz w:val="20"/>
          <w:szCs w:val="20"/>
        </w:rPr>
        <w:t xml:space="preserve">Child Development, </w:t>
      </w:r>
      <w:r w:rsidRPr="004932C1">
        <w:rPr>
          <w:rFonts w:ascii="Times New Roman" w:eastAsia="Times New Roman" w:hAnsi="Times New Roman" w:cs="Times New Roman"/>
          <w:i/>
          <w:sz w:val="20"/>
          <w:szCs w:val="20"/>
          <w:shd w:val="clear" w:color="auto" w:fill="FFFFFF"/>
        </w:rPr>
        <w:t>84,</w:t>
      </w:r>
      <w:r w:rsidRPr="004932C1">
        <w:rPr>
          <w:rFonts w:ascii="Times New Roman" w:eastAsia="Times New Roman" w:hAnsi="Times New Roman" w:cs="Times New Roman"/>
          <w:sz w:val="20"/>
          <w:szCs w:val="20"/>
          <w:shd w:val="clear" w:color="auto" w:fill="FFFFFF"/>
        </w:rPr>
        <w:t xml:space="preserve"> 2112–2130.</w:t>
      </w:r>
    </w:p>
  </w:footnote>
  <w:footnote w:id="66">
    <w:p w:rsidR="00887BBB" w:rsidRPr="004932C1" w:rsidRDefault="00887BBB" w:rsidP="004932C1">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Walters, C. R. (2015). Inputs in the Production of Early Childhood Human Capital: Evidence from Head Start, </w:t>
      </w:r>
      <w:r w:rsidRPr="004932C1">
        <w:rPr>
          <w:rFonts w:ascii="Times New Roman" w:hAnsi="Times New Roman" w:cs="Times New Roman"/>
          <w:i/>
          <w:sz w:val="20"/>
          <w:szCs w:val="20"/>
        </w:rPr>
        <w:t>American Economic Journal: Applied Economics, 7</w:t>
      </w:r>
      <w:r w:rsidRPr="004932C1">
        <w:rPr>
          <w:rFonts w:ascii="Times New Roman" w:hAnsi="Times New Roman" w:cs="Times New Roman"/>
          <w:sz w:val="20"/>
          <w:szCs w:val="20"/>
        </w:rPr>
        <w:t>(4), 76–102.</w:t>
      </w:r>
    </w:p>
  </w:footnote>
  <w:footnote w:id="67">
    <w:p w:rsidR="00887BBB" w:rsidRPr="004932C1" w:rsidRDefault="00887BBB" w:rsidP="00EA0E12">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Yoshikawa, H., Weiland, C., Brooks-Gunn, J., Burchinal, M.R., Espinosa, L.M., Gormley,  W.T., Ludwig, J., Magnuson, K.A., Phillips, D., &amp; Zaslow, M.J. (2013).  </w:t>
      </w:r>
      <w:r w:rsidRPr="004932C1">
        <w:rPr>
          <w:rFonts w:ascii="Times New Roman" w:hAnsi="Times New Roman" w:cs="Times New Roman"/>
          <w:i/>
          <w:iCs/>
          <w:sz w:val="20"/>
          <w:szCs w:val="20"/>
        </w:rPr>
        <w:t>Investing in Our Future: The Evidence Base on Preschool Education.</w:t>
      </w:r>
      <w:r w:rsidRPr="004932C1">
        <w:rPr>
          <w:rFonts w:ascii="Times New Roman" w:hAnsi="Times New Roman" w:cs="Times New Roman"/>
          <w:sz w:val="20"/>
          <w:szCs w:val="20"/>
        </w:rPr>
        <w:t xml:space="preserve">  Policy Brief. Foundation for Child Development.</w:t>
      </w:r>
    </w:p>
  </w:footnote>
  <w:footnote w:id="68">
    <w:p w:rsidR="00887BBB" w:rsidRPr="004932C1" w:rsidRDefault="00887BBB" w:rsidP="009D4549">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Bates, J. E., Viken, R. J., Alexander, D. B., Beyers, J., &amp; Stockton, L. (2002). Sleep and adjustment in preschool children: Sleep diary reports by mothers relate to behavior reports by teachers.</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Child Development</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73</w:t>
      </w:r>
      <w:r w:rsidRPr="004932C1">
        <w:rPr>
          <w:rFonts w:ascii="Times New Roman" w:hAnsi="Times New Roman" w:cs="Times New Roman"/>
          <w:sz w:val="20"/>
          <w:szCs w:val="20"/>
          <w:shd w:val="clear" w:color="auto" w:fill="FFFFFF"/>
        </w:rPr>
        <w:t>(1), 62-75.</w:t>
      </w:r>
    </w:p>
  </w:footnote>
  <w:footnote w:id="69">
    <w:p w:rsidR="00887BBB" w:rsidRPr="004932C1" w:rsidRDefault="00887BBB" w:rsidP="009D4549">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Lam, J. C., Mahone, E. M., Mason, T. B., &amp; Scharf, S. M. (2011). The effects of napping on cognitive function in preschoolers.</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Journal of Developmental and Behavioral Pediatrics</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32</w:t>
      </w:r>
      <w:r w:rsidRPr="004932C1">
        <w:rPr>
          <w:rFonts w:ascii="Times New Roman" w:hAnsi="Times New Roman" w:cs="Times New Roman"/>
          <w:sz w:val="20"/>
          <w:szCs w:val="20"/>
          <w:shd w:val="clear" w:color="auto" w:fill="FFFFFF"/>
        </w:rPr>
        <w:t>(2), 90.</w:t>
      </w:r>
    </w:p>
  </w:footnote>
  <w:footnote w:id="70">
    <w:p w:rsidR="00887BBB" w:rsidRPr="004932C1" w:rsidRDefault="00887BBB" w:rsidP="009D4549">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Kurdziel, L., Duclos, K., &amp; Spencer, R. M. (2013). Sleep spindles in midday naps enhance learning in preschool children.</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Proceedings of the National Academy of Sciences</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110</w:t>
      </w:r>
      <w:r w:rsidRPr="004932C1">
        <w:rPr>
          <w:rFonts w:ascii="Times New Roman" w:hAnsi="Times New Roman" w:cs="Times New Roman"/>
          <w:sz w:val="20"/>
          <w:szCs w:val="20"/>
          <w:shd w:val="clear" w:color="auto" w:fill="FFFFFF"/>
        </w:rPr>
        <w:t>(43), 17267-17272.</w:t>
      </w:r>
    </w:p>
  </w:footnote>
  <w:footnote w:id="71">
    <w:p w:rsidR="00887BBB" w:rsidRPr="004932C1" w:rsidRDefault="00887BBB" w:rsidP="008468F8">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Submitted by grantees through the FY 2015 Grant Application Budget Instrument.</w:t>
      </w:r>
    </w:p>
  </w:footnote>
  <w:footnote w:id="72">
    <w:p w:rsidR="00887BBB" w:rsidRPr="004932C1" w:rsidRDefault="00887BBB" w:rsidP="008D5AEF">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Hamre, B. K., &amp; Pianta, R. C. (2001). Early teacher–child relationships and the trajectory of children's school outcomes through eighth grade. </w:t>
      </w:r>
      <w:r w:rsidRPr="004932C1">
        <w:rPr>
          <w:rFonts w:ascii="Times New Roman" w:hAnsi="Times New Roman" w:cs="Times New Roman"/>
          <w:i/>
          <w:iCs/>
          <w:sz w:val="20"/>
          <w:szCs w:val="20"/>
          <w:shd w:val="clear" w:color="auto" w:fill="FFFFFF"/>
        </w:rPr>
        <w:t>Child Development</w:t>
      </w:r>
      <w:r w:rsidRPr="004932C1">
        <w:rPr>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72</w:t>
      </w:r>
      <w:r w:rsidRPr="004932C1">
        <w:rPr>
          <w:rFonts w:ascii="Times New Roman" w:hAnsi="Times New Roman" w:cs="Times New Roman"/>
          <w:sz w:val="20"/>
          <w:szCs w:val="20"/>
          <w:shd w:val="clear" w:color="auto" w:fill="FFFFFF"/>
        </w:rPr>
        <w:t>(2), 625-638.</w:t>
      </w:r>
    </w:p>
  </w:footnote>
  <w:footnote w:id="73">
    <w:p w:rsidR="00887BBB" w:rsidRPr="004932C1" w:rsidRDefault="00887BBB" w:rsidP="008D5AEF">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 xml:space="preserve">Burchinal, M., Howes, C., Pianta, R., Bryant, D., Early, D., Clifford, R., &amp; Barbarin, O. (2008). Predicting child outcomes at the end of kindergarten from the quality of pre-kindergarten teacher–child interactions and instruction. </w:t>
      </w:r>
      <w:r w:rsidRPr="004932C1">
        <w:rPr>
          <w:rFonts w:ascii="Times New Roman" w:hAnsi="Times New Roman" w:cs="Times New Roman"/>
          <w:i/>
          <w:iCs/>
          <w:sz w:val="20"/>
          <w:szCs w:val="20"/>
        </w:rPr>
        <w:t>Applied Development Science</w:t>
      </w:r>
      <w:r w:rsidRPr="004932C1">
        <w:rPr>
          <w:rFonts w:ascii="Times New Roman" w:hAnsi="Times New Roman" w:cs="Times New Roman"/>
          <w:sz w:val="20"/>
          <w:szCs w:val="20"/>
        </w:rPr>
        <w:t>, </w:t>
      </w:r>
      <w:r w:rsidRPr="004932C1">
        <w:rPr>
          <w:rFonts w:ascii="Times New Roman" w:hAnsi="Times New Roman" w:cs="Times New Roman"/>
          <w:i/>
          <w:iCs/>
          <w:sz w:val="20"/>
          <w:szCs w:val="20"/>
        </w:rPr>
        <w:t>12</w:t>
      </w:r>
      <w:r w:rsidRPr="004932C1">
        <w:rPr>
          <w:rFonts w:ascii="Times New Roman" w:hAnsi="Times New Roman" w:cs="Times New Roman"/>
          <w:sz w:val="20"/>
          <w:szCs w:val="20"/>
        </w:rPr>
        <w:t>(3), 140-153.</w:t>
      </w:r>
    </w:p>
  </w:footnote>
  <w:footnote w:id="74">
    <w:p w:rsidR="00887BBB" w:rsidRPr="004932C1" w:rsidRDefault="00887BBB" w:rsidP="008D5AEF">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National Institute of Child Health and Human Development (NICHD) Early Child Care Research Network. (2000). Characteristics and quality of child care for toddlers and preschoolers.</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Applied Developmental Science</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4</w:t>
      </w:r>
      <w:r w:rsidRPr="004932C1">
        <w:rPr>
          <w:rFonts w:ascii="Times New Roman" w:hAnsi="Times New Roman" w:cs="Times New Roman"/>
          <w:sz w:val="20"/>
          <w:szCs w:val="20"/>
          <w:shd w:val="clear" w:color="auto" w:fill="FFFFFF"/>
        </w:rPr>
        <w:t>(3), 116-135.</w:t>
      </w:r>
    </w:p>
  </w:footnote>
  <w:footnote w:id="75">
    <w:p w:rsidR="00887BBB" w:rsidRPr="004932C1" w:rsidRDefault="00887BBB" w:rsidP="008D5AEF">
      <w:pPr>
        <w:spacing w:after="0" w:line="240" w:lineRule="auto"/>
        <w:ind w:left="187" w:hanging="187"/>
        <w:rPr>
          <w:rFonts w:ascii="Times New Roman" w:hAnsi="Times New Roman" w:cs="Times New Roman"/>
          <w:sz w:val="20"/>
          <w:szCs w:val="20"/>
          <w:shd w:val="clear" w:color="auto" w:fill="FFFFFF"/>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Rowe, M. L. (2008). Child-directed speech: relation to socioeconomic status, knowledge of child development and child vocabulary skill.</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Journal of Child Language</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35</w:t>
      </w:r>
      <w:r w:rsidRPr="004932C1">
        <w:rPr>
          <w:rFonts w:ascii="Times New Roman" w:hAnsi="Times New Roman" w:cs="Times New Roman"/>
          <w:sz w:val="20"/>
          <w:szCs w:val="20"/>
          <w:shd w:val="clear" w:color="auto" w:fill="FFFFFF"/>
        </w:rPr>
        <w:t>(1), 185.</w:t>
      </w:r>
    </w:p>
  </w:footnote>
  <w:footnote w:id="76">
    <w:p w:rsidR="00887BBB" w:rsidRPr="004932C1" w:rsidRDefault="00887BBB" w:rsidP="008D5AEF">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Zimmerman, F. J., Gilkerson, J., Richards, J. A., Christakis, D. A., Xu, D., Gray, S., &amp; Yapanel, U. (2009). Teaching by listening: the importance of adult-child conversations to language development.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Pediatrics</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124</w:t>
      </w:r>
      <w:r w:rsidRPr="004932C1">
        <w:rPr>
          <w:rFonts w:ascii="Times New Roman" w:hAnsi="Times New Roman" w:cs="Times New Roman"/>
          <w:sz w:val="20"/>
          <w:szCs w:val="20"/>
          <w:shd w:val="clear" w:color="auto" w:fill="FFFFFF"/>
        </w:rPr>
        <w:t>(1), 342-349.</w:t>
      </w:r>
    </w:p>
  </w:footnote>
  <w:footnote w:id="77">
    <w:p w:rsidR="00887BBB" w:rsidRPr="004932C1" w:rsidRDefault="00887BBB" w:rsidP="008D5AEF">
      <w:pPr>
        <w:pStyle w:val="Plain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Bialystok, E.  (2001).  </w:t>
      </w:r>
      <w:r w:rsidRPr="004932C1">
        <w:rPr>
          <w:rFonts w:ascii="Times New Roman" w:hAnsi="Times New Roman" w:cs="Times New Roman"/>
          <w:i/>
          <w:sz w:val="20"/>
          <w:szCs w:val="20"/>
        </w:rPr>
        <w:t>Bilingualism in development: Language, Literacy, &amp; Cognition</w:t>
      </w:r>
      <w:r w:rsidRPr="004932C1">
        <w:rPr>
          <w:rFonts w:ascii="Times New Roman" w:hAnsi="Times New Roman" w:cs="Times New Roman"/>
          <w:sz w:val="20"/>
          <w:szCs w:val="20"/>
        </w:rPr>
        <w:t>.  Cambridge: Cambridge University Press.</w:t>
      </w:r>
    </w:p>
  </w:footnote>
  <w:footnote w:id="78">
    <w:p w:rsidR="00887BBB" w:rsidRPr="004932C1" w:rsidRDefault="00887BBB" w:rsidP="008D5AEF">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Genesee, F., Paradis, J., &amp; Crago, M.B. (2004). </w:t>
      </w:r>
      <w:r w:rsidRPr="004932C1">
        <w:rPr>
          <w:rFonts w:ascii="Times New Roman" w:hAnsi="Times New Roman" w:cs="Times New Roman"/>
          <w:i/>
          <w:sz w:val="20"/>
          <w:szCs w:val="20"/>
        </w:rPr>
        <w:t>Dual language development and disorders: A handbook on bilingualism and second language learning</w:t>
      </w:r>
      <w:r w:rsidRPr="004932C1">
        <w:rPr>
          <w:rFonts w:ascii="Times New Roman" w:hAnsi="Times New Roman" w:cs="Times New Roman"/>
          <w:sz w:val="20"/>
          <w:szCs w:val="20"/>
        </w:rPr>
        <w:t>. Baltimore:  Paul H. Brookes.</w:t>
      </w:r>
    </w:p>
  </w:footnote>
  <w:footnote w:id="79">
    <w:p w:rsidR="00887BBB" w:rsidRPr="004932C1" w:rsidRDefault="00887BBB" w:rsidP="008D5AEF">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Castro, D. C. &amp; Espinosa, L. M.  (2014). Developmental characteristics of young dual language learners: Implications of policy and practice in infant and toddler care.  </w:t>
      </w:r>
      <w:r w:rsidRPr="004932C1">
        <w:rPr>
          <w:rFonts w:ascii="Times New Roman" w:hAnsi="Times New Roman" w:cs="Times New Roman"/>
          <w:i/>
          <w:sz w:val="20"/>
          <w:szCs w:val="20"/>
        </w:rPr>
        <w:t>Zero To Three</w:t>
      </w:r>
      <w:r w:rsidRPr="004932C1">
        <w:rPr>
          <w:rFonts w:ascii="Times New Roman" w:hAnsi="Times New Roman" w:cs="Times New Roman"/>
          <w:sz w:val="20"/>
          <w:szCs w:val="20"/>
        </w:rPr>
        <w:t>, January, 2014.</w:t>
      </w:r>
    </w:p>
  </w:footnote>
  <w:footnote w:id="80">
    <w:p w:rsidR="00887BBB" w:rsidRPr="004932C1" w:rsidRDefault="00887BBB" w:rsidP="008D5AEF">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Espinosa, L. (2010). </w:t>
      </w:r>
      <w:r w:rsidRPr="004932C1">
        <w:rPr>
          <w:rFonts w:ascii="Times New Roman" w:hAnsi="Times New Roman" w:cs="Times New Roman"/>
          <w:i/>
          <w:iCs/>
          <w:sz w:val="20"/>
          <w:szCs w:val="20"/>
        </w:rPr>
        <w:t>Getting it right for young children from diverse backgrounds: Applying research to improve practice</w:t>
      </w:r>
      <w:r w:rsidRPr="004932C1">
        <w:rPr>
          <w:rFonts w:ascii="Times New Roman" w:hAnsi="Times New Roman" w:cs="Times New Roman"/>
          <w:sz w:val="20"/>
          <w:szCs w:val="20"/>
        </w:rPr>
        <w:t>. Upper Saddle River, NJ: Pearson.</w:t>
      </w:r>
    </w:p>
  </w:footnote>
  <w:footnote w:id="81">
    <w:p w:rsidR="00887BBB" w:rsidRPr="004932C1" w:rsidRDefault="00887BBB" w:rsidP="008D5AEF">
      <w:pPr>
        <w:pStyle w:val="FootnoteText"/>
        <w:ind w:left="187" w:hanging="187"/>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McCAbe, A., Tamis-LeMOnda, C.S., Bornstein, M.H., Cates, C.B., Golinkoff, R., et al. (2013). Multilingual children: Beyond Myths and towards Best Practices</w:t>
      </w:r>
      <w:r w:rsidRPr="004932C1">
        <w:rPr>
          <w:rFonts w:ascii="Times New Roman" w:hAnsi="Times New Roman" w:cs="Times New Roman"/>
          <w:i/>
          <w:sz w:val="20"/>
          <w:szCs w:val="20"/>
        </w:rPr>
        <w:t>. Society for Research in Child Development: Social Policy Report, 27</w:t>
      </w:r>
      <w:r w:rsidRPr="004932C1">
        <w:rPr>
          <w:rFonts w:ascii="Times New Roman" w:hAnsi="Times New Roman" w:cs="Times New Roman"/>
          <w:sz w:val="20"/>
          <w:szCs w:val="20"/>
        </w:rPr>
        <w:t xml:space="preserve"> (4).</w:t>
      </w:r>
    </w:p>
  </w:footnote>
  <w:footnote w:id="82">
    <w:p w:rsidR="00887BBB" w:rsidRPr="004932C1" w:rsidRDefault="00887BBB" w:rsidP="008D5AEF">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Bates, J. E., Viken, R. J., Alexander, D. B., Beyers, J., &amp; Stockton, L. (2002). Sleep and adjustment in preschool children: Sleep diary reports by mothers relate to behavior reports by teachers.</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Child Development</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73</w:t>
      </w:r>
      <w:r w:rsidRPr="004932C1">
        <w:rPr>
          <w:rFonts w:ascii="Times New Roman" w:hAnsi="Times New Roman" w:cs="Times New Roman"/>
          <w:sz w:val="20"/>
          <w:szCs w:val="20"/>
          <w:shd w:val="clear" w:color="auto" w:fill="FFFFFF"/>
        </w:rPr>
        <w:t>(1), 62-75.</w:t>
      </w:r>
    </w:p>
  </w:footnote>
  <w:footnote w:id="83">
    <w:p w:rsidR="00887BBB" w:rsidRPr="004932C1" w:rsidRDefault="00887BBB" w:rsidP="008D5AEF">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Lam, J. C., Mahone, E. M., Mason, T. B., &amp; Scharf, S. M. (2011). The effects of napping on cognitive function in preschoolers.</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Journal of Developmental and Behavioral Pediatrics</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32</w:t>
      </w:r>
      <w:r w:rsidRPr="004932C1">
        <w:rPr>
          <w:rFonts w:ascii="Times New Roman" w:hAnsi="Times New Roman" w:cs="Times New Roman"/>
          <w:sz w:val="20"/>
          <w:szCs w:val="20"/>
          <w:shd w:val="clear" w:color="auto" w:fill="FFFFFF"/>
        </w:rPr>
        <w:t>(2), 90.</w:t>
      </w:r>
    </w:p>
  </w:footnote>
  <w:footnote w:id="84">
    <w:p w:rsidR="00887BBB" w:rsidRPr="004932C1" w:rsidRDefault="00887BBB" w:rsidP="008D5AEF">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shd w:val="clear" w:color="auto" w:fill="FFFFFF"/>
        </w:rPr>
        <w:t>Kurdziel, L., Duclos, K., &amp; Spencer, R. M. (2013). Sleep spindles in midday naps enhance learning in preschool children.</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Proceedings of the National Academy of Sciences</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sz w:val="20"/>
          <w:szCs w:val="20"/>
          <w:shd w:val="clear" w:color="auto" w:fill="FFFFFF"/>
        </w:rPr>
        <w:t>110</w:t>
      </w:r>
      <w:r w:rsidRPr="004932C1">
        <w:rPr>
          <w:rFonts w:ascii="Times New Roman" w:hAnsi="Times New Roman" w:cs="Times New Roman"/>
          <w:sz w:val="20"/>
          <w:szCs w:val="20"/>
          <w:shd w:val="clear" w:color="auto" w:fill="FFFFFF"/>
        </w:rPr>
        <w:t>(43), 17267-17272.</w:t>
      </w:r>
      <w:r w:rsidRPr="004932C1">
        <w:rPr>
          <w:rFonts w:ascii="Times New Roman" w:hAnsi="Times New Roman" w:cs="Times New Roman"/>
          <w:sz w:val="20"/>
          <w:szCs w:val="20"/>
        </w:rPr>
        <w:t xml:space="preserve"> </w:t>
      </w:r>
    </w:p>
  </w:footnote>
  <w:footnote w:id="85">
    <w:p w:rsidR="00887BBB" w:rsidRPr="004932C1" w:rsidRDefault="00887BBB" w:rsidP="008D5AEF">
      <w:pPr>
        <w:spacing w:after="0" w:line="240" w:lineRule="auto"/>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 xml:space="preserve">Becker, D. R., McClelland, M. M., Loprinzi, P., &amp; Trost, S. G. (2014). Physical activity, self-regulation, and early academic achievement in preschool children. </w:t>
      </w:r>
      <w:r w:rsidRPr="004932C1">
        <w:rPr>
          <w:rFonts w:ascii="Times New Roman" w:eastAsia="Times New Roman" w:hAnsi="Times New Roman" w:cs="Times New Roman"/>
          <w:i/>
          <w:iCs/>
          <w:sz w:val="20"/>
          <w:szCs w:val="20"/>
        </w:rPr>
        <w:t>Early Education &amp; Development</w:t>
      </w:r>
      <w:r w:rsidRPr="004932C1">
        <w:rPr>
          <w:rFonts w:ascii="Times New Roman" w:eastAsia="Times New Roman" w:hAnsi="Times New Roman" w:cs="Times New Roman"/>
          <w:sz w:val="20"/>
          <w:szCs w:val="20"/>
        </w:rPr>
        <w:t xml:space="preserve">, </w:t>
      </w:r>
      <w:r w:rsidRPr="004932C1">
        <w:rPr>
          <w:rFonts w:ascii="Times New Roman" w:eastAsia="Times New Roman" w:hAnsi="Times New Roman" w:cs="Times New Roman"/>
          <w:i/>
          <w:iCs/>
          <w:sz w:val="20"/>
          <w:szCs w:val="20"/>
        </w:rPr>
        <w:t>25</w:t>
      </w:r>
      <w:r w:rsidRPr="004932C1">
        <w:rPr>
          <w:rFonts w:ascii="Times New Roman" w:eastAsia="Times New Roman" w:hAnsi="Times New Roman" w:cs="Times New Roman"/>
          <w:sz w:val="20"/>
          <w:szCs w:val="20"/>
        </w:rPr>
        <w:t>(1), 56-70.</w:t>
      </w:r>
    </w:p>
  </w:footnote>
  <w:footnote w:id="86">
    <w:p w:rsidR="00887BBB" w:rsidRPr="004932C1" w:rsidRDefault="00887BBB" w:rsidP="008D5AEF">
      <w:pPr>
        <w:spacing w:after="0" w:line="240" w:lineRule="auto"/>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 xml:space="preserve">Timmons, B. W., LeBlanc, A. G., Carson, V., Connor Gorber, S., Dillman, C., Janssen, I., ... &amp; Tremblay, M. S. (2012). Systematic review of physical activity and health in the early years (aged 0–4 years). </w:t>
      </w:r>
      <w:r w:rsidRPr="004932C1">
        <w:rPr>
          <w:rFonts w:ascii="Times New Roman" w:eastAsia="Times New Roman" w:hAnsi="Times New Roman" w:cs="Times New Roman"/>
          <w:i/>
          <w:iCs/>
          <w:sz w:val="20"/>
          <w:szCs w:val="20"/>
        </w:rPr>
        <w:t>Applied Physiology, Nutrition, and Metabolism</w:t>
      </w:r>
      <w:r w:rsidRPr="004932C1">
        <w:rPr>
          <w:rFonts w:ascii="Times New Roman" w:eastAsia="Times New Roman" w:hAnsi="Times New Roman" w:cs="Times New Roman"/>
          <w:sz w:val="20"/>
          <w:szCs w:val="20"/>
        </w:rPr>
        <w:t xml:space="preserve">, </w:t>
      </w:r>
      <w:r w:rsidRPr="004932C1">
        <w:rPr>
          <w:rFonts w:ascii="Times New Roman" w:eastAsia="Times New Roman" w:hAnsi="Times New Roman" w:cs="Times New Roman"/>
          <w:i/>
          <w:iCs/>
          <w:sz w:val="20"/>
          <w:szCs w:val="20"/>
        </w:rPr>
        <w:t>37</w:t>
      </w:r>
      <w:r w:rsidRPr="004932C1">
        <w:rPr>
          <w:rFonts w:ascii="Times New Roman" w:eastAsia="Times New Roman" w:hAnsi="Times New Roman" w:cs="Times New Roman"/>
          <w:sz w:val="20"/>
          <w:szCs w:val="20"/>
        </w:rPr>
        <w:t>(4), 773-792.</w:t>
      </w:r>
    </w:p>
  </w:footnote>
  <w:footnote w:id="87">
    <w:p w:rsidR="00887BBB" w:rsidRPr="004932C1" w:rsidRDefault="00887BBB" w:rsidP="008D5AEF">
      <w:pPr>
        <w:spacing w:after="0" w:line="240" w:lineRule="auto"/>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 xml:space="preserve">Hodges, E. A., Smith, C., Tidwell, S., &amp; Berry, D. (2013). Promoting physical activity in preschoolers to prevent obesity: a review of the literature. </w:t>
      </w:r>
      <w:r w:rsidRPr="004932C1">
        <w:rPr>
          <w:rFonts w:ascii="Times New Roman" w:eastAsia="Times New Roman" w:hAnsi="Times New Roman" w:cs="Times New Roman"/>
          <w:i/>
          <w:iCs/>
          <w:sz w:val="20"/>
          <w:szCs w:val="20"/>
        </w:rPr>
        <w:t>Journal of Pediatric Nursing</w:t>
      </w:r>
      <w:r w:rsidRPr="004932C1">
        <w:rPr>
          <w:rFonts w:ascii="Times New Roman" w:eastAsia="Times New Roman" w:hAnsi="Times New Roman" w:cs="Times New Roman"/>
          <w:sz w:val="20"/>
          <w:szCs w:val="20"/>
        </w:rPr>
        <w:t xml:space="preserve">, </w:t>
      </w:r>
      <w:r w:rsidRPr="004932C1">
        <w:rPr>
          <w:rFonts w:ascii="Times New Roman" w:eastAsia="Times New Roman" w:hAnsi="Times New Roman" w:cs="Times New Roman"/>
          <w:i/>
          <w:iCs/>
          <w:sz w:val="20"/>
          <w:szCs w:val="20"/>
        </w:rPr>
        <w:t>28</w:t>
      </w:r>
      <w:r w:rsidRPr="004932C1">
        <w:rPr>
          <w:rFonts w:ascii="Times New Roman" w:eastAsia="Times New Roman" w:hAnsi="Times New Roman" w:cs="Times New Roman"/>
          <w:sz w:val="20"/>
          <w:szCs w:val="20"/>
        </w:rPr>
        <w:t>(1), 3-19.</w:t>
      </w:r>
    </w:p>
  </w:footnote>
  <w:footnote w:id="88">
    <w:p w:rsidR="00887BBB" w:rsidRPr="004932C1" w:rsidRDefault="00887BBB" w:rsidP="009D4549">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Currie, J.M. (2005).  Health disparities and gaps in school readiness.  </w:t>
      </w:r>
      <w:r w:rsidRPr="004932C1">
        <w:rPr>
          <w:rFonts w:ascii="Times New Roman" w:hAnsi="Times New Roman" w:cs="Times New Roman"/>
          <w:i/>
          <w:sz w:val="20"/>
          <w:szCs w:val="20"/>
        </w:rPr>
        <w:t>The Future of Children, 15</w:t>
      </w:r>
      <w:r w:rsidRPr="004932C1">
        <w:rPr>
          <w:rFonts w:ascii="Times New Roman" w:hAnsi="Times New Roman" w:cs="Times New Roman"/>
          <w:sz w:val="20"/>
          <w:szCs w:val="20"/>
        </w:rPr>
        <w:t>(1), 117-138.</w:t>
      </w:r>
    </w:p>
  </w:footnote>
  <w:footnote w:id="89">
    <w:p w:rsidR="00887BBB" w:rsidRPr="004932C1" w:rsidRDefault="00887BBB" w:rsidP="009D4549">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Janus, M., &amp; Duku, E. (2007). The school entry gap: Socioeconomic, family, and health factors associated with children’s school readiness to learn.  </w:t>
      </w:r>
      <w:r w:rsidRPr="004932C1">
        <w:rPr>
          <w:rFonts w:ascii="Times New Roman" w:hAnsi="Times New Roman" w:cs="Times New Roman"/>
          <w:i/>
          <w:sz w:val="20"/>
          <w:szCs w:val="20"/>
        </w:rPr>
        <w:t>Early Education and Development, 18</w:t>
      </w:r>
      <w:r w:rsidRPr="004932C1">
        <w:rPr>
          <w:rFonts w:ascii="Times New Roman" w:hAnsi="Times New Roman" w:cs="Times New Roman"/>
          <w:sz w:val="20"/>
          <w:szCs w:val="20"/>
        </w:rPr>
        <w:t>(3), 375-403.</w:t>
      </w:r>
    </w:p>
  </w:footnote>
  <w:footnote w:id="90">
    <w:p w:rsidR="00887BBB" w:rsidRPr="004932C1" w:rsidRDefault="00887BBB" w:rsidP="009D4549">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Bruner, C. (2009).  Connecting child health and school readiness.  (Issue Brief No. 9).  Denver, CO: The Colorado Trust.</w:t>
      </w:r>
    </w:p>
  </w:footnote>
  <w:footnote w:id="91">
    <w:p w:rsidR="00887BBB" w:rsidRPr="004932C1" w:rsidRDefault="00887BBB" w:rsidP="009D4549">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Abanto, J., Carvalho, T. S., Mendes, F. M., Wanderley, M. T., Bönecker, M. and Raggio, D. P. (2011), Impact of oral diseases and disorders on oral health-related quality of life of preschool children</w:t>
      </w:r>
      <w:r w:rsidRPr="004932C1">
        <w:rPr>
          <w:rFonts w:ascii="Times New Roman" w:hAnsi="Times New Roman" w:cs="Times New Roman"/>
          <w:i/>
          <w:sz w:val="20"/>
          <w:szCs w:val="20"/>
        </w:rPr>
        <w:t>. Community Dentistry and Oral Epidemiology, 39</w:t>
      </w:r>
      <w:r w:rsidRPr="004932C1">
        <w:rPr>
          <w:rFonts w:ascii="Times New Roman" w:hAnsi="Times New Roman" w:cs="Times New Roman"/>
          <w:sz w:val="20"/>
          <w:szCs w:val="20"/>
        </w:rPr>
        <w:t>, 105–114. doi: 10.1111/j.1600-0528.2010.00580.x</w:t>
      </w:r>
    </w:p>
  </w:footnote>
  <w:footnote w:id="92">
    <w:p w:rsidR="00887BBB" w:rsidRPr="004932C1" w:rsidRDefault="00887BBB" w:rsidP="009D4549">
      <w:pPr>
        <w:pStyle w:val="Default"/>
        <w:ind w:left="187" w:hanging="187"/>
        <w:rPr>
          <w:color w:val="auto"/>
          <w:sz w:val="22"/>
          <w:szCs w:val="22"/>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U.S. General Accounting Office. (2000). </w:t>
      </w:r>
      <w:r w:rsidRPr="004932C1">
        <w:rPr>
          <w:rFonts w:ascii="Times New Roman" w:hAnsi="Times New Roman" w:cs="Times New Roman"/>
          <w:i/>
          <w:iCs/>
          <w:color w:val="auto"/>
          <w:sz w:val="20"/>
          <w:szCs w:val="20"/>
        </w:rPr>
        <w:t xml:space="preserve">Oral Health: Dental Disease Is a Chronic Problem Among Low Income and Vulnerable Populations. </w:t>
      </w:r>
      <w:r w:rsidRPr="004932C1">
        <w:rPr>
          <w:rFonts w:ascii="Times New Roman" w:hAnsi="Times New Roman" w:cs="Times New Roman"/>
          <w:color w:val="auto"/>
          <w:sz w:val="20"/>
          <w:szCs w:val="20"/>
        </w:rPr>
        <w:t>Washington, DC: General Accounting Office.</w:t>
      </w:r>
      <w:r w:rsidRPr="004932C1">
        <w:rPr>
          <w:color w:val="auto"/>
          <w:sz w:val="20"/>
          <w:szCs w:val="20"/>
        </w:rPr>
        <w:t xml:space="preserve"> </w:t>
      </w:r>
    </w:p>
  </w:footnote>
  <w:footnote w:id="93">
    <w:p w:rsidR="00887BBB" w:rsidRPr="004932C1" w:rsidRDefault="00887BBB" w:rsidP="009D4549">
      <w:pPr>
        <w:autoSpaceDE w:val="0"/>
        <w:autoSpaceDN w:val="0"/>
        <w:adjustRightInd w:val="0"/>
        <w:spacing w:after="0" w:line="240" w:lineRule="auto"/>
        <w:ind w:left="187" w:hanging="187"/>
        <w:rPr>
          <w:rFonts w:ascii="Times New Roman" w:hAnsi="Times New Roman"/>
          <w:sz w:val="20"/>
          <w:szCs w:val="20"/>
        </w:rPr>
      </w:pPr>
      <w:r w:rsidRPr="004932C1">
        <w:rPr>
          <w:rStyle w:val="FootnoteReference"/>
          <w:rFonts w:ascii="Times New Roman" w:hAnsi="Times New Roman"/>
          <w:sz w:val="20"/>
          <w:szCs w:val="20"/>
        </w:rPr>
        <w:footnoteRef/>
      </w:r>
      <w:r w:rsidRPr="004932C1">
        <w:rPr>
          <w:rFonts w:ascii="Times New Roman" w:hAnsi="Times New Roman"/>
          <w:sz w:val="20"/>
          <w:szCs w:val="20"/>
        </w:rPr>
        <w:t xml:space="preserve"> Schechter N. 2000. The impact of acute and chronic dental pain on child development. </w:t>
      </w:r>
      <w:r w:rsidRPr="004932C1">
        <w:rPr>
          <w:rFonts w:ascii="Times New Roman" w:hAnsi="Times New Roman"/>
          <w:i/>
          <w:iCs/>
          <w:sz w:val="20"/>
          <w:szCs w:val="20"/>
        </w:rPr>
        <w:t xml:space="preserve">Journal of the Southeastern Society of Pediatric Dentistry </w:t>
      </w:r>
      <w:r w:rsidRPr="004932C1">
        <w:rPr>
          <w:rFonts w:ascii="Times New Roman" w:hAnsi="Times New Roman"/>
          <w:i/>
          <w:sz w:val="20"/>
          <w:szCs w:val="20"/>
        </w:rPr>
        <w:t>6</w:t>
      </w:r>
      <w:r w:rsidRPr="004932C1">
        <w:rPr>
          <w:rFonts w:ascii="Times New Roman" w:hAnsi="Times New Roman"/>
          <w:sz w:val="20"/>
          <w:szCs w:val="20"/>
        </w:rPr>
        <w:t xml:space="preserve">(2), 16. </w:t>
      </w:r>
    </w:p>
  </w:footnote>
  <w:footnote w:id="94">
    <w:p w:rsidR="00887BBB" w:rsidRPr="004932C1" w:rsidRDefault="00887BBB" w:rsidP="009D4549">
      <w:pPr>
        <w:autoSpaceDE w:val="0"/>
        <w:autoSpaceDN w:val="0"/>
        <w:adjustRightInd w:val="0"/>
        <w:spacing w:after="0" w:line="240" w:lineRule="auto"/>
        <w:ind w:left="187" w:hanging="187"/>
        <w:rPr>
          <w:rFonts w:ascii="Times New Roman" w:hAnsi="Times New Roman"/>
          <w:sz w:val="20"/>
          <w:szCs w:val="20"/>
        </w:rPr>
      </w:pPr>
      <w:r w:rsidRPr="004932C1">
        <w:rPr>
          <w:rStyle w:val="FootnoteReference"/>
          <w:rFonts w:ascii="Times New Roman" w:hAnsi="Times New Roman"/>
          <w:sz w:val="20"/>
          <w:szCs w:val="20"/>
        </w:rPr>
        <w:footnoteRef/>
      </w:r>
      <w:r w:rsidRPr="004932C1">
        <w:rPr>
          <w:rFonts w:ascii="Times New Roman" w:hAnsi="Times New Roman"/>
          <w:sz w:val="20"/>
          <w:szCs w:val="20"/>
        </w:rPr>
        <w:t xml:space="preserve"> Altarum Institute. 2007. Issue Brief: </w:t>
      </w:r>
      <w:r w:rsidRPr="004932C1">
        <w:rPr>
          <w:rFonts w:ascii="Times New Roman" w:hAnsi="Times New Roman"/>
          <w:i/>
          <w:iCs/>
          <w:sz w:val="20"/>
          <w:szCs w:val="20"/>
        </w:rPr>
        <w:t>Oral Health Is Critical to the School Readiness of Children in Washington, DC</w:t>
      </w:r>
      <w:r w:rsidRPr="004932C1">
        <w:rPr>
          <w:rFonts w:ascii="Times New Roman" w:hAnsi="Times New Roman"/>
          <w:sz w:val="20"/>
          <w:szCs w:val="20"/>
        </w:rPr>
        <w:t xml:space="preserve">. Washington, DC: Altarum Institute. </w:t>
      </w:r>
    </w:p>
  </w:footnote>
  <w:footnote w:id="95">
    <w:p w:rsidR="00887BBB" w:rsidRPr="004932C1" w:rsidRDefault="00887BBB" w:rsidP="009D4549">
      <w:pPr>
        <w:pStyle w:val="FootnoteText"/>
        <w:ind w:left="187" w:hanging="187"/>
        <w:rPr>
          <w:rFonts w:ascii="Times New Roman" w:hAnsi="Times New Roman"/>
          <w:sz w:val="20"/>
          <w:szCs w:val="20"/>
        </w:rPr>
      </w:pPr>
      <w:r w:rsidRPr="004932C1">
        <w:rPr>
          <w:rStyle w:val="FootnoteReference"/>
          <w:rFonts w:ascii="Times New Roman" w:hAnsi="Times New Roman"/>
          <w:sz w:val="20"/>
          <w:szCs w:val="20"/>
        </w:rPr>
        <w:footnoteRef/>
      </w:r>
      <w:r w:rsidRPr="004932C1">
        <w:rPr>
          <w:rFonts w:ascii="Times New Roman" w:hAnsi="Times New Roman"/>
          <w:sz w:val="20"/>
          <w:szCs w:val="20"/>
        </w:rPr>
        <w:t xml:space="preserve"> Brauner, C. B., &amp; Stephen, B. C. (2006). Estimating the prevalence of early childhood serious emotional/behavioral disorder</w:t>
      </w:r>
      <w:r w:rsidRPr="004932C1">
        <w:rPr>
          <w:rFonts w:ascii="Times New Roman" w:hAnsi="Times New Roman"/>
          <w:i/>
          <w:sz w:val="20"/>
          <w:szCs w:val="20"/>
        </w:rPr>
        <w:t>. Public Health Reports, 121</w:t>
      </w:r>
      <w:r w:rsidRPr="004932C1">
        <w:rPr>
          <w:rFonts w:ascii="Times New Roman" w:hAnsi="Times New Roman"/>
          <w:sz w:val="20"/>
          <w:szCs w:val="20"/>
        </w:rPr>
        <w:t xml:space="preserve">, 303–310.  </w:t>
      </w:r>
    </w:p>
  </w:footnote>
  <w:footnote w:id="96">
    <w:p w:rsidR="00887BBB" w:rsidRPr="004932C1" w:rsidRDefault="00887BBB" w:rsidP="009D4549">
      <w:pPr>
        <w:pStyle w:val="HTMLPreformatted"/>
        <w:ind w:left="187" w:hanging="187"/>
        <w:rPr>
          <w:rFonts w:ascii="Times New Roman" w:hAnsi="Times New Roman"/>
        </w:rPr>
      </w:pPr>
      <w:r w:rsidRPr="004932C1">
        <w:rPr>
          <w:rStyle w:val="FootnoteReference"/>
          <w:rFonts w:ascii="Times New Roman" w:eastAsiaTheme="majorEastAsia" w:hAnsi="Times New Roman"/>
        </w:rPr>
        <w:footnoteRef/>
      </w:r>
      <w:r w:rsidRPr="004932C1">
        <w:rPr>
          <w:rFonts w:ascii="Times New Roman" w:hAnsi="Times New Roman"/>
        </w:rPr>
        <w:t xml:space="preserve"> Gilliam, W.S., &amp; Golan, S. (2006). Preschool and child care expulsion and suspension: Rates and predictors in one state. </w:t>
      </w:r>
      <w:r w:rsidRPr="004932C1">
        <w:rPr>
          <w:rFonts w:ascii="Times New Roman" w:hAnsi="Times New Roman"/>
          <w:i/>
        </w:rPr>
        <w:t>Infants and Young Children, 19</w:t>
      </w:r>
      <w:r w:rsidRPr="004932C1">
        <w:rPr>
          <w:rFonts w:ascii="Times New Roman" w:hAnsi="Times New Roman"/>
        </w:rPr>
        <w:t>(3), 228-245.</w:t>
      </w:r>
    </w:p>
  </w:footnote>
  <w:footnote w:id="97">
    <w:p w:rsidR="00887BBB" w:rsidRPr="004932C1" w:rsidRDefault="00887BBB" w:rsidP="009D4549">
      <w:pPr>
        <w:spacing w:after="0" w:line="240" w:lineRule="auto"/>
        <w:ind w:left="187" w:hanging="187"/>
        <w:rPr>
          <w:rFonts w:ascii="Times New Roman" w:eastAsia="Times New Roman" w:hAnsi="Times New Roman"/>
        </w:rPr>
      </w:pPr>
      <w:r w:rsidRPr="004932C1">
        <w:rPr>
          <w:rStyle w:val="FootnoteReference"/>
          <w:rFonts w:ascii="Times New Roman" w:hAnsi="Times New Roman"/>
          <w:sz w:val="20"/>
          <w:szCs w:val="20"/>
        </w:rPr>
        <w:footnoteRef/>
      </w:r>
      <w:r w:rsidRPr="004932C1">
        <w:rPr>
          <w:rFonts w:ascii="Times New Roman" w:hAnsi="Times New Roman"/>
          <w:sz w:val="20"/>
          <w:szCs w:val="20"/>
        </w:rPr>
        <w:t xml:space="preserve"> Perry, D. F., Dunne, M. C., McFadden, L., &amp; Campbell, D. (2008). Reducing the risk for preschool expulsion: Mental health consultation for young children with challenging behaviors. </w:t>
      </w:r>
      <w:r w:rsidRPr="004932C1">
        <w:rPr>
          <w:rFonts w:ascii="Times New Roman" w:hAnsi="Times New Roman"/>
          <w:i/>
          <w:iCs/>
          <w:sz w:val="20"/>
          <w:szCs w:val="20"/>
        </w:rPr>
        <w:t>Journal of Child and Family Studies</w:t>
      </w:r>
      <w:r w:rsidRPr="004932C1">
        <w:rPr>
          <w:rFonts w:ascii="Times New Roman" w:hAnsi="Times New Roman"/>
          <w:sz w:val="20"/>
          <w:szCs w:val="20"/>
        </w:rPr>
        <w:t xml:space="preserve">, </w:t>
      </w:r>
      <w:r w:rsidRPr="004932C1">
        <w:rPr>
          <w:rFonts w:ascii="Times New Roman" w:hAnsi="Times New Roman"/>
          <w:i/>
          <w:iCs/>
          <w:sz w:val="20"/>
          <w:szCs w:val="20"/>
        </w:rPr>
        <w:t>17</w:t>
      </w:r>
      <w:r w:rsidRPr="004932C1">
        <w:rPr>
          <w:rFonts w:ascii="Times New Roman" w:hAnsi="Times New Roman"/>
          <w:sz w:val="20"/>
          <w:szCs w:val="20"/>
        </w:rPr>
        <w:t>(1), 44-54.</w:t>
      </w:r>
    </w:p>
  </w:footnote>
  <w:footnote w:id="98">
    <w:p w:rsidR="00887BBB" w:rsidRPr="004932C1" w:rsidRDefault="00887BBB" w:rsidP="009D4549">
      <w:pPr>
        <w:spacing w:after="0" w:line="240" w:lineRule="auto"/>
        <w:ind w:left="187" w:hanging="187"/>
        <w:rPr>
          <w:rFonts w:ascii="Times New Roman" w:eastAsia="Times New Roman" w:hAnsi="Times New Roman"/>
          <w:sz w:val="20"/>
          <w:szCs w:val="20"/>
        </w:rPr>
      </w:pPr>
      <w:r w:rsidRPr="004932C1">
        <w:rPr>
          <w:rStyle w:val="FootnoteReference"/>
          <w:rFonts w:ascii="Times New Roman" w:hAnsi="Times New Roman"/>
          <w:sz w:val="20"/>
          <w:szCs w:val="20"/>
        </w:rPr>
        <w:footnoteRef/>
      </w:r>
      <w:r w:rsidRPr="004932C1">
        <w:rPr>
          <w:rFonts w:ascii="Times New Roman" w:hAnsi="Times New Roman"/>
          <w:sz w:val="20"/>
          <w:szCs w:val="20"/>
        </w:rPr>
        <w:t xml:space="preserve"> Brennan, E. M., Bradley, J. R., Allen, M. D., &amp; Perry, D. F. (2008). The evidence base for mental health consultation in early childhood settings: Research synthesis addressing staff and program outcomes. </w:t>
      </w:r>
      <w:r w:rsidRPr="004932C1">
        <w:rPr>
          <w:rFonts w:ascii="Times New Roman" w:hAnsi="Times New Roman"/>
          <w:i/>
          <w:iCs/>
          <w:sz w:val="20"/>
          <w:szCs w:val="20"/>
        </w:rPr>
        <w:t>Early Education and Development</w:t>
      </w:r>
      <w:r w:rsidRPr="004932C1">
        <w:rPr>
          <w:rFonts w:ascii="Times New Roman" w:hAnsi="Times New Roman"/>
          <w:sz w:val="20"/>
          <w:szCs w:val="20"/>
        </w:rPr>
        <w:t xml:space="preserve">, </w:t>
      </w:r>
      <w:r w:rsidRPr="004932C1">
        <w:rPr>
          <w:rFonts w:ascii="Times New Roman" w:hAnsi="Times New Roman"/>
          <w:i/>
          <w:iCs/>
          <w:sz w:val="20"/>
          <w:szCs w:val="20"/>
        </w:rPr>
        <w:t>19</w:t>
      </w:r>
      <w:r w:rsidRPr="004932C1">
        <w:rPr>
          <w:rFonts w:ascii="Times New Roman" w:hAnsi="Times New Roman"/>
          <w:sz w:val="20"/>
          <w:szCs w:val="20"/>
        </w:rPr>
        <w:t>(6), 982-1022.</w:t>
      </w:r>
    </w:p>
  </w:footnote>
  <w:footnote w:id="99">
    <w:p w:rsidR="00887BBB" w:rsidRPr="004932C1" w:rsidRDefault="00887BBB" w:rsidP="009D4549">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Herman, A., &amp; Jackson, P. (2011). Empowering low-income parents with skills to reduce excess pediatric emergency room and clinic visits through a tailored low literacy training intervention.  </w:t>
      </w:r>
      <w:r w:rsidRPr="004932C1">
        <w:rPr>
          <w:rFonts w:ascii="Times New Roman" w:hAnsi="Times New Roman" w:cs="Times New Roman"/>
          <w:i/>
          <w:sz w:val="20"/>
          <w:szCs w:val="20"/>
        </w:rPr>
        <w:t>Journal of Health Communications, 15</w:t>
      </w:r>
      <w:r w:rsidRPr="004932C1">
        <w:rPr>
          <w:rFonts w:ascii="Times New Roman" w:hAnsi="Times New Roman" w:cs="Times New Roman"/>
          <w:sz w:val="20"/>
          <w:szCs w:val="20"/>
        </w:rPr>
        <w:t>(8), 895-910.</w:t>
      </w:r>
    </w:p>
  </w:footnote>
  <w:footnote w:id="100">
    <w:p w:rsidR="00887BBB" w:rsidRPr="004932C1" w:rsidRDefault="00887BBB" w:rsidP="009D4549">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Dewalt, D.A., &amp; Hink, A., (2009).  Health Literacy and Child Health Outcomes: A Systematic Review of the Literature.  </w:t>
      </w:r>
      <w:r w:rsidRPr="004932C1">
        <w:rPr>
          <w:rFonts w:ascii="Times New Roman" w:hAnsi="Times New Roman" w:cs="Times New Roman"/>
          <w:i/>
          <w:sz w:val="20"/>
          <w:szCs w:val="20"/>
        </w:rPr>
        <w:t>Pediatrics, 124</w:t>
      </w:r>
      <w:r w:rsidRPr="004932C1">
        <w:rPr>
          <w:rFonts w:ascii="Times New Roman" w:hAnsi="Times New Roman" w:cs="Times New Roman"/>
          <w:sz w:val="20"/>
          <w:szCs w:val="20"/>
        </w:rPr>
        <w:t>(3), 265-274.</w:t>
      </w:r>
    </w:p>
  </w:footnote>
  <w:footnote w:id="101">
    <w:p w:rsidR="00887BBB" w:rsidRDefault="00887BBB">
      <w:pPr>
        <w:pStyle w:val="FootnoteText"/>
      </w:pPr>
      <w:r w:rsidRPr="00AC521C">
        <w:rPr>
          <w:rStyle w:val="FootnoteReference"/>
        </w:rPr>
        <w:footnoteRef/>
      </w:r>
      <w:r w:rsidRPr="00AC521C">
        <w:t xml:space="preserve"> </w:t>
      </w:r>
      <w:r w:rsidRPr="00BB557F">
        <w:rPr>
          <w:rFonts w:ascii="Verdana" w:hAnsi="Verdana" w:cs="Arial"/>
          <w:color w:val="333333"/>
          <w:sz w:val="18"/>
          <w:szCs w:val="18"/>
        </w:rPr>
        <w:t xml:space="preserve"> </w:t>
      </w:r>
      <w:r>
        <w:rPr>
          <w:rFonts w:ascii="Verdana" w:hAnsi="Verdana" w:cs="Arial"/>
          <w:color w:val="333333"/>
          <w:sz w:val="18"/>
          <w:szCs w:val="18"/>
        </w:rPr>
        <w:t>https://eclkc.ohs.acf.hhs.gov/hslc/tta-system/health/docs/caring-for-our-children-basics.pdf</w:t>
      </w:r>
    </w:p>
  </w:footnote>
  <w:footnote w:id="102">
    <w:p w:rsidR="00887BBB" w:rsidRPr="004932C1" w:rsidRDefault="00887BBB" w:rsidP="00054083">
      <w:pPr>
        <w:spacing w:after="0" w:line="240" w:lineRule="auto"/>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eastAsia="Times New Roman" w:hAnsi="Times New Roman" w:cs="Times New Roman"/>
          <w:sz w:val="20"/>
          <w:szCs w:val="20"/>
        </w:rPr>
        <w:t xml:space="preserve"> Kingston, S., Huang, K. Y., Calzada, E., Dawson</w:t>
      </w:r>
      <w:r w:rsidRPr="004932C1">
        <w:rPr>
          <w:rFonts w:ascii="Cambria Math" w:eastAsia="Times New Roman" w:hAnsi="Cambria Math" w:cs="Cambria Math"/>
          <w:sz w:val="20"/>
          <w:szCs w:val="20"/>
        </w:rPr>
        <w:t>‐</w:t>
      </w:r>
      <w:r w:rsidRPr="004932C1">
        <w:rPr>
          <w:rFonts w:ascii="Times New Roman" w:eastAsia="Times New Roman" w:hAnsi="Times New Roman" w:cs="Times New Roman"/>
          <w:sz w:val="20"/>
          <w:szCs w:val="20"/>
        </w:rPr>
        <w:t xml:space="preserve">McClure, S., &amp; Brotman, L. (2013). Parent involvement in education as a moderator of family and neighborhood socioeconomic context on school readiness among young children. </w:t>
      </w:r>
      <w:r w:rsidRPr="004932C1">
        <w:rPr>
          <w:rFonts w:ascii="Times New Roman" w:eastAsia="Times New Roman" w:hAnsi="Times New Roman" w:cs="Times New Roman"/>
          <w:i/>
          <w:iCs/>
          <w:sz w:val="20"/>
          <w:szCs w:val="20"/>
        </w:rPr>
        <w:t>Journal of Community Psychology</w:t>
      </w:r>
      <w:r w:rsidRPr="004932C1">
        <w:rPr>
          <w:rFonts w:ascii="Times New Roman" w:eastAsia="Times New Roman" w:hAnsi="Times New Roman" w:cs="Times New Roman"/>
          <w:sz w:val="20"/>
          <w:szCs w:val="20"/>
        </w:rPr>
        <w:t xml:space="preserve">, </w:t>
      </w:r>
      <w:r w:rsidRPr="004932C1">
        <w:rPr>
          <w:rFonts w:ascii="Times New Roman" w:eastAsia="Times New Roman" w:hAnsi="Times New Roman" w:cs="Times New Roman"/>
          <w:i/>
          <w:iCs/>
          <w:sz w:val="20"/>
          <w:szCs w:val="20"/>
        </w:rPr>
        <w:t>41</w:t>
      </w:r>
      <w:r w:rsidRPr="004932C1">
        <w:rPr>
          <w:rFonts w:ascii="Times New Roman" w:eastAsia="Times New Roman" w:hAnsi="Times New Roman" w:cs="Times New Roman"/>
          <w:sz w:val="20"/>
          <w:szCs w:val="20"/>
        </w:rPr>
        <w:t>(3), 265-276.</w:t>
      </w:r>
      <w:r w:rsidRPr="004932C1">
        <w:rPr>
          <w:rFonts w:ascii="Times New Roman" w:hAnsi="Times New Roman" w:cs="Times New Roman"/>
          <w:sz w:val="20"/>
          <w:szCs w:val="20"/>
        </w:rPr>
        <w:t xml:space="preserve"> </w:t>
      </w:r>
    </w:p>
  </w:footnote>
  <w:footnote w:id="103">
    <w:p w:rsidR="00887BBB" w:rsidRPr="004932C1" w:rsidRDefault="00887BBB" w:rsidP="00054083">
      <w:pPr>
        <w:pStyle w:val="FootnoteText"/>
        <w:ind w:left="187" w:hanging="187"/>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 xml:space="preserve">Soltis, K., Davidson, T. M., Moreland, A., Felton, J., &amp; Dumas, J. E. (2015). Associations among parental stress, child competence, and school-readiness: Findings from the PACE study. </w:t>
      </w:r>
      <w:r w:rsidRPr="004932C1">
        <w:rPr>
          <w:rFonts w:ascii="Times New Roman" w:eastAsia="Times New Roman" w:hAnsi="Times New Roman" w:cs="Times New Roman"/>
          <w:i/>
          <w:iCs/>
          <w:sz w:val="20"/>
          <w:szCs w:val="20"/>
        </w:rPr>
        <w:t>Journal of child and family studies</w:t>
      </w:r>
      <w:r w:rsidRPr="004932C1">
        <w:rPr>
          <w:rFonts w:ascii="Times New Roman" w:eastAsia="Times New Roman" w:hAnsi="Times New Roman" w:cs="Times New Roman"/>
          <w:sz w:val="20"/>
          <w:szCs w:val="20"/>
        </w:rPr>
        <w:t xml:space="preserve">, </w:t>
      </w:r>
      <w:r w:rsidRPr="004932C1">
        <w:rPr>
          <w:rFonts w:ascii="Times New Roman" w:eastAsia="Times New Roman" w:hAnsi="Times New Roman" w:cs="Times New Roman"/>
          <w:i/>
          <w:iCs/>
          <w:sz w:val="20"/>
          <w:szCs w:val="20"/>
        </w:rPr>
        <w:t>24</w:t>
      </w:r>
      <w:r w:rsidRPr="004932C1">
        <w:rPr>
          <w:rFonts w:ascii="Times New Roman" w:eastAsia="Times New Roman" w:hAnsi="Times New Roman" w:cs="Times New Roman"/>
          <w:sz w:val="20"/>
          <w:szCs w:val="20"/>
        </w:rPr>
        <w:t>(3), 649-657.</w:t>
      </w:r>
    </w:p>
  </w:footnote>
  <w:footnote w:id="104">
    <w:p w:rsidR="00887BBB" w:rsidRPr="004932C1" w:rsidRDefault="00887BBB" w:rsidP="00054083">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Fantuzzo, J., McWayne, C., Perry, M. A., &amp; Childs, S. (2004). Multiple dimensions of family involvement and their relations to behavioral and learning competencies for urban, low-income children.</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School Psychology Review</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33</w:t>
      </w:r>
      <w:r w:rsidRPr="004932C1">
        <w:rPr>
          <w:rFonts w:ascii="Times New Roman" w:hAnsi="Times New Roman" w:cs="Times New Roman"/>
          <w:sz w:val="20"/>
          <w:szCs w:val="20"/>
          <w:shd w:val="clear" w:color="auto" w:fill="FFFFFF"/>
        </w:rPr>
        <w:t>(4), 467-480.</w:t>
      </w:r>
    </w:p>
  </w:footnote>
  <w:footnote w:id="105">
    <w:p w:rsidR="00887BBB" w:rsidRPr="004932C1" w:rsidRDefault="00887BBB" w:rsidP="00054083">
      <w:pPr>
        <w:spacing w:after="0" w:line="240" w:lineRule="auto"/>
        <w:ind w:left="187" w:hanging="187"/>
        <w:rPr>
          <w:rFonts w:ascii="Times New Roman" w:hAnsi="Times New Roman" w:cs="Times New Roman"/>
          <w:sz w:val="20"/>
          <w:szCs w:val="20"/>
          <w:shd w:val="clear" w:color="auto" w:fill="FFFFFF"/>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shd w:val="clear" w:color="auto" w:fill="FFFFFF"/>
        </w:rPr>
        <w:t>McWayne, C., Fantuzzo, J., Cohen, H. L., &amp; Sekino, Y. (2004). A multivariate examination of parent involvement and the social and academic competencies of urban kindergarten children.</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Psychology in the Schools</w:t>
      </w:r>
      <w:r w:rsidRPr="004932C1">
        <w:rPr>
          <w:rFonts w:ascii="Times New Roman" w:hAnsi="Times New Roman" w:cs="Times New Roman"/>
          <w:sz w:val="20"/>
          <w:szCs w:val="20"/>
          <w:shd w:val="clear" w:color="auto" w:fill="FFFFFF"/>
        </w:rPr>
        <w:t>,</w:t>
      </w:r>
      <w:r w:rsidRPr="004932C1">
        <w:rPr>
          <w:rStyle w:val="apple-converted-space"/>
          <w:rFonts w:ascii="Times New Roman" w:hAnsi="Times New Roman" w:cs="Times New Roman"/>
          <w:sz w:val="20"/>
          <w:szCs w:val="20"/>
          <w:shd w:val="clear" w:color="auto" w:fill="FFFFFF"/>
        </w:rPr>
        <w:t> </w:t>
      </w:r>
      <w:r w:rsidRPr="004932C1">
        <w:rPr>
          <w:rFonts w:ascii="Times New Roman" w:hAnsi="Times New Roman" w:cs="Times New Roman"/>
          <w:i/>
          <w:iCs/>
          <w:sz w:val="20"/>
          <w:szCs w:val="20"/>
          <w:shd w:val="clear" w:color="auto" w:fill="FFFFFF"/>
        </w:rPr>
        <w:t>41</w:t>
      </w:r>
      <w:r w:rsidRPr="004932C1">
        <w:rPr>
          <w:rFonts w:ascii="Times New Roman" w:hAnsi="Times New Roman" w:cs="Times New Roman"/>
          <w:sz w:val="20"/>
          <w:szCs w:val="20"/>
          <w:shd w:val="clear" w:color="auto" w:fill="FFFFFF"/>
        </w:rPr>
        <w:t>(3), 363-377.</w:t>
      </w:r>
    </w:p>
  </w:footnote>
  <w:footnote w:id="106">
    <w:p w:rsidR="00887BBB" w:rsidRPr="004932C1" w:rsidRDefault="00887BBB" w:rsidP="00054083">
      <w:pPr>
        <w:pStyle w:val="FootnoteText"/>
        <w:ind w:left="187" w:hanging="187"/>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Barnard, W. M. (2004). Parent involvement in elementary school and educational attainment. </w:t>
      </w:r>
      <w:r w:rsidRPr="004932C1">
        <w:rPr>
          <w:rFonts w:ascii="Times New Roman" w:hAnsi="Times New Roman" w:cs="Times New Roman"/>
          <w:i/>
          <w:sz w:val="20"/>
          <w:szCs w:val="20"/>
        </w:rPr>
        <w:t>Children and Youth Services Review, 26,</w:t>
      </w:r>
      <w:r w:rsidRPr="004932C1">
        <w:rPr>
          <w:rFonts w:ascii="Times New Roman" w:hAnsi="Times New Roman" w:cs="Times New Roman"/>
          <w:sz w:val="20"/>
          <w:szCs w:val="20"/>
        </w:rPr>
        <w:t xml:space="preserve"> 39-62.</w:t>
      </w:r>
    </w:p>
  </w:footnote>
  <w:footnote w:id="107">
    <w:p w:rsidR="00887BBB" w:rsidRPr="004932C1" w:rsidRDefault="00887BBB" w:rsidP="00054083">
      <w:pPr>
        <w:pStyle w:val="Body"/>
        <w:spacing w:after="0" w:line="240" w:lineRule="auto"/>
        <w:ind w:left="187" w:hanging="187"/>
        <w:rPr>
          <w:rFonts w:ascii="Times New Roman" w:hAnsi="Times New Roman" w:cs="Times New Roman"/>
          <w:bCs/>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w:t>
      </w:r>
      <w:r w:rsidRPr="004932C1">
        <w:rPr>
          <w:rFonts w:ascii="Times New Roman" w:hAnsi="Times New Roman" w:cs="Times New Roman"/>
          <w:bCs/>
          <w:color w:val="auto"/>
          <w:sz w:val="20"/>
          <w:szCs w:val="20"/>
        </w:rPr>
        <w:t xml:space="preserve">Olds, D.L., Henderson, Jr., C.R., Tatelbaum, R., &amp; Chamberlin, R. (1986) Improving the Delivery of Prenatal Care and Outcomes of Pregnancy: A randomized Trial of Nurse Home Visitation. </w:t>
      </w:r>
      <w:r w:rsidRPr="004932C1">
        <w:rPr>
          <w:rFonts w:ascii="Times New Roman" w:hAnsi="Times New Roman" w:cs="Times New Roman"/>
          <w:bCs/>
          <w:i/>
          <w:color w:val="auto"/>
          <w:sz w:val="20"/>
          <w:szCs w:val="20"/>
        </w:rPr>
        <w:t>Pediatrics, 77(1)</w:t>
      </w:r>
      <w:r w:rsidRPr="004932C1">
        <w:rPr>
          <w:rFonts w:ascii="Times New Roman" w:hAnsi="Times New Roman" w:cs="Times New Roman"/>
          <w:bCs/>
          <w:color w:val="auto"/>
          <w:sz w:val="20"/>
          <w:szCs w:val="20"/>
        </w:rPr>
        <w:t xml:space="preserve">, 16-28. </w:t>
      </w:r>
    </w:p>
  </w:footnote>
  <w:footnote w:id="108">
    <w:p w:rsidR="00887BBB" w:rsidRPr="004932C1" w:rsidRDefault="00887BBB" w:rsidP="00054083">
      <w:pPr>
        <w:pStyle w:val="Body"/>
        <w:spacing w:after="0" w:line="240" w:lineRule="auto"/>
        <w:ind w:left="187" w:hanging="187"/>
        <w:rPr>
          <w:rFonts w:ascii="Times New Roman" w:hAnsi="Times New Roman" w:cs="Times New Roman"/>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w:t>
      </w:r>
      <w:r w:rsidRPr="004932C1">
        <w:rPr>
          <w:rStyle w:val="slug-pages5"/>
          <w:rFonts w:ascii="Times New Roman" w:hAnsi="Times New Roman" w:cs="Times New Roman"/>
          <w:color w:val="auto"/>
          <w:sz w:val="20"/>
          <w:szCs w:val="20"/>
        </w:rPr>
        <w:t xml:space="preserve">Villar, J., Farnot, U., Barros, F., Victora, C., Langer, A., &amp; Belizan J.M. (1992) A Randomized Trial of Psychosocial Support during High Risk Pregnancies, </w:t>
      </w:r>
      <w:r w:rsidRPr="004932C1">
        <w:rPr>
          <w:rStyle w:val="slug-pages5"/>
          <w:rFonts w:ascii="Times New Roman" w:hAnsi="Times New Roman" w:cs="Times New Roman"/>
          <w:i/>
          <w:color w:val="auto"/>
          <w:sz w:val="20"/>
          <w:szCs w:val="20"/>
        </w:rPr>
        <w:t>The New England Journal of Medicine, 327(18),</w:t>
      </w:r>
      <w:r w:rsidRPr="004932C1">
        <w:rPr>
          <w:rStyle w:val="slug-pages5"/>
          <w:rFonts w:ascii="Times New Roman" w:hAnsi="Times New Roman" w:cs="Times New Roman"/>
          <w:color w:val="auto"/>
          <w:sz w:val="20"/>
          <w:szCs w:val="20"/>
        </w:rPr>
        <w:t xml:space="preserve"> 1266-1271.</w:t>
      </w:r>
    </w:p>
  </w:footnote>
  <w:footnote w:id="109">
    <w:p w:rsidR="00887BBB" w:rsidRPr="004932C1" w:rsidRDefault="00887BBB" w:rsidP="00054083">
      <w:pPr>
        <w:pStyle w:val="Body"/>
        <w:spacing w:after="0" w:line="240" w:lineRule="auto"/>
        <w:ind w:left="187" w:hanging="187"/>
        <w:rPr>
          <w:rFonts w:ascii="Times New Roman" w:hAnsi="Times New Roman" w:cs="Times New Roman"/>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w:t>
      </w:r>
      <w:r w:rsidRPr="004932C1">
        <w:rPr>
          <w:rStyle w:val="slug-pages5"/>
          <w:rFonts w:ascii="Times New Roman" w:hAnsi="Times New Roman" w:cs="Times New Roman"/>
          <w:color w:val="auto"/>
          <w:sz w:val="20"/>
          <w:szCs w:val="20"/>
        </w:rPr>
        <w:t xml:space="preserve">Olds, D.L., &amp; Kitzman, H. (1993). Review of Research on Home Visiting for Pregnant Women and Parents of Young Children.  </w:t>
      </w:r>
      <w:r w:rsidRPr="004932C1">
        <w:rPr>
          <w:rStyle w:val="slug-pages5"/>
          <w:rFonts w:ascii="Times New Roman" w:hAnsi="Times New Roman" w:cs="Times New Roman"/>
          <w:i/>
          <w:color w:val="auto"/>
          <w:sz w:val="20"/>
          <w:szCs w:val="20"/>
        </w:rPr>
        <w:t>The Future of Children, 3(3),</w:t>
      </w:r>
      <w:r w:rsidRPr="004932C1">
        <w:rPr>
          <w:rStyle w:val="slug-pages5"/>
          <w:rFonts w:ascii="Times New Roman" w:hAnsi="Times New Roman" w:cs="Times New Roman"/>
          <w:color w:val="auto"/>
          <w:sz w:val="20"/>
          <w:szCs w:val="20"/>
        </w:rPr>
        <w:t xml:space="preserve"> 53-92. </w:t>
      </w:r>
    </w:p>
  </w:footnote>
  <w:footnote w:id="110">
    <w:p w:rsidR="00887BBB" w:rsidRPr="004932C1" w:rsidRDefault="00887BBB" w:rsidP="00054083">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slug-pages5"/>
          <w:rFonts w:ascii="Times New Roman" w:hAnsi="Times New Roman" w:cs="Times New Roman"/>
          <w:sz w:val="20"/>
          <w:szCs w:val="20"/>
        </w:rPr>
        <w:t xml:space="preserve">McLiaghlin, F.J., Altemeier, W.A., Christensen, M.J., Sherrod, K.B., Dietrich, M.S., &amp; Stern, D.T. (1992). Randomized Trial of Comprehensive Prenatal Care for Low-Income Women: Effect on Infant Birth Weight. </w:t>
      </w:r>
      <w:r w:rsidRPr="004932C1">
        <w:rPr>
          <w:rStyle w:val="slug-pages5"/>
          <w:rFonts w:ascii="Times New Roman" w:hAnsi="Times New Roman" w:cs="Times New Roman"/>
          <w:i/>
          <w:sz w:val="20"/>
          <w:szCs w:val="20"/>
        </w:rPr>
        <w:t>Pediatrics, 89(1),</w:t>
      </w:r>
      <w:r w:rsidRPr="004932C1">
        <w:rPr>
          <w:rStyle w:val="slug-pages5"/>
          <w:rFonts w:ascii="Times New Roman" w:hAnsi="Times New Roman" w:cs="Times New Roman"/>
          <w:sz w:val="20"/>
          <w:szCs w:val="20"/>
        </w:rPr>
        <w:t xml:space="preserve"> 128-132.</w:t>
      </w:r>
    </w:p>
  </w:footnote>
  <w:footnote w:id="111">
    <w:p w:rsidR="00887BBB" w:rsidRPr="004932C1" w:rsidRDefault="00887BBB" w:rsidP="00054083">
      <w:pPr>
        <w:pStyle w:val="Body"/>
        <w:spacing w:after="0" w:line="240" w:lineRule="auto"/>
        <w:ind w:left="187" w:hanging="187"/>
        <w:rPr>
          <w:rFonts w:ascii="Times New Roman" w:hAnsi="Times New Roman" w:cs="Times New Roman"/>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w:t>
      </w:r>
      <w:r w:rsidRPr="004932C1">
        <w:rPr>
          <w:rStyle w:val="slug-pages5"/>
          <w:rFonts w:ascii="Times New Roman" w:hAnsi="Times New Roman" w:cs="Times New Roman"/>
          <w:color w:val="auto"/>
          <w:sz w:val="20"/>
          <w:szCs w:val="20"/>
        </w:rPr>
        <w:t xml:space="preserve">Alexander, G.R., &amp; Korenbrot, C.C. (1995). The Role of Prenatal Care in Preventing Low Birth Weight.  </w:t>
      </w:r>
      <w:r w:rsidRPr="004932C1">
        <w:rPr>
          <w:rStyle w:val="slug-pages5"/>
          <w:rFonts w:ascii="Times New Roman" w:hAnsi="Times New Roman" w:cs="Times New Roman"/>
          <w:i/>
          <w:color w:val="auto"/>
          <w:sz w:val="20"/>
          <w:szCs w:val="20"/>
        </w:rPr>
        <w:t>The Future of Children, 5(1),</w:t>
      </w:r>
      <w:r w:rsidRPr="004932C1">
        <w:rPr>
          <w:rStyle w:val="slug-pages5"/>
          <w:rFonts w:ascii="Times New Roman" w:hAnsi="Times New Roman" w:cs="Times New Roman"/>
          <w:color w:val="auto"/>
          <w:sz w:val="20"/>
          <w:szCs w:val="20"/>
        </w:rPr>
        <w:t xml:space="preserve"> 103-120. </w:t>
      </w:r>
    </w:p>
  </w:footnote>
  <w:footnote w:id="112">
    <w:p w:rsidR="00887BBB" w:rsidRPr="004932C1" w:rsidRDefault="00887BBB" w:rsidP="00054083">
      <w:pPr>
        <w:pStyle w:val="Body"/>
        <w:spacing w:after="0" w:line="240" w:lineRule="auto"/>
        <w:ind w:left="187" w:hanging="187"/>
        <w:rPr>
          <w:rFonts w:ascii="Times New Roman" w:hAnsi="Times New Roman" w:cs="Times New Roman"/>
          <w:bCs/>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w:t>
      </w:r>
      <w:r w:rsidRPr="004932C1">
        <w:rPr>
          <w:rFonts w:ascii="Times New Roman" w:hAnsi="Times New Roman" w:cs="Times New Roman"/>
          <w:bCs/>
          <w:color w:val="auto"/>
          <w:sz w:val="20"/>
          <w:szCs w:val="20"/>
        </w:rPr>
        <w:t xml:space="preserve">Larson, C. P. (1980). Efficacy of Prenatal and Postpartum Home Visits on Child Health and Development. </w:t>
      </w:r>
      <w:r w:rsidRPr="004932C1">
        <w:rPr>
          <w:rFonts w:ascii="Times New Roman" w:hAnsi="Times New Roman" w:cs="Times New Roman"/>
          <w:bCs/>
          <w:i/>
          <w:color w:val="auto"/>
          <w:sz w:val="20"/>
          <w:szCs w:val="20"/>
        </w:rPr>
        <w:t>Pediatrics, 66(2),</w:t>
      </w:r>
      <w:r w:rsidRPr="004932C1">
        <w:rPr>
          <w:rFonts w:ascii="Times New Roman" w:hAnsi="Times New Roman" w:cs="Times New Roman"/>
          <w:bCs/>
          <w:color w:val="auto"/>
          <w:sz w:val="20"/>
          <w:szCs w:val="20"/>
        </w:rPr>
        <w:t xml:space="preserve"> 191-197.</w:t>
      </w:r>
    </w:p>
  </w:footnote>
  <w:footnote w:id="113">
    <w:p w:rsidR="00887BBB" w:rsidRPr="004932C1" w:rsidRDefault="00887BBB" w:rsidP="00054083">
      <w:pPr>
        <w:shd w:val="clear" w:color="auto" w:fill="FFFFFF"/>
        <w:tabs>
          <w:tab w:val="left" w:pos="0"/>
        </w:tabs>
        <w:spacing w:after="0" w:line="240" w:lineRule="auto"/>
        <w:ind w:left="187" w:hanging="187"/>
        <w:outlineLvl w:val="1"/>
        <w:rPr>
          <w:rFonts w:ascii="Times New Roman" w:hAnsi="Times New Roman" w:cs="Times New Roman"/>
          <w:bCs/>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bCs/>
          <w:sz w:val="20"/>
          <w:szCs w:val="20"/>
        </w:rPr>
        <w:t xml:space="preserve">Olds, D.L., Henderson, Jr., C.R., &amp; Kitzman, H. (1994). Does Prenatal and Infancy Nurse Home Visitation have Enduring Effects on Qualities of Parental Caregiving and Child Health at 25 to 50 Months of Life? </w:t>
      </w:r>
      <w:r w:rsidRPr="004932C1">
        <w:rPr>
          <w:rFonts w:ascii="Times New Roman" w:hAnsi="Times New Roman" w:cs="Times New Roman"/>
          <w:bCs/>
          <w:i/>
          <w:sz w:val="20"/>
          <w:szCs w:val="20"/>
        </w:rPr>
        <w:t>Pediatrics, 93(1),</w:t>
      </w:r>
      <w:r w:rsidRPr="004932C1">
        <w:rPr>
          <w:rFonts w:ascii="Times New Roman" w:hAnsi="Times New Roman" w:cs="Times New Roman"/>
          <w:bCs/>
          <w:sz w:val="20"/>
          <w:szCs w:val="20"/>
        </w:rPr>
        <w:t xml:space="preserve"> 89-98.</w:t>
      </w:r>
    </w:p>
  </w:footnote>
  <w:footnote w:id="114">
    <w:p w:rsidR="00887BBB" w:rsidRPr="004932C1" w:rsidRDefault="00887BBB" w:rsidP="00054083">
      <w:pPr>
        <w:pStyle w:val="Body"/>
        <w:spacing w:after="0" w:line="240" w:lineRule="auto"/>
        <w:ind w:left="187" w:hanging="187"/>
        <w:rPr>
          <w:rFonts w:ascii="Times New Roman" w:hAnsi="Times New Roman" w:cs="Times New Roman"/>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w:t>
      </w:r>
      <w:r w:rsidRPr="004932C1">
        <w:rPr>
          <w:rStyle w:val="slug-pages5"/>
          <w:rFonts w:ascii="Times New Roman" w:hAnsi="Times New Roman" w:cs="Times New Roman"/>
          <w:color w:val="auto"/>
          <w:sz w:val="20"/>
          <w:szCs w:val="20"/>
        </w:rPr>
        <w:t xml:space="preserve">Olds, D.L., &amp; Kitzman, H. (1990). Can Home Visitation Improve the Health of Women and Children at Environmental Risk? </w:t>
      </w:r>
      <w:r w:rsidRPr="004932C1">
        <w:rPr>
          <w:rStyle w:val="slug-pages5"/>
          <w:rFonts w:ascii="Times New Roman" w:hAnsi="Times New Roman" w:cs="Times New Roman"/>
          <w:i/>
          <w:color w:val="auto"/>
          <w:sz w:val="20"/>
          <w:szCs w:val="20"/>
        </w:rPr>
        <w:t>Pediatrics, 86(1),</w:t>
      </w:r>
      <w:r w:rsidRPr="004932C1">
        <w:rPr>
          <w:rStyle w:val="slug-pages5"/>
          <w:rFonts w:ascii="Times New Roman" w:hAnsi="Times New Roman" w:cs="Times New Roman"/>
          <w:color w:val="auto"/>
          <w:sz w:val="20"/>
          <w:szCs w:val="20"/>
        </w:rPr>
        <w:t xml:space="preserve"> 108-116. </w:t>
      </w:r>
    </w:p>
  </w:footnote>
  <w:footnote w:id="115">
    <w:p w:rsidR="00887BBB" w:rsidRPr="004932C1" w:rsidRDefault="00887BBB" w:rsidP="00054083">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Hack, M. Klein, N.K., &amp; Taylor, H.G. (1995). Long-term Developmental Outcomes of Low Birth Weight Infants. The </w:t>
      </w:r>
      <w:r w:rsidRPr="004932C1">
        <w:rPr>
          <w:rFonts w:ascii="Times New Roman" w:hAnsi="Times New Roman" w:cs="Times New Roman"/>
          <w:i/>
          <w:sz w:val="20"/>
          <w:szCs w:val="20"/>
        </w:rPr>
        <w:t>Future of Children, 5(1),</w:t>
      </w:r>
      <w:r w:rsidRPr="004932C1">
        <w:rPr>
          <w:rFonts w:ascii="Times New Roman" w:hAnsi="Times New Roman" w:cs="Times New Roman"/>
          <w:sz w:val="20"/>
          <w:szCs w:val="20"/>
        </w:rPr>
        <w:t xml:space="preserve"> 176-196. </w:t>
      </w:r>
    </w:p>
  </w:footnote>
  <w:footnote w:id="116">
    <w:p w:rsidR="00887BBB" w:rsidRPr="004932C1" w:rsidRDefault="00887BBB" w:rsidP="00054083">
      <w:pPr>
        <w:pStyle w:val="FootnoteText"/>
        <w:ind w:left="187" w:hanging="187"/>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Reichman, N. E. (2005). Low birth weight and school readiness. </w:t>
      </w:r>
      <w:r w:rsidRPr="004932C1">
        <w:rPr>
          <w:rFonts w:ascii="Times New Roman" w:hAnsi="Times New Roman" w:cs="Times New Roman"/>
          <w:i/>
          <w:sz w:val="20"/>
          <w:szCs w:val="20"/>
        </w:rPr>
        <w:t>The Future of Children</w:t>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15</w:t>
      </w:r>
      <w:r w:rsidRPr="004932C1">
        <w:rPr>
          <w:rFonts w:ascii="Times New Roman" w:hAnsi="Times New Roman" w:cs="Times New Roman"/>
          <w:sz w:val="20"/>
          <w:szCs w:val="20"/>
        </w:rPr>
        <w:t>(1), 91-116.</w:t>
      </w:r>
    </w:p>
  </w:footnote>
  <w:footnote w:id="117">
    <w:p w:rsidR="00887BBB" w:rsidRPr="004932C1" w:rsidRDefault="00887BBB" w:rsidP="004932C1">
      <w:pPr>
        <w:pStyle w:val="FootnoteText"/>
        <w:ind w:left="270" w:hanging="27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lang w:val="en"/>
        </w:rPr>
        <w:t>Marquis, M. &amp; Long, S. (2002).</w:t>
      </w:r>
      <w:r w:rsidRPr="004932C1">
        <w:rPr>
          <w:rFonts w:ascii="Times New Roman" w:hAnsi="Times New Roman" w:cs="Times New Roman"/>
          <w:i/>
          <w:iCs/>
          <w:sz w:val="20"/>
          <w:szCs w:val="20"/>
          <w:lang w:val="en"/>
        </w:rPr>
        <w:t xml:space="preserve"> </w:t>
      </w:r>
      <w:r w:rsidRPr="004932C1">
        <w:rPr>
          <w:rFonts w:ascii="Times New Roman" w:hAnsi="Times New Roman" w:cs="Times New Roman"/>
          <w:sz w:val="20"/>
          <w:szCs w:val="20"/>
          <w:lang w:val="en"/>
        </w:rPr>
        <w:t>The role of public insurance and the public delivery system in improving birth outcomes for low-income pregnant women.</w:t>
      </w:r>
      <w:r w:rsidRPr="004932C1">
        <w:rPr>
          <w:rFonts w:ascii="Times New Roman" w:hAnsi="Times New Roman" w:cs="Times New Roman"/>
          <w:i/>
          <w:iCs/>
          <w:sz w:val="20"/>
          <w:szCs w:val="20"/>
          <w:lang w:val="en"/>
        </w:rPr>
        <w:t xml:space="preserve"> Medical Care (40</w:t>
      </w:r>
      <w:r w:rsidRPr="004932C1">
        <w:rPr>
          <w:rFonts w:ascii="Times New Roman" w:hAnsi="Times New Roman" w:cs="Times New Roman"/>
          <w:b/>
          <w:bCs/>
          <w:i/>
          <w:iCs/>
          <w:sz w:val="20"/>
          <w:szCs w:val="20"/>
          <w:lang w:val="en"/>
        </w:rPr>
        <w:t>)</w:t>
      </w:r>
      <w:r w:rsidRPr="004932C1">
        <w:rPr>
          <w:rFonts w:ascii="Times New Roman" w:hAnsi="Times New Roman" w:cs="Times New Roman"/>
          <w:i/>
          <w:iCs/>
          <w:sz w:val="20"/>
          <w:szCs w:val="20"/>
          <w:lang w:val="en"/>
        </w:rPr>
        <w:t xml:space="preserve">, </w:t>
      </w:r>
      <w:r w:rsidRPr="004932C1">
        <w:rPr>
          <w:rFonts w:ascii="Times New Roman" w:hAnsi="Times New Roman" w:cs="Times New Roman"/>
          <w:sz w:val="20"/>
          <w:szCs w:val="20"/>
          <w:lang w:val="en"/>
        </w:rPr>
        <w:t>1048–1059.</w:t>
      </w:r>
    </w:p>
  </w:footnote>
  <w:footnote w:id="118">
    <w:p w:rsidR="00887BBB" w:rsidRPr="004932C1" w:rsidRDefault="00887BBB" w:rsidP="004932C1">
      <w:pPr>
        <w:spacing w:after="0" w:line="240" w:lineRule="auto"/>
        <w:ind w:left="270" w:hanging="270"/>
        <w:rPr>
          <w:rFonts w:ascii="Times New Roman" w:hAnsi="Times New Roman" w:cs="Times New Roman"/>
          <w:i/>
          <w:iCs/>
          <w:sz w:val="20"/>
          <w:szCs w:val="20"/>
          <w:lang w:val="en"/>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sz w:val="20"/>
          <w:szCs w:val="20"/>
          <w:lang w:val="en"/>
        </w:rPr>
        <w:t>Howell, E. (2001).</w:t>
      </w:r>
      <w:r w:rsidRPr="004932C1">
        <w:rPr>
          <w:rFonts w:ascii="Times New Roman" w:hAnsi="Times New Roman" w:cs="Times New Roman"/>
          <w:i/>
          <w:iCs/>
          <w:sz w:val="20"/>
          <w:szCs w:val="20"/>
          <w:lang w:val="en"/>
        </w:rPr>
        <w:t xml:space="preserve"> </w:t>
      </w:r>
      <w:r w:rsidRPr="004932C1">
        <w:rPr>
          <w:rFonts w:ascii="Times New Roman" w:hAnsi="Times New Roman" w:cs="Times New Roman"/>
          <w:sz w:val="20"/>
          <w:szCs w:val="20"/>
          <w:lang w:val="en"/>
        </w:rPr>
        <w:t>The Impact of the Medicaid expansions for pregnant women: A synthesis of the evidence.</w:t>
      </w:r>
      <w:r w:rsidRPr="004932C1">
        <w:rPr>
          <w:rFonts w:ascii="Times New Roman" w:hAnsi="Times New Roman" w:cs="Times New Roman"/>
          <w:i/>
          <w:iCs/>
          <w:sz w:val="20"/>
          <w:szCs w:val="20"/>
          <w:lang w:val="en"/>
        </w:rPr>
        <w:t xml:space="preserve"> Medical Care Research Review,(58) </w:t>
      </w:r>
      <w:r w:rsidRPr="004932C1">
        <w:rPr>
          <w:rFonts w:ascii="Times New Roman" w:hAnsi="Times New Roman" w:cs="Times New Roman"/>
          <w:sz w:val="20"/>
          <w:szCs w:val="20"/>
          <w:lang w:val="en"/>
        </w:rPr>
        <w:t>3–30.</w:t>
      </w:r>
      <w:r w:rsidRPr="004932C1">
        <w:rPr>
          <w:rFonts w:ascii="Times New Roman" w:hAnsi="Times New Roman" w:cs="Times New Roman"/>
          <w:i/>
          <w:iCs/>
          <w:sz w:val="20"/>
          <w:szCs w:val="20"/>
          <w:lang w:val="en"/>
        </w:rPr>
        <w:t xml:space="preserve"> </w:t>
      </w:r>
    </w:p>
  </w:footnote>
  <w:footnote w:id="119">
    <w:p w:rsidR="00887BBB" w:rsidRPr="004932C1" w:rsidRDefault="00887BBB" w:rsidP="004932C1">
      <w:pPr>
        <w:spacing w:after="0" w:line="240" w:lineRule="auto"/>
        <w:ind w:left="270" w:hanging="27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Phillippi, J. C. (2009). Women's perceptions of access to prenatal care in the United States: A literature review. </w:t>
      </w:r>
      <w:r w:rsidRPr="004932C1">
        <w:rPr>
          <w:rFonts w:ascii="Times New Roman" w:hAnsi="Times New Roman" w:cs="Times New Roman"/>
          <w:i/>
          <w:iCs/>
          <w:sz w:val="20"/>
          <w:szCs w:val="20"/>
        </w:rPr>
        <w:t>Journal of Midwifery &amp; Women’s Health</w:t>
      </w:r>
      <w:r w:rsidRPr="004932C1">
        <w:rPr>
          <w:rFonts w:ascii="Times New Roman" w:hAnsi="Times New Roman" w:cs="Times New Roman"/>
          <w:sz w:val="20"/>
          <w:szCs w:val="20"/>
        </w:rPr>
        <w:t xml:space="preserve">, </w:t>
      </w:r>
      <w:r w:rsidRPr="004932C1">
        <w:rPr>
          <w:rFonts w:ascii="Times New Roman" w:hAnsi="Times New Roman" w:cs="Times New Roman"/>
          <w:i/>
          <w:iCs/>
          <w:sz w:val="20"/>
          <w:szCs w:val="20"/>
        </w:rPr>
        <w:t>54</w:t>
      </w:r>
      <w:r w:rsidRPr="004932C1">
        <w:rPr>
          <w:rFonts w:ascii="Times New Roman" w:hAnsi="Times New Roman" w:cs="Times New Roman"/>
          <w:sz w:val="20"/>
          <w:szCs w:val="20"/>
        </w:rPr>
        <w:t>(3), 219-225.</w:t>
      </w:r>
    </w:p>
  </w:footnote>
  <w:footnote w:id="120">
    <w:p w:rsidR="00887BBB" w:rsidRPr="004932C1" w:rsidRDefault="00887BBB" w:rsidP="007862E2">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See</w:t>
      </w:r>
      <w:r w:rsidRPr="004932C1">
        <w:rPr>
          <w:rFonts w:ascii="Times New Roman" w:hAnsi="Times New Roman" w:cs="Times New Roman"/>
          <w:sz w:val="20"/>
          <w:szCs w:val="20"/>
        </w:rPr>
        <w:t xml:space="preserve"> </w:t>
      </w:r>
      <w:r w:rsidRPr="00001E53">
        <w:rPr>
          <w:rFonts w:ascii="Times New Roman" w:hAnsi="Times New Roman" w:cs="Times New Roman"/>
          <w:sz w:val="20"/>
          <w:szCs w:val="20"/>
        </w:rPr>
        <w:t>www.eeoc.gov/facts/age.html</w:t>
      </w:r>
      <w:r w:rsidRPr="004932C1">
        <w:rPr>
          <w:rFonts w:ascii="Times New Roman" w:hAnsi="Times New Roman" w:cs="Times New Roman"/>
          <w:sz w:val="20"/>
          <w:szCs w:val="20"/>
        </w:rPr>
        <w:t xml:space="preserve"> for more facts about age discrimination.</w:t>
      </w:r>
    </w:p>
  </w:footnote>
  <w:footnote w:id="121">
    <w:p w:rsidR="00887BBB" w:rsidRPr="004932C1" w:rsidRDefault="00887BBB" w:rsidP="002646D8">
      <w:pPr>
        <w:pStyle w:val="FootnoteText"/>
        <w:rPr>
          <w:rFonts w:ascii="Times New Roman" w:hAnsi="Times New Roman" w:cs="Times New Roman"/>
        </w:rPr>
      </w:pPr>
      <w:r w:rsidRPr="004932C1">
        <w:rPr>
          <w:rStyle w:val="FootnoteReference"/>
          <w:rFonts w:ascii="Times New Roman" w:hAnsi="Times New Roman" w:cs="Times New Roman"/>
          <w:sz w:val="22"/>
        </w:rPr>
        <w:footnoteRef/>
      </w:r>
      <w:r w:rsidRPr="004932C1">
        <w:rPr>
          <w:rFonts w:ascii="Times New Roman" w:hAnsi="Times New Roman" w:cs="Times New Roman"/>
          <w:sz w:val="22"/>
        </w:rPr>
        <w:t xml:space="preserve"> </w:t>
      </w:r>
      <w:r w:rsidRPr="004932C1">
        <w:rPr>
          <w:rFonts w:ascii="Times New Roman" w:hAnsi="Times New Roman" w:cs="Times New Roman"/>
          <w:sz w:val="20"/>
        </w:rPr>
        <w:t>Institute of Medicine (IOM) and National Research Council (NRC). 2015. Transforming the workforce for children birth through age 8: A unifying foundation. Washington, DC: The National Academies Press.</w:t>
      </w:r>
    </w:p>
  </w:footnote>
  <w:footnote w:id="122">
    <w:p w:rsidR="00887BBB" w:rsidRPr="004932C1" w:rsidRDefault="00887BBB">
      <w:pPr>
        <w:pStyle w:val="FootnoteText"/>
      </w:pPr>
      <w:r w:rsidRPr="004932C1">
        <w:rPr>
          <w:rStyle w:val="FootnoteReference"/>
        </w:rPr>
        <w:footnoteRef/>
      </w:r>
      <w:r w:rsidRPr="004932C1">
        <w:t xml:space="preserve"> </w:t>
      </w:r>
      <w:r w:rsidRPr="004932C1">
        <w:rPr>
          <w:rFonts w:ascii="Times New Roman" w:hAnsi="Times New Roman" w:cs="Times New Roman"/>
          <w:sz w:val="20"/>
        </w:rPr>
        <w:t>Ibid.</w:t>
      </w:r>
    </w:p>
  </w:footnote>
  <w:footnote w:id="123">
    <w:p w:rsidR="00887BBB" w:rsidRPr="004932C1" w:rsidRDefault="00887BBB" w:rsidP="007862E2">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001E53">
        <w:rPr>
          <w:rFonts w:ascii="Times New Roman" w:hAnsi="Times New Roman" w:cs="Times New Roman"/>
          <w:sz w:val="20"/>
          <w:szCs w:val="20"/>
        </w:rPr>
        <w:t>http://eclkc.ohs.acf.hhs.gov/hslc/tta-system/pd/pds/Mentoring/edudev_art_00050_081105.html</w:t>
      </w:r>
    </w:p>
  </w:footnote>
  <w:footnote w:id="124">
    <w:p w:rsidR="00887BBB" w:rsidRPr="004932C1" w:rsidRDefault="00887BBB" w:rsidP="00331A7B">
      <w:pPr>
        <w:pStyle w:val="FootnoteText"/>
        <w:rPr>
          <w:rFonts w:ascii="Times New Roman" w:hAnsi="Times New Roman"/>
          <w:sz w:val="20"/>
          <w:szCs w:val="20"/>
        </w:rPr>
      </w:pPr>
      <w:r w:rsidRPr="004932C1">
        <w:rPr>
          <w:rStyle w:val="FootnoteReference"/>
          <w:rFonts w:ascii="Times New Roman" w:hAnsi="Times New Roman"/>
          <w:sz w:val="20"/>
          <w:szCs w:val="20"/>
        </w:rPr>
        <w:footnoteRef/>
      </w:r>
      <w:r w:rsidRPr="004932C1">
        <w:rPr>
          <w:rFonts w:ascii="Times New Roman" w:hAnsi="Times New Roman"/>
          <w:sz w:val="20"/>
          <w:szCs w:val="20"/>
        </w:rPr>
        <w:t xml:space="preserve"> </w:t>
      </w:r>
      <w:r w:rsidRPr="004932C1">
        <w:rPr>
          <w:rFonts w:ascii="Times New Roman" w:hAnsi="Times New Roman" w:cs="Times New Roman"/>
          <w:sz w:val="20"/>
          <w:szCs w:val="20"/>
        </w:rPr>
        <w:t>5 U.S.C. 605(b).</w:t>
      </w:r>
    </w:p>
  </w:footnote>
  <w:footnote w:id="125">
    <w:p w:rsidR="00887BBB" w:rsidRPr="004932C1" w:rsidRDefault="00887BBB" w:rsidP="00331A7B">
      <w:pPr>
        <w:pStyle w:val="FootnoteText"/>
        <w:rPr>
          <w:sz w:val="20"/>
          <w:szCs w:val="20"/>
        </w:rPr>
      </w:pPr>
      <w:r w:rsidRPr="004932C1">
        <w:rPr>
          <w:rStyle w:val="FootnoteReference"/>
          <w:sz w:val="20"/>
          <w:szCs w:val="20"/>
        </w:rPr>
        <w:footnoteRef/>
      </w:r>
      <w:r w:rsidRPr="004932C1">
        <w:rPr>
          <w:sz w:val="20"/>
          <w:szCs w:val="20"/>
        </w:rPr>
        <w:t xml:space="preserve"> </w:t>
      </w:r>
      <w:r w:rsidRPr="004932C1">
        <w:rPr>
          <w:rFonts w:ascii="Times New Roman" w:hAnsi="Times New Roman" w:cs="Times New Roman"/>
          <w:sz w:val="20"/>
          <w:szCs w:val="20"/>
        </w:rPr>
        <w:t>42 U.S.C. 9801</w:t>
      </w:r>
    </w:p>
  </w:footnote>
  <w:footnote w:id="126">
    <w:p w:rsidR="00887BBB" w:rsidRPr="004932C1" w:rsidRDefault="00887BBB" w:rsidP="00331A7B">
      <w:pPr>
        <w:pStyle w:val="FootnoteText"/>
        <w:rPr>
          <w:sz w:val="20"/>
          <w:szCs w:val="20"/>
        </w:rPr>
      </w:pPr>
      <w:r w:rsidRPr="004932C1">
        <w:rPr>
          <w:rStyle w:val="FootnoteReference"/>
          <w:sz w:val="20"/>
          <w:szCs w:val="20"/>
        </w:rPr>
        <w:footnoteRef/>
      </w:r>
      <w:r w:rsidRPr="004932C1">
        <w:rPr>
          <w:sz w:val="20"/>
          <w:szCs w:val="20"/>
        </w:rPr>
        <w:t xml:space="preserve"> </w:t>
      </w:r>
      <w:r w:rsidRPr="004932C1">
        <w:rPr>
          <w:rFonts w:ascii="Times New Roman" w:hAnsi="Times New Roman"/>
          <w:sz w:val="20"/>
          <w:szCs w:val="20"/>
        </w:rPr>
        <w:t xml:space="preserve">Executive Order 12866 </w:t>
      </w:r>
      <w:r>
        <w:rPr>
          <w:rFonts w:ascii="Times New Roman" w:hAnsi="Times New Roman"/>
          <w:sz w:val="20"/>
          <w:szCs w:val="20"/>
        </w:rPr>
        <w:t xml:space="preserve">section </w:t>
      </w:r>
      <w:r w:rsidRPr="004932C1">
        <w:rPr>
          <w:rFonts w:ascii="Times New Roman" w:hAnsi="Times New Roman"/>
          <w:sz w:val="20"/>
          <w:szCs w:val="20"/>
        </w:rPr>
        <w:t>3(f)(1).</w:t>
      </w:r>
    </w:p>
  </w:footnote>
  <w:footnote w:id="127">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heme="minorHAnsi" w:hAnsi="Times New Roman" w:cs="Times New Roman"/>
          <w:sz w:val="20"/>
          <w:szCs w:val="20"/>
        </w:rPr>
        <w:t>42 U.S.C. 9831</w:t>
      </w:r>
    </w:p>
  </w:footnote>
  <w:footnote w:id="128">
    <w:p w:rsidR="00887BBB" w:rsidRPr="004932C1" w:rsidRDefault="00887BBB" w:rsidP="00331A7B">
      <w:pPr>
        <w:spacing w:after="0" w:line="240" w:lineRule="auto"/>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shd w:val="clear" w:color="auto" w:fill="FFFFFF"/>
        </w:rPr>
        <w:t>National Scientific Council on the Developing Child (2007). </w:t>
      </w:r>
      <w:r w:rsidRPr="004932C1">
        <w:rPr>
          <w:rFonts w:ascii="Times New Roman" w:eastAsia="Times New Roman" w:hAnsi="Times New Roman" w:cs="Times New Roman"/>
          <w:i/>
          <w:iCs/>
          <w:sz w:val="20"/>
          <w:szCs w:val="20"/>
          <w:bdr w:val="none" w:sz="0" w:space="0" w:color="auto" w:frame="1"/>
          <w:shd w:val="clear" w:color="auto" w:fill="FFFFFF"/>
        </w:rPr>
        <w:t>The Timing and Quality of Early Experiences Combine to Shape Brain Architecture: Working Paper No. 5</w:t>
      </w:r>
      <w:r w:rsidRPr="004932C1">
        <w:rPr>
          <w:rFonts w:ascii="Times New Roman" w:eastAsia="Times New Roman" w:hAnsi="Times New Roman" w:cs="Times New Roman"/>
          <w:sz w:val="20"/>
          <w:szCs w:val="20"/>
          <w:shd w:val="clear" w:color="auto" w:fill="FFFFFF"/>
        </w:rPr>
        <w:t>. Cambridge, MA: Author.</w:t>
      </w:r>
    </w:p>
  </w:footnote>
  <w:footnote w:id="129">
    <w:p w:rsidR="00887BBB" w:rsidRPr="004932C1" w:rsidRDefault="00887BBB" w:rsidP="00331A7B">
      <w:pPr>
        <w:shd w:val="clear" w:color="auto" w:fill="FFFFFF"/>
        <w:spacing w:after="0" w:line="240" w:lineRule="auto"/>
        <w:outlineLvl w:val="0"/>
        <w:rPr>
          <w:rFonts w:ascii="Times New Roman" w:eastAsia="Times New Roman" w:hAnsi="Times New Roman" w:cs="Times New Roman"/>
          <w:bCs/>
          <w:kern w:val="36"/>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Anda R.F., Felitti V.J., Bremner J.D., Walker J.D., Whitfield C., Perry, B.D., Dube, S.R., &amp; Giles, W.H. (2006).</w:t>
      </w:r>
      <w:r w:rsidRPr="004932C1">
        <w:rPr>
          <w:rFonts w:ascii="Times New Roman" w:eastAsia="Times New Roman" w:hAnsi="Times New Roman" w:cs="Times New Roman"/>
          <w:bCs/>
          <w:kern w:val="36"/>
          <w:sz w:val="20"/>
          <w:szCs w:val="20"/>
        </w:rPr>
        <w:t xml:space="preserve"> The enduring effects of abuse and related adverse experiences in childhood. A convergence of evidence from neurobiology and epidemiology.  </w:t>
      </w:r>
      <w:r w:rsidRPr="004932C1">
        <w:rPr>
          <w:rFonts w:ascii="Times New Roman" w:eastAsia="Times New Roman" w:hAnsi="Times New Roman" w:cs="Times New Roman"/>
          <w:i/>
          <w:sz w:val="20"/>
          <w:szCs w:val="20"/>
        </w:rPr>
        <w:t>European Archives of Psychiatry and Clinical Neuroscience, 256(3),</w:t>
      </w:r>
      <w:r w:rsidRPr="004932C1">
        <w:rPr>
          <w:rFonts w:ascii="Times New Roman" w:eastAsia="Times New Roman" w:hAnsi="Times New Roman" w:cs="Times New Roman"/>
          <w:sz w:val="20"/>
          <w:szCs w:val="20"/>
        </w:rPr>
        <w:t xml:space="preserve"> 174-186.</w:t>
      </w:r>
    </w:p>
  </w:footnote>
  <w:footnote w:id="130">
    <w:p w:rsidR="00887BBB" w:rsidRPr="004932C1" w:rsidRDefault="00887BBB" w:rsidP="00331A7B">
      <w:pPr>
        <w:spacing w:after="0" w:line="240" w:lineRule="auto"/>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shd w:val="clear" w:color="auto" w:fill="FFFFFF"/>
        </w:rPr>
        <w:t>National Scientific Council on the Developing Child (2010). </w:t>
      </w:r>
      <w:r w:rsidRPr="004932C1">
        <w:rPr>
          <w:rFonts w:ascii="Times New Roman" w:eastAsia="Times New Roman" w:hAnsi="Times New Roman" w:cs="Times New Roman"/>
          <w:i/>
          <w:iCs/>
          <w:sz w:val="20"/>
          <w:szCs w:val="20"/>
          <w:bdr w:val="none" w:sz="0" w:space="0" w:color="auto" w:frame="1"/>
          <w:shd w:val="clear" w:color="auto" w:fill="FFFFFF"/>
        </w:rPr>
        <w:t>Early Experiences Can Alter Gene Expression and Affect Long-Term Development: Working Paper No. 10</w:t>
      </w:r>
      <w:r w:rsidRPr="004932C1">
        <w:rPr>
          <w:rFonts w:ascii="Times New Roman" w:eastAsia="Times New Roman" w:hAnsi="Times New Roman" w:cs="Times New Roman"/>
          <w:sz w:val="20"/>
          <w:szCs w:val="20"/>
          <w:shd w:val="clear" w:color="auto" w:fill="FFFFFF"/>
        </w:rPr>
        <w:t>. Cambridge, MA: Author.</w:t>
      </w:r>
    </w:p>
  </w:footnote>
  <w:footnote w:id="131">
    <w:p w:rsidR="00887BBB" w:rsidRPr="00DC5146" w:rsidRDefault="00887BBB" w:rsidP="00DC5146">
      <w:pPr>
        <w:spacing w:after="0" w:line="240" w:lineRule="auto"/>
        <w:rPr>
          <w:rFonts w:ascii="Times New Roman" w:eastAsia="Times New Roman" w:hAnsi="Times New Roman" w:cs="Times New Roman"/>
          <w:sz w:val="20"/>
          <w:szCs w:val="20"/>
        </w:rPr>
      </w:pPr>
      <w:r w:rsidRPr="00DC5146">
        <w:rPr>
          <w:rStyle w:val="FootnoteReference"/>
          <w:rFonts w:ascii="Times New Roman" w:hAnsi="Times New Roman" w:cs="Times New Roman"/>
          <w:sz w:val="20"/>
          <w:szCs w:val="20"/>
        </w:rPr>
        <w:footnoteRef/>
      </w:r>
      <w:r w:rsidRPr="000F0A8A">
        <w:rPr>
          <w:rFonts w:ascii="Times New Roman" w:eastAsia="Times New Roman" w:hAnsi="Times New Roman" w:cs="Times New Roman"/>
          <w:bCs/>
          <w:kern w:val="36"/>
          <w:sz w:val="20"/>
          <w:szCs w:val="20"/>
        </w:rPr>
        <w:t xml:space="preserve"> Heckman, J.J., Moon, S.H., Pinto, R., Savalyev, P.A. &amp; Yavitz, A. (2010).  The Rate of Return to the High/Scope Perry Preschool Program.</w:t>
      </w:r>
      <w:r w:rsidRPr="000F0A8A">
        <w:rPr>
          <w:rFonts w:ascii="Times New Roman" w:eastAsia="Times New Roman" w:hAnsi="Times New Roman" w:cs="Times New Roman"/>
          <w:sz w:val="20"/>
          <w:szCs w:val="20"/>
          <w:shd w:val="clear" w:color="auto" w:fill="FFFFFF"/>
        </w:rPr>
        <w:t xml:space="preserve"> Journal of Public Economics, 94(1-2), 114–128.</w:t>
      </w:r>
    </w:p>
  </w:footnote>
  <w:footnote w:id="132">
    <w:p w:rsidR="00887BBB" w:rsidRPr="00DC5146" w:rsidRDefault="00887BBB" w:rsidP="00331A7B">
      <w:pPr>
        <w:pStyle w:val="FootnoteText"/>
        <w:rPr>
          <w:rFonts w:ascii="Times New Roman" w:hAnsi="Times New Roman" w:cs="Times New Roman"/>
          <w:sz w:val="20"/>
          <w:szCs w:val="20"/>
        </w:rPr>
      </w:pPr>
      <w:r w:rsidRPr="00DC5146">
        <w:rPr>
          <w:rStyle w:val="FootnoteReference"/>
          <w:rFonts w:ascii="Times New Roman" w:hAnsi="Times New Roman" w:cs="Times New Roman"/>
          <w:sz w:val="20"/>
          <w:szCs w:val="20"/>
        </w:rPr>
        <w:footnoteRef/>
      </w:r>
      <w:r w:rsidRPr="000F0A8A">
        <w:rPr>
          <w:rFonts w:ascii="Times New Roman" w:hAnsi="Times New Roman" w:cs="Times New Roman"/>
          <w:sz w:val="20"/>
          <w:szCs w:val="20"/>
        </w:rPr>
        <w:t xml:space="preserve"> The Council of Economic Advisers. (December, 2014). </w:t>
      </w:r>
      <w:r w:rsidRPr="000F0A8A">
        <w:rPr>
          <w:rFonts w:ascii="Times New Roman" w:hAnsi="Times New Roman" w:cs="Times New Roman"/>
          <w:i/>
          <w:sz w:val="20"/>
          <w:szCs w:val="20"/>
        </w:rPr>
        <w:t>The Economics of Early Childhood Investments.</w:t>
      </w:r>
      <w:r w:rsidRPr="000F0A8A">
        <w:rPr>
          <w:rFonts w:ascii="Times New Roman" w:hAnsi="Times New Roman" w:cs="Times New Roman"/>
          <w:sz w:val="20"/>
          <w:szCs w:val="20"/>
        </w:rPr>
        <w:t xml:space="preserve"> Washington, DC: Authors. </w:t>
      </w:r>
    </w:p>
  </w:footnote>
  <w:footnote w:id="133">
    <w:p w:rsidR="00887BBB" w:rsidRPr="00DC5146" w:rsidRDefault="00887BBB" w:rsidP="00DC5146">
      <w:pPr>
        <w:spacing w:after="0" w:line="240" w:lineRule="auto"/>
        <w:rPr>
          <w:rFonts w:ascii="Times New Roman" w:eastAsia="Times New Roman" w:hAnsi="Times New Roman" w:cs="Times New Roman"/>
          <w:sz w:val="20"/>
          <w:szCs w:val="20"/>
        </w:rPr>
      </w:pPr>
      <w:r w:rsidRPr="00DC5146">
        <w:rPr>
          <w:rStyle w:val="FootnoteReference"/>
          <w:rFonts w:ascii="Times New Roman" w:hAnsi="Times New Roman" w:cs="Times New Roman"/>
          <w:sz w:val="20"/>
          <w:szCs w:val="20"/>
        </w:rPr>
        <w:footnoteRef/>
      </w:r>
      <w:r w:rsidRPr="000F0A8A">
        <w:rPr>
          <w:rFonts w:ascii="Times New Roman" w:eastAsia="Times New Roman" w:hAnsi="Times New Roman" w:cs="Times New Roman"/>
          <w:sz w:val="20"/>
          <w:szCs w:val="20"/>
          <w:shd w:val="clear" w:color="auto" w:fill="FFFFFF"/>
        </w:rPr>
        <w:t xml:space="preserve"> Reynolds, A.J., Temple, J.A., Robertson, D.L., Mann, E.A. (2002).  Age 21 Cost-Benefit Analysis of the Title I Chicago Child-Parent Centers.  </w:t>
      </w:r>
      <w:r w:rsidRPr="000F0A8A">
        <w:rPr>
          <w:rFonts w:ascii="Times New Roman" w:eastAsia="Times New Roman" w:hAnsi="Times New Roman" w:cs="Times New Roman"/>
          <w:i/>
          <w:sz w:val="20"/>
          <w:szCs w:val="20"/>
          <w:shd w:val="clear" w:color="auto" w:fill="FFFFFF"/>
        </w:rPr>
        <w:t>Educational Evaluation and Policy Analysis</w:t>
      </w:r>
      <w:r>
        <w:rPr>
          <w:rFonts w:ascii="Times New Roman" w:eastAsia="Times New Roman" w:hAnsi="Times New Roman" w:cs="Times New Roman"/>
          <w:i/>
          <w:sz w:val="20"/>
          <w:szCs w:val="20"/>
          <w:shd w:val="clear" w:color="auto" w:fill="FFFFFF"/>
        </w:rPr>
        <w:t>,</w:t>
      </w:r>
      <w:r w:rsidRPr="000F0A8A">
        <w:rPr>
          <w:rFonts w:ascii="Times New Roman" w:eastAsia="Times New Roman" w:hAnsi="Times New Roman" w:cs="Times New Roman"/>
          <w:sz w:val="20"/>
          <w:szCs w:val="20"/>
          <w:shd w:val="clear" w:color="auto" w:fill="FFFFFF"/>
        </w:rPr>
        <w:t xml:space="preserve"> 24(4), 267-303.</w:t>
      </w:r>
    </w:p>
  </w:footnote>
  <w:footnote w:id="134">
    <w:p w:rsidR="00887BBB" w:rsidRPr="00DC5146" w:rsidRDefault="00887BBB" w:rsidP="00331A7B">
      <w:pPr>
        <w:pStyle w:val="FootnoteText"/>
        <w:rPr>
          <w:rFonts w:ascii="Times New Roman" w:hAnsi="Times New Roman" w:cs="Times New Roman"/>
          <w:sz w:val="20"/>
          <w:szCs w:val="20"/>
        </w:rPr>
      </w:pPr>
      <w:r w:rsidRPr="00DC5146">
        <w:rPr>
          <w:rStyle w:val="FootnoteReference"/>
          <w:rFonts w:ascii="Times New Roman" w:hAnsi="Times New Roman" w:cs="Times New Roman"/>
          <w:sz w:val="20"/>
          <w:szCs w:val="20"/>
        </w:rPr>
        <w:footnoteRef/>
      </w:r>
      <w:r w:rsidRPr="00DC5146">
        <w:rPr>
          <w:rFonts w:ascii="Times New Roman" w:hAnsi="Times New Roman" w:cs="Times New Roman"/>
          <w:sz w:val="20"/>
          <w:szCs w:val="20"/>
        </w:rPr>
        <w:t xml:space="preserve"> </w:t>
      </w:r>
      <w:r w:rsidRPr="000F0A8A">
        <w:rPr>
          <w:rFonts w:ascii="Times New Roman" w:hAnsi="Times New Roman" w:cs="Times New Roman"/>
          <w:sz w:val="20"/>
          <w:szCs w:val="20"/>
        </w:rPr>
        <w:t>Yoshikawa, H., Weiland, C., Brooks-Gunn, J., Burchinal, M., . . .Zaslow, M. (2013). Investing in our future: The evidence base on preschool education. Foundation for Child Development.</w:t>
      </w:r>
    </w:p>
  </w:footnote>
  <w:footnote w:id="135">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sz w:val="20"/>
        </w:rPr>
        <w:t xml:space="preserve">Puma, M., Bell, S., Cook, R., Heid, C., Broene, P., Jenkins, F., &amp; Downer, J. (2012). Third grade follow-up to the Head Start impact study final report. </w:t>
      </w:r>
      <w:r w:rsidRPr="004932C1">
        <w:rPr>
          <w:rFonts w:ascii="Times New Roman" w:hAnsi="Times New Roman"/>
          <w:i/>
          <w:sz w:val="20"/>
        </w:rPr>
        <w:t>US Department of Health and Human Services Office of Planning, Research and Evaluation</w:t>
      </w:r>
      <w:r w:rsidRPr="004932C1">
        <w:rPr>
          <w:rFonts w:ascii="Times New Roman" w:hAnsi="Times New Roman"/>
          <w:sz w:val="20"/>
        </w:rPr>
        <w:t>.</w:t>
      </w:r>
    </w:p>
  </w:footnote>
  <w:footnote w:id="136">
    <w:p w:rsidR="00887BBB" w:rsidRPr="00DC5146" w:rsidRDefault="00887BBB" w:rsidP="00331A7B">
      <w:pPr>
        <w:pStyle w:val="FootnoteText"/>
        <w:rPr>
          <w:rFonts w:ascii="Times New Roman" w:hAnsi="Times New Roman" w:cs="Times New Roman"/>
          <w:sz w:val="20"/>
          <w:szCs w:val="20"/>
        </w:rPr>
      </w:pPr>
      <w:r w:rsidRPr="00DC5146">
        <w:rPr>
          <w:rStyle w:val="FootnoteReference"/>
          <w:rFonts w:ascii="Times New Roman" w:hAnsi="Times New Roman" w:cs="Times New Roman"/>
          <w:sz w:val="20"/>
          <w:szCs w:val="20"/>
        </w:rPr>
        <w:footnoteRef/>
      </w:r>
      <w:r w:rsidRPr="00DC5146">
        <w:rPr>
          <w:rFonts w:ascii="Times New Roman" w:hAnsi="Times New Roman" w:cs="Times New Roman"/>
          <w:sz w:val="20"/>
          <w:szCs w:val="20"/>
        </w:rPr>
        <w:t xml:space="preserve"> </w:t>
      </w:r>
      <w:r w:rsidRPr="00B13340">
        <w:rPr>
          <w:rFonts w:ascii="Times New Roman" w:hAnsi="Times New Roman" w:cs="Times New Roman"/>
          <w:sz w:val="20"/>
          <w:szCs w:val="20"/>
        </w:rPr>
        <w:t xml:space="preserve">Walters, C. (2014). </w:t>
      </w:r>
      <w:r w:rsidRPr="00B13340">
        <w:rPr>
          <w:rFonts w:ascii="Times New Roman" w:hAnsi="Times New Roman" w:cs="Times New Roman"/>
          <w:i/>
          <w:sz w:val="20"/>
          <w:szCs w:val="20"/>
        </w:rPr>
        <w:t xml:space="preserve">Inputs in the production of early childhood human capital: Evidence from Head Start. </w:t>
      </w:r>
      <w:r w:rsidRPr="008C506D">
        <w:rPr>
          <w:rFonts w:ascii="Times New Roman" w:hAnsi="Times New Roman" w:cs="Times New Roman"/>
          <w:sz w:val="20"/>
          <w:szCs w:val="20"/>
        </w:rPr>
        <w:t>American Economic Journal: Applied Economics, 7(4), 76-102.</w:t>
      </w:r>
    </w:p>
  </w:footnote>
  <w:footnote w:id="137">
    <w:p w:rsidR="00887BBB" w:rsidRPr="00D97209" w:rsidRDefault="00887BBB" w:rsidP="00331A7B">
      <w:pPr>
        <w:pStyle w:val="FootnoteText"/>
        <w:rPr>
          <w:rFonts w:ascii="Times New Roman" w:hAnsi="Times New Roman" w:cs="Times New Roman"/>
          <w:sz w:val="20"/>
          <w:szCs w:val="20"/>
        </w:rPr>
      </w:pPr>
      <w:r w:rsidRPr="00D97209">
        <w:rPr>
          <w:rStyle w:val="FootnoteReference"/>
          <w:rFonts w:ascii="Times New Roman" w:hAnsi="Times New Roman" w:cs="Times New Roman"/>
          <w:sz w:val="20"/>
          <w:szCs w:val="20"/>
        </w:rPr>
        <w:footnoteRef/>
      </w:r>
      <w:r w:rsidRPr="00D97209">
        <w:rPr>
          <w:rFonts w:ascii="Times New Roman" w:hAnsi="Times New Roman" w:cs="Times New Roman"/>
          <w:sz w:val="20"/>
          <w:szCs w:val="20"/>
        </w:rPr>
        <w:t xml:space="preserve"> Weiland, C., &amp; Yoshikawa, H. (2013). Impacts of a prekindergarten program on children’s mathematics, language, literacy, executive function, and emotional skills. </w:t>
      </w:r>
      <w:r w:rsidRPr="00D97209">
        <w:rPr>
          <w:rFonts w:ascii="Times New Roman" w:hAnsi="Times New Roman" w:cs="Times New Roman"/>
          <w:i/>
          <w:sz w:val="20"/>
          <w:szCs w:val="20"/>
        </w:rPr>
        <w:t xml:space="preserve">Child Development, </w:t>
      </w:r>
      <w:r w:rsidRPr="00D97209">
        <w:rPr>
          <w:rFonts w:ascii="Times New Roman" w:eastAsia="Times New Roman" w:hAnsi="Times New Roman" w:cs="Times New Roman"/>
          <w:i/>
          <w:sz w:val="20"/>
          <w:szCs w:val="20"/>
          <w:shd w:val="clear" w:color="auto" w:fill="FFFFFF"/>
        </w:rPr>
        <w:t>84,</w:t>
      </w:r>
      <w:r w:rsidRPr="00D97209">
        <w:rPr>
          <w:rFonts w:ascii="Times New Roman" w:eastAsia="Times New Roman" w:hAnsi="Times New Roman" w:cs="Times New Roman"/>
          <w:sz w:val="20"/>
          <w:szCs w:val="20"/>
          <w:shd w:val="clear" w:color="auto" w:fill="FFFFFF"/>
        </w:rPr>
        <w:t xml:space="preserve"> 2112–2130.</w:t>
      </w:r>
    </w:p>
  </w:footnote>
  <w:footnote w:id="138">
    <w:p w:rsidR="00887BBB" w:rsidRPr="00D97209" w:rsidRDefault="00887BBB" w:rsidP="00331A7B">
      <w:pPr>
        <w:pStyle w:val="FootnoteText"/>
        <w:rPr>
          <w:rFonts w:ascii="Times New Roman" w:hAnsi="Times New Roman" w:cs="Times New Roman"/>
          <w:sz w:val="20"/>
          <w:szCs w:val="20"/>
        </w:rPr>
      </w:pPr>
      <w:r w:rsidRPr="00D97209">
        <w:rPr>
          <w:rStyle w:val="FootnoteReference"/>
          <w:rFonts w:ascii="Times New Roman" w:hAnsi="Times New Roman" w:cs="Times New Roman"/>
          <w:sz w:val="20"/>
          <w:szCs w:val="20"/>
        </w:rPr>
        <w:footnoteRef/>
      </w:r>
      <w:r w:rsidRPr="00D97209">
        <w:rPr>
          <w:rFonts w:ascii="Times New Roman" w:hAnsi="Times New Roman" w:cs="Times New Roman"/>
          <w:sz w:val="20"/>
          <w:szCs w:val="20"/>
        </w:rPr>
        <w:t xml:space="preserve"> Barnett, W.S., Jung, K., Youn, M.J., and Frede, E.C. (2013).  </w:t>
      </w:r>
      <w:r w:rsidRPr="00D97209">
        <w:rPr>
          <w:rFonts w:ascii="Times New Roman" w:hAnsi="Times New Roman" w:cs="Times New Roman"/>
          <w:i/>
          <w:sz w:val="20"/>
          <w:szCs w:val="20"/>
        </w:rPr>
        <w:t xml:space="preserve">Abbott Preschool Program Longitudinal Effects Study: Fifth Grade Follow-Up. </w:t>
      </w:r>
      <w:r w:rsidRPr="00D97209">
        <w:rPr>
          <w:rFonts w:ascii="Times New Roman" w:hAnsi="Times New Roman" w:cs="Times New Roman"/>
          <w:sz w:val="20"/>
          <w:szCs w:val="20"/>
        </w:rPr>
        <w:t>National Institute for Early Education Research Rutgers—The State University of New Jersey.</w:t>
      </w:r>
    </w:p>
  </w:footnote>
  <w:footnote w:id="139">
    <w:p w:rsidR="00887BBB" w:rsidRPr="00BB5901" w:rsidRDefault="00887BBB" w:rsidP="00D97209">
      <w:pPr>
        <w:shd w:val="clear" w:color="auto" w:fill="FFFFFF"/>
        <w:spacing w:after="0" w:line="240" w:lineRule="auto"/>
        <w:textAlignment w:val="baseline"/>
        <w:rPr>
          <w:rFonts w:ascii="Times New Roman" w:eastAsia="Times New Roman" w:hAnsi="Times New Roman" w:cs="Times New Roman"/>
          <w:bCs/>
          <w:spacing w:val="5"/>
          <w:sz w:val="20"/>
          <w:szCs w:val="20"/>
        </w:rPr>
      </w:pPr>
      <w:r w:rsidRPr="00BB5901">
        <w:rPr>
          <w:rStyle w:val="FootnoteReference"/>
          <w:rFonts w:ascii="Times New Roman" w:hAnsi="Times New Roman" w:cs="Times New Roman"/>
          <w:sz w:val="20"/>
          <w:szCs w:val="20"/>
        </w:rPr>
        <w:footnoteRef/>
      </w:r>
      <w:r w:rsidRPr="00BB5901">
        <w:rPr>
          <w:rFonts w:ascii="Times New Roman" w:hAnsi="Times New Roman" w:cs="Times New Roman"/>
          <w:sz w:val="20"/>
          <w:szCs w:val="20"/>
        </w:rPr>
        <w:t xml:space="preserve"> </w:t>
      </w:r>
      <w:r w:rsidRPr="00001E53">
        <w:rPr>
          <w:rFonts w:ascii="Times New Roman" w:hAnsi="Times New Roman" w:cs="Times New Roman"/>
          <w:sz w:val="20"/>
          <w:szCs w:val="20"/>
        </w:rPr>
        <w:t>Logan</w:t>
      </w:r>
      <w:r w:rsidRPr="00D97209">
        <w:rPr>
          <w:rFonts w:ascii="Times New Roman" w:hAnsi="Times New Roman" w:cs="Times New Roman"/>
          <w:sz w:val="20"/>
          <w:szCs w:val="20"/>
        </w:rPr>
        <w:t>, J</w:t>
      </w:r>
      <w:r w:rsidRPr="00D97209">
        <w:rPr>
          <w:rStyle w:val="apple-converted-space"/>
          <w:rFonts w:ascii="Times New Roman" w:eastAsia="Times New Roman" w:hAnsi="Times New Roman" w:cs="Times New Roman"/>
          <w:sz w:val="20"/>
          <w:szCs w:val="20"/>
        </w:rPr>
        <w:t xml:space="preserve">.A.R., Piasta, S.B., Justice, L.M., Schatschneider, C., &amp; Petrill, S. (2011).  </w:t>
      </w:r>
      <w:r w:rsidRPr="00D97209">
        <w:rPr>
          <w:rFonts w:ascii="Times New Roman" w:hAnsi="Times New Roman" w:cs="Times New Roman"/>
          <w:spacing w:val="5"/>
          <w:sz w:val="20"/>
          <w:szCs w:val="20"/>
        </w:rPr>
        <w:t xml:space="preserve">Children’s Attendance Rates and Quality of Teacher-Child Interactions in At-Risk Preschool Classrooms: Contribution to Children’s Expressive Language Growth.  </w:t>
      </w:r>
      <w:r w:rsidRPr="00D97209">
        <w:rPr>
          <w:rFonts w:ascii="Times New Roman" w:hAnsi="Times New Roman" w:cs="Times New Roman"/>
          <w:i/>
          <w:spacing w:val="5"/>
          <w:sz w:val="20"/>
          <w:szCs w:val="20"/>
        </w:rPr>
        <w:t>Child &amp; Youth Forum 40(6),</w:t>
      </w:r>
      <w:r w:rsidRPr="00D97209">
        <w:rPr>
          <w:rFonts w:ascii="Times New Roman" w:hAnsi="Times New Roman" w:cs="Times New Roman"/>
          <w:spacing w:val="5"/>
          <w:sz w:val="20"/>
          <w:szCs w:val="20"/>
        </w:rPr>
        <w:t xml:space="preserve"> 457-477.</w:t>
      </w:r>
    </w:p>
  </w:footnote>
  <w:footnote w:id="140">
    <w:p w:rsidR="00887BBB" w:rsidRPr="00BB5901" w:rsidRDefault="00887BBB" w:rsidP="00D97209">
      <w:pPr>
        <w:pStyle w:val="FootnoteText"/>
        <w:rPr>
          <w:rFonts w:ascii="Times New Roman" w:hAnsi="Times New Roman" w:cs="Times New Roman"/>
          <w:sz w:val="20"/>
          <w:szCs w:val="20"/>
        </w:rPr>
      </w:pPr>
      <w:r w:rsidRPr="00BB5901">
        <w:rPr>
          <w:rStyle w:val="FootnoteReference"/>
          <w:rFonts w:ascii="Times New Roman" w:hAnsi="Times New Roman" w:cs="Times New Roman"/>
          <w:sz w:val="20"/>
          <w:szCs w:val="20"/>
        </w:rPr>
        <w:footnoteRef/>
      </w:r>
      <w:r w:rsidRPr="00BB5901">
        <w:rPr>
          <w:rFonts w:ascii="Times New Roman" w:hAnsi="Times New Roman" w:cs="Times New Roman"/>
          <w:sz w:val="20"/>
          <w:szCs w:val="20"/>
        </w:rPr>
        <w:t xml:space="preserve"> </w:t>
      </w:r>
      <w:r w:rsidRPr="00D97209">
        <w:rPr>
          <w:rFonts w:ascii="Times New Roman" w:hAnsi="Times New Roman" w:cs="Times New Roman"/>
          <w:sz w:val="20"/>
          <w:szCs w:val="20"/>
        </w:rPr>
        <w:t xml:space="preserve">Hubbs-Tait, L., McDonald Culp, A., Huey E., Culp, R., Starost, H., &amp; Hare, C. (2002).  Relation of Head Start attendance to children’s cognitive and social outcomes: moderation by family risk.  </w:t>
      </w:r>
      <w:r w:rsidRPr="00D97209">
        <w:rPr>
          <w:rFonts w:ascii="Times New Roman" w:hAnsi="Times New Roman" w:cs="Times New Roman"/>
          <w:i/>
          <w:sz w:val="20"/>
          <w:szCs w:val="20"/>
        </w:rPr>
        <w:t>Early Childhood Research Quarterly, 17,</w:t>
      </w:r>
      <w:r w:rsidRPr="00D97209">
        <w:rPr>
          <w:rFonts w:ascii="Times New Roman" w:hAnsi="Times New Roman" w:cs="Times New Roman"/>
          <w:sz w:val="20"/>
          <w:szCs w:val="20"/>
        </w:rPr>
        <w:t xml:space="preserve"> 539–558.</w:t>
      </w:r>
    </w:p>
  </w:footnote>
  <w:footnote w:id="141">
    <w:p w:rsidR="00887BBB" w:rsidRPr="00BB5901" w:rsidRDefault="00887BBB" w:rsidP="00D97209">
      <w:pPr>
        <w:spacing w:after="0" w:line="240" w:lineRule="auto"/>
        <w:textAlignment w:val="baseline"/>
        <w:rPr>
          <w:rFonts w:ascii="Times New Roman" w:hAnsi="Times New Roman" w:cs="Times New Roman"/>
          <w:sz w:val="20"/>
          <w:szCs w:val="20"/>
        </w:rPr>
      </w:pPr>
      <w:r w:rsidRPr="00BB5901">
        <w:rPr>
          <w:rStyle w:val="FootnoteReference"/>
          <w:rFonts w:ascii="Times New Roman" w:hAnsi="Times New Roman" w:cs="Times New Roman"/>
          <w:sz w:val="20"/>
          <w:szCs w:val="20"/>
        </w:rPr>
        <w:footnoteRef/>
      </w:r>
      <w:r w:rsidRPr="00BB5901">
        <w:rPr>
          <w:rFonts w:ascii="Times New Roman" w:hAnsi="Times New Roman" w:cs="Times New Roman"/>
          <w:sz w:val="20"/>
          <w:szCs w:val="20"/>
        </w:rPr>
        <w:t xml:space="preserve"> </w:t>
      </w:r>
      <w:r w:rsidRPr="00D97209">
        <w:rPr>
          <w:rFonts w:ascii="Times New Roman" w:eastAsia="Times New Roman" w:hAnsi="Times New Roman" w:cs="Times New Roman"/>
          <w:sz w:val="20"/>
          <w:szCs w:val="20"/>
        </w:rPr>
        <w:t xml:space="preserve">Lamdin, D.J. (1996). </w:t>
      </w:r>
      <w:r w:rsidRPr="00D97209">
        <w:rPr>
          <w:rFonts w:ascii="Times New Roman" w:eastAsia="Times New Roman" w:hAnsi="Times New Roman" w:cs="Times New Roman"/>
          <w:bCs/>
          <w:sz w:val="20"/>
          <w:szCs w:val="20"/>
        </w:rPr>
        <w:t xml:space="preserve">Evidence of student attendance as an independent variable in education production functions.  </w:t>
      </w:r>
      <w:r w:rsidRPr="00D97209">
        <w:rPr>
          <w:rFonts w:ascii="Times New Roman" w:eastAsia="Times New Roman" w:hAnsi="Times New Roman" w:cs="Times New Roman"/>
          <w:i/>
          <w:iCs/>
          <w:sz w:val="20"/>
          <w:szCs w:val="20"/>
          <w:bdr w:val="none" w:sz="0" w:space="0" w:color="auto" w:frame="1"/>
        </w:rPr>
        <w:t>Journal of Educational Research</w:t>
      </w:r>
      <w:r w:rsidRPr="00D97209">
        <w:rPr>
          <w:rFonts w:ascii="Times New Roman" w:eastAsia="Times New Roman" w:hAnsi="Times New Roman" w:cs="Times New Roman"/>
          <w:sz w:val="20"/>
          <w:szCs w:val="20"/>
        </w:rPr>
        <w:t xml:space="preserve">, </w:t>
      </w:r>
      <w:r w:rsidRPr="00D97209">
        <w:rPr>
          <w:rFonts w:ascii="Times New Roman" w:eastAsia="Times New Roman" w:hAnsi="Times New Roman" w:cs="Times New Roman"/>
          <w:i/>
          <w:sz w:val="20"/>
          <w:szCs w:val="20"/>
        </w:rPr>
        <w:t>89</w:t>
      </w:r>
      <w:r w:rsidRPr="00D97209">
        <w:rPr>
          <w:rFonts w:ascii="Times New Roman" w:eastAsia="Times New Roman" w:hAnsi="Times New Roman" w:cs="Times New Roman"/>
          <w:sz w:val="20"/>
          <w:szCs w:val="20"/>
        </w:rPr>
        <w:t>(3), 155-162.</w:t>
      </w:r>
    </w:p>
  </w:footnote>
  <w:footnote w:id="142">
    <w:p w:rsidR="00887BBB" w:rsidRPr="00690B32" w:rsidRDefault="00887BBB" w:rsidP="00D97209">
      <w:pPr>
        <w:pStyle w:val="FootnoteText"/>
        <w:rPr>
          <w:rFonts w:ascii="Times New Roman" w:hAnsi="Times New Roman" w:cs="Times New Roman"/>
          <w:sz w:val="20"/>
          <w:szCs w:val="20"/>
        </w:rPr>
      </w:pPr>
    </w:p>
  </w:footnote>
  <w:footnote w:id="143">
    <w:p w:rsidR="00887BBB" w:rsidRPr="00690B32" w:rsidRDefault="00887BBB">
      <w:pPr>
        <w:pStyle w:val="FootnoteText"/>
        <w:rPr>
          <w:rFonts w:ascii="Times New Roman" w:hAnsi="Times New Roman" w:cs="Times New Roman"/>
          <w:sz w:val="20"/>
          <w:szCs w:val="20"/>
        </w:rPr>
      </w:pPr>
      <w:r w:rsidRPr="008C506D">
        <w:rPr>
          <w:rStyle w:val="FootnoteReference"/>
          <w:rFonts w:ascii="Times New Roman" w:hAnsi="Times New Roman" w:cs="Times New Roman"/>
          <w:sz w:val="20"/>
          <w:szCs w:val="20"/>
        </w:rPr>
        <w:footnoteRef/>
      </w:r>
      <w:r w:rsidRPr="008C506D">
        <w:rPr>
          <w:rFonts w:ascii="Times New Roman" w:hAnsi="Times New Roman" w:cs="Times New Roman"/>
          <w:sz w:val="20"/>
          <w:szCs w:val="20"/>
        </w:rPr>
        <w:t xml:space="preserve"> </w:t>
      </w:r>
      <w:r w:rsidRPr="004932C1">
        <w:rPr>
          <w:rFonts w:ascii="Times New Roman" w:hAnsi="Times New Roman" w:cs="Times New Roman"/>
          <w:sz w:val="20"/>
          <w:szCs w:val="20"/>
        </w:rPr>
        <w:t xml:space="preserve">Wong, V. C., Cook, T. D., Barnett, W. S., &amp; Jung, K. (2008). An effectiveness-based evaluation of five state prekindergarten programs. </w:t>
      </w:r>
      <w:r w:rsidRPr="004932C1">
        <w:rPr>
          <w:rFonts w:ascii="Times New Roman" w:hAnsi="Times New Roman" w:cs="Times New Roman"/>
          <w:i/>
          <w:sz w:val="20"/>
          <w:szCs w:val="20"/>
        </w:rPr>
        <w:t>Journal of Policy Analysis and Management, 27,</w:t>
      </w:r>
      <w:r w:rsidRPr="004932C1">
        <w:rPr>
          <w:rFonts w:ascii="Times New Roman" w:hAnsi="Times New Roman" w:cs="Times New Roman"/>
          <w:sz w:val="20"/>
          <w:szCs w:val="20"/>
        </w:rPr>
        <w:t xml:space="preserve"> 122-154.</w:t>
      </w:r>
    </w:p>
  </w:footnote>
  <w:footnote w:id="144">
    <w:p w:rsidR="00887BBB" w:rsidRPr="00690B32" w:rsidRDefault="00887BBB">
      <w:pPr>
        <w:pStyle w:val="FootnoteText"/>
        <w:rPr>
          <w:rFonts w:ascii="Times New Roman" w:hAnsi="Times New Roman" w:cs="Times New Roman"/>
          <w:sz w:val="20"/>
          <w:szCs w:val="20"/>
        </w:rPr>
      </w:pPr>
      <w:r w:rsidRPr="008C506D">
        <w:rPr>
          <w:rStyle w:val="FootnoteReference"/>
          <w:rFonts w:ascii="Times New Roman" w:hAnsi="Times New Roman" w:cs="Times New Roman"/>
          <w:sz w:val="20"/>
          <w:szCs w:val="20"/>
        </w:rPr>
        <w:footnoteRef/>
      </w:r>
      <w:r w:rsidRPr="008C506D">
        <w:rPr>
          <w:rFonts w:ascii="Times New Roman" w:hAnsi="Times New Roman" w:cs="Times New Roman"/>
          <w:sz w:val="20"/>
          <w:szCs w:val="20"/>
        </w:rPr>
        <w:t xml:space="preserve"> </w:t>
      </w:r>
      <w:r w:rsidRPr="004932C1">
        <w:rPr>
          <w:rFonts w:ascii="Times New Roman" w:hAnsi="Times New Roman" w:cs="Times New Roman"/>
          <w:sz w:val="20"/>
          <w:szCs w:val="20"/>
        </w:rPr>
        <w:t xml:space="preserve">Camilli, G., Vargas, S., Ryan, S., &amp; Barnett, W. S. (2010). Meta-analysis of the effects of early education interventions on cognitive and social development. </w:t>
      </w:r>
      <w:r w:rsidRPr="004932C1">
        <w:rPr>
          <w:rFonts w:ascii="Times New Roman" w:hAnsi="Times New Roman" w:cs="Times New Roman"/>
          <w:i/>
          <w:sz w:val="20"/>
          <w:szCs w:val="20"/>
        </w:rPr>
        <w:t>The Teachers College Record, 112,</w:t>
      </w:r>
      <w:r w:rsidRPr="004932C1">
        <w:rPr>
          <w:rFonts w:ascii="Times New Roman" w:hAnsi="Times New Roman" w:cs="Times New Roman"/>
          <w:sz w:val="20"/>
          <w:szCs w:val="20"/>
        </w:rPr>
        <w:t xml:space="preserve"> 579-620.</w:t>
      </w:r>
    </w:p>
  </w:footnote>
  <w:footnote w:id="145">
    <w:p w:rsidR="00887BBB" w:rsidRPr="00690B32" w:rsidRDefault="00887BBB">
      <w:pPr>
        <w:pStyle w:val="FootnoteText"/>
        <w:rPr>
          <w:rFonts w:ascii="Times New Roman" w:hAnsi="Times New Roman" w:cs="Times New Roman"/>
          <w:sz w:val="20"/>
          <w:szCs w:val="20"/>
        </w:rPr>
      </w:pPr>
      <w:r w:rsidRPr="008C506D">
        <w:rPr>
          <w:rStyle w:val="FootnoteReference"/>
          <w:rFonts w:ascii="Times New Roman" w:hAnsi="Times New Roman" w:cs="Times New Roman"/>
          <w:sz w:val="20"/>
          <w:szCs w:val="20"/>
        </w:rPr>
        <w:footnoteRef/>
      </w:r>
      <w:r w:rsidRPr="008C506D">
        <w:rPr>
          <w:rFonts w:ascii="Times New Roman" w:hAnsi="Times New Roman" w:cs="Times New Roman"/>
          <w:sz w:val="20"/>
          <w:szCs w:val="20"/>
        </w:rPr>
        <w:t xml:space="preserve"> </w:t>
      </w:r>
      <w:r w:rsidRPr="004932C1">
        <w:rPr>
          <w:rFonts w:ascii="Times New Roman" w:hAnsi="Times New Roman" w:cs="Times New Roman"/>
          <w:sz w:val="20"/>
          <w:szCs w:val="20"/>
        </w:rPr>
        <w:t>Yoshikawa, H., Weiland, C., Brooks-Gunn, J., Burchinal, M., . . .Zaslow, M. (2013). Investing in our future: The evidence base on preschool education. Foundation for Child Development. New York, NY</w:t>
      </w:r>
      <w:r>
        <w:rPr>
          <w:rFonts w:ascii="Times New Roman" w:hAnsi="Times New Roman" w:cs="Times New Roman"/>
          <w:sz w:val="20"/>
          <w:szCs w:val="20"/>
        </w:rPr>
        <w:t>.</w:t>
      </w:r>
    </w:p>
  </w:footnote>
  <w:footnote w:id="146">
    <w:p w:rsidR="00887BBB" w:rsidRPr="00690B32" w:rsidRDefault="00887BBB">
      <w:pPr>
        <w:pStyle w:val="FootnoteText"/>
        <w:rPr>
          <w:rFonts w:ascii="Times New Roman" w:hAnsi="Times New Roman" w:cs="Times New Roman"/>
          <w:sz w:val="20"/>
          <w:szCs w:val="20"/>
        </w:rPr>
      </w:pPr>
      <w:r w:rsidRPr="00690B32">
        <w:rPr>
          <w:rStyle w:val="FootnoteReference"/>
          <w:rFonts w:ascii="Times New Roman" w:hAnsi="Times New Roman" w:cs="Times New Roman"/>
          <w:sz w:val="20"/>
          <w:szCs w:val="20"/>
        </w:rPr>
        <w:footnoteRef/>
      </w:r>
      <w:r w:rsidRPr="00690B32">
        <w:rPr>
          <w:rFonts w:ascii="Times New Roman" w:hAnsi="Times New Roman" w:cs="Times New Roman"/>
          <w:sz w:val="20"/>
          <w:szCs w:val="20"/>
        </w:rPr>
        <w:t xml:space="preserve"> </w:t>
      </w:r>
      <w:r w:rsidRPr="00D97209">
        <w:rPr>
          <w:rFonts w:ascii="Times New Roman" w:hAnsi="Times New Roman" w:cs="Times New Roman"/>
          <w:sz w:val="20"/>
          <w:szCs w:val="20"/>
        </w:rPr>
        <w:t xml:space="preserve">Barnett, W. S., &amp; Hustedt, J. T. (2005). Head start's lasting benefits. </w:t>
      </w:r>
      <w:r w:rsidRPr="00D97209">
        <w:rPr>
          <w:rFonts w:ascii="Times New Roman" w:hAnsi="Times New Roman" w:cs="Times New Roman"/>
          <w:i/>
          <w:sz w:val="20"/>
          <w:szCs w:val="20"/>
        </w:rPr>
        <w:t>Infants &amp; Young Children</w:t>
      </w:r>
      <w:r w:rsidRPr="00D97209">
        <w:rPr>
          <w:rFonts w:ascii="Times New Roman" w:hAnsi="Times New Roman" w:cs="Times New Roman"/>
          <w:sz w:val="20"/>
          <w:szCs w:val="20"/>
        </w:rPr>
        <w:t xml:space="preserve">, </w:t>
      </w:r>
      <w:r w:rsidRPr="00D97209">
        <w:rPr>
          <w:rFonts w:ascii="Times New Roman" w:hAnsi="Times New Roman" w:cs="Times New Roman"/>
          <w:i/>
          <w:sz w:val="20"/>
          <w:szCs w:val="20"/>
        </w:rPr>
        <w:t>18</w:t>
      </w:r>
      <w:r w:rsidRPr="00D97209">
        <w:rPr>
          <w:rFonts w:ascii="Times New Roman" w:hAnsi="Times New Roman" w:cs="Times New Roman"/>
          <w:sz w:val="20"/>
          <w:szCs w:val="20"/>
        </w:rPr>
        <w:t>(1), 16-24.</w:t>
      </w:r>
    </w:p>
  </w:footnote>
  <w:footnote w:id="147">
    <w:p w:rsidR="00887BBB" w:rsidRPr="00690B32" w:rsidRDefault="00887BBB">
      <w:pPr>
        <w:pStyle w:val="FootnoteText"/>
        <w:rPr>
          <w:rFonts w:ascii="Times New Roman" w:hAnsi="Times New Roman" w:cs="Times New Roman"/>
          <w:sz w:val="20"/>
          <w:szCs w:val="20"/>
        </w:rPr>
      </w:pPr>
      <w:r w:rsidRPr="008C506D">
        <w:rPr>
          <w:rStyle w:val="FootnoteReference"/>
          <w:rFonts w:ascii="Times New Roman" w:hAnsi="Times New Roman" w:cs="Times New Roman"/>
          <w:sz w:val="20"/>
          <w:szCs w:val="20"/>
        </w:rPr>
        <w:footnoteRef/>
      </w:r>
      <w:r w:rsidRPr="008C506D">
        <w:rPr>
          <w:rFonts w:ascii="Times New Roman" w:hAnsi="Times New Roman" w:cs="Times New Roman"/>
          <w:sz w:val="20"/>
          <w:szCs w:val="20"/>
        </w:rPr>
        <w:t xml:space="preserve"> </w:t>
      </w:r>
      <w:r w:rsidRPr="00D97209">
        <w:rPr>
          <w:rFonts w:ascii="Times New Roman" w:hAnsi="Times New Roman" w:cs="Times New Roman"/>
          <w:sz w:val="20"/>
          <w:szCs w:val="20"/>
        </w:rPr>
        <w:t>Schweinhart, L. J., Montie, J., Xiang, Z., Barnett, W. S., Belfield, C. R., &amp; Nores, M. (2005</w:t>
      </w:r>
      <w:r w:rsidRPr="00D97209">
        <w:rPr>
          <w:rFonts w:ascii="Times New Roman" w:hAnsi="Times New Roman" w:cs="Times New Roman"/>
          <w:i/>
          <w:sz w:val="20"/>
          <w:szCs w:val="20"/>
        </w:rPr>
        <w:t>). Lifetime effects: The HighScope Perry Preschool study through age 40.</w:t>
      </w:r>
      <w:r w:rsidRPr="00D97209">
        <w:rPr>
          <w:rFonts w:ascii="Times New Roman" w:hAnsi="Times New Roman" w:cs="Times New Roman"/>
          <w:sz w:val="20"/>
          <w:szCs w:val="20"/>
        </w:rPr>
        <w:t xml:space="preserve"> Ypsilanti, MI: HighScope Press.</w:t>
      </w:r>
    </w:p>
  </w:footnote>
  <w:footnote w:id="148">
    <w:p w:rsidR="00887BBB" w:rsidRPr="00690B32" w:rsidRDefault="00887BBB">
      <w:pPr>
        <w:pStyle w:val="FootnoteText"/>
        <w:rPr>
          <w:rFonts w:ascii="Times New Roman" w:hAnsi="Times New Roman" w:cs="Times New Roman"/>
          <w:sz w:val="20"/>
          <w:szCs w:val="20"/>
        </w:rPr>
      </w:pPr>
      <w:r w:rsidRPr="008C506D">
        <w:rPr>
          <w:rStyle w:val="FootnoteReference"/>
          <w:rFonts w:ascii="Times New Roman" w:hAnsi="Times New Roman" w:cs="Times New Roman"/>
          <w:sz w:val="20"/>
          <w:szCs w:val="20"/>
        </w:rPr>
        <w:footnoteRef/>
      </w:r>
      <w:r w:rsidRPr="008C506D">
        <w:rPr>
          <w:rFonts w:ascii="Times New Roman" w:hAnsi="Times New Roman" w:cs="Times New Roman"/>
          <w:sz w:val="20"/>
          <w:szCs w:val="20"/>
        </w:rPr>
        <w:t xml:space="preserve"> </w:t>
      </w:r>
      <w:r w:rsidRPr="00D97209">
        <w:rPr>
          <w:rFonts w:ascii="Times New Roman" w:hAnsi="Times New Roman" w:cs="Times New Roman"/>
          <w:sz w:val="20"/>
          <w:szCs w:val="20"/>
        </w:rPr>
        <w:t xml:space="preserve">Aikens, N., Kopack Klein, A., Tarullo, L., &amp; West, J. (2013). Getting Ready for Kindergarten: Children’s Progress During Head Start. FACES 2009 Report. OPRE Report 2013-21a. Washington, DC: Office of Planning, Research and Evaluation, Administration for Children and Families, U.S. Department of Health and Human Services. </w:t>
      </w:r>
    </w:p>
  </w:footnote>
  <w:footnote w:id="149">
    <w:p w:rsidR="00887BBB" w:rsidRPr="00690B32" w:rsidRDefault="00887BBB">
      <w:pPr>
        <w:pStyle w:val="FootnoteText"/>
        <w:rPr>
          <w:rFonts w:ascii="Times New Roman" w:hAnsi="Times New Roman" w:cs="Times New Roman"/>
          <w:sz w:val="20"/>
          <w:szCs w:val="20"/>
        </w:rPr>
      </w:pPr>
      <w:r w:rsidRPr="008C506D">
        <w:rPr>
          <w:rStyle w:val="FootnoteReference"/>
          <w:rFonts w:ascii="Times New Roman" w:hAnsi="Times New Roman" w:cs="Times New Roman"/>
          <w:sz w:val="20"/>
          <w:szCs w:val="20"/>
        </w:rPr>
        <w:footnoteRef/>
      </w:r>
      <w:r w:rsidRPr="008C506D">
        <w:rPr>
          <w:rFonts w:ascii="Times New Roman" w:hAnsi="Times New Roman" w:cs="Times New Roman"/>
          <w:sz w:val="20"/>
          <w:szCs w:val="20"/>
        </w:rPr>
        <w:t xml:space="preserve"> </w:t>
      </w:r>
      <w:r w:rsidRPr="00D97209">
        <w:rPr>
          <w:rFonts w:ascii="Times New Roman" w:hAnsi="Times New Roman" w:cs="Times New Roman"/>
          <w:sz w:val="20"/>
          <w:szCs w:val="20"/>
        </w:rPr>
        <w:t xml:space="preserve">The Council of Economic Advisers. (December, 2014). </w:t>
      </w:r>
      <w:r w:rsidRPr="00D97209">
        <w:rPr>
          <w:rFonts w:ascii="Times New Roman" w:hAnsi="Times New Roman" w:cs="Times New Roman"/>
          <w:i/>
          <w:sz w:val="20"/>
          <w:szCs w:val="20"/>
        </w:rPr>
        <w:t>The Economics of Early Childhood Investments.</w:t>
      </w:r>
      <w:r w:rsidRPr="00D97209">
        <w:rPr>
          <w:rFonts w:ascii="Times New Roman" w:hAnsi="Times New Roman" w:cs="Times New Roman"/>
          <w:sz w:val="20"/>
          <w:szCs w:val="20"/>
        </w:rPr>
        <w:t xml:space="preserve"> Washington, DC: Authors</w:t>
      </w:r>
      <w:r w:rsidRPr="00690B32">
        <w:rPr>
          <w:rFonts w:ascii="Times New Roman" w:hAnsi="Times New Roman" w:cs="Times New Roman"/>
          <w:sz w:val="20"/>
          <w:szCs w:val="20"/>
        </w:rPr>
        <w:t>.</w:t>
      </w:r>
    </w:p>
  </w:footnote>
  <w:footnote w:id="150">
    <w:p w:rsidR="00887BBB" w:rsidRDefault="00887BBB">
      <w:pPr>
        <w:pStyle w:val="FootnoteText"/>
      </w:pPr>
      <w:r w:rsidRPr="00690B32">
        <w:rPr>
          <w:rStyle w:val="FootnoteReference"/>
          <w:rFonts w:ascii="Times New Roman" w:hAnsi="Times New Roman" w:cs="Times New Roman"/>
          <w:sz w:val="20"/>
          <w:szCs w:val="20"/>
        </w:rPr>
        <w:footnoteRef/>
      </w:r>
      <w:r w:rsidRPr="00690B32">
        <w:rPr>
          <w:rFonts w:ascii="Times New Roman" w:hAnsi="Times New Roman" w:cs="Times New Roman"/>
          <w:sz w:val="20"/>
          <w:szCs w:val="20"/>
        </w:rPr>
        <w:t xml:space="preserve"> </w:t>
      </w:r>
      <w:r w:rsidRPr="00D97209">
        <w:rPr>
          <w:rFonts w:ascii="Times New Roman" w:hAnsi="Times New Roman" w:cs="Times New Roman"/>
          <w:sz w:val="20"/>
          <w:szCs w:val="20"/>
        </w:rPr>
        <w:t>Peisner</w:t>
      </w:r>
      <w:r w:rsidRPr="00690B32">
        <w:rPr>
          <w:rFonts w:ascii="Times New Roman" w:hAnsi="Times New Roman" w:cs="Times New Roman"/>
          <w:sz w:val="20"/>
          <w:szCs w:val="20"/>
        </w:rPr>
        <w:t>-</w:t>
      </w:r>
      <w:r w:rsidRPr="00D97209">
        <w:rPr>
          <w:rFonts w:ascii="Times New Roman" w:hAnsi="Times New Roman" w:cs="Times New Roman"/>
          <w:sz w:val="20"/>
          <w:szCs w:val="20"/>
        </w:rPr>
        <w:t xml:space="preserve">Feinberg, E. S., Schaaf, J. M., LaForett, D. R., Hildebrandt, L.M., &amp; Sideris, J. (2014). </w:t>
      </w:r>
      <w:r w:rsidRPr="00D97209">
        <w:rPr>
          <w:rFonts w:ascii="Times New Roman" w:hAnsi="Times New Roman" w:cs="Times New Roman"/>
          <w:i/>
          <w:iCs/>
          <w:sz w:val="20"/>
          <w:szCs w:val="20"/>
        </w:rPr>
        <w:t>Effects of Georgia’s Pre</w:t>
      </w:r>
      <w:r w:rsidRPr="00D97209">
        <w:rPr>
          <w:rFonts w:ascii="Cambria Math" w:hAnsi="Cambria Math" w:cs="Cambria Math"/>
          <w:i/>
          <w:iCs/>
          <w:sz w:val="20"/>
          <w:szCs w:val="20"/>
        </w:rPr>
        <w:t>‐</w:t>
      </w:r>
      <w:r w:rsidRPr="00D97209">
        <w:rPr>
          <w:rFonts w:ascii="Times New Roman" w:hAnsi="Times New Roman" w:cs="Times New Roman"/>
          <w:i/>
          <w:iCs/>
          <w:sz w:val="20"/>
          <w:szCs w:val="20"/>
        </w:rPr>
        <w:t>K Program on children’s school readiness skills: Findings from the 2012</w:t>
      </w:r>
      <w:r w:rsidRPr="00D97209">
        <w:rPr>
          <w:rFonts w:ascii="Times New Roman" w:hAnsi="Times New Roman" w:cs="Times New Roman"/>
          <w:sz w:val="20"/>
          <w:szCs w:val="20"/>
        </w:rPr>
        <w:t>-</w:t>
      </w:r>
      <w:r w:rsidRPr="00D97209">
        <w:rPr>
          <w:rFonts w:ascii="Times New Roman" w:hAnsi="Times New Roman" w:cs="Times New Roman"/>
          <w:i/>
          <w:iCs/>
          <w:sz w:val="20"/>
          <w:szCs w:val="20"/>
        </w:rPr>
        <w:t xml:space="preserve">2013 evaluation study. </w:t>
      </w:r>
      <w:r w:rsidRPr="00D97209">
        <w:rPr>
          <w:rFonts w:ascii="Times New Roman" w:hAnsi="Times New Roman" w:cs="Times New Roman"/>
          <w:sz w:val="20"/>
          <w:szCs w:val="20"/>
        </w:rPr>
        <w:t>Chapel Hill: The University of North Carolina, FPG Child Development Institute.</w:t>
      </w:r>
    </w:p>
  </w:footnote>
  <w:footnote w:id="151">
    <w:p w:rsidR="00887BBB" w:rsidRPr="00690B32" w:rsidRDefault="00887BBB">
      <w:pPr>
        <w:pStyle w:val="FootnoteText"/>
        <w:rPr>
          <w:rFonts w:ascii="Times New Roman" w:hAnsi="Times New Roman" w:cs="Times New Roman"/>
          <w:sz w:val="20"/>
          <w:szCs w:val="20"/>
        </w:rPr>
      </w:pPr>
      <w:r w:rsidRPr="00690B32">
        <w:rPr>
          <w:rStyle w:val="FootnoteReference"/>
          <w:rFonts w:ascii="Times New Roman" w:hAnsi="Times New Roman" w:cs="Times New Roman"/>
          <w:sz w:val="20"/>
          <w:szCs w:val="20"/>
        </w:rPr>
        <w:footnoteRef/>
      </w:r>
      <w:r w:rsidRPr="00690B32">
        <w:rPr>
          <w:rFonts w:ascii="Times New Roman" w:hAnsi="Times New Roman" w:cs="Times New Roman"/>
          <w:sz w:val="20"/>
          <w:szCs w:val="20"/>
        </w:rPr>
        <w:t xml:space="preserve"> </w:t>
      </w:r>
      <w:r w:rsidRPr="00D97209">
        <w:rPr>
          <w:rFonts w:ascii="Times New Roman" w:hAnsi="Times New Roman" w:cs="Times New Roman"/>
          <w:sz w:val="20"/>
          <w:szCs w:val="20"/>
        </w:rPr>
        <w:t xml:space="preserve">Weiland, C., &amp; Yoshikawa, H. (2013). Impacts of a prekindergarten program on children’s mathematics, language, literacy, executive function, and emotional skills. </w:t>
      </w:r>
      <w:r w:rsidRPr="00D97209">
        <w:rPr>
          <w:rFonts w:ascii="Times New Roman" w:hAnsi="Times New Roman" w:cs="Times New Roman"/>
          <w:i/>
          <w:sz w:val="20"/>
          <w:szCs w:val="20"/>
        </w:rPr>
        <w:t xml:space="preserve">Child Development, </w:t>
      </w:r>
      <w:r w:rsidRPr="00D97209">
        <w:rPr>
          <w:rFonts w:ascii="Times New Roman" w:eastAsia="Times New Roman" w:hAnsi="Times New Roman" w:cs="Times New Roman"/>
          <w:i/>
          <w:sz w:val="20"/>
          <w:szCs w:val="20"/>
          <w:shd w:val="clear" w:color="auto" w:fill="FFFFFF"/>
        </w:rPr>
        <w:t>84,</w:t>
      </w:r>
      <w:r w:rsidRPr="00D97209">
        <w:rPr>
          <w:rFonts w:ascii="Times New Roman" w:eastAsia="Times New Roman" w:hAnsi="Times New Roman" w:cs="Times New Roman"/>
          <w:sz w:val="20"/>
          <w:szCs w:val="20"/>
          <w:shd w:val="clear" w:color="auto" w:fill="FFFFFF"/>
        </w:rPr>
        <w:t xml:space="preserve"> 2112–2130.</w:t>
      </w:r>
    </w:p>
  </w:footnote>
  <w:footnote w:id="152">
    <w:p w:rsidR="00887BBB" w:rsidRPr="00D97209" w:rsidRDefault="00887BBB" w:rsidP="00D97209">
      <w:pPr>
        <w:pStyle w:val="FootnoteText"/>
        <w:rPr>
          <w:rFonts w:ascii="Times New Roman" w:hAnsi="Times New Roman" w:cs="Times New Roman"/>
          <w:sz w:val="20"/>
          <w:szCs w:val="20"/>
        </w:rPr>
      </w:pPr>
      <w:r w:rsidRPr="00690B32">
        <w:rPr>
          <w:rStyle w:val="FootnoteReference"/>
          <w:rFonts w:ascii="Times New Roman" w:hAnsi="Times New Roman" w:cs="Times New Roman"/>
          <w:sz w:val="20"/>
          <w:szCs w:val="20"/>
        </w:rPr>
        <w:footnoteRef/>
      </w:r>
      <w:r w:rsidRPr="00690B32">
        <w:rPr>
          <w:rFonts w:ascii="Times New Roman" w:hAnsi="Times New Roman" w:cs="Times New Roman"/>
          <w:sz w:val="20"/>
          <w:szCs w:val="20"/>
        </w:rPr>
        <w:t xml:space="preserve"> </w:t>
      </w:r>
      <w:r w:rsidRPr="00D97209">
        <w:rPr>
          <w:rFonts w:ascii="Times New Roman" w:hAnsi="Times New Roman" w:cs="Times New Roman"/>
          <w:sz w:val="20"/>
          <w:szCs w:val="20"/>
        </w:rPr>
        <w:t xml:space="preserve">Gormley, W., Gayer, T., Phillips, D.A., &amp; Dawson, B. (2005). The effects of universal Pre-K on cognitive development. </w:t>
      </w:r>
      <w:r w:rsidRPr="00D97209">
        <w:rPr>
          <w:rFonts w:ascii="Times New Roman" w:hAnsi="Times New Roman" w:cs="Times New Roman"/>
          <w:i/>
          <w:sz w:val="20"/>
          <w:szCs w:val="20"/>
        </w:rPr>
        <w:t>Developmental Psychology, 41,</w:t>
      </w:r>
      <w:r w:rsidRPr="00D97209">
        <w:rPr>
          <w:rFonts w:ascii="Times New Roman" w:hAnsi="Times New Roman" w:cs="Times New Roman"/>
          <w:sz w:val="20"/>
          <w:szCs w:val="20"/>
        </w:rPr>
        <w:t xml:space="preserve"> 872-884.</w:t>
      </w:r>
    </w:p>
    <w:p w:rsidR="00887BBB" w:rsidRPr="00690B32" w:rsidRDefault="00887BBB" w:rsidP="00D97209">
      <w:pPr>
        <w:pStyle w:val="FootnoteText"/>
        <w:rPr>
          <w:rFonts w:ascii="Times New Roman" w:hAnsi="Times New Roman" w:cs="Times New Roman"/>
          <w:sz w:val="20"/>
          <w:szCs w:val="20"/>
        </w:rPr>
      </w:pPr>
      <w:r w:rsidRPr="00D97209">
        <w:rPr>
          <w:rFonts w:ascii="Times New Roman" w:hAnsi="Times New Roman" w:cs="Times New Roman"/>
          <w:sz w:val="20"/>
          <w:szCs w:val="20"/>
        </w:rPr>
        <w:t xml:space="preserve">Campbell, F. A., Ramey, C. T., Pungello, E., Sparling, J., &amp; Miller-Johnson, S. (2002). Early childhood education: Young adult outcomes from the Abecedarian project. </w:t>
      </w:r>
      <w:r w:rsidRPr="00D97209">
        <w:rPr>
          <w:rFonts w:ascii="Times New Roman" w:hAnsi="Times New Roman" w:cs="Times New Roman"/>
          <w:i/>
          <w:sz w:val="20"/>
          <w:szCs w:val="20"/>
        </w:rPr>
        <w:t>Applied Developmental Science, 6,</w:t>
      </w:r>
      <w:r w:rsidRPr="00D97209">
        <w:rPr>
          <w:rFonts w:ascii="Times New Roman" w:hAnsi="Times New Roman" w:cs="Times New Roman"/>
          <w:sz w:val="20"/>
          <w:szCs w:val="20"/>
        </w:rPr>
        <w:t xml:space="preserve"> 42-57.</w:t>
      </w:r>
    </w:p>
  </w:footnote>
  <w:footnote w:id="153">
    <w:p w:rsidR="00887BBB" w:rsidRPr="00690B32" w:rsidRDefault="00887BBB">
      <w:pPr>
        <w:pStyle w:val="FootnoteText"/>
        <w:rPr>
          <w:rFonts w:ascii="Times New Roman" w:hAnsi="Times New Roman" w:cs="Times New Roman"/>
          <w:sz w:val="20"/>
          <w:szCs w:val="20"/>
        </w:rPr>
      </w:pPr>
      <w:r w:rsidRPr="00690B32">
        <w:rPr>
          <w:rStyle w:val="FootnoteReference"/>
          <w:rFonts w:ascii="Times New Roman" w:hAnsi="Times New Roman" w:cs="Times New Roman"/>
          <w:sz w:val="20"/>
          <w:szCs w:val="20"/>
        </w:rPr>
        <w:footnoteRef/>
      </w:r>
      <w:r w:rsidRPr="00690B32">
        <w:rPr>
          <w:rFonts w:ascii="Times New Roman" w:hAnsi="Times New Roman" w:cs="Times New Roman"/>
          <w:sz w:val="20"/>
          <w:szCs w:val="20"/>
        </w:rPr>
        <w:t xml:space="preserve"> </w:t>
      </w:r>
      <w:r w:rsidRPr="00D97209">
        <w:rPr>
          <w:rFonts w:ascii="Times New Roman" w:hAnsi="Times New Roman" w:cs="Times New Roman"/>
          <w:sz w:val="20"/>
          <w:szCs w:val="20"/>
        </w:rPr>
        <w:t xml:space="preserve">Schweinhart, L. J., Montie, J., Xiang, Z., Barnett, W. S., Belfield, C. R., &amp; Nores, M. (2005). </w:t>
      </w:r>
      <w:r w:rsidRPr="00D97209">
        <w:rPr>
          <w:rFonts w:ascii="Times New Roman" w:hAnsi="Times New Roman" w:cs="Times New Roman"/>
          <w:i/>
          <w:sz w:val="20"/>
          <w:szCs w:val="20"/>
        </w:rPr>
        <w:t>Lifetime effects: The HighScope Perry Preschool study through age 40</w:t>
      </w:r>
      <w:r w:rsidRPr="00D97209">
        <w:rPr>
          <w:rFonts w:ascii="Times New Roman" w:hAnsi="Times New Roman" w:cs="Times New Roman"/>
          <w:sz w:val="20"/>
          <w:szCs w:val="20"/>
        </w:rPr>
        <w:t>. Ypsilanti, MI: HighScope Press.</w:t>
      </w:r>
    </w:p>
  </w:footnote>
  <w:footnote w:id="154">
    <w:p w:rsidR="00887BBB" w:rsidRPr="00690B32" w:rsidRDefault="00887BBB" w:rsidP="00D97209">
      <w:pPr>
        <w:pStyle w:val="FootnoteText"/>
        <w:rPr>
          <w:rFonts w:ascii="Times New Roman" w:hAnsi="Times New Roman" w:cs="Times New Roman"/>
          <w:sz w:val="20"/>
          <w:szCs w:val="20"/>
        </w:rPr>
      </w:pPr>
      <w:r w:rsidRPr="00690B32">
        <w:rPr>
          <w:rStyle w:val="FootnoteReference"/>
          <w:rFonts w:ascii="Times New Roman" w:hAnsi="Times New Roman" w:cs="Times New Roman"/>
          <w:sz w:val="20"/>
          <w:szCs w:val="20"/>
        </w:rPr>
        <w:footnoteRef/>
      </w:r>
      <w:r w:rsidRPr="00D97209">
        <w:rPr>
          <w:rFonts w:ascii="Times New Roman" w:hAnsi="Times New Roman" w:cs="Times New Roman"/>
          <w:sz w:val="20"/>
          <w:szCs w:val="20"/>
        </w:rPr>
        <w:t xml:space="preserve">Ehrlich, S.B., Gwynne, J.A…..Sorice, E. (2014).  </w:t>
      </w:r>
      <w:r w:rsidRPr="00D97209">
        <w:rPr>
          <w:rFonts w:ascii="Times New Roman" w:hAnsi="Times New Roman" w:cs="Times New Roman"/>
          <w:i/>
          <w:sz w:val="20"/>
          <w:szCs w:val="20"/>
        </w:rPr>
        <w:t>Preschool Attendance in Chicago Public Schools: Relationships with Learning Outcomes and Reasons for Absences.</w:t>
      </w:r>
      <w:r w:rsidRPr="00D97209">
        <w:rPr>
          <w:rFonts w:ascii="Times New Roman" w:hAnsi="Times New Roman" w:cs="Times New Roman"/>
          <w:sz w:val="20"/>
          <w:szCs w:val="20"/>
        </w:rPr>
        <w:t xml:space="preserve">  University of Chicago Consortium on Chicago School Research.  Reynolds, A.J. (2000). Success in early intervention: The Chicago Child-Parent Centers. Lincoln, Nebraska: University of Nebraska Press</w:t>
      </w:r>
    </w:p>
  </w:footnote>
  <w:footnote w:id="155">
    <w:p w:rsidR="00887BBB" w:rsidRPr="00952980" w:rsidRDefault="00887BBB" w:rsidP="007B0B27">
      <w:pPr>
        <w:spacing w:after="0"/>
        <w:rPr>
          <w:rFonts w:ascii="Times New Roman" w:hAnsi="Times New Roman" w:cs="Times New Roman"/>
          <w:sz w:val="20"/>
          <w:szCs w:val="20"/>
        </w:rPr>
      </w:pPr>
      <w:r w:rsidRPr="00952980">
        <w:rPr>
          <w:rStyle w:val="FootnoteReference"/>
          <w:rFonts w:ascii="Times New Roman" w:hAnsi="Times New Roman" w:cs="Times New Roman"/>
          <w:sz w:val="20"/>
          <w:szCs w:val="20"/>
        </w:rPr>
        <w:footnoteRef/>
      </w:r>
      <w:r w:rsidRPr="001A0143">
        <w:rPr>
          <w:rFonts w:ascii="Times New Roman" w:hAnsi="Times New Roman" w:cs="Times New Roman"/>
          <w:sz w:val="20"/>
          <w:szCs w:val="20"/>
        </w:rPr>
        <w:t xml:space="preserve"> </w:t>
      </w:r>
      <w:r w:rsidRPr="00112C78">
        <w:rPr>
          <w:rFonts w:ascii="Times New Roman" w:hAnsi="Times New Roman" w:cs="Times New Roman"/>
          <w:color w:val="222222"/>
          <w:sz w:val="20"/>
          <w:szCs w:val="20"/>
        </w:rPr>
        <w:t>Allensworth, E. M., Ehrlich, S. B., Gwynne, J. A., &amp; Pareja, A. S. (2013). Preschool Attendance in Chicago Public Schools: Relationships with Learning Outcomes and Reasons for Absences</w:t>
      </w:r>
      <w:r w:rsidRPr="00037E18">
        <w:rPr>
          <w:rFonts w:ascii="Times New Roman" w:hAnsi="Times New Roman" w:cs="Times New Roman"/>
          <w:sz w:val="20"/>
          <w:szCs w:val="20"/>
        </w:rPr>
        <w:t>.</w:t>
      </w:r>
    </w:p>
  </w:footnote>
  <w:footnote w:id="156">
    <w:p w:rsidR="00887BBB" w:rsidRPr="001A0143" w:rsidRDefault="00887BBB" w:rsidP="007B0B27">
      <w:pPr>
        <w:pStyle w:val="FootnoteText"/>
        <w:rPr>
          <w:rFonts w:ascii="Times New Roman" w:hAnsi="Times New Roman" w:cs="Times New Roman"/>
          <w:sz w:val="20"/>
          <w:szCs w:val="20"/>
        </w:rPr>
      </w:pPr>
      <w:r w:rsidRPr="001A0143">
        <w:rPr>
          <w:rFonts w:ascii="Times New Roman" w:hAnsi="Times New Roman" w:cs="Times New Roman"/>
          <w:sz w:val="20"/>
          <w:szCs w:val="20"/>
          <w:vertAlign w:val="superscript"/>
        </w:rPr>
        <w:footnoteRef/>
      </w:r>
      <w:r w:rsidRPr="001A0143">
        <w:rPr>
          <w:rFonts w:ascii="Times New Roman" w:hAnsi="Times New Roman" w:cs="Times New Roman"/>
          <w:sz w:val="20"/>
          <w:szCs w:val="20"/>
        </w:rPr>
        <w:t xml:space="preserve"> Community Action Project Tulsa County. (2012)</w:t>
      </w:r>
      <w:r>
        <w:rPr>
          <w:rFonts w:ascii="Times New Roman" w:hAnsi="Times New Roman" w:cs="Times New Roman"/>
          <w:sz w:val="20"/>
          <w:szCs w:val="20"/>
        </w:rPr>
        <w:t xml:space="preserve">. </w:t>
      </w:r>
      <w:r w:rsidRPr="001A0143">
        <w:rPr>
          <w:rFonts w:ascii="Times New Roman" w:hAnsi="Times New Roman" w:cs="Times New Roman"/>
          <w:i/>
          <w:sz w:val="20"/>
          <w:szCs w:val="20"/>
        </w:rPr>
        <w:t>Attendance Works Peer Learning Network Webinar</w:t>
      </w:r>
      <w:r w:rsidRPr="001A0143">
        <w:rPr>
          <w:rFonts w:ascii="Times New Roman" w:hAnsi="Times New Roman" w:cs="Times New Roman"/>
          <w:sz w:val="20"/>
          <w:szCs w:val="20"/>
        </w:rPr>
        <w:t xml:space="preserve">. </w:t>
      </w:r>
    </w:p>
  </w:footnote>
  <w:footnote w:id="157">
    <w:p w:rsidR="00887BBB" w:rsidRPr="00363004" w:rsidRDefault="00887BBB" w:rsidP="007B0B27">
      <w:pPr>
        <w:spacing w:after="0" w:line="240" w:lineRule="auto"/>
        <w:rPr>
          <w:rFonts w:ascii="Times New Roman" w:hAnsi="Times New Roman" w:cs="Times New Roman"/>
          <w:sz w:val="20"/>
          <w:szCs w:val="20"/>
        </w:rPr>
      </w:pPr>
      <w:r w:rsidRPr="00952980">
        <w:rPr>
          <w:rFonts w:ascii="Times New Roman" w:hAnsi="Times New Roman" w:cs="Times New Roman"/>
          <w:sz w:val="20"/>
          <w:szCs w:val="20"/>
          <w:vertAlign w:val="superscript"/>
        </w:rPr>
        <w:footnoteRef/>
      </w:r>
      <w:r w:rsidRPr="00952980">
        <w:rPr>
          <w:rFonts w:ascii="Times New Roman" w:hAnsi="Times New Roman" w:cs="Times New Roman"/>
          <w:sz w:val="20"/>
          <w:szCs w:val="20"/>
          <w:vertAlign w:val="superscript"/>
        </w:rPr>
        <w:t xml:space="preserve"> </w:t>
      </w:r>
      <w:r w:rsidRPr="00363004">
        <w:rPr>
          <w:rFonts w:ascii="Times New Roman" w:hAnsi="Times New Roman" w:cs="Times New Roman"/>
          <w:sz w:val="20"/>
          <w:szCs w:val="20"/>
        </w:rPr>
        <w:t xml:space="preserve">Connolly, F., &amp; Olson, L. S. (2012). Early Elementary Performance and Attendance in Baltimore City Schools' Pre-Kindergarten and Kindergarten. </w:t>
      </w:r>
      <w:r w:rsidRPr="00363004">
        <w:rPr>
          <w:rFonts w:ascii="Times New Roman" w:hAnsi="Times New Roman" w:cs="Times New Roman"/>
          <w:i/>
          <w:sz w:val="20"/>
          <w:szCs w:val="20"/>
        </w:rPr>
        <w:t>Baltimore Education Research Consortium</w:t>
      </w:r>
      <w:r w:rsidRPr="00363004">
        <w:rPr>
          <w:rFonts w:ascii="Times New Roman" w:hAnsi="Times New Roman" w:cs="Times New Roman"/>
          <w:sz w:val="20"/>
          <w:szCs w:val="20"/>
        </w:rPr>
        <w:t>.</w:t>
      </w:r>
    </w:p>
    <w:p w:rsidR="00887BBB" w:rsidRPr="003A13C9" w:rsidRDefault="00887BBB" w:rsidP="00D722F2">
      <w:pPr>
        <w:pStyle w:val="FootnoteText"/>
        <w:rPr>
          <w:rFonts w:ascii="Times New Roman" w:hAnsi="Times New Roman" w:cs="Times New Roman"/>
          <w:sz w:val="20"/>
        </w:rPr>
      </w:pPr>
    </w:p>
  </w:footnote>
  <w:footnote w:id="158">
    <w:p w:rsidR="00887BBB" w:rsidRPr="004932C1" w:rsidRDefault="00887BBB" w:rsidP="00331A7B">
      <w:pPr>
        <w:pStyle w:val="Default"/>
        <w:rPr>
          <w:rFonts w:ascii="Times New Roman" w:hAnsi="Times New Roman" w:cs="Times New Roman"/>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Buysse, V., &amp; Wesley, P. W. (2005). </w:t>
      </w:r>
      <w:r w:rsidRPr="004932C1">
        <w:rPr>
          <w:rFonts w:ascii="Times New Roman" w:hAnsi="Times New Roman" w:cs="Times New Roman"/>
          <w:i/>
          <w:iCs/>
          <w:color w:val="auto"/>
          <w:sz w:val="20"/>
          <w:szCs w:val="20"/>
        </w:rPr>
        <w:t>Consultation in Early Childhood Settings</w:t>
      </w:r>
      <w:r w:rsidRPr="004932C1">
        <w:rPr>
          <w:rFonts w:ascii="Times New Roman" w:hAnsi="Times New Roman" w:cs="Times New Roman"/>
          <w:color w:val="auto"/>
          <w:sz w:val="20"/>
          <w:szCs w:val="20"/>
        </w:rPr>
        <w:t xml:space="preserve">. Baltimore, MD: Paul H. Brookes Publishing. </w:t>
      </w:r>
    </w:p>
  </w:footnote>
  <w:footnote w:id="159">
    <w:p w:rsidR="00887BBB" w:rsidRPr="004932C1" w:rsidRDefault="00887BBB" w:rsidP="00331A7B">
      <w:pPr>
        <w:pStyle w:val="Default"/>
        <w:rPr>
          <w:rFonts w:ascii="Times New Roman" w:hAnsi="Times New Roman" w:cs="Times New Roman"/>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Tout, K., Halle, T., Zaslow, M., &amp; Starr, R. (2009). </w:t>
      </w:r>
      <w:r w:rsidRPr="004932C1">
        <w:rPr>
          <w:rFonts w:ascii="Times New Roman" w:hAnsi="Times New Roman" w:cs="Times New Roman"/>
          <w:i/>
          <w:iCs/>
          <w:color w:val="auto"/>
          <w:sz w:val="20"/>
          <w:szCs w:val="20"/>
        </w:rPr>
        <w:t>Evaluation of the Early Childhood Educator Professional Development Program: Final Report</w:t>
      </w:r>
      <w:r w:rsidRPr="004932C1">
        <w:rPr>
          <w:rFonts w:ascii="Times New Roman" w:hAnsi="Times New Roman" w:cs="Times New Roman"/>
          <w:color w:val="auto"/>
          <w:sz w:val="20"/>
          <w:szCs w:val="20"/>
        </w:rPr>
        <w:t xml:space="preserve">: Report prepared for the U.S. Department of Education. </w:t>
      </w:r>
    </w:p>
  </w:footnote>
  <w:footnote w:id="160">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Zaslow, M., Tout, K., Halle, T., Vick, J., &amp; Lavelle, B. (2010). </w:t>
      </w:r>
      <w:r w:rsidRPr="004932C1">
        <w:rPr>
          <w:rFonts w:ascii="Times New Roman" w:hAnsi="Times New Roman" w:cs="Times New Roman"/>
          <w:i/>
          <w:iCs/>
          <w:sz w:val="20"/>
          <w:szCs w:val="20"/>
        </w:rPr>
        <w:t xml:space="preserve">Towards the identification of features of effective professional development for early childhood educators: A review of the literature. </w:t>
      </w:r>
      <w:r w:rsidRPr="004932C1">
        <w:rPr>
          <w:rFonts w:ascii="Times New Roman" w:hAnsi="Times New Roman" w:cs="Times New Roman"/>
          <w:sz w:val="20"/>
          <w:szCs w:val="20"/>
        </w:rPr>
        <w:t>Report prepared for the U.S. Department of Education.</w:t>
      </w:r>
    </w:p>
  </w:footnote>
  <w:footnote w:id="161">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Isner, T., Tout, K., Zaslow, M., Soli, M., Quinn, K., Rothenberg, L., &amp; Burkhauser, M. (2011). </w:t>
      </w:r>
      <w:r w:rsidRPr="004932C1">
        <w:rPr>
          <w:rFonts w:ascii="Times New Roman" w:hAnsi="Times New Roman" w:cs="Times New Roman"/>
          <w:i/>
          <w:sz w:val="20"/>
          <w:szCs w:val="20"/>
        </w:rPr>
        <w:t>Coaching in early care and education programs and Quality Rating and Improvement Systems (QRIS): Identifying promising features</w:t>
      </w:r>
      <w:r w:rsidRPr="004932C1">
        <w:rPr>
          <w:rFonts w:ascii="Times New Roman" w:hAnsi="Times New Roman" w:cs="Times New Roman"/>
          <w:sz w:val="20"/>
          <w:szCs w:val="20"/>
        </w:rPr>
        <w:t>. Child Trends.</w:t>
      </w:r>
    </w:p>
  </w:footnote>
  <w:footnote w:id="162">
    <w:p w:rsidR="00887BBB" w:rsidRPr="004932C1" w:rsidRDefault="00887BBB" w:rsidP="00331A7B">
      <w:pPr>
        <w:pStyle w:val="FootnoteText"/>
        <w:rPr>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Lloyd, C. M., &amp; Modlin, E. L. (2012). </w:t>
      </w:r>
      <w:r w:rsidRPr="004932C1">
        <w:rPr>
          <w:rFonts w:ascii="Times New Roman" w:hAnsi="Times New Roman" w:cs="Times New Roman"/>
          <w:i/>
          <w:sz w:val="20"/>
          <w:szCs w:val="20"/>
        </w:rPr>
        <w:t>Coaching as a key component in teachers’ professional development: Improving classroom practices in Head Start settings.</w:t>
      </w:r>
      <w:r w:rsidRPr="004932C1">
        <w:rPr>
          <w:rFonts w:ascii="Times New Roman" w:hAnsi="Times New Roman" w:cs="Times New Roman"/>
          <w:sz w:val="20"/>
          <w:szCs w:val="20"/>
        </w:rPr>
        <w:t xml:space="preserve"> Administration for Children and Families.</w:t>
      </w:r>
    </w:p>
  </w:footnote>
  <w:footnote w:id="163">
    <w:p w:rsidR="00887BBB" w:rsidRDefault="00887BBB" w:rsidP="00D722F2">
      <w:pPr>
        <w:pStyle w:val="FootnoteText"/>
      </w:pPr>
      <w:r>
        <w:rPr>
          <w:rStyle w:val="FootnoteReference"/>
        </w:rPr>
        <w:footnoteRef/>
      </w:r>
      <w:r>
        <w:t xml:space="preserve"> </w:t>
      </w:r>
      <w:r w:rsidRPr="00690B32">
        <w:rPr>
          <w:rFonts w:ascii="Times New Roman" w:hAnsi="Times New Roman" w:cs="Times New Roman"/>
          <w:sz w:val="20"/>
          <w:szCs w:val="20"/>
        </w:rPr>
        <w:t xml:space="preserve">Howard, E. C., Rankin, V. E., Fishman, M., Hawkinson, L. E., McGroder, S. M., Helsel, F. K., et al. (2013). </w:t>
      </w:r>
      <w:r w:rsidRPr="00690B32">
        <w:rPr>
          <w:rFonts w:ascii="Times New Roman" w:hAnsi="Times New Roman" w:cs="Times New Roman"/>
          <w:i/>
          <w:iCs/>
          <w:sz w:val="20"/>
          <w:szCs w:val="20"/>
        </w:rPr>
        <w:t xml:space="preserve">The Descriptive Study of the Head Start Early Learning Mentor Coach Initiative. </w:t>
      </w:r>
      <w:r w:rsidRPr="00690B32">
        <w:rPr>
          <w:rFonts w:ascii="Times New Roman" w:hAnsi="Times New Roman" w:cs="Times New Roman"/>
          <w:sz w:val="20"/>
          <w:szCs w:val="20"/>
        </w:rPr>
        <w:t>OPRE Report #2014-5a; Washington, DC: U.S. Department of Health and Human Services, Administration for Children and Families, Office of Planning, Research and Evaluation.</w:t>
      </w:r>
    </w:p>
  </w:footnote>
  <w:footnote w:id="164">
    <w:p w:rsidR="00887BBB" w:rsidRPr="00690B32" w:rsidRDefault="00887BBB" w:rsidP="00D722F2">
      <w:pPr>
        <w:spacing w:after="0" w:line="240" w:lineRule="auto"/>
        <w:rPr>
          <w:rFonts w:ascii="Times New Roman" w:hAnsi="Times New Roman" w:cs="Times New Roman"/>
          <w:color w:val="666666"/>
          <w:sz w:val="20"/>
          <w:szCs w:val="20"/>
          <w:lang w:val="en"/>
        </w:rPr>
      </w:pPr>
      <w:r w:rsidRPr="00690B32">
        <w:rPr>
          <w:rStyle w:val="FootnoteReference"/>
          <w:rFonts w:ascii="Times New Roman" w:hAnsi="Times New Roman" w:cs="Times New Roman"/>
          <w:sz w:val="20"/>
          <w:szCs w:val="20"/>
        </w:rPr>
        <w:footnoteRef/>
      </w:r>
      <w:r w:rsidRPr="00690B32">
        <w:rPr>
          <w:rFonts w:ascii="Times New Roman" w:hAnsi="Times New Roman" w:cs="Times New Roman"/>
          <w:sz w:val="20"/>
          <w:szCs w:val="20"/>
        </w:rPr>
        <w:t xml:space="preserve"> </w:t>
      </w:r>
      <w:r w:rsidRPr="00690B32">
        <w:rPr>
          <w:rFonts w:ascii="Times New Roman" w:hAnsi="Times New Roman" w:cs="Times New Roman"/>
          <w:color w:val="000000"/>
          <w:sz w:val="20"/>
          <w:szCs w:val="20"/>
        </w:rPr>
        <w:t>Isner, Tout, Zaslow, Soli, Quinn, Rothenberg and Burkhauser (2011). Coaching in Early Care and Education Programs and Quality Rating and Improvement Systems (QRIS): Identifying Promising Features.</w:t>
      </w:r>
      <w:r w:rsidRPr="00690B32">
        <w:rPr>
          <w:rStyle w:val="Hyperlink"/>
          <w:rFonts w:ascii="Times New Roman" w:hAnsi="Times New Roman" w:cs="Times New Roman"/>
          <w:color w:val="000000"/>
          <w:sz w:val="20"/>
          <w:szCs w:val="20"/>
        </w:rPr>
        <w:t xml:space="preserve"> </w:t>
      </w:r>
      <w:r w:rsidRPr="00001E53">
        <w:rPr>
          <w:rFonts w:ascii="Times New Roman" w:hAnsi="Times New Roman" w:cs="Times New Roman"/>
          <w:i/>
          <w:iCs/>
          <w:sz w:val="20"/>
          <w:szCs w:val="20"/>
          <w:lang w:val="en"/>
        </w:rPr>
        <w:t>www.childtrends.org/wp.../2011-35</w:t>
      </w:r>
      <w:r w:rsidRPr="00001E53">
        <w:rPr>
          <w:rFonts w:ascii="Times New Roman" w:hAnsi="Times New Roman" w:cs="Times New Roman"/>
          <w:b/>
          <w:bCs/>
          <w:i/>
          <w:iCs/>
          <w:sz w:val="20"/>
          <w:szCs w:val="20"/>
          <w:lang w:val="en"/>
        </w:rPr>
        <w:t>Coaching</w:t>
      </w:r>
      <w:r w:rsidRPr="00001E53">
        <w:rPr>
          <w:rFonts w:ascii="Times New Roman" w:hAnsi="Times New Roman" w:cs="Times New Roman"/>
          <w:i/>
          <w:iCs/>
          <w:sz w:val="20"/>
          <w:szCs w:val="20"/>
          <w:lang w:val="en"/>
        </w:rPr>
        <w:t>QualityImprovement.pdf</w:t>
      </w:r>
    </w:p>
  </w:footnote>
  <w:footnote w:id="165">
    <w:p w:rsidR="00887BBB" w:rsidRPr="00690B32" w:rsidRDefault="00887BBB" w:rsidP="00D722F2">
      <w:pPr>
        <w:spacing w:after="0" w:line="240" w:lineRule="auto"/>
        <w:rPr>
          <w:rFonts w:ascii="Times New Roman" w:eastAsia="Times New Roman" w:hAnsi="Times New Roman" w:cs="Times New Roman"/>
          <w:color w:val="222222"/>
          <w:sz w:val="20"/>
          <w:szCs w:val="20"/>
        </w:rPr>
      </w:pPr>
      <w:r w:rsidRPr="00690B32">
        <w:rPr>
          <w:rStyle w:val="FootnoteReference"/>
          <w:rFonts w:ascii="Times New Roman" w:hAnsi="Times New Roman" w:cs="Times New Roman"/>
          <w:sz w:val="20"/>
          <w:szCs w:val="20"/>
        </w:rPr>
        <w:footnoteRef/>
      </w:r>
      <w:r w:rsidRPr="00690B32">
        <w:rPr>
          <w:rFonts w:ascii="Times New Roman" w:hAnsi="Times New Roman" w:cs="Times New Roman"/>
          <w:sz w:val="20"/>
          <w:szCs w:val="20"/>
        </w:rPr>
        <w:t xml:space="preserve"> </w:t>
      </w:r>
      <w:r w:rsidRPr="00690B32">
        <w:rPr>
          <w:rFonts w:ascii="Times New Roman" w:eastAsia="Times New Roman" w:hAnsi="Times New Roman" w:cs="Times New Roman"/>
          <w:color w:val="222222"/>
          <w:sz w:val="20"/>
          <w:szCs w:val="20"/>
        </w:rPr>
        <w:t xml:space="preserve">Yoshikawa, H., Weiland, C., Brooks-Gunn, J., Burchinal, M. R., Espinosa, L. M., Gormley, W. T., ... &amp; Zaslow, M. J. (2013). Investing in our future: The evidence base on preschool education. </w:t>
      </w:r>
      <w:r w:rsidRPr="00690B32">
        <w:rPr>
          <w:rFonts w:ascii="Times New Roman" w:eastAsia="Times New Roman" w:hAnsi="Times New Roman" w:cs="Times New Roman"/>
          <w:i/>
          <w:iCs/>
          <w:color w:val="222222"/>
          <w:sz w:val="20"/>
          <w:szCs w:val="20"/>
        </w:rPr>
        <w:t>Ann Arbor, MI: Society for Research in Child Development</w:t>
      </w:r>
      <w:r w:rsidRPr="00690B32">
        <w:rPr>
          <w:rFonts w:ascii="Times New Roman" w:eastAsia="Times New Roman" w:hAnsi="Times New Roman" w:cs="Times New Roman"/>
          <w:color w:val="222222"/>
          <w:sz w:val="20"/>
          <w:szCs w:val="20"/>
        </w:rPr>
        <w:t>.</w:t>
      </w:r>
    </w:p>
  </w:footnote>
  <w:footnote w:id="166">
    <w:p w:rsidR="00887BBB" w:rsidRPr="004932C1" w:rsidRDefault="00887BBB" w:rsidP="00331A7B">
      <w:pPr>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Clements, D. H., &amp; Sarama, J. (2008). Experimental Evaluation of the Effects of a Research-Based Preschool Mathematics Curriculum. </w:t>
      </w:r>
      <w:r w:rsidRPr="004932C1">
        <w:rPr>
          <w:rFonts w:ascii="Times New Roman" w:hAnsi="Times New Roman" w:cs="Times New Roman"/>
          <w:i/>
          <w:iCs/>
          <w:sz w:val="20"/>
          <w:szCs w:val="20"/>
        </w:rPr>
        <w:t>American Educational Research Journal</w:t>
      </w:r>
      <w:r w:rsidRPr="004932C1">
        <w:rPr>
          <w:rFonts w:ascii="Times New Roman" w:hAnsi="Times New Roman" w:cs="Times New Roman"/>
          <w:sz w:val="20"/>
          <w:szCs w:val="20"/>
        </w:rPr>
        <w:t xml:space="preserve">, </w:t>
      </w:r>
      <w:r w:rsidRPr="004932C1">
        <w:rPr>
          <w:rFonts w:ascii="Times New Roman" w:hAnsi="Times New Roman" w:cs="Times New Roman"/>
          <w:i/>
          <w:iCs/>
          <w:sz w:val="20"/>
          <w:szCs w:val="20"/>
        </w:rPr>
        <w:t>45</w:t>
      </w:r>
      <w:r w:rsidRPr="004932C1">
        <w:rPr>
          <w:rFonts w:ascii="Times New Roman" w:hAnsi="Times New Roman" w:cs="Times New Roman"/>
          <w:sz w:val="20"/>
          <w:szCs w:val="20"/>
        </w:rPr>
        <w:t xml:space="preserve">(2), 443–494. </w:t>
      </w:r>
    </w:p>
  </w:footnote>
  <w:footnote w:id="167">
    <w:p w:rsidR="00887BBB" w:rsidRPr="004932C1" w:rsidRDefault="00887BBB" w:rsidP="00331A7B">
      <w:pPr>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Starkey, P., Klein, A., &amp; Wakeley, A. (2004). Enhancing young children’s mathematical knowledge through a pre-kindergarten mathematics intervention. </w:t>
      </w:r>
      <w:r w:rsidRPr="004932C1">
        <w:rPr>
          <w:rFonts w:ascii="Times New Roman" w:hAnsi="Times New Roman" w:cs="Times New Roman"/>
          <w:i/>
          <w:iCs/>
          <w:sz w:val="20"/>
          <w:szCs w:val="20"/>
        </w:rPr>
        <w:t>Special issue on Early Learning in Math and Science</w:t>
      </w:r>
      <w:r w:rsidRPr="004932C1">
        <w:rPr>
          <w:rFonts w:ascii="Times New Roman" w:hAnsi="Times New Roman" w:cs="Times New Roman"/>
          <w:sz w:val="20"/>
          <w:szCs w:val="20"/>
        </w:rPr>
        <w:t xml:space="preserve">, </w:t>
      </w:r>
      <w:r w:rsidRPr="004932C1">
        <w:rPr>
          <w:rFonts w:ascii="Times New Roman" w:hAnsi="Times New Roman" w:cs="Times New Roman"/>
          <w:i/>
          <w:iCs/>
          <w:sz w:val="20"/>
          <w:szCs w:val="20"/>
        </w:rPr>
        <w:t>19</w:t>
      </w:r>
      <w:r w:rsidRPr="004932C1">
        <w:rPr>
          <w:rFonts w:ascii="Times New Roman" w:hAnsi="Times New Roman" w:cs="Times New Roman"/>
          <w:sz w:val="20"/>
          <w:szCs w:val="20"/>
        </w:rPr>
        <w:t>(1), 99–120.</w:t>
      </w:r>
    </w:p>
  </w:footnote>
  <w:footnote w:id="168">
    <w:p w:rsidR="00887BBB" w:rsidRPr="004932C1" w:rsidRDefault="00887BBB" w:rsidP="00331A7B">
      <w:pPr>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Bierman, K. L., Domitrovich, C. E., Nix, R. L., Gest, S. D., Welsh, J. A., Greenberg, M. T., … Gill, S. (2008). Promoting Academic and Social-Emotional School Readiness: The Head Start REDI Program. </w:t>
      </w:r>
      <w:r w:rsidRPr="004932C1">
        <w:rPr>
          <w:rFonts w:ascii="Times New Roman" w:hAnsi="Times New Roman" w:cs="Times New Roman"/>
          <w:i/>
          <w:iCs/>
          <w:sz w:val="20"/>
          <w:szCs w:val="20"/>
        </w:rPr>
        <w:t>Child Development</w:t>
      </w:r>
      <w:r w:rsidRPr="004932C1">
        <w:rPr>
          <w:rFonts w:ascii="Times New Roman" w:hAnsi="Times New Roman" w:cs="Times New Roman"/>
          <w:sz w:val="20"/>
          <w:szCs w:val="20"/>
        </w:rPr>
        <w:t xml:space="preserve">, </w:t>
      </w:r>
      <w:r w:rsidRPr="004932C1">
        <w:rPr>
          <w:rFonts w:ascii="Times New Roman" w:hAnsi="Times New Roman" w:cs="Times New Roman"/>
          <w:i/>
          <w:iCs/>
          <w:sz w:val="20"/>
          <w:szCs w:val="20"/>
        </w:rPr>
        <w:t>79</w:t>
      </w:r>
      <w:r w:rsidRPr="004932C1">
        <w:rPr>
          <w:rFonts w:ascii="Times New Roman" w:hAnsi="Times New Roman" w:cs="Times New Roman"/>
          <w:sz w:val="20"/>
          <w:szCs w:val="20"/>
        </w:rPr>
        <w:t>(6), 1802–1817.</w:t>
      </w:r>
    </w:p>
  </w:footnote>
  <w:footnote w:id="169">
    <w:p w:rsidR="00887BBB" w:rsidRPr="004932C1" w:rsidRDefault="00887BBB" w:rsidP="00331A7B">
      <w:pPr>
        <w:widowControl w:val="0"/>
        <w:autoSpaceDE w:val="0"/>
        <w:autoSpaceDN w:val="0"/>
        <w:adjustRightInd w:val="0"/>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Clements, D. H. (2007). Curriculum research: Toward a framework for "Research-based Curricula". </w:t>
      </w:r>
      <w:r w:rsidRPr="004932C1">
        <w:rPr>
          <w:rFonts w:ascii="Times New Roman" w:hAnsi="Times New Roman" w:cs="Times New Roman"/>
          <w:i/>
          <w:sz w:val="20"/>
          <w:szCs w:val="20"/>
        </w:rPr>
        <w:t>Journal for Research in Mathematics Education, 38</w:t>
      </w:r>
      <w:r w:rsidRPr="004932C1">
        <w:rPr>
          <w:rFonts w:ascii="Times New Roman" w:hAnsi="Times New Roman" w:cs="Times New Roman"/>
          <w:sz w:val="20"/>
          <w:szCs w:val="20"/>
        </w:rPr>
        <w:t>(1), 35-70.</w:t>
      </w:r>
    </w:p>
  </w:footnote>
  <w:footnote w:id="170">
    <w:p w:rsidR="00887BBB" w:rsidRPr="004932C1" w:rsidRDefault="00887BBB" w:rsidP="00331A7B">
      <w:pPr>
        <w:widowControl w:val="0"/>
        <w:autoSpaceDE w:val="0"/>
        <w:autoSpaceDN w:val="0"/>
        <w:adjustRightInd w:val="0"/>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Fantuzzo, J. W., Gadsden, V. L., &amp; McDermott, P. A. (2011). An integrated curriculum to improve mathematics, language, and literacy for Head Start children. </w:t>
      </w:r>
      <w:r w:rsidRPr="004932C1">
        <w:rPr>
          <w:rFonts w:ascii="Times New Roman" w:hAnsi="Times New Roman" w:cs="Times New Roman"/>
          <w:i/>
          <w:sz w:val="20"/>
          <w:szCs w:val="20"/>
        </w:rPr>
        <w:t>American Educational Research Journal,</w:t>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48</w:t>
      </w:r>
      <w:r w:rsidRPr="004932C1">
        <w:rPr>
          <w:rFonts w:ascii="Times New Roman" w:hAnsi="Times New Roman" w:cs="Times New Roman"/>
          <w:sz w:val="20"/>
          <w:szCs w:val="20"/>
        </w:rPr>
        <w:t>, 763-793</w:t>
      </w:r>
    </w:p>
  </w:footnote>
  <w:footnote w:id="171">
    <w:p w:rsidR="00887BBB" w:rsidRPr="004932C1" w:rsidRDefault="00887BBB" w:rsidP="00331A7B">
      <w:pPr>
        <w:widowControl w:val="0"/>
        <w:autoSpaceDE w:val="0"/>
        <w:autoSpaceDN w:val="0"/>
        <w:adjustRightInd w:val="0"/>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Lonigan, C. J., Farver, J. M., Phillips, B. M., &amp; Clancy-Menchetti, J. (2011). Promoting the development of preschool children’s emergent literacy skills: A randomized evaluation of a literacy-focused curriculum and two professional development models. </w:t>
      </w:r>
      <w:r w:rsidRPr="004932C1">
        <w:rPr>
          <w:rFonts w:ascii="Times New Roman" w:hAnsi="Times New Roman" w:cs="Times New Roman"/>
          <w:i/>
          <w:sz w:val="20"/>
          <w:szCs w:val="20"/>
        </w:rPr>
        <w:t>Reading and Writing,</w:t>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24</w:t>
      </w:r>
      <w:r w:rsidRPr="004932C1">
        <w:rPr>
          <w:rFonts w:ascii="Times New Roman" w:hAnsi="Times New Roman" w:cs="Times New Roman"/>
          <w:sz w:val="20"/>
          <w:szCs w:val="20"/>
        </w:rPr>
        <w:t>, 305-337.</w:t>
      </w:r>
    </w:p>
  </w:footnote>
  <w:footnote w:id="172">
    <w:p w:rsidR="00887BBB" w:rsidRPr="004932C1" w:rsidRDefault="00887BBB" w:rsidP="00331A7B">
      <w:pPr>
        <w:widowControl w:val="0"/>
        <w:autoSpaceDE w:val="0"/>
        <w:autoSpaceDN w:val="0"/>
        <w:adjustRightInd w:val="0"/>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Preschool Curriculum Evaluation Research Consortium (2008). Effects of preschool curriculum programs on school readiness (NCER 2008-2009). Washington, DC: National Center for Education Research, Institute of Education Sciences, U.S. Department of Education. Washington, DC: U.S. Government Printing Office.</w:t>
      </w:r>
    </w:p>
  </w:footnote>
  <w:footnote w:id="173">
    <w:p w:rsidR="00887BBB" w:rsidRPr="004932C1" w:rsidRDefault="00887BBB" w:rsidP="00331A7B">
      <w:pPr>
        <w:widowControl w:val="0"/>
        <w:autoSpaceDE w:val="0"/>
        <w:autoSpaceDN w:val="0"/>
        <w:adjustRightInd w:val="0"/>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Wasik, B. A., Bond, M. A., &amp; Hindman, A. H. (2006). The effects of a language and literacy intervention on Head Start children and teachers. </w:t>
      </w:r>
      <w:r w:rsidRPr="004932C1">
        <w:rPr>
          <w:rFonts w:ascii="Times New Roman" w:hAnsi="Times New Roman" w:cs="Times New Roman"/>
          <w:i/>
          <w:sz w:val="20"/>
          <w:szCs w:val="20"/>
        </w:rPr>
        <w:t>Journal of Educational Psychology, 98</w:t>
      </w:r>
      <w:r w:rsidRPr="004932C1">
        <w:rPr>
          <w:rFonts w:ascii="Times New Roman" w:hAnsi="Times New Roman" w:cs="Times New Roman"/>
          <w:sz w:val="20"/>
          <w:szCs w:val="20"/>
        </w:rPr>
        <w:t>, 63-74.</w:t>
      </w:r>
    </w:p>
  </w:footnote>
  <w:footnote w:id="174">
    <w:p w:rsidR="00887BBB" w:rsidRPr="004932C1" w:rsidRDefault="00887BBB" w:rsidP="00331A7B">
      <w:pPr>
        <w:widowControl w:val="0"/>
        <w:autoSpaceDE w:val="0"/>
        <w:autoSpaceDN w:val="0"/>
        <w:adjustRightInd w:val="0"/>
        <w:spacing w:after="0" w:line="252"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Riggs, N. R., Greenberg, M. T., Kusché, C. A., &amp; Pentz, M. A. (2006). The mediational role of neurocognition in the behavioral outcomes of a social-emotional prevention program in elementary school students: Effects of the PATHS curriculum. </w:t>
      </w:r>
      <w:r w:rsidRPr="004932C1">
        <w:rPr>
          <w:rFonts w:ascii="Times New Roman" w:hAnsi="Times New Roman" w:cs="Times New Roman"/>
          <w:i/>
          <w:sz w:val="20"/>
          <w:szCs w:val="20"/>
        </w:rPr>
        <w:t>Prevention Science, 7</w:t>
      </w:r>
      <w:r w:rsidRPr="004932C1">
        <w:rPr>
          <w:rFonts w:ascii="Times New Roman" w:hAnsi="Times New Roman" w:cs="Times New Roman"/>
          <w:sz w:val="20"/>
          <w:szCs w:val="20"/>
        </w:rPr>
        <w:t>, 91-102.</w:t>
      </w:r>
    </w:p>
  </w:footnote>
  <w:footnote w:id="175">
    <w:p w:rsidR="00887BBB" w:rsidRPr="004932C1" w:rsidRDefault="00887BBB" w:rsidP="00331A7B">
      <w:pPr>
        <w:pStyle w:val="FootnoteText"/>
        <w:rPr>
          <w:rFonts w:ascii="Times New Roman" w:hAnsi="Times New Roman"/>
          <w:sz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sz w:val="20"/>
        </w:rPr>
        <w:t xml:space="preserve">Lieber, J., Butera, G., Hanson, M., Palmer, S., Horn, E., Czaja, C., ... &amp; Odom, S. (2009). Factors that influence the implementation of a new preschool curriculum: Implications for professional development. </w:t>
      </w:r>
      <w:r w:rsidRPr="004932C1">
        <w:rPr>
          <w:rFonts w:ascii="Times New Roman" w:hAnsi="Times New Roman"/>
          <w:i/>
          <w:sz w:val="20"/>
        </w:rPr>
        <w:t>Early Education and Development</w:t>
      </w:r>
      <w:r w:rsidRPr="004932C1">
        <w:rPr>
          <w:rFonts w:ascii="Times New Roman" w:hAnsi="Times New Roman"/>
          <w:sz w:val="20"/>
        </w:rPr>
        <w:t xml:space="preserve">, </w:t>
      </w:r>
      <w:r w:rsidRPr="004932C1">
        <w:rPr>
          <w:rFonts w:ascii="Times New Roman" w:hAnsi="Times New Roman"/>
          <w:i/>
          <w:sz w:val="20"/>
        </w:rPr>
        <w:t>20</w:t>
      </w:r>
      <w:r w:rsidRPr="004932C1">
        <w:rPr>
          <w:rFonts w:ascii="Times New Roman" w:hAnsi="Times New Roman"/>
          <w:sz w:val="20"/>
        </w:rPr>
        <w:t>(3), 456-481.</w:t>
      </w:r>
    </w:p>
  </w:footnote>
  <w:footnote w:id="176">
    <w:p w:rsidR="00887BBB" w:rsidRPr="004932C1" w:rsidRDefault="00887BBB" w:rsidP="00331A7B">
      <w:pPr>
        <w:pStyle w:val="FootnoteText"/>
      </w:pPr>
      <w:r w:rsidRPr="004932C1">
        <w:rPr>
          <w:rStyle w:val="FootnoteReference"/>
          <w:rFonts w:ascii="Times New Roman" w:hAnsi="Times New Roman"/>
          <w:sz w:val="20"/>
        </w:rPr>
        <w:footnoteRef/>
      </w:r>
      <w:r w:rsidRPr="004932C1">
        <w:rPr>
          <w:rFonts w:ascii="Times New Roman" w:hAnsi="Times New Roman"/>
          <w:sz w:val="20"/>
        </w:rPr>
        <w:t xml:space="preserve"> </w:t>
      </w:r>
      <w:r w:rsidRPr="004932C1">
        <w:rPr>
          <w:rFonts w:ascii="Times New Roman" w:hAnsi="Times New Roman"/>
          <w:sz w:val="20"/>
          <w:shd w:val="clear" w:color="auto" w:fill="FFFFFF"/>
        </w:rPr>
        <w:t>Landry, S. H., Anthony, J. L., Swank, P. R., &amp; Monseque-Bailey, P. (2009). Effectiveness of comprehensive professional development for teachers of at-risk preschoolers.</w:t>
      </w:r>
      <w:r w:rsidRPr="004932C1">
        <w:rPr>
          <w:rStyle w:val="apple-converted-space"/>
          <w:rFonts w:ascii="Times New Roman" w:hAnsi="Times New Roman"/>
          <w:sz w:val="20"/>
          <w:shd w:val="clear" w:color="auto" w:fill="FFFFFF"/>
        </w:rPr>
        <w:t> </w:t>
      </w:r>
      <w:r w:rsidRPr="004932C1">
        <w:rPr>
          <w:rFonts w:ascii="Times New Roman" w:hAnsi="Times New Roman"/>
          <w:i/>
          <w:sz w:val="20"/>
          <w:shd w:val="clear" w:color="auto" w:fill="FFFFFF"/>
        </w:rPr>
        <w:t>Journal of Educational Psychology</w:t>
      </w:r>
      <w:r w:rsidRPr="004932C1">
        <w:rPr>
          <w:rFonts w:ascii="Times New Roman" w:hAnsi="Times New Roman"/>
          <w:sz w:val="20"/>
          <w:shd w:val="clear" w:color="auto" w:fill="FFFFFF"/>
        </w:rPr>
        <w:t>,</w:t>
      </w:r>
      <w:r w:rsidRPr="004932C1">
        <w:rPr>
          <w:rStyle w:val="apple-converted-space"/>
          <w:rFonts w:ascii="Times New Roman" w:hAnsi="Times New Roman"/>
          <w:sz w:val="20"/>
          <w:shd w:val="clear" w:color="auto" w:fill="FFFFFF"/>
        </w:rPr>
        <w:t> </w:t>
      </w:r>
      <w:r w:rsidRPr="004932C1">
        <w:rPr>
          <w:rFonts w:ascii="Times New Roman" w:hAnsi="Times New Roman"/>
          <w:i/>
          <w:sz w:val="20"/>
          <w:shd w:val="clear" w:color="auto" w:fill="FFFFFF"/>
        </w:rPr>
        <w:t>101</w:t>
      </w:r>
      <w:r w:rsidRPr="004932C1">
        <w:rPr>
          <w:rFonts w:ascii="Times New Roman" w:hAnsi="Times New Roman"/>
          <w:sz w:val="20"/>
          <w:shd w:val="clear" w:color="auto" w:fill="FFFFFF"/>
        </w:rPr>
        <w:t>(2), 448.</w:t>
      </w:r>
    </w:p>
  </w:footnote>
  <w:footnote w:id="177">
    <w:p w:rsidR="00887BBB" w:rsidRPr="004932C1" w:rsidRDefault="00887BBB" w:rsidP="00331A7B">
      <w:pPr>
        <w:pStyle w:val="Plain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Barrueco, S., Lopez, M., Ong, C., &amp; Lozano, P.  (2012). </w:t>
      </w:r>
      <w:r w:rsidRPr="004932C1">
        <w:rPr>
          <w:rFonts w:ascii="Times New Roman" w:hAnsi="Times New Roman" w:cs="Times New Roman"/>
          <w:i/>
          <w:sz w:val="20"/>
          <w:szCs w:val="20"/>
        </w:rPr>
        <w:t xml:space="preserve">Assessing Spanish-English bilingual preschoolers: A guide to best approaches and measures. </w:t>
      </w:r>
      <w:r w:rsidRPr="004932C1">
        <w:rPr>
          <w:rFonts w:ascii="Times New Roman" w:hAnsi="Times New Roman" w:cs="Times New Roman"/>
          <w:sz w:val="20"/>
          <w:szCs w:val="20"/>
        </w:rPr>
        <w:t>Baltimore, MD: Brookes.</w:t>
      </w:r>
    </w:p>
  </w:footnote>
  <w:footnote w:id="178">
    <w:p w:rsidR="00887BBB" w:rsidRPr="00394751" w:rsidRDefault="00887BBB">
      <w:pPr>
        <w:pStyle w:val="FootnoteText"/>
        <w:rPr>
          <w:rFonts w:ascii="Times New Roman" w:hAnsi="Times New Roman" w:cs="Times New Roman"/>
          <w:sz w:val="20"/>
          <w:szCs w:val="20"/>
        </w:rPr>
      </w:pPr>
      <w:r w:rsidRPr="00394751">
        <w:rPr>
          <w:rStyle w:val="FootnoteReference"/>
          <w:rFonts w:ascii="Times New Roman" w:hAnsi="Times New Roman" w:cs="Times New Roman"/>
          <w:sz w:val="20"/>
          <w:szCs w:val="20"/>
        </w:rPr>
        <w:footnoteRef/>
      </w:r>
      <w:r w:rsidRPr="00394751">
        <w:rPr>
          <w:rFonts w:ascii="Times New Roman" w:hAnsi="Times New Roman" w:cs="Times New Roman"/>
          <w:sz w:val="20"/>
          <w:szCs w:val="20"/>
        </w:rPr>
        <w:t xml:space="preserve"> </w:t>
      </w:r>
      <w:r>
        <w:rPr>
          <w:rFonts w:ascii="Times New Roman" w:hAnsi="Times New Roman" w:cs="Times New Roman"/>
          <w:sz w:val="20"/>
          <w:szCs w:val="20"/>
        </w:rPr>
        <w:t xml:space="preserve">Auger, A. (2015). </w:t>
      </w:r>
      <w:r w:rsidRPr="00394751">
        <w:rPr>
          <w:rFonts w:ascii="Times New Roman" w:hAnsi="Times New Roman" w:cs="Times New Roman"/>
          <w:i/>
          <w:sz w:val="20"/>
          <w:szCs w:val="20"/>
        </w:rPr>
        <w:t>Child</w:t>
      </w:r>
      <w:r>
        <w:rPr>
          <w:rFonts w:ascii="Times New Roman" w:hAnsi="Times New Roman" w:cs="Times New Roman"/>
          <w:i/>
          <w:sz w:val="20"/>
          <w:szCs w:val="20"/>
        </w:rPr>
        <w:t xml:space="preserve"> C</w:t>
      </w:r>
      <w:r w:rsidRPr="00394751">
        <w:rPr>
          <w:rFonts w:ascii="Times New Roman" w:hAnsi="Times New Roman" w:cs="Times New Roman"/>
          <w:i/>
          <w:sz w:val="20"/>
          <w:szCs w:val="20"/>
        </w:rPr>
        <w:t>are and Community Services: Characteristics of Service Use and Effects on Parenting and the Home Environment</w:t>
      </w:r>
      <w:r>
        <w:rPr>
          <w:rFonts w:ascii="Times New Roman" w:hAnsi="Times New Roman" w:cs="Times New Roman"/>
          <w:sz w:val="20"/>
          <w:szCs w:val="20"/>
        </w:rPr>
        <w:t xml:space="preserve">, PhD dissertation. University of California-Irvine School of Education. </w:t>
      </w:r>
    </w:p>
  </w:footnote>
  <w:footnote w:id="179">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sz w:val="20"/>
        </w:rPr>
        <w:footnoteRef/>
      </w:r>
      <w:r w:rsidRPr="004932C1">
        <w:rPr>
          <w:rFonts w:ascii="Times New Roman" w:hAnsi="Times New Roman"/>
          <w:sz w:val="20"/>
        </w:rPr>
        <w:t xml:space="preserve"> </w:t>
      </w:r>
      <w:r w:rsidRPr="004932C1">
        <w:rPr>
          <w:rFonts w:ascii="Times New Roman" w:hAnsi="Times New Roman" w:cs="Times New Roman"/>
          <w:sz w:val="20"/>
          <w:szCs w:val="20"/>
        </w:rPr>
        <w:t xml:space="preserve">Heckman, J. J., Moon, S. H., Pinto, R., Savelyev, P. A., &amp; Yavitz, A. (2010). The rate of return to the HighScope Perry Preschool Program. </w:t>
      </w:r>
      <w:r w:rsidRPr="004932C1">
        <w:rPr>
          <w:rFonts w:ascii="Times New Roman" w:hAnsi="Times New Roman" w:cs="Times New Roman"/>
          <w:i/>
          <w:sz w:val="20"/>
          <w:szCs w:val="20"/>
        </w:rPr>
        <w:t>Journal of Public Economics, 94,</w:t>
      </w:r>
      <w:r w:rsidRPr="004932C1">
        <w:rPr>
          <w:rFonts w:ascii="Times New Roman" w:hAnsi="Times New Roman" w:cs="Times New Roman"/>
          <w:sz w:val="20"/>
          <w:szCs w:val="20"/>
        </w:rPr>
        <w:t xml:space="preserve"> 114-128.</w:t>
      </w:r>
    </w:p>
  </w:footnote>
  <w:footnote w:id="180">
    <w:p w:rsidR="00887BBB" w:rsidRPr="004932C1" w:rsidRDefault="00887BBB" w:rsidP="00331A7B">
      <w:pPr>
        <w:spacing w:after="0" w:line="240" w:lineRule="auto"/>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sz w:val="20"/>
          <w:shd w:val="clear" w:color="auto" w:fill="FFFFFF"/>
        </w:rPr>
        <w:t>National Scientific Council on the Developing Child (2007). </w:t>
      </w:r>
      <w:r w:rsidRPr="004932C1">
        <w:rPr>
          <w:rFonts w:ascii="Times New Roman" w:hAnsi="Times New Roman"/>
          <w:i/>
          <w:sz w:val="20"/>
          <w:bdr w:val="none" w:sz="0" w:space="0" w:color="auto" w:frame="1"/>
          <w:shd w:val="clear" w:color="auto" w:fill="FFFFFF"/>
        </w:rPr>
        <w:t>The Timing and Quality of Early Experiences Combine to Shape Brain Architecture: Working Paper No. 5</w:t>
      </w:r>
      <w:r w:rsidRPr="004932C1">
        <w:rPr>
          <w:rFonts w:ascii="Times New Roman" w:hAnsi="Times New Roman"/>
          <w:sz w:val="20"/>
          <w:shd w:val="clear" w:color="auto" w:fill="FFFFFF"/>
        </w:rPr>
        <w:t>. Retrieved from </w:t>
      </w:r>
      <w:r w:rsidRPr="004932C1">
        <w:rPr>
          <w:rFonts w:ascii="Times New Roman" w:hAnsi="Times New Roman"/>
          <w:sz w:val="20"/>
          <w:u w:val="single"/>
          <w:bdr w:val="none" w:sz="0" w:space="0" w:color="auto" w:frame="1"/>
          <w:shd w:val="clear" w:color="auto" w:fill="FFFFFF"/>
        </w:rPr>
        <w:t>www.developingchild.harvard.edu</w:t>
      </w:r>
    </w:p>
  </w:footnote>
  <w:footnote w:id="181">
    <w:p w:rsidR="00887BBB" w:rsidRPr="004932C1" w:rsidRDefault="00887BBB" w:rsidP="00331A7B">
      <w:pPr>
        <w:shd w:val="clear" w:color="auto" w:fill="FFFFFF"/>
        <w:spacing w:after="0" w:line="240" w:lineRule="auto"/>
        <w:outlineLvl w:val="0"/>
        <w:rPr>
          <w:rFonts w:ascii="Times New Roman" w:eastAsia="Times New Roman" w:hAnsi="Times New Roman" w:cs="Times New Roman"/>
          <w:bCs/>
          <w:kern w:val="36"/>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Anda R.F., Felitti V.J., Bremner J.D., Walker J.D., Whitfield C., Perry, B.D., Dube, S.R., &amp; Giles, W.H. (2006).</w:t>
      </w:r>
      <w:r w:rsidRPr="004932C1">
        <w:rPr>
          <w:rFonts w:ascii="Times New Roman" w:eastAsia="Times New Roman" w:hAnsi="Times New Roman" w:cs="Times New Roman"/>
          <w:bCs/>
          <w:kern w:val="36"/>
          <w:sz w:val="20"/>
          <w:szCs w:val="20"/>
        </w:rPr>
        <w:t xml:space="preserve"> The enduring effects of abuse and related adverse experiences in childhood. A convergence of evidence from neurobiology and epidemiology.  </w:t>
      </w:r>
      <w:r w:rsidRPr="004932C1">
        <w:rPr>
          <w:rFonts w:ascii="Times New Roman" w:eastAsia="Times New Roman" w:hAnsi="Times New Roman" w:cs="Times New Roman"/>
          <w:i/>
          <w:sz w:val="20"/>
          <w:szCs w:val="20"/>
        </w:rPr>
        <w:t>European Archives of Psychiatry and Clinical Neuroscience, 256(3),</w:t>
      </w:r>
      <w:r w:rsidRPr="004932C1">
        <w:rPr>
          <w:rFonts w:ascii="Times New Roman" w:eastAsia="Times New Roman" w:hAnsi="Times New Roman" w:cs="Times New Roman"/>
          <w:sz w:val="20"/>
          <w:szCs w:val="20"/>
        </w:rPr>
        <w:t xml:space="preserve"> 174-186.</w:t>
      </w:r>
    </w:p>
  </w:footnote>
  <w:footnote w:id="182">
    <w:p w:rsidR="00887BBB" w:rsidRPr="004932C1" w:rsidRDefault="00887BBB" w:rsidP="00331A7B">
      <w:pPr>
        <w:spacing w:after="0" w:line="240" w:lineRule="auto"/>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sz w:val="20"/>
          <w:shd w:val="clear" w:color="auto" w:fill="FFFFFF"/>
        </w:rPr>
        <w:t>National Scientific Council on the Developing Child (2010). </w:t>
      </w:r>
      <w:r w:rsidRPr="004932C1">
        <w:rPr>
          <w:rFonts w:ascii="Times New Roman" w:hAnsi="Times New Roman"/>
          <w:i/>
          <w:sz w:val="20"/>
          <w:bdr w:val="none" w:sz="0" w:space="0" w:color="auto" w:frame="1"/>
          <w:shd w:val="clear" w:color="auto" w:fill="FFFFFF"/>
        </w:rPr>
        <w:t>Early Experiences Can Alter Gene Expression and Affect Long-Term Development: Working Paper No. 10</w:t>
      </w:r>
      <w:r w:rsidRPr="004932C1">
        <w:rPr>
          <w:rFonts w:ascii="Times New Roman" w:hAnsi="Times New Roman"/>
          <w:sz w:val="20"/>
          <w:shd w:val="clear" w:color="auto" w:fill="FFFFFF"/>
        </w:rPr>
        <w:t xml:space="preserve">. </w:t>
      </w:r>
      <w:r w:rsidRPr="004932C1">
        <w:rPr>
          <w:rFonts w:ascii="Times New Roman" w:eastAsia="Times New Roman" w:hAnsi="Times New Roman" w:cs="Times New Roman"/>
          <w:sz w:val="20"/>
          <w:szCs w:val="20"/>
          <w:shd w:val="clear" w:color="auto" w:fill="FFFFFF"/>
        </w:rPr>
        <w:t>Cambridge, MA: Author.</w:t>
      </w:r>
    </w:p>
  </w:footnote>
  <w:footnote w:id="183">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Aikens, N., Kopack Klein, A., Tarullo, L., &amp; West, J. (2013). Getting Ready for Kindergarten: Children’s Progress During Head Start. FACES 2009 Report. OPRE Report 2013-21a. Washington, DC: Office of Planning, Research and Evaluation, Administration for Children and Families, U.S. Department of Health and Human Services.   </w:t>
      </w:r>
    </w:p>
  </w:footnote>
  <w:footnote w:id="184">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Schweinhart, L. J., Montie, J., Xiang, Z., Barnett, W. S., Belfield, C. R., &amp; Nores, M. (2005</w:t>
      </w:r>
      <w:r w:rsidRPr="004932C1">
        <w:rPr>
          <w:rFonts w:ascii="Times New Roman" w:hAnsi="Times New Roman" w:cs="Times New Roman"/>
          <w:i/>
          <w:sz w:val="20"/>
          <w:szCs w:val="20"/>
        </w:rPr>
        <w:t>). Lifetime effects: The HighScope Perry Preschool study through age 40.</w:t>
      </w:r>
      <w:r w:rsidRPr="004932C1">
        <w:rPr>
          <w:rFonts w:ascii="Times New Roman" w:hAnsi="Times New Roman" w:cs="Times New Roman"/>
          <w:sz w:val="20"/>
          <w:szCs w:val="20"/>
        </w:rPr>
        <w:t xml:space="preserve"> Ypsilanti, MI: HighScope Press.</w:t>
      </w:r>
    </w:p>
  </w:footnote>
  <w:footnote w:id="185">
    <w:p w:rsidR="00887BBB" w:rsidRPr="004932C1" w:rsidRDefault="00887BBB" w:rsidP="00331A7B">
      <w:pPr>
        <w:spacing w:after="0" w:line="240" w:lineRule="auto"/>
        <w:rPr>
          <w:rFonts w:ascii="Times New Roman" w:hAnsi="Times New Roman"/>
          <w:sz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sz w:val="20"/>
        </w:rPr>
        <w:t xml:space="preserve">Barnett, W. S., &amp; Hustedt, J. T. (2005). Head start's lasting benefits. </w:t>
      </w:r>
      <w:r w:rsidRPr="004932C1">
        <w:rPr>
          <w:rFonts w:ascii="Times New Roman" w:hAnsi="Times New Roman"/>
          <w:i/>
          <w:sz w:val="20"/>
        </w:rPr>
        <w:t>Infants &amp; Young Children</w:t>
      </w:r>
      <w:r w:rsidRPr="004932C1">
        <w:rPr>
          <w:rFonts w:ascii="Times New Roman" w:hAnsi="Times New Roman"/>
          <w:sz w:val="20"/>
        </w:rPr>
        <w:t xml:space="preserve">, </w:t>
      </w:r>
      <w:r w:rsidRPr="004932C1">
        <w:rPr>
          <w:rFonts w:ascii="Times New Roman" w:hAnsi="Times New Roman"/>
          <w:i/>
          <w:sz w:val="20"/>
        </w:rPr>
        <w:t>18</w:t>
      </w:r>
      <w:r w:rsidRPr="004932C1">
        <w:rPr>
          <w:rFonts w:ascii="Times New Roman" w:hAnsi="Times New Roman"/>
          <w:sz w:val="20"/>
        </w:rPr>
        <w:t>(1), 16-24.</w:t>
      </w:r>
    </w:p>
  </w:footnote>
  <w:footnote w:id="186">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Yoshikawa, H., Weiland, C., Brooks-Gunn, J., Burchinal, M., . . .Zaslow, M. (2013). Investing in our future: The evidence base on preschool education. Foundation for Child Development. New York, NY.</w:t>
      </w:r>
    </w:p>
  </w:footnote>
  <w:footnote w:id="187">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Camilli, G., Vargas, S., Ryan, S., &amp; Barnett, W. S. (2010). Meta-analysis of the effects of early education interventions on cognitive and social development. </w:t>
      </w:r>
      <w:r w:rsidRPr="004932C1">
        <w:rPr>
          <w:rFonts w:ascii="Times New Roman" w:hAnsi="Times New Roman" w:cs="Times New Roman"/>
          <w:i/>
          <w:sz w:val="20"/>
          <w:szCs w:val="20"/>
        </w:rPr>
        <w:t>The Teachers College Record, 112,</w:t>
      </w:r>
      <w:r w:rsidRPr="004932C1">
        <w:rPr>
          <w:rFonts w:ascii="Times New Roman" w:hAnsi="Times New Roman" w:cs="Times New Roman"/>
          <w:sz w:val="20"/>
          <w:szCs w:val="20"/>
        </w:rPr>
        <w:t xml:space="preserve"> 579-620.</w:t>
      </w:r>
    </w:p>
  </w:footnote>
  <w:footnote w:id="188">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Wong, V. C., Cook, T. D., Barnett, W. S., &amp; Jung, K. (2008). An effectiveness-based evaluation of five state prekindergarten programs. </w:t>
      </w:r>
      <w:r w:rsidRPr="004932C1">
        <w:rPr>
          <w:rFonts w:ascii="Times New Roman" w:hAnsi="Times New Roman" w:cs="Times New Roman"/>
          <w:i/>
          <w:sz w:val="20"/>
          <w:szCs w:val="20"/>
        </w:rPr>
        <w:t>Journal of Policy Analysis and Management, 27,</w:t>
      </w:r>
      <w:r w:rsidRPr="004932C1">
        <w:rPr>
          <w:rFonts w:ascii="Times New Roman" w:hAnsi="Times New Roman" w:cs="Times New Roman"/>
          <w:sz w:val="20"/>
          <w:szCs w:val="20"/>
        </w:rPr>
        <w:t xml:space="preserve"> 122-154.</w:t>
      </w:r>
    </w:p>
  </w:footnote>
  <w:footnote w:id="189">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Reynolds, A.J. (2000). Success in early intervention: The Chicago Child-Parent Centers. Lincoln, Nebraska: University of Nebraska Press.</w:t>
      </w:r>
    </w:p>
  </w:footnote>
  <w:footnote w:id="190">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Schweinhart, L. J., Montie, J., Xiang, Z., Barnett, W. S., Belfield, C. R., &amp; Nores, M. (2005). </w:t>
      </w:r>
      <w:r w:rsidRPr="004932C1">
        <w:rPr>
          <w:rFonts w:ascii="Times New Roman" w:hAnsi="Times New Roman" w:cs="Times New Roman"/>
          <w:i/>
          <w:sz w:val="20"/>
          <w:szCs w:val="20"/>
        </w:rPr>
        <w:t>Lifetime effects: The HighScope Perry Preschool study through age 40</w:t>
      </w:r>
      <w:r w:rsidRPr="004932C1">
        <w:rPr>
          <w:rFonts w:ascii="Times New Roman" w:hAnsi="Times New Roman" w:cs="Times New Roman"/>
          <w:sz w:val="20"/>
          <w:szCs w:val="20"/>
        </w:rPr>
        <w:t>. Ypsilanti, MI: HighScope Press.</w:t>
      </w:r>
    </w:p>
  </w:footnote>
  <w:footnote w:id="191">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Gormley, W., Gayer, T., Phillips, D.A., &amp; Dawson, B. (2005). The effects of universal Pre-K on cognitive development. </w:t>
      </w:r>
      <w:r w:rsidRPr="004932C1">
        <w:rPr>
          <w:rFonts w:ascii="Times New Roman" w:hAnsi="Times New Roman" w:cs="Times New Roman"/>
          <w:i/>
          <w:sz w:val="20"/>
          <w:szCs w:val="20"/>
        </w:rPr>
        <w:t>Developmental Psychology, 41,</w:t>
      </w:r>
      <w:r w:rsidRPr="004932C1">
        <w:rPr>
          <w:rFonts w:ascii="Times New Roman" w:hAnsi="Times New Roman" w:cs="Times New Roman"/>
          <w:sz w:val="20"/>
          <w:szCs w:val="20"/>
        </w:rPr>
        <w:t xml:space="preserve"> 872-884.</w:t>
      </w:r>
    </w:p>
    <w:p w:rsidR="00887BBB" w:rsidRPr="004932C1" w:rsidRDefault="00887BBB" w:rsidP="00331A7B">
      <w:pPr>
        <w:pStyle w:val="FootnoteText"/>
        <w:rPr>
          <w:rFonts w:ascii="Times New Roman" w:hAnsi="Times New Roman" w:cs="Times New Roman"/>
          <w:sz w:val="20"/>
          <w:szCs w:val="20"/>
        </w:rPr>
      </w:pPr>
      <w:r w:rsidRPr="004932C1">
        <w:rPr>
          <w:rFonts w:ascii="Times New Roman" w:hAnsi="Times New Roman" w:cs="Times New Roman"/>
          <w:sz w:val="20"/>
          <w:szCs w:val="20"/>
        </w:rPr>
        <w:t xml:space="preserve">Campbell, F. A., Ramey, C. T., Pungello, E., Sparling, J., &amp; Miller-Johnson, S. (2002). Early childhood education: Young adult outcomes from the Abecedarian project. </w:t>
      </w:r>
      <w:r w:rsidRPr="004932C1">
        <w:rPr>
          <w:rFonts w:ascii="Times New Roman" w:hAnsi="Times New Roman" w:cs="Times New Roman"/>
          <w:i/>
          <w:sz w:val="20"/>
          <w:szCs w:val="20"/>
        </w:rPr>
        <w:t>Applied Developmental Science, 6,</w:t>
      </w:r>
      <w:r w:rsidRPr="004932C1">
        <w:rPr>
          <w:rFonts w:ascii="Times New Roman" w:hAnsi="Times New Roman" w:cs="Times New Roman"/>
          <w:sz w:val="20"/>
          <w:szCs w:val="20"/>
        </w:rPr>
        <w:t xml:space="preserve"> 42-57.</w:t>
      </w:r>
    </w:p>
  </w:footnote>
  <w:footnote w:id="192">
    <w:p w:rsidR="00887BBB" w:rsidRPr="004932C1" w:rsidRDefault="00887BBB" w:rsidP="00331A7B">
      <w:pPr>
        <w:spacing w:after="0" w:line="240" w:lineRule="auto"/>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Weiland, C., &amp; Yoshikawa, H. (2013). Impacts of a prekindergarten program on children’s mathematics, language, literacy, executive function, and emotional skills. </w:t>
      </w:r>
      <w:r w:rsidRPr="004932C1">
        <w:rPr>
          <w:rFonts w:ascii="Times New Roman" w:hAnsi="Times New Roman" w:cs="Times New Roman"/>
          <w:i/>
          <w:sz w:val="20"/>
          <w:szCs w:val="20"/>
        </w:rPr>
        <w:t xml:space="preserve">Child Development, </w:t>
      </w:r>
      <w:r w:rsidRPr="004932C1">
        <w:rPr>
          <w:rFonts w:ascii="Times New Roman" w:eastAsia="Times New Roman" w:hAnsi="Times New Roman" w:cs="Times New Roman"/>
          <w:i/>
          <w:sz w:val="20"/>
          <w:szCs w:val="20"/>
          <w:shd w:val="clear" w:color="auto" w:fill="FFFFFF"/>
        </w:rPr>
        <w:t>84,</w:t>
      </w:r>
      <w:r w:rsidRPr="004932C1">
        <w:rPr>
          <w:rFonts w:ascii="Times New Roman" w:eastAsia="Times New Roman" w:hAnsi="Times New Roman" w:cs="Times New Roman"/>
          <w:sz w:val="20"/>
          <w:szCs w:val="20"/>
          <w:shd w:val="clear" w:color="auto" w:fill="FFFFFF"/>
        </w:rPr>
        <w:t xml:space="preserve"> 2112–2130.</w:t>
      </w:r>
    </w:p>
  </w:footnote>
  <w:footnote w:id="193">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Peisner</w:t>
      </w:r>
      <w:r w:rsidRPr="004932C1">
        <w:rPr>
          <w:rFonts w:ascii="Cambria Math" w:hAnsi="Cambria Math" w:cs="Cambria Math"/>
          <w:sz w:val="20"/>
          <w:szCs w:val="20"/>
        </w:rPr>
        <w:t>-</w:t>
      </w:r>
      <w:r w:rsidRPr="004932C1">
        <w:rPr>
          <w:rFonts w:ascii="Times New Roman" w:hAnsi="Times New Roman" w:cs="Times New Roman"/>
          <w:sz w:val="20"/>
          <w:szCs w:val="20"/>
        </w:rPr>
        <w:t xml:space="preserve">Feinberg, E. S., Schaaf, J. M., LaForett, D. R., Hildebrandt, L.M., &amp; Sideris, J. (2014). </w:t>
      </w:r>
      <w:r w:rsidRPr="004932C1">
        <w:rPr>
          <w:rFonts w:ascii="Times New Roman" w:hAnsi="Times New Roman" w:cs="Times New Roman"/>
          <w:i/>
          <w:iCs/>
          <w:sz w:val="20"/>
          <w:szCs w:val="20"/>
        </w:rPr>
        <w:t>Effects of Georgia’s Pre</w:t>
      </w:r>
      <w:r w:rsidRPr="004932C1">
        <w:rPr>
          <w:rFonts w:ascii="Cambria Math" w:hAnsi="Cambria Math" w:cs="Cambria Math" w:hint="eastAsia"/>
          <w:i/>
          <w:iCs/>
          <w:sz w:val="20"/>
          <w:szCs w:val="20"/>
        </w:rPr>
        <w:t>‐</w:t>
      </w:r>
      <w:r w:rsidRPr="004932C1">
        <w:rPr>
          <w:rFonts w:ascii="Times New Roman" w:hAnsi="Times New Roman" w:cs="Times New Roman"/>
          <w:i/>
          <w:iCs/>
          <w:sz w:val="20"/>
          <w:szCs w:val="20"/>
        </w:rPr>
        <w:t>K Program on children’s school readiness skills: Findings from the 2012</w:t>
      </w:r>
      <w:r w:rsidRPr="004932C1">
        <w:rPr>
          <w:rFonts w:ascii="Times New Roman" w:hAnsi="Times New Roman" w:cs="Times New Roman"/>
          <w:sz w:val="20"/>
          <w:szCs w:val="20"/>
        </w:rPr>
        <w:t>-</w:t>
      </w:r>
      <w:r w:rsidRPr="004932C1">
        <w:rPr>
          <w:rFonts w:ascii="Times New Roman" w:hAnsi="Times New Roman" w:cs="Times New Roman"/>
          <w:i/>
          <w:iCs/>
          <w:sz w:val="20"/>
          <w:szCs w:val="20"/>
        </w:rPr>
        <w:t xml:space="preserve">2013 evaluation study. </w:t>
      </w:r>
      <w:r w:rsidRPr="004932C1">
        <w:rPr>
          <w:rFonts w:ascii="Times New Roman" w:hAnsi="Times New Roman" w:cs="Times New Roman"/>
          <w:sz w:val="20"/>
          <w:szCs w:val="20"/>
        </w:rPr>
        <w:t>Chapel Hill: The University of North Carolina, FPG Child Development Institute.</w:t>
      </w:r>
    </w:p>
  </w:footnote>
  <w:footnote w:id="194">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The Council of Economic Advisers. (December, 2014). </w:t>
      </w:r>
      <w:r w:rsidRPr="004932C1">
        <w:rPr>
          <w:rFonts w:ascii="Times New Roman" w:hAnsi="Times New Roman" w:cs="Times New Roman"/>
          <w:i/>
          <w:sz w:val="20"/>
          <w:szCs w:val="20"/>
        </w:rPr>
        <w:t>The Economics of Early Childhood Investments.</w:t>
      </w:r>
      <w:r w:rsidRPr="004932C1">
        <w:rPr>
          <w:rFonts w:ascii="Times New Roman" w:hAnsi="Times New Roman" w:cs="Times New Roman"/>
          <w:sz w:val="20"/>
          <w:szCs w:val="20"/>
        </w:rPr>
        <w:t xml:space="preserve"> Washington, DC: Authors</w:t>
      </w:r>
    </w:p>
  </w:footnote>
  <w:footnote w:id="195">
    <w:p w:rsidR="00887BBB" w:rsidRPr="004932C1" w:rsidRDefault="00887BBB" w:rsidP="00331A7B">
      <w:pPr>
        <w:spacing w:after="0" w:line="240" w:lineRule="auto"/>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bCs/>
          <w:kern w:val="36"/>
          <w:sz w:val="20"/>
          <w:szCs w:val="20"/>
        </w:rPr>
        <w:t>Heckman, J.J., Moon, S.H., Pinto, R., Savalyev, P.A. &amp; Yavitz, A. (2010).  The Rate of Return to the High/Scope Perry Preschool Program.</w:t>
      </w:r>
      <w:r w:rsidRPr="004932C1">
        <w:rPr>
          <w:rFonts w:ascii="Times New Roman" w:eastAsia="Times New Roman" w:hAnsi="Times New Roman" w:cs="Times New Roman"/>
          <w:sz w:val="20"/>
          <w:szCs w:val="20"/>
          <w:shd w:val="clear" w:color="auto" w:fill="FFFFFF"/>
        </w:rPr>
        <w:t xml:space="preserve"> Journal of Public Economics, 94(1-2), 114–128.</w:t>
      </w:r>
    </w:p>
  </w:footnote>
  <w:footnote w:id="196">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The Council of Economic Advisers. (December, 2014). </w:t>
      </w:r>
      <w:r w:rsidRPr="004932C1">
        <w:rPr>
          <w:rFonts w:ascii="Times New Roman" w:hAnsi="Times New Roman" w:cs="Times New Roman"/>
          <w:i/>
          <w:sz w:val="20"/>
          <w:szCs w:val="20"/>
        </w:rPr>
        <w:t>The Economics of Early Childhood Investments.</w:t>
      </w:r>
      <w:r w:rsidRPr="004932C1">
        <w:rPr>
          <w:rFonts w:ascii="Times New Roman" w:hAnsi="Times New Roman" w:cs="Times New Roman"/>
          <w:sz w:val="20"/>
          <w:szCs w:val="20"/>
        </w:rPr>
        <w:t xml:space="preserve"> Washington, DC: Authors. </w:t>
      </w:r>
    </w:p>
  </w:footnote>
  <w:footnote w:id="197">
    <w:p w:rsidR="00887BBB" w:rsidRPr="004932C1" w:rsidRDefault="00887BBB" w:rsidP="00331A7B">
      <w:pPr>
        <w:spacing w:after="0" w:line="240" w:lineRule="auto"/>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shd w:val="clear" w:color="auto" w:fill="FFFFFF"/>
        </w:rPr>
        <w:t xml:space="preserve">Reynolds, A.J., Temple, J.A., Robertson, D.L., Mann, E.A. (2002).  Age 21 Cost-Benefit Analysis of the Title I Chicago Child-Parent Centers.  </w:t>
      </w:r>
      <w:r w:rsidRPr="004932C1">
        <w:rPr>
          <w:rFonts w:ascii="Times New Roman" w:eastAsia="Times New Roman" w:hAnsi="Times New Roman" w:cs="Times New Roman"/>
          <w:i/>
          <w:sz w:val="20"/>
          <w:szCs w:val="20"/>
          <w:shd w:val="clear" w:color="auto" w:fill="FFFFFF"/>
        </w:rPr>
        <w:t>Educational Evaluation and Policy Analysis.</w:t>
      </w:r>
      <w:r w:rsidRPr="004932C1">
        <w:rPr>
          <w:rFonts w:ascii="Times New Roman" w:eastAsia="Times New Roman" w:hAnsi="Times New Roman" w:cs="Times New Roman"/>
          <w:sz w:val="20"/>
          <w:szCs w:val="20"/>
          <w:shd w:val="clear" w:color="auto" w:fill="FFFFFF"/>
        </w:rPr>
        <w:t xml:space="preserve"> 24(4), 267-303.</w:t>
      </w:r>
    </w:p>
  </w:footnote>
  <w:footnote w:id="198">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Yoshikawa, H., Weiland, C., Brooks-Gunn, J., Burchinal, M., . . .Zaslow, M. (2013). Investing in our future: The evidence base on preschool education. Foundation for Child Development. </w:t>
      </w:r>
    </w:p>
  </w:footnote>
  <w:footnote w:id="199">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Heckman, J. J., Moon, S. H., Pinto, R., Savelyev, P. A., &amp; Yavitz, A. (2010). The rate of return to the HighScope Perry Preschool Program. </w:t>
      </w:r>
      <w:r w:rsidRPr="004932C1">
        <w:rPr>
          <w:rFonts w:ascii="Times New Roman" w:hAnsi="Times New Roman" w:cs="Times New Roman"/>
          <w:i/>
          <w:sz w:val="20"/>
          <w:szCs w:val="20"/>
        </w:rPr>
        <w:t>Journal of Public Economics, 94,</w:t>
      </w:r>
      <w:r w:rsidRPr="004932C1">
        <w:rPr>
          <w:rFonts w:ascii="Times New Roman" w:hAnsi="Times New Roman" w:cs="Times New Roman"/>
          <w:sz w:val="20"/>
          <w:szCs w:val="20"/>
        </w:rPr>
        <w:t xml:space="preserve"> 114-128.</w:t>
      </w:r>
    </w:p>
  </w:footnote>
  <w:footnote w:id="200">
    <w:p w:rsidR="00887BBB" w:rsidRPr="00DC5146" w:rsidRDefault="00887BBB" w:rsidP="00DC5146">
      <w:pPr>
        <w:spacing w:after="0" w:line="240" w:lineRule="auto"/>
        <w:rPr>
          <w:rFonts w:ascii="Times New Roman" w:hAnsi="Times New Roman" w:cs="Times New Roman"/>
          <w:sz w:val="20"/>
          <w:szCs w:val="20"/>
        </w:rPr>
      </w:pPr>
      <w:r w:rsidRPr="00DC5146">
        <w:rPr>
          <w:rStyle w:val="FootnoteReference"/>
          <w:rFonts w:ascii="Times New Roman" w:hAnsi="Times New Roman" w:cs="Times New Roman"/>
          <w:sz w:val="20"/>
          <w:szCs w:val="20"/>
        </w:rPr>
        <w:footnoteRef/>
      </w:r>
      <w:r w:rsidRPr="00B3132B">
        <w:rPr>
          <w:rFonts w:ascii="Times New Roman" w:hAnsi="Times New Roman" w:cs="Times New Roman"/>
          <w:sz w:val="20"/>
          <w:szCs w:val="20"/>
        </w:rPr>
        <w:t xml:space="preserve">Puma, M., Bell, S., Cook, R., Heid, C., Broene, P., Jenkins, F., &amp; Downer, J. (2012). Third grade follow-up to the Head Start impact study final report. </w:t>
      </w:r>
      <w:r w:rsidRPr="00E216B6">
        <w:rPr>
          <w:rFonts w:ascii="Times New Roman" w:hAnsi="Times New Roman" w:cs="Times New Roman"/>
          <w:i/>
          <w:sz w:val="20"/>
          <w:szCs w:val="20"/>
        </w:rPr>
        <w:t>US Department of Health and Human Services Office of Planning, Research and Evaluation</w:t>
      </w:r>
      <w:r w:rsidRPr="00995A10">
        <w:rPr>
          <w:rFonts w:ascii="Times New Roman" w:hAnsi="Times New Roman" w:cs="Times New Roman"/>
          <w:sz w:val="20"/>
          <w:szCs w:val="20"/>
        </w:rPr>
        <w:t>.</w:t>
      </w:r>
    </w:p>
  </w:footnote>
  <w:footnote w:id="201">
    <w:p w:rsidR="00887BBB" w:rsidRPr="00DC5146" w:rsidRDefault="00887BBB" w:rsidP="00331A7B">
      <w:pPr>
        <w:pStyle w:val="FootnoteText"/>
        <w:rPr>
          <w:rFonts w:ascii="Times New Roman" w:hAnsi="Times New Roman" w:cs="Times New Roman"/>
          <w:sz w:val="20"/>
          <w:szCs w:val="20"/>
        </w:rPr>
      </w:pPr>
      <w:r w:rsidRPr="00DC5146">
        <w:rPr>
          <w:rStyle w:val="FootnoteReference"/>
          <w:rFonts w:ascii="Times New Roman" w:hAnsi="Times New Roman" w:cs="Times New Roman"/>
          <w:sz w:val="20"/>
          <w:szCs w:val="20"/>
        </w:rPr>
        <w:footnoteRef/>
      </w:r>
      <w:r w:rsidRPr="00DC5146">
        <w:rPr>
          <w:rFonts w:ascii="Times New Roman" w:hAnsi="Times New Roman" w:cs="Times New Roman"/>
          <w:sz w:val="20"/>
          <w:szCs w:val="20"/>
        </w:rPr>
        <w:t xml:space="preserve"> </w:t>
      </w:r>
      <w:r w:rsidRPr="00B13340">
        <w:rPr>
          <w:rFonts w:ascii="Times New Roman" w:hAnsi="Times New Roman" w:cs="Times New Roman"/>
          <w:sz w:val="20"/>
          <w:szCs w:val="20"/>
        </w:rPr>
        <w:t xml:space="preserve">Walters, C. (2014). </w:t>
      </w:r>
      <w:r w:rsidRPr="00B13340">
        <w:rPr>
          <w:rFonts w:ascii="Times New Roman" w:hAnsi="Times New Roman" w:cs="Times New Roman"/>
          <w:i/>
          <w:sz w:val="20"/>
          <w:szCs w:val="20"/>
        </w:rPr>
        <w:t xml:space="preserve">Inputs in the production of early childhood human capital: Evidence from Head Start. </w:t>
      </w:r>
      <w:r w:rsidRPr="00B13340">
        <w:rPr>
          <w:rFonts w:ascii="Times New Roman" w:hAnsi="Times New Roman" w:cs="Times New Roman"/>
          <w:sz w:val="20"/>
          <w:szCs w:val="20"/>
        </w:rPr>
        <w:t>Working paper.  http://eml.berkeley.edu/~crwalters/papers/HS_2_2014.pdf</w:t>
      </w:r>
    </w:p>
  </w:footnote>
  <w:footnote w:id="202">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Office of Head Start (2014). </w:t>
      </w:r>
      <w:r w:rsidRPr="004932C1">
        <w:rPr>
          <w:rFonts w:ascii="Times New Roman" w:hAnsi="Times New Roman" w:cs="Times New Roman"/>
          <w:i/>
          <w:sz w:val="20"/>
          <w:szCs w:val="20"/>
        </w:rPr>
        <w:t>A National Overview of Grantee CLASS(TM) Scores in 2013.</w:t>
      </w:r>
      <w:r w:rsidRPr="004932C1">
        <w:rPr>
          <w:rFonts w:ascii="Times New Roman" w:hAnsi="Times New Roman" w:cs="Times New Roman"/>
          <w:sz w:val="20"/>
          <w:szCs w:val="20"/>
        </w:rPr>
        <w:t xml:space="preserve"> Washington, DC: Office of Head Start, Administration for Children and Families, U.S. Department of Health and Human Services.</w:t>
      </w:r>
    </w:p>
  </w:footnote>
  <w:footnote w:id="203">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Aikens, N., Kopack Klein, A., Tarullo, L., &amp; J. West. (2013). Getting Ready for Kindergarten: Children’s Progress During Head Start. </w:t>
      </w:r>
      <w:r w:rsidRPr="004932C1">
        <w:rPr>
          <w:rFonts w:ascii="Times New Roman" w:hAnsi="Times New Roman" w:cs="Times New Roman"/>
          <w:i/>
          <w:sz w:val="20"/>
          <w:szCs w:val="20"/>
        </w:rPr>
        <w:t>FACES 2009 Report.</w:t>
      </w:r>
      <w:r w:rsidRPr="004932C1">
        <w:rPr>
          <w:rFonts w:ascii="Times New Roman" w:hAnsi="Times New Roman" w:cs="Times New Roman"/>
          <w:sz w:val="20"/>
          <w:szCs w:val="20"/>
        </w:rPr>
        <w:t xml:space="preserve"> OPRE Report 2013-21a. Washington, DC: Office of Planning, Research and Evaluation, Administration for Children and Families, U.S. Department of Health and Human Services.   </w:t>
      </w:r>
    </w:p>
  </w:footnote>
  <w:footnote w:id="204">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sz w:val="20"/>
        </w:rPr>
        <w:t xml:space="preserve">Puma, M., Bell, S., Cook, R., Heid, C., Broene, P., Jenkins, F., &amp; Downer, J. (2012). Third grade follow-up to the Head Start impact study final report. </w:t>
      </w:r>
      <w:r w:rsidRPr="004932C1">
        <w:rPr>
          <w:rFonts w:ascii="Times New Roman" w:hAnsi="Times New Roman"/>
          <w:i/>
          <w:sz w:val="20"/>
        </w:rPr>
        <w:t>US Department of Health and Human Services Office of Planning, Research and Evaluation</w:t>
      </w:r>
      <w:r w:rsidRPr="004932C1">
        <w:rPr>
          <w:rFonts w:ascii="Times New Roman" w:hAnsi="Times New Roman"/>
          <w:sz w:val="20"/>
        </w:rPr>
        <w:t>.</w:t>
      </w:r>
    </w:p>
  </w:footnote>
  <w:footnote w:id="205">
    <w:p w:rsidR="00887BBB" w:rsidRPr="00FC2A0F" w:rsidRDefault="00887BBB" w:rsidP="00D722F2">
      <w:pPr>
        <w:spacing w:after="0" w:line="240" w:lineRule="auto"/>
        <w:rPr>
          <w:rFonts w:ascii="Times New Roman" w:eastAsia="Times New Roman" w:hAnsi="Times New Roman" w:cs="Times New Roman"/>
          <w:color w:val="222222"/>
          <w:sz w:val="20"/>
          <w:szCs w:val="20"/>
        </w:rPr>
      </w:pPr>
      <w:r w:rsidRPr="00FC2A0F">
        <w:rPr>
          <w:rStyle w:val="FootnoteReference"/>
          <w:rFonts w:ascii="Times New Roman" w:hAnsi="Times New Roman" w:cs="Times New Roman"/>
          <w:sz w:val="20"/>
          <w:szCs w:val="20"/>
        </w:rPr>
        <w:footnoteRef/>
      </w:r>
      <w:r w:rsidRPr="00FC2A0F">
        <w:rPr>
          <w:rFonts w:ascii="Times New Roman" w:hAnsi="Times New Roman" w:cs="Times New Roman"/>
          <w:sz w:val="20"/>
          <w:szCs w:val="20"/>
        </w:rPr>
        <w:t xml:space="preserve"> </w:t>
      </w:r>
      <w:r w:rsidRPr="00FC2A0F">
        <w:rPr>
          <w:rFonts w:ascii="Times New Roman" w:eastAsia="Times New Roman" w:hAnsi="Times New Roman" w:cs="Times New Roman"/>
          <w:color w:val="222222"/>
          <w:sz w:val="20"/>
          <w:szCs w:val="20"/>
        </w:rPr>
        <w:t xml:space="preserve">Huston, A. C., Duncan, G. J., McLoyd, V. C., Crosby, D. A., Ripke, M. N., Weisner, T. S., &amp; Eldred, C. A. (2005). Impacts on children of a policy to promote employment and reduce poverty for low-income parents: new hope after 5 years. </w:t>
      </w:r>
      <w:r w:rsidRPr="00FC2A0F">
        <w:rPr>
          <w:rFonts w:ascii="Times New Roman" w:eastAsia="Times New Roman" w:hAnsi="Times New Roman" w:cs="Times New Roman"/>
          <w:i/>
          <w:iCs/>
          <w:color w:val="222222"/>
          <w:sz w:val="20"/>
          <w:szCs w:val="20"/>
        </w:rPr>
        <w:t>Developmental psychology</w:t>
      </w:r>
      <w:r w:rsidRPr="00FC2A0F">
        <w:rPr>
          <w:rFonts w:ascii="Times New Roman" w:eastAsia="Times New Roman" w:hAnsi="Times New Roman" w:cs="Times New Roman"/>
          <w:color w:val="222222"/>
          <w:sz w:val="20"/>
          <w:szCs w:val="20"/>
        </w:rPr>
        <w:t xml:space="preserve">, </w:t>
      </w:r>
      <w:r w:rsidRPr="00FC2A0F">
        <w:rPr>
          <w:rFonts w:ascii="Times New Roman" w:eastAsia="Times New Roman" w:hAnsi="Times New Roman" w:cs="Times New Roman"/>
          <w:i/>
          <w:iCs/>
          <w:color w:val="222222"/>
          <w:sz w:val="20"/>
          <w:szCs w:val="20"/>
        </w:rPr>
        <w:t>41</w:t>
      </w:r>
      <w:r w:rsidRPr="00FC2A0F">
        <w:rPr>
          <w:rFonts w:ascii="Times New Roman" w:eastAsia="Times New Roman" w:hAnsi="Times New Roman" w:cs="Times New Roman"/>
          <w:color w:val="222222"/>
          <w:sz w:val="20"/>
          <w:szCs w:val="20"/>
        </w:rPr>
        <w:t>(6), 902.</w:t>
      </w:r>
    </w:p>
  </w:footnote>
  <w:footnote w:id="206">
    <w:p w:rsidR="00887BBB" w:rsidRPr="00FC2A0F" w:rsidRDefault="00887BBB" w:rsidP="00D722F2">
      <w:pPr>
        <w:spacing w:after="0" w:line="240" w:lineRule="auto"/>
        <w:rPr>
          <w:rFonts w:ascii="Times New Roman" w:eastAsia="Times New Roman" w:hAnsi="Times New Roman" w:cs="Times New Roman"/>
          <w:color w:val="222222"/>
          <w:sz w:val="20"/>
          <w:szCs w:val="20"/>
        </w:rPr>
      </w:pPr>
      <w:r w:rsidRPr="00FC2A0F">
        <w:rPr>
          <w:rStyle w:val="FootnoteReference"/>
          <w:rFonts w:ascii="Times New Roman" w:hAnsi="Times New Roman" w:cs="Times New Roman"/>
          <w:sz w:val="20"/>
          <w:szCs w:val="20"/>
        </w:rPr>
        <w:footnoteRef/>
      </w:r>
      <w:r w:rsidRPr="00FC2A0F">
        <w:rPr>
          <w:rFonts w:ascii="Times New Roman" w:hAnsi="Times New Roman" w:cs="Times New Roman"/>
          <w:sz w:val="20"/>
          <w:szCs w:val="20"/>
        </w:rPr>
        <w:t xml:space="preserve"> </w:t>
      </w:r>
      <w:r w:rsidRPr="00FC2A0F">
        <w:rPr>
          <w:rFonts w:ascii="Times New Roman" w:eastAsia="Times New Roman" w:hAnsi="Times New Roman" w:cs="Times New Roman"/>
          <w:color w:val="222222"/>
          <w:sz w:val="20"/>
          <w:szCs w:val="20"/>
        </w:rPr>
        <w:t xml:space="preserve">Huston, A. C., Duncan, G. J., Granger, R., Bos, J., McLoyd, V., Mistry, R., ... &amp; Ventura, A. (2001). Work-based antipoverty programs for parents can enhance the school performance and social behavior of children. </w:t>
      </w:r>
      <w:r w:rsidRPr="00FC2A0F">
        <w:rPr>
          <w:rFonts w:ascii="Times New Roman" w:eastAsia="Times New Roman" w:hAnsi="Times New Roman" w:cs="Times New Roman"/>
          <w:i/>
          <w:iCs/>
          <w:color w:val="222222"/>
          <w:sz w:val="20"/>
          <w:szCs w:val="20"/>
        </w:rPr>
        <w:t>Child Development</w:t>
      </w:r>
      <w:r w:rsidRPr="00FC2A0F">
        <w:rPr>
          <w:rFonts w:ascii="Times New Roman" w:eastAsia="Times New Roman" w:hAnsi="Times New Roman" w:cs="Times New Roman"/>
          <w:color w:val="222222"/>
          <w:sz w:val="20"/>
          <w:szCs w:val="20"/>
        </w:rPr>
        <w:t>, 318-336.</w:t>
      </w:r>
    </w:p>
  </w:footnote>
  <w:footnote w:id="207">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Weiland, C., &amp; Yoshikawa, H. (2013). Impacts of a prekindergarten program on children’s mathematics, language, literacy, executive function, and emotional skills. </w:t>
      </w:r>
      <w:r w:rsidRPr="004932C1">
        <w:rPr>
          <w:rFonts w:ascii="Times New Roman" w:hAnsi="Times New Roman" w:cs="Times New Roman"/>
          <w:i/>
          <w:sz w:val="20"/>
          <w:szCs w:val="20"/>
        </w:rPr>
        <w:t xml:space="preserve">Child Development, </w:t>
      </w:r>
      <w:r w:rsidRPr="004932C1">
        <w:rPr>
          <w:rFonts w:ascii="Times New Roman" w:eastAsia="Times New Roman" w:hAnsi="Times New Roman" w:cs="Times New Roman"/>
          <w:i/>
          <w:sz w:val="20"/>
          <w:szCs w:val="20"/>
          <w:shd w:val="clear" w:color="auto" w:fill="FFFFFF"/>
        </w:rPr>
        <w:t>84,</w:t>
      </w:r>
      <w:r w:rsidRPr="004932C1">
        <w:rPr>
          <w:rFonts w:ascii="Times New Roman" w:eastAsia="Times New Roman" w:hAnsi="Times New Roman" w:cs="Times New Roman"/>
          <w:sz w:val="20"/>
          <w:szCs w:val="20"/>
          <w:shd w:val="clear" w:color="auto" w:fill="FFFFFF"/>
        </w:rPr>
        <w:t xml:space="preserve"> 2112–2130.</w:t>
      </w:r>
    </w:p>
  </w:footnote>
  <w:footnote w:id="208">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Barnett, W.S., Jung, K., Youn, M.J., and Frede, E.C. (2013).  </w:t>
      </w:r>
      <w:r w:rsidRPr="004932C1">
        <w:rPr>
          <w:rFonts w:ascii="Times New Roman" w:hAnsi="Times New Roman" w:cs="Times New Roman"/>
          <w:i/>
          <w:sz w:val="20"/>
          <w:szCs w:val="20"/>
        </w:rPr>
        <w:t xml:space="preserve">Abbott Preschool Program Longitudinal Effects Study: Fifth Grade Follow-Up. </w:t>
      </w:r>
      <w:r w:rsidRPr="004932C1">
        <w:rPr>
          <w:rFonts w:ascii="Times New Roman" w:hAnsi="Times New Roman" w:cs="Times New Roman"/>
          <w:sz w:val="20"/>
          <w:szCs w:val="20"/>
        </w:rPr>
        <w:t>National Institute for Early Education Research Rutgers—The State University of New Jersey.</w:t>
      </w:r>
    </w:p>
  </w:footnote>
  <w:footnote w:id="209">
    <w:p w:rsidR="00887BBB" w:rsidRPr="004932C1" w:rsidRDefault="00887BBB" w:rsidP="00331A7B">
      <w:pPr>
        <w:spacing w:after="0" w:line="240"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Peisner-Feinberg, E. S., Schaaf, J. M., LaForett, D. R., Hildebrandt, L.M., &amp; Sideris, J. (2014). </w:t>
      </w:r>
      <w:r w:rsidRPr="004932C1">
        <w:rPr>
          <w:rFonts w:ascii="Times New Roman" w:hAnsi="Times New Roman" w:cs="Times New Roman"/>
          <w:i/>
          <w:sz w:val="20"/>
          <w:szCs w:val="20"/>
        </w:rPr>
        <w:t>Effects of Georgia’s Pre-K Program on children’s school readiness skills: Findings from the 2012–2013 evaluation study.</w:t>
      </w:r>
      <w:r w:rsidRPr="004932C1">
        <w:rPr>
          <w:rFonts w:ascii="Times New Roman" w:hAnsi="Times New Roman" w:cs="Times New Roman"/>
          <w:sz w:val="20"/>
          <w:szCs w:val="20"/>
        </w:rPr>
        <w:t xml:space="preserve"> Chapel Hill: The University of North Carolina, FPG Child Development Institute.</w:t>
      </w:r>
    </w:p>
  </w:footnote>
  <w:footnote w:id="210">
    <w:p w:rsidR="00887BBB" w:rsidRPr="004932C1" w:rsidRDefault="00887BBB" w:rsidP="00331A7B">
      <w:pPr>
        <w:spacing w:after="0" w:line="240"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Barnett, W.S., Jung, K., Youn, M.J., and Frede, E.C. (2013).  </w:t>
      </w:r>
      <w:r w:rsidRPr="004932C1">
        <w:rPr>
          <w:rFonts w:ascii="Times New Roman" w:hAnsi="Times New Roman" w:cs="Times New Roman"/>
          <w:i/>
          <w:sz w:val="20"/>
          <w:szCs w:val="20"/>
        </w:rPr>
        <w:t xml:space="preserve">Abbott Preschool Program Longitudinal Effects Study: Fifth Grade Follow-Up. </w:t>
      </w:r>
      <w:r w:rsidRPr="004932C1">
        <w:rPr>
          <w:rFonts w:ascii="Times New Roman" w:hAnsi="Times New Roman" w:cs="Times New Roman"/>
          <w:sz w:val="20"/>
          <w:szCs w:val="20"/>
        </w:rPr>
        <w:t>National Institute for Early Education Research Rutgers—The State University of New Jersey.</w:t>
      </w:r>
    </w:p>
  </w:footnote>
  <w:footnote w:id="211">
    <w:p w:rsidR="00887BBB" w:rsidRPr="004932C1" w:rsidRDefault="00887BBB" w:rsidP="00331A7B">
      <w:pPr>
        <w:spacing w:after="0" w:line="240"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Peisner-Feinberg, E. S., Schaaf, J. M., LaForett, D. R., Hildebrandt, L.M., &amp; Sideris, J. (2014). </w:t>
      </w:r>
      <w:r w:rsidRPr="004932C1">
        <w:rPr>
          <w:rFonts w:ascii="Times New Roman" w:hAnsi="Times New Roman" w:cs="Times New Roman"/>
          <w:i/>
          <w:sz w:val="20"/>
          <w:szCs w:val="20"/>
        </w:rPr>
        <w:t>Effects of Georgia’s Pre-K Program on children’s school readiness skills: Findings from the 2012–2013 evaluation study.</w:t>
      </w:r>
      <w:r w:rsidRPr="004932C1">
        <w:rPr>
          <w:rFonts w:ascii="Times New Roman" w:hAnsi="Times New Roman" w:cs="Times New Roman"/>
          <w:sz w:val="20"/>
          <w:szCs w:val="20"/>
        </w:rPr>
        <w:t xml:space="preserve"> Chapel Hill: The University of North Carolina, FPG Child Development Institute.</w:t>
      </w:r>
    </w:p>
  </w:footnote>
  <w:footnote w:id="212">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t xml:space="preserve"> </w:t>
      </w:r>
      <w:r w:rsidRPr="004932C1">
        <w:rPr>
          <w:rFonts w:ascii="Times New Roman" w:hAnsi="Times New Roman" w:cs="Times New Roman"/>
          <w:sz w:val="20"/>
          <w:szCs w:val="20"/>
        </w:rPr>
        <w:t xml:space="preserve">Gormley, G.T., Gayer, T., Phillips, D., &amp; Dawson, B. (2005).  The effects of universal pre-k on cognitive development.  </w:t>
      </w:r>
      <w:r w:rsidRPr="004932C1">
        <w:rPr>
          <w:rFonts w:ascii="Times New Roman" w:hAnsi="Times New Roman" w:cs="Times New Roman"/>
          <w:i/>
          <w:sz w:val="20"/>
          <w:szCs w:val="20"/>
        </w:rPr>
        <w:t>Developmental Psychology, 4(6),</w:t>
      </w:r>
      <w:r w:rsidRPr="004932C1">
        <w:rPr>
          <w:rFonts w:ascii="Times New Roman" w:hAnsi="Times New Roman" w:cs="Times New Roman"/>
          <w:sz w:val="20"/>
          <w:szCs w:val="20"/>
        </w:rPr>
        <w:t xml:space="preserve"> 872-884.</w:t>
      </w:r>
    </w:p>
  </w:footnote>
  <w:footnote w:id="213">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Weiland, C., &amp; Yoshikawa, H. (2013). Impacts of a prekindergarten program on children’s mathematics, language, literacy, executive function, and emotional skills. </w:t>
      </w:r>
      <w:r w:rsidRPr="004932C1">
        <w:rPr>
          <w:rFonts w:ascii="Times New Roman" w:hAnsi="Times New Roman" w:cs="Times New Roman"/>
          <w:i/>
          <w:sz w:val="20"/>
          <w:szCs w:val="20"/>
        </w:rPr>
        <w:t xml:space="preserve">Child Development, </w:t>
      </w:r>
      <w:r w:rsidRPr="004932C1">
        <w:rPr>
          <w:rFonts w:ascii="Times New Roman" w:eastAsia="Times New Roman" w:hAnsi="Times New Roman" w:cs="Times New Roman"/>
          <w:i/>
          <w:sz w:val="20"/>
          <w:szCs w:val="20"/>
          <w:shd w:val="clear" w:color="auto" w:fill="FFFFFF"/>
        </w:rPr>
        <w:t>84,</w:t>
      </w:r>
      <w:r w:rsidRPr="004932C1">
        <w:rPr>
          <w:rFonts w:ascii="Times New Roman" w:eastAsia="Times New Roman" w:hAnsi="Times New Roman" w:cs="Times New Roman"/>
          <w:sz w:val="20"/>
          <w:szCs w:val="20"/>
          <w:shd w:val="clear" w:color="auto" w:fill="FFFFFF"/>
        </w:rPr>
        <w:t xml:space="preserve"> 2112–2130.</w:t>
      </w:r>
    </w:p>
  </w:footnote>
  <w:footnote w:id="214">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Robin, K.B., Frede, E.C., Barnett, W.S. (2006).  Is More Better? The Effects of Full-Day vs. Half-Day Preschool on Early School Achievement.  </w:t>
      </w:r>
      <w:r w:rsidRPr="004932C1">
        <w:rPr>
          <w:rFonts w:ascii="Times New Roman" w:hAnsi="Times New Roman" w:cs="Times New Roman"/>
          <w:i/>
          <w:sz w:val="20"/>
          <w:szCs w:val="20"/>
        </w:rPr>
        <w:t>NIEER Working Paper.</w:t>
      </w:r>
      <w:r w:rsidRPr="004932C1">
        <w:rPr>
          <w:rFonts w:ascii="Times New Roman" w:hAnsi="Times New Roman" w:cs="Times New Roman"/>
          <w:sz w:val="20"/>
          <w:szCs w:val="20"/>
        </w:rPr>
        <w:t xml:space="preserve">  </w:t>
      </w:r>
    </w:p>
  </w:footnote>
  <w:footnote w:id="215">
    <w:p w:rsidR="00887BBB" w:rsidRPr="004932C1" w:rsidRDefault="00887BBB" w:rsidP="00331A7B">
      <w:pPr>
        <w:spacing w:after="0" w:line="240"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Loeb, S., Bridges, M., Bassok, D., Fuller, B., Rumberger, R., (2005). How much is too much? The influence of preschool centers on children’s social and cognitive development.  Working paper. National Bureau Of Economic Research.</w:t>
      </w:r>
    </w:p>
  </w:footnote>
  <w:footnote w:id="216">
    <w:p w:rsidR="00887BBB" w:rsidRPr="004932C1" w:rsidRDefault="00887BBB" w:rsidP="00331A7B">
      <w:pPr>
        <w:spacing w:after="0" w:line="240" w:lineRule="exac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Camilli, G., Vargas, S., Ryan, S., &amp; Barnett, W.S. (2010). Meta-analysis of the effects of early education interventions on cognitive and social development. </w:t>
      </w:r>
      <w:r w:rsidRPr="004932C1">
        <w:rPr>
          <w:rFonts w:ascii="Times New Roman" w:hAnsi="Times New Roman" w:cs="Times New Roman"/>
          <w:i/>
          <w:sz w:val="20"/>
          <w:szCs w:val="20"/>
        </w:rPr>
        <w:t>Teachers College Record, 112(3),</w:t>
      </w:r>
      <w:r w:rsidRPr="004932C1">
        <w:rPr>
          <w:rFonts w:ascii="Times New Roman" w:hAnsi="Times New Roman" w:cs="Times New Roman"/>
          <w:sz w:val="20"/>
          <w:szCs w:val="20"/>
        </w:rPr>
        <w:t xml:space="preserve"> 579-620.</w:t>
      </w:r>
    </w:p>
  </w:footnote>
  <w:footnote w:id="217">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Justice, L.M., Mcginty, A., Cabell, S.Q., Kilday, C.R., Knighton, K., &amp; Huffman, G. (2010).  Language and literacy curriculum supplement for preschoolers who are academically at risk: A feasibility study.  </w:t>
      </w:r>
      <w:r w:rsidRPr="004932C1">
        <w:rPr>
          <w:rFonts w:ascii="Times New Roman" w:hAnsi="Times New Roman" w:cs="Times New Roman"/>
          <w:i/>
          <w:sz w:val="20"/>
          <w:szCs w:val="20"/>
        </w:rPr>
        <w:t xml:space="preserve">Language, Speech, and Hearing Services in Schools, 41, </w:t>
      </w:r>
      <w:r w:rsidRPr="004932C1">
        <w:rPr>
          <w:rFonts w:ascii="Times New Roman" w:hAnsi="Times New Roman" w:cs="Times New Roman"/>
          <w:sz w:val="20"/>
          <w:szCs w:val="20"/>
        </w:rPr>
        <w:t>161-178.</w:t>
      </w:r>
    </w:p>
  </w:footnote>
  <w:footnote w:id="218">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Ginsburg, H.P., Ertle, B., &amp; Presser, A.L. (2014).  Math curriculum and instruction for young children.  Chapter 16 in </w:t>
      </w:r>
      <w:r w:rsidRPr="004932C1">
        <w:rPr>
          <w:rFonts w:ascii="Times New Roman" w:hAnsi="Times New Roman" w:cs="Times New Roman"/>
          <w:i/>
          <w:sz w:val="20"/>
          <w:szCs w:val="20"/>
        </w:rPr>
        <w:t>Handbook of Response to Intervention in Early Childhood</w:t>
      </w:r>
      <w:r w:rsidRPr="004932C1">
        <w:rPr>
          <w:rFonts w:ascii="Times New Roman" w:hAnsi="Times New Roman" w:cs="Times New Roman"/>
          <w:sz w:val="20"/>
          <w:szCs w:val="20"/>
        </w:rPr>
        <w:t>, Buysee, V., &amp; Peisner-Feinberg, E. (Eds.).  Baltimore: Paul H. Brookes Publishing.</w:t>
      </w:r>
    </w:p>
  </w:footnote>
  <w:footnote w:id="219">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Buysse, V., Peisner-Feinber, E.S., Saikakou, E., &amp; LaForett, D.R. (2014).  Recognition &amp; response: A model of response to Intervention to promote academic learning in early education. Chapter 5 in </w:t>
      </w:r>
      <w:r w:rsidRPr="004932C1">
        <w:rPr>
          <w:rFonts w:ascii="Times New Roman" w:hAnsi="Times New Roman" w:cs="Times New Roman"/>
          <w:i/>
          <w:sz w:val="20"/>
          <w:szCs w:val="20"/>
        </w:rPr>
        <w:t>Handbook of Response to Intervention in Early Childhood</w:t>
      </w:r>
      <w:r w:rsidRPr="004932C1">
        <w:rPr>
          <w:rFonts w:ascii="Times New Roman" w:hAnsi="Times New Roman" w:cs="Times New Roman"/>
          <w:sz w:val="20"/>
          <w:szCs w:val="20"/>
        </w:rPr>
        <w:t>, Buysee, V., &amp; Peisner-Feinberg, E. (Eds.).  Baltimore: Paul H. Brookes Publishing.</w:t>
      </w:r>
    </w:p>
  </w:footnote>
  <w:footnote w:id="220">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Justice, L.M., McGinty, A., Cabell, S.Q., Kilday, C.R., Knighton, K., &amp; Huffman, G. (2010).  Language and literacy curriculum supplement for preschoolers who are academically at risk: A feasibility study.  </w:t>
      </w:r>
      <w:r w:rsidRPr="004932C1">
        <w:rPr>
          <w:rFonts w:ascii="Times New Roman" w:hAnsi="Times New Roman" w:cs="Times New Roman"/>
          <w:i/>
          <w:sz w:val="20"/>
          <w:szCs w:val="20"/>
        </w:rPr>
        <w:t xml:space="preserve">Language, Speech, and Hearing Services in Schools, 41, </w:t>
      </w:r>
      <w:r w:rsidRPr="004932C1">
        <w:rPr>
          <w:rFonts w:ascii="Times New Roman" w:hAnsi="Times New Roman" w:cs="Times New Roman"/>
          <w:sz w:val="20"/>
          <w:szCs w:val="20"/>
        </w:rPr>
        <w:t>161-178.</w:t>
      </w:r>
    </w:p>
  </w:footnote>
  <w:footnote w:id="221">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Harris, Golinkoff, &amp; Hirsh-Pasell (2011).  Lessons for the Crib for the Classroom: How Children Really Learn Vocabulary.  In </w:t>
      </w:r>
      <w:r w:rsidRPr="004932C1">
        <w:rPr>
          <w:rFonts w:ascii="Times New Roman" w:hAnsi="Times New Roman" w:cs="Times New Roman"/>
          <w:i/>
          <w:sz w:val="20"/>
          <w:szCs w:val="20"/>
        </w:rPr>
        <w:t>Handbook of Early Literacy Research, Vol 3</w:t>
      </w:r>
      <w:r w:rsidRPr="004932C1">
        <w:rPr>
          <w:rFonts w:ascii="Times New Roman" w:hAnsi="Times New Roman" w:cs="Times New Roman"/>
          <w:sz w:val="20"/>
          <w:szCs w:val="20"/>
        </w:rPr>
        <w:t>.  Ed by D. Dickinson and S. Neuman (NY: Guilford).  49-65.</w:t>
      </w:r>
    </w:p>
  </w:footnote>
  <w:footnote w:id="222">
    <w:p w:rsidR="00887BBB" w:rsidRPr="004932C1" w:rsidRDefault="00887BBB" w:rsidP="00331A7B">
      <w:pPr>
        <w:widowControl w:val="0"/>
        <w:autoSpaceDE w:val="0"/>
        <w:autoSpaceDN w:val="0"/>
        <w:adjustRightInd w:val="0"/>
        <w:spacing w:after="0" w:line="240"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Dickinson, D.K., Flushman, T.R., &amp; Freiberg, J.B. (2009).  Learning, reading, and classroom supports: Where we are and where we need to be going.  In B. Richards, M.H. Daller, D.D. Malvern, P. Meara, J. Milton, &amp; Trefers-Daller (Eds.).   </w:t>
      </w:r>
      <w:r w:rsidRPr="004932C1">
        <w:rPr>
          <w:rFonts w:ascii="Times New Roman" w:hAnsi="Times New Roman" w:cs="Times New Roman"/>
          <w:i/>
          <w:sz w:val="20"/>
          <w:szCs w:val="20"/>
        </w:rPr>
        <w:t xml:space="preserve">Vocabulary Studies in First and Second Language Acquisition: The Interface Between Theory and Application. </w:t>
      </w:r>
      <w:r w:rsidRPr="004932C1">
        <w:rPr>
          <w:rFonts w:ascii="Times New Roman" w:hAnsi="Times New Roman" w:cs="Times New Roman"/>
          <w:sz w:val="20"/>
          <w:szCs w:val="20"/>
        </w:rPr>
        <w:t xml:space="preserve"> (pp. 23-38). Hampshire, England: Palgrave-McMillan.</w:t>
      </w:r>
    </w:p>
  </w:footnote>
  <w:footnote w:id="223">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Curenton, S.M., Justice, L.M., Zucker, T.A., &amp; McGinty, A.S. (2014).  Language and literacy curriculum and instruction.  Chapter 15 in in </w:t>
      </w:r>
      <w:r w:rsidRPr="004932C1">
        <w:rPr>
          <w:rFonts w:ascii="Times New Roman" w:hAnsi="Times New Roman" w:cs="Times New Roman"/>
          <w:i/>
          <w:sz w:val="20"/>
          <w:szCs w:val="20"/>
        </w:rPr>
        <w:t>Handbook of Response to Intervention in Early Childhood</w:t>
      </w:r>
      <w:r w:rsidRPr="004932C1">
        <w:rPr>
          <w:rFonts w:ascii="Times New Roman" w:hAnsi="Times New Roman" w:cs="Times New Roman"/>
          <w:sz w:val="20"/>
          <w:szCs w:val="20"/>
        </w:rPr>
        <w:t>, Buysee, V., &amp; Peisner-Feinberg, E. (Eds.).  Baltimore: Paul H. Brookes Publishing.</w:t>
      </w:r>
    </w:p>
  </w:footnote>
  <w:footnote w:id="224">
    <w:p w:rsidR="00887BBB" w:rsidRPr="004932C1" w:rsidRDefault="00887BBB" w:rsidP="00331A7B">
      <w:pPr>
        <w:widowControl w:val="0"/>
        <w:autoSpaceDE w:val="0"/>
        <w:autoSpaceDN w:val="0"/>
        <w:adjustRightInd w:val="0"/>
        <w:spacing w:after="0" w:line="240" w:lineRule="auto"/>
        <w:rPr>
          <w:rFonts w:ascii="Times New Roman" w:hAnsi="Times New Roman" w:cs="Times New Roman"/>
          <w:i/>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Clements, D.H., Sarama, J., Wolfe, C.B., &amp; Spitler, M.E. (2012).  Longitudinal evaluation of a scale-up model for teaching mathematics with trajectories and technologies: persistence of effects in the third.  </w:t>
      </w:r>
      <w:r w:rsidRPr="004932C1">
        <w:rPr>
          <w:rFonts w:ascii="Times New Roman" w:hAnsi="Times New Roman" w:cs="Times New Roman"/>
          <w:i/>
          <w:sz w:val="20"/>
          <w:szCs w:val="20"/>
        </w:rPr>
        <w:t xml:space="preserve">American Educational Research Journal.  </w:t>
      </w:r>
    </w:p>
  </w:footnote>
  <w:footnote w:id="225">
    <w:p w:rsidR="00887BBB" w:rsidRPr="004932C1" w:rsidRDefault="00887BBB" w:rsidP="00331A7B">
      <w:pPr>
        <w:widowControl w:val="0"/>
        <w:autoSpaceDE w:val="0"/>
        <w:autoSpaceDN w:val="0"/>
        <w:adjustRightInd w:val="0"/>
        <w:spacing w:after="0" w:line="240" w:lineRule="auto"/>
        <w:rPr>
          <w:rFonts w:ascii="Times New Roman" w:hAnsi="Times New Roman" w:cs="Times New Roman"/>
          <w:i/>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Clements, D.H., &amp; Sarama, J., (2008). Experimental evaluation of the effects of a research-based preschool mathematics curriculum.  </w:t>
      </w:r>
      <w:r w:rsidRPr="004932C1">
        <w:rPr>
          <w:rFonts w:ascii="Times New Roman" w:hAnsi="Times New Roman" w:cs="Times New Roman"/>
          <w:i/>
          <w:sz w:val="20"/>
          <w:szCs w:val="20"/>
        </w:rPr>
        <w:t>American Educational Research Journal, 45</w:t>
      </w:r>
      <w:r w:rsidRPr="004932C1">
        <w:rPr>
          <w:rFonts w:ascii="Times New Roman" w:hAnsi="Times New Roman" w:cs="Times New Roman"/>
          <w:sz w:val="20"/>
          <w:szCs w:val="20"/>
        </w:rPr>
        <w:t>(2), 443-494.</w:t>
      </w:r>
      <w:r w:rsidRPr="004932C1">
        <w:rPr>
          <w:rFonts w:ascii="Times New Roman" w:hAnsi="Times New Roman" w:cs="Times New Roman"/>
          <w:i/>
          <w:sz w:val="20"/>
          <w:szCs w:val="20"/>
        </w:rPr>
        <w:t xml:space="preserve"> </w:t>
      </w:r>
      <w:r w:rsidRPr="004932C1">
        <w:rPr>
          <w:rFonts w:ascii="Times New Roman" w:hAnsi="Times New Roman" w:cs="Times New Roman"/>
          <w:sz w:val="20"/>
          <w:szCs w:val="20"/>
        </w:rPr>
        <w:t xml:space="preserve"> </w:t>
      </w:r>
    </w:p>
  </w:footnote>
  <w:footnote w:id="226">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 xml:space="preserve">Benson, J., &amp; Borman, G.D. (2010).  Family, Neighborhood, and School Settings Across Seasons: When Do Socioeconomic Context and Racial Composition Matter for the Reading Achievement Growth of Young Children? </w:t>
      </w:r>
      <w:r w:rsidRPr="004932C1">
        <w:rPr>
          <w:rStyle w:val="A11"/>
          <w:rFonts w:ascii="Times New Roman" w:hAnsi="Times New Roman" w:cs="Times New Roman"/>
          <w:i/>
          <w:color w:val="auto"/>
          <w:sz w:val="20"/>
          <w:szCs w:val="20"/>
        </w:rPr>
        <w:t>Teacher’s College Record, 112</w:t>
      </w:r>
      <w:r w:rsidRPr="004932C1">
        <w:rPr>
          <w:rStyle w:val="A11"/>
          <w:rFonts w:ascii="Times New Roman" w:hAnsi="Times New Roman" w:cs="Times New Roman"/>
          <w:color w:val="auto"/>
          <w:sz w:val="20"/>
          <w:szCs w:val="20"/>
        </w:rPr>
        <w:t>(5), 1338–1390.</w:t>
      </w:r>
    </w:p>
  </w:footnote>
  <w:footnote w:id="227">
    <w:p w:rsidR="00887BBB" w:rsidRPr="004932C1" w:rsidRDefault="00887BBB" w:rsidP="00331A7B">
      <w:pPr>
        <w:widowControl w:val="0"/>
        <w:autoSpaceDE w:val="0"/>
        <w:autoSpaceDN w:val="0"/>
        <w:adjustRightInd w:val="0"/>
        <w:spacing w:after="0" w:line="240"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 xml:space="preserve">Sloan McCombs, J. et al., (2011). </w:t>
      </w:r>
      <w:r w:rsidRPr="004932C1">
        <w:rPr>
          <w:rStyle w:val="A11"/>
          <w:rFonts w:ascii="Times New Roman" w:hAnsi="Times New Roman" w:cs="Times New Roman"/>
          <w:i/>
          <w:iCs/>
          <w:color w:val="auto"/>
          <w:sz w:val="20"/>
          <w:szCs w:val="20"/>
        </w:rPr>
        <w:t xml:space="preserve">Making Summer Count. How Summer Programs Can Boost Children’s Learning. </w:t>
      </w:r>
      <w:r w:rsidRPr="004932C1">
        <w:rPr>
          <w:rStyle w:val="A11"/>
          <w:rFonts w:ascii="Times New Roman" w:hAnsi="Times New Roman" w:cs="Times New Roman"/>
          <w:color w:val="auto"/>
          <w:sz w:val="20"/>
          <w:szCs w:val="20"/>
        </w:rPr>
        <w:t>Santa Monica, Calif.: RAND Corporation.</w:t>
      </w:r>
    </w:p>
  </w:footnote>
  <w:footnote w:id="228">
    <w:p w:rsidR="00887BBB" w:rsidRPr="004932C1" w:rsidRDefault="00887BBB" w:rsidP="00331A7B">
      <w:pPr>
        <w:pStyle w:val="NoSpacing"/>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Alexander, K. L., Entwisle D. R., &amp; Olson L. S. (2007). Lasting consequences of the summer learning gap. </w:t>
      </w:r>
      <w:r w:rsidRPr="004932C1">
        <w:rPr>
          <w:rFonts w:ascii="Times New Roman" w:hAnsi="Times New Roman" w:cs="Times New Roman"/>
          <w:i/>
          <w:sz w:val="20"/>
          <w:szCs w:val="20"/>
        </w:rPr>
        <w:t>American Sociological Review, 72,</w:t>
      </w:r>
      <w:r w:rsidRPr="004932C1">
        <w:rPr>
          <w:rFonts w:ascii="Times New Roman" w:hAnsi="Times New Roman" w:cs="Times New Roman"/>
          <w:sz w:val="20"/>
          <w:szCs w:val="20"/>
        </w:rPr>
        <w:t xml:space="preserve"> 167-180.</w:t>
      </w:r>
    </w:p>
  </w:footnote>
  <w:footnote w:id="229">
    <w:p w:rsidR="00887BBB" w:rsidRPr="004932C1" w:rsidRDefault="00887BBB" w:rsidP="00331A7B">
      <w:pPr>
        <w:pStyle w:val="NoSpacing"/>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Ibid.</w:t>
      </w:r>
    </w:p>
  </w:footnote>
  <w:footnote w:id="230">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 xml:space="preserve">Sloan McCombs, J. et al., (2011). </w:t>
      </w:r>
      <w:r w:rsidRPr="004932C1">
        <w:rPr>
          <w:rStyle w:val="A11"/>
          <w:rFonts w:ascii="Times New Roman" w:hAnsi="Times New Roman" w:cs="Times New Roman"/>
          <w:i/>
          <w:color w:val="auto"/>
          <w:sz w:val="20"/>
          <w:szCs w:val="20"/>
        </w:rPr>
        <w:t>Making Summer Count. How Summer Programs Can Boost Children’s Learning</w:t>
      </w:r>
      <w:r w:rsidRPr="004932C1">
        <w:rPr>
          <w:rStyle w:val="A11"/>
          <w:rFonts w:ascii="Times New Roman" w:hAnsi="Times New Roman" w:cs="Times New Roman"/>
          <w:color w:val="auto"/>
          <w:sz w:val="20"/>
          <w:szCs w:val="20"/>
        </w:rPr>
        <w:t>. Santa Monica, Calif.: RAND Corporation.</w:t>
      </w:r>
    </w:p>
  </w:footnote>
  <w:footnote w:id="231">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Allington, R.L. &amp; McGill-Franzen, A. (2003).  The Impact of Summer Setback on the Reading Achievement Gap.  </w:t>
      </w:r>
      <w:r w:rsidRPr="004932C1">
        <w:rPr>
          <w:rFonts w:ascii="Times New Roman" w:hAnsi="Times New Roman" w:cs="Times New Roman"/>
          <w:i/>
          <w:sz w:val="20"/>
          <w:szCs w:val="20"/>
        </w:rPr>
        <w:t xml:space="preserve">The Phi Delta Kappan, 85(1), </w:t>
      </w:r>
      <w:r w:rsidRPr="004932C1">
        <w:rPr>
          <w:rFonts w:ascii="Times New Roman" w:hAnsi="Times New Roman" w:cs="Times New Roman"/>
          <w:sz w:val="20"/>
          <w:szCs w:val="20"/>
        </w:rPr>
        <w:t>68-75.</w:t>
      </w:r>
    </w:p>
  </w:footnote>
  <w:footnote w:id="232">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Fairchild, R. &amp; Noam, G. (Eds.) (2007).  </w:t>
      </w:r>
      <w:r w:rsidRPr="004932C1">
        <w:rPr>
          <w:rFonts w:ascii="Times New Roman" w:hAnsi="Times New Roman" w:cs="Times New Roman"/>
          <w:i/>
          <w:sz w:val="20"/>
          <w:szCs w:val="20"/>
        </w:rPr>
        <w:t xml:space="preserve">Summertime: Confronting Risks, Exploring Solutions. </w:t>
      </w:r>
      <w:r w:rsidRPr="004932C1">
        <w:rPr>
          <w:rFonts w:ascii="Times New Roman" w:hAnsi="Times New Roman" w:cs="Times New Roman"/>
          <w:sz w:val="20"/>
          <w:szCs w:val="20"/>
        </w:rPr>
        <w:t xml:space="preserve"> San Francisco: Jossey-Bass/Wiley.</w:t>
      </w:r>
    </w:p>
  </w:footnote>
  <w:footnote w:id="233">
    <w:p w:rsidR="00887BBB" w:rsidRPr="004932C1" w:rsidRDefault="00887BBB" w:rsidP="00331A7B">
      <w:pPr>
        <w:pStyle w:val="NoSpacing"/>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Burkam, D.T., Ready, D.D., Lee, V.E. &amp; LoGerfo, L.F. (2004). Social-Class Differences in Summer Learning Between Kindergarten and First Grade: Model Specification and Estimation. </w:t>
      </w:r>
      <w:r w:rsidRPr="004932C1">
        <w:rPr>
          <w:rFonts w:ascii="Times New Roman" w:hAnsi="Times New Roman" w:cs="Times New Roman"/>
          <w:i/>
          <w:sz w:val="20"/>
          <w:szCs w:val="20"/>
        </w:rPr>
        <w:t>Sociology of Education, 77</w:t>
      </w:r>
      <w:r w:rsidRPr="004932C1">
        <w:rPr>
          <w:rFonts w:ascii="Times New Roman" w:hAnsi="Times New Roman" w:cs="Times New Roman"/>
          <w:sz w:val="20"/>
          <w:szCs w:val="20"/>
        </w:rPr>
        <w:t>, 1–3</w:t>
      </w:r>
    </w:p>
  </w:footnote>
  <w:footnote w:id="234">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Alexander, K. L., Entwisle D. R., &amp; Olson L. S. (2007). Lasting consequences of the summer learning gap. </w:t>
      </w:r>
      <w:r w:rsidRPr="004932C1">
        <w:rPr>
          <w:rFonts w:ascii="Times New Roman" w:hAnsi="Times New Roman" w:cs="Times New Roman"/>
          <w:i/>
          <w:sz w:val="20"/>
          <w:szCs w:val="20"/>
        </w:rPr>
        <w:t>American Sociological Review, 72,</w:t>
      </w:r>
      <w:r w:rsidRPr="004932C1">
        <w:rPr>
          <w:rFonts w:ascii="Times New Roman" w:hAnsi="Times New Roman" w:cs="Times New Roman"/>
          <w:sz w:val="20"/>
          <w:szCs w:val="20"/>
        </w:rPr>
        <w:t xml:space="preserve"> 167-180.</w:t>
      </w:r>
    </w:p>
  </w:footnote>
  <w:footnote w:id="235">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cs="Times New Roman"/>
          <w:i/>
          <w:sz w:val="20"/>
          <w:szCs w:val="20"/>
        </w:rPr>
        <w:t>Ibid.</w:t>
      </w:r>
    </w:p>
  </w:footnote>
  <w:footnote w:id="236">
    <w:p w:rsidR="00887BBB" w:rsidRPr="004932C1" w:rsidRDefault="00887BBB" w:rsidP="00331A7B">
      <w:pPr>
        <w:shd w:val="clear" w:color="auto" w:fill="FFFFFF"/>
        <w:spacing w:after="0" w:line="240" w:lineRule="auto"/>
        <w:textAlignment w:val="baseline"/>
        <w:rPr>
          <w:rFonts w:ascii="Times New Roman" w:eastAsia="Times New Roman" w:hAnsi="Times New Roman" w:cs="Times New Roman"/>
          <w:bCs/>
          <w:spacing w:val="5"/>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001E53">
        <w:rPr>
          <w:rFonts w:ascii="Times New Roman" w:hAnsi="Times New Roman"/>
          <w:sz w:val="20"/>
          <w:bdr w:val="none" w:sz="0" w:space="0" w:color="auto" w:frame="1"/>
        </w:rPr>
        <w:t>Logan</w:t>
      </w:r>
      <w:r w:rsidRPr="004932C1">
        <w:rPr>
          <w:rFonts w:ascii="Times New Roman" w:eastAsia="Times New Roman" w:hAnsi="Times New Roman" w:cs="Times New Roman"/>
          <w:sz w:val="20"/>
          <w:szCs w:val="20"/>
        </w:rPr>
        <w:t>,</w:t>
      </w:r>
      <w:r w:rsidRPr="004932C1">
        <w:rPr>
          <w:rStyle w:val="apple-converted-space"/>
          <w:rFonts w:ascii="Times New Roman" w:eastAsia="Times New Roman" w:hAnsi="Times New Roman" w:cs="Times New Roman"/>
          <w:sz w:val="20"/>
          <w:szCs w:val="20"/>
        </w:rPr>
        <w:t xml:space="preserve"> J.A.R., Piasta, S.B., Justice, L.M., Schatschneider, C., &amp; Petrill, S. (2011).  </w:t>
      </w:r>
      <w:r w:rsidRPr="004932C1">
        <w:rPr>
          <w:rFonts w:ascii="Times New Roman" w:hAnsi="Times New Roman"/>
          <w:spacing w:val="5"/>
          <w:sz w:val="20"/>
        </w:rPr>
        <w:t xml:space="preserve">Children’s Attendance Rates and Quality of Teacher-Child Interactions in At-Risk Preschool Classrooms: Contribution to Children’s Expressive Language Growth.  </w:t>
      </w:r>
      <w:r w:rsidRPr="004932C1">
        <w:rPr>
          <w:rFonts w:ascii="Times New Roman" w:hAnsi="Times New Roman"/>
          <w:i/>
          <w:spacing w:val="5"/>
          <w:sz w:val="20"/>
        </w:rPr>
        <w:t>Child  &amp; Youth Forum 40(6),</w:t>
      </w:r>
      <w:r w:rsidRPr="004932C1">
        <w:rPr>
          <w:rFonts w:ascii="Times New Roman" w:hAnsi="Times New Roman"/>
          <w:spacing w:val="5"/>
          <w:sz w:val="20"/>
        </w:rPr>
        <w:t xml:space="preserve"> 457-477.</w:t>
      </w:r>
    </w:p>
  </w:footnote>
  <w:footnote w:id="237">
    <w:p w:rsidR="00887BBB" w:rsidRPr="004932C1" w:rsidRDefault="00887BBB" w:rsidP="00331A7B">
      <w:pPr>
        <w:widowControl w:val="0"/>
        <w:autoSpaceDE w:val="0"/>
        <w:autoSpaceDN w:val="0"/>
        <w:adjustRightInd w:val="0"/>
        <w:spacing w:after="0" w:line="240" w:lineRule="auto"/>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Hubbs-Tait, L., McDonald Culp, A., Huey E., Culp, R., Starost, H., &amp; Hare, C. (2002).  Relation of Head Start attendance to children’s cognitive and social outcomes: moderation by family risk.  </w:t>
      </w:r>
      <w:r w:rsidRPr="004932C1">
        <w:rPr>
          <w:rFonts w:ascii="Times New Roman" w:hAnsi="Times New Roman" w:cs="Times New Roman"/>
          <w:i/>
          <w:sz w:val="20"/>
          <w:szCs w:val="20"/>
        </w:rPr>
        <w:t>Early Childhood Research Quarterly, 17,</w:t>
      </w:r>
      <w:r w:rsidRPr="004932C1">
        <w:rPr>
          <w:rFonts w:ascii="Times New Roman" w:hAnsi="Times New Roman" w:cs="Times New Roman"/>
          <w:sz w:val="20"/>
          <w:szCs w:val="20"/>
        </w:rPr>
        <w:t xml:space="preserve"> 539–558.</w:t>
      </w:r>
    </w:p>
  </w:footnote>
  <w:footnote w:id="238">
    <w:p w:rsidR="00887BBB" w:rsidRPr="004932C1" w:rsidRDefault="00887BBB" w:rsidP="00331A7B">
      <w:pPr>
        <w:spacing w:after="0" w:line="240" w:lineRule="auto"/>
        <w:textAlignment w:val="baseline"/>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imes New Roman" w:hAnsi="Times New Roman" w:cs="Times New Roman"/>
          <w:sz w:val="20"/>
          <w:szCs w:val="20"/>
        </w:rPr>
        <w:t xml:space="preserve">Lamdin, D.J. (1996). </w:t>
      </w:r>
      <w:r w:rsidRPr="004932C1">
        <w:rPr>
          <w:rFonts w:ascii="Times New Roman" w:eastAsia="Times New Roman" w:hAnsi="Times New Roman" w:cs="Times New Roman"/>
          <w:bCs/>
          <w:sz w:val="20"/>
          <w:szCs w:val="20"/>
        </w:rPr>
        <w:t xml:space="preserve">Evidence of student attendance as an independent variable in education production functions.  </w:t>
      </w:r>
      <w:r w:rsidRPr="004932C1">
        <w:rPr>
          <w:rFonts w:ascii="Times New Roman" w:eastAsia="Times New Roman" w:hAnsi="Times New Roman" w:cs="Times New Roman"/>
          <w:i/>
          <w:iCs/>
          <w:sz w:val="20"/>
          <w:szCs w:val="20"/>
          <w:bdr w:val="none" w:sz="0" w:space="0" w:color="auto" w:frame="1"/>
        </w:rPr>
        <w:t>Journal of Educational Research</w:t>
      </w:r>
      <w:r w:rsidRPr="004932C1">
        <w:rPr>
          <w:rFonts w:ascii="Times New Roman" w:eastAsia="Times New Roman" w:hAnsi="Times New Roman" w:cs="Times New Roman"/>
          <w:sz w:val="20"/>
          <w:szCs w:val="20"/>
        </w:rPr>
        <w:t xml:space="preserve">, </w:t>
      </w:r>
      <w:r w:rsidRPr="004932C1">
        <w:rPr>
          <w:rFonts w:ascii="Times New Roman" w:eastAsia="Times New Roman" w:hAnsi="Times New Roman" w:cs="Times New Roman"/>
          <w:i/>
          <w:sz w:val="20"/>
          <w:szCs w:val="20"/>
        </w:rPr>
        <w:t>89</w:t>
      </w:r>
      <w:r w:rsidRPr="004932C1">
        <w:rPr>
          <w:rFonts w:ascii="Times New Roman" w:eastAsia="Times New Roman" w:hAnsi="Times New Roman" w:cs="Times New Roman"/>
          <w:sz w:val="20"/>
          <w:szCs w:val="20"/>
        </w:rPr>
        <w:t>(3), 155-162.</w:t>
      </w:r>
    </w:p>
  </w:footnote>
  <w:footnote w:id="239">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Ehrlich, S.B., Gwynne, J.A…..Sorice, E. (2014).  </w:t>
      </w:r>
      <w:r w:rsidRPr="004932C1">
        <w:rPr>
          <w:rFonts w:ascii="Times New Roman" w:hAnsi="Times New Roman" w:cs="Times New Roman"/>
          <w:i/>
          <w:sz w:val="20"/>
          <w:szCs w:val="20"/>
        </w:rPr>
        <w:t>Preschool Attendance in Chicago Public Schools: Relationships with Learning Outcomes and Reasons for Absences.</w:t>
      </w:r>
      <w:r w:rsidRPr="004932C1">
        <w:rPr>
          <w:rFonts w:ascii="Times New Roman" w:hAnsi="Times New Roman" w:cs="Times New Roman"/>
          <w:sz w:val="20"/>
          <w:szCs w:val="20"/>
        </w:rPr>
        <w:t xml:space="preserve">  University of Chicago Consortium on Chicago School Research.  Research Report.</w:t>
      </w:r>
    </w:p>
  </w:footnote>
  <w:footnote w:id="240">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Aikens, N., Kopack Klein, A., Tarullo, L., &amp; West, J. (2013). Getting Ready for Kindergarten: Children’s Progress During Head Start. FACES 2009 Report. OPRE Report 2013-21a. Washington, DC: Office of Planning, Research and Evaluation, Administration for Children and Families, U.S. Department of Health and Human Services.   </w:t>
      </w:r>
    </w:p>
  </w:footnote>
  <w:footnote w:id="241">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Schweinhart, L. J., Montie, J., Xiang, Z., Barnett, W. S., Belfield, C. R., &amp; Nores, M. (2005</w:t>
      </w:r>
      <w:r w:rsidRPr="004932C1">
        <w:rPr>
          <w:rFonts w:ascii="Times New Roman" w:hAnsi="Times New Roman" w:cs="Times New Roman"/>
          <w:i/>
          <w:sz w:val="20"/>
          <w:szCs w:val="20"/>
        </w:rPr>
        <w:t>). Lifetime effects: The HighScope Perry Preschool study through age 40.</w:t>
      </w:r>
      <w:r w:rsidRPr="004932C1">
        <w:rPr>
          <w:rFonts w:ascii="Times New Roman" w:hAnsi="Times New Roman" w:cs="Times New Roman"/>
          <w:sz w:val="20"/>
          <w:szCs w:val="20"/>
        </w:rPr>
        <w:t xml:space="preserve"> Ypsilanti, MI: HighScope Press.</w:t>
      </w:r>
    </w:p>
  </w:footnote>
  <w:footnote w:id="242">
    <w:p w:rsidR="00887BBB" w:rsidRPr="004932C1" w:rsidRDefault="00887BBB" w:rsidP="00331A7B">
      <w:pPr>
        <w:spacing w:after="0" w:line="240" w:lineRule="auto"/>
        <w:rPr>
          <w:rFonts w:ascii="Times New Roman" w:hAnsi="Times New Roman"/>
          <w:sz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sz w:val="20"/>
        </w:rPr>
        <w:t xml:space="preserve">Barnett, W. S., &amp; Hustedt, J. T. (2005). Head start's lasting benefits. </w:t>
      </w:r>
      <w:r w:rsidRPr="004932C1">
        <w:rPr>
          <w:rFonts w:ascii="Times New Roman" w:hAnsi="Times New Roman"/>
          <w:i/>
          <w:sz w:val="20"/>
        </w:rPr>
        <w:t>Infants &amp; Young Children</w:t>
      </w:r>
      <w:r w:rsidRPr="004932C1">
        <w:rPr>
          <w:rFonts w:ascii="Times New Roman" w:hAnsi="Times New Roman"/>
          <w:sz w:val="20"/>
        </w:rPr>
        <w:t xml:space="preserve">, </w:t>
      </w:r>
      <w:r w:rsidRPr="004932C1">
        <w:rPr>
          <w:rFonts w:ascii="Times New Roman" w:hAnsi="Times New Roman"/>
          <w:i/>
          <w:sz w:val="20"/>
        </w:rPr>
        <w:t>18</w:t>
      </w:r>
      <w:r w:rsidRPr="004932C1">
        <w:rPr>
          <w:rFonts w:ascii="Times New Roman" w:hAnsi="Times New Roman"/>
          <w:sz w:val="20"/>
        </w:rPr>
        <w:t>(1), 16-24.</w:t>
      </w:r>
    </w:p>
  </w:footnote>
  <w:footnote w:id="243">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Yoshikawa, H., Weiland, C., Brooks-Gunn, J., Burchinal, M., . . .Zaslow, M. (2013). Investing in our future: The evidence base on preschool education. Foundation for Child Development. New York, NY.</w:t>
      </w:r>
    </w:p>
  </w:footnote>
  <w:footnote w:id="244">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Camilli, G., Vargas, S., Ryan, S., &amp; Barnett, W. S. (2010). Meta-analysis of the effects of early education interventions on cognitive and social development. </w:t>
      </w:r>
      <w:r w:rsidRPr="004932C1">
        <w:rPr>
          <w:rFonts w:ascii="Times New Roman" w:hAnsi="Times New Roman" w:cs="Times New Roman"/>
          <w:i/>
          <w:sz w:val="20"/>
          <w:szCs w:val="20"/>
        </w:rPr>
        <w:t>The Teachers College Record, 112,</w:t>
      </w:r>
      <w:r w:rsidRPr="004932C1">
        <w:rPr>
          <w:rFonts w:ascii="Times New Roman" w:hAnsi="Times New Roman" w:cs="Times New Roman"/>
          <w:sz w:val="20"/>
          <w:szCs w:val="20"/>
        </w:rPr>
        <w:t xml:space="preserve"> 579-620.</w:t>
      </w:r>
    </w:p>
  </w:footnote>
  <w:footnote w:id="245">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Wong, V. C., Cook, T. D., Barnett, W. S., &amp; Jung, K. (2008). An effectiveness-based evaluation of five state prekindergarten programs. </w:t>
      </w:r>
      <w:r w:rsidRPr="004932C1">
        <w:rPr>
          <w:rFonts w:ascii="Times New Roman" w:hAnsi="Times New Roman" w:cs="Times New Roman"/>
          <w:i/>
          <w:sz w:val="20"/>
          <w:szCs w:val="20"/>
        </w:rPr>
        <w:t>Journal of Policy Analysis and Management, 27,</w:t>
      </w:r>
      <w:r w:rsidRPr="004932C1">
        <w:rPr>
          <w:rFonts w:ascii="Times New Roman" w:hAnsi="Times New Roman" w:cs="Times New Roman"/>
          <w:sz w:val="20"/>
          <w:szCs w:val="20"/>
        </w:rPr>
        <w:t xml:space="preserve"> 122-154.</w:t>
      </w:r>
    </w:p>
  </w:footnote>
  <w:footnote w:id="246">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Reynolds, A.J. (2000). Success in early intervention: The Chicago Child-Parent Centers. Lincoln, Nebraska: University of Nebraska Press.</w:t>
      </w:r>
    </w:p>
  </w:footnote>
  <w:footnote w:id="247">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Schweinhart, L. J., Montie, J., Xiang, Z., Barnett, W. S., Belfield, C. R., &amp; Nores, M. (2005). </w:t>
      </w:r>
      <w:r w:rsidRPr="004932C1">
        <w:rPr>
          <w:rFonts w:ascii="Times New Roman" w:hAnsi="Times New Roman" w:cs="Times New Roman"/>
          <w:i/>
          <w:sz w:val="20"/>
          <w:szCs w:val="20"/>
        </w:rPr>
        <w:t>Lifetime effects: The HighScope Perry Preschool study through age 40</w:t>
      </w:r>
      <w:r w:rsidRPr="004932C1">
        <w:rPr>
          <w:rFonts w:ascii="Times New Roman" w:hAnsi="Times New Roman" w:cs="Times New Roman"/>
          <w:sz w:val="20"/>
          <w:szCs w:val="20"/>
        </w:rPr>
        <w:t>. Ypsilanti, MI: HighScope Press.</w:t>
      </w:r>
    </w:p>
  </w:footnote>
  <w:footnote w:id="248">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Gormley, W., Gayer, T., Phillips, D.A., &amp; Dawson, B. (2005). The effects of universal Pre-K on cognitive development. </w:t>
      </w:r>
      <w:r w:rsidRPr="004932C1">
        <w:rPr>
          <w:rFonts w:ascii="Times New Roman" w:hAnsi="Times New Roman" w:cs="Times New Roman"/>
          <w:i/>
          <w:sz w:val="20"/>
          <w:szCs w:val="20"/>
        </w:rPr>
        <w:t>Developmental Psychology, 41,</w:t>
      </w:r>
      <w:r w:rsidRPr="004932C1">
        <w:rPr>
          <w:rFonts w:ascii="Times New Roman" w:hAnsi="Times New Roman" w:cs="Times New Roman"/>
          <w:sz w:val="20"/>
          <w:szCs w:val="20"/>
        </w:rPr>
        <w:t xml:space="preserve"> 872-884.</w:t>
      </w:r>
    </w:p>
    <w:p w:rsidR="00887BBB" w:rsidRPr="004932C1" w:rsidRDefault="00887BBB" w:rsidP="00331A7B">
      <w:pPr>
        <w:pStyle w:val="FootnoteText"/>
        <w:rPr>
          <w:rFonts w:ascii="Times New Roman" w:hAnsi="Times New Roman" w:cs="Times New Roman"/>
          <w:sz w:val="20"/>
          <w:szCs w:val="20"/>
        </w:rPr>
      </w:pPr>
      <w:r w:rsidRPr="004932C1">
        <w:rPr>
          <w:rFonts w:ascii="Times New Roman" w:hAnsi="Times New Roman" w:cs="Times New Roman"/>
          <w:sz w:val="20"/>
          <w:szCs w:val="20"/>
        </w:rPr>
        <w:t xml:space="preserve">Campbell, F. A., Ramey, C. T., Pungello, E., Sparling, J., &amp; Miller-Johnson, S. (2002). Early childhood education: Young adult outcomes from the Abecedarian project. </w:t>
      </w:r>
      <w:r w:rsidRPr="004932C1">
        <w:rPr>
          <w:rFonts w:ascii="Times New Roman" w:hAnsi="Times New Roman" w:cs="Times New Roman"/>
          <w:i/>
          <w:sz w:val="20"/>
          <w:szCs w:val="20"/>
        </w:rPr>
        <w:t>Applied Developmental Science, 6,</w:t>
      </w:r>
      <w:r w:rsidRPr="004932C1">
        <w:rPr>
          <w:rFonts w:ascii="Times New Roman" w:hAnsi="Times New Roman" w:cs="Times New Roman"/>
          <w:sz w:val="20"/>
          <w:szCs w:val="20"/>
        </w:rPr>
        <w:t xml:space="preserve"> 42-57.</w:t>
      </w:r>
    </w:p>
  </w:footnote>
  <w:footnote w:id="249">
    <w:p w:rsidR="00887BBB" w:rsidRPr="004932C1" w:rsidRDefault="00887BBB" w:rsidP="00331A7B">
      <w:pPr>
        <w:spacing w:after="0" w:line="240" w:lineRule="auto"/>
        <w:rPr>
          <w:rFonts w:ascii="Times New Roman" w:eastAsia="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Weiland, C., &amp; Yoshikawa, H. (2013). Impacts of a prekindergarten program on children’s mathematics, language, literacy, executive function, and emotional skills. </w:t>
      </w:r>
      <w:r w:rsidRPr="004932C1">
        <w:rPr>
          <w:rFonts w:ascii="Times New Roman" w:hAnsi="Times New Roman" w:cs="Times New Roman"/>
          <w:i/>
          <w:sz w:val="20"/>
          <w:szCs w:val="20"/>
        </w:rPr>
        <w:t xml:space="preserve">Child Development, </w:t>
      </w:r>
      <w:r w:rsidRPr="004932C1">
        <w:rPr>
          <w:rFonts w:ascii="Times New Roman" w:eastAsia="Times New Roman" w:hAnsi="Times New Roman" w:cs="Times New Roman"/>
          <w:i/>
          <w:sz w:val="20"/>
          <w:szCs w:val="20"/>
          <w:shd w:val="clear" w:color="auto" w:fill="FFFFFF"/>
        </w:rPr>
        <w:t>84,</w:t>
      </w:r>
      <w:r w:rsidRPr="004932C1">
        <w:rPr>
          <w:rFonts w:ascii="Times New Roman" w:eastAsia="Times New Roman" w:hAnsi="Times New Roman" w:cs="Times New Roman"/>
          <w:sz w:val="20"/>
          <w:szCs w:val="20"/>
          <w:shd w:val="clear" w:color="auto" w:fill="FFFFFF"/>
        </w:rPr>
        <w:t xml:space="preserve"> 2112–2130.</w:t>
      </w:r>
    </w:p>
  </w:footnote>
  <w:footnote w:id="250">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Peisner</w:t>
      </w:r>
      <w:r w:rsidRPr="004932C1">
        <w:rPr>
          <w:rFonts w:ascii="Cambria Math" w:hAnsi="Cambria Math" w:cs="Cambria Math"/>
          <w:sz w:val="20"/>
          <w:szCs w:val="20"/>
        </w:rPr>
        <w:t>-</w:t>
      </w:r>
      <w:r w:rsidRPr="004932C1">
        <w:rPr>
          <w:rFonts w:ascii="Times New Roman" w:hAnsi="Times New Roman" w:cs="Times New Roman"/>
          <w:sz w:val="20"/>
          <w:szCs w:val="20"/>
        </w:rPr>
        <w:t xml:space="preserve">Feinberg, E. S., Schaaf, J. M., LaForett, D. R., Hildebrandt, L.M., &amp; Sideris, J. (2014). </w:t>
      </w:r>
      <w:r w:rsidRPr="004932C1">
        <w:rPr>
          <w:rFonts w:ascii="Times New Roman" w:hAnsi="Times New Roman" w:cs="Times New Roman"/>
          <w:i/>
          <w:iCs/>
          <w:sz w:val="20"/>
          <w:szCs w:val="20"/>
        </w:rPr>
        <w:t>Effects of Georgia’s Pre</w:t>
      </w:r>
      <w:r w:rsidRPr="004932C1">
        <w:rPr>
          <w:rFonts w:ascii="Cambria Math" w:hAnsi="Cambria Math" w:cs="Cambria Math" w:hint="eastAsia"/>
          <w:i/>
          <w:iCs/>
          <w:sz w:val="20"/>
          <w:szCs w:val="20"/>
        </w:rPr>
        <w:t>‐</w:t>
      </w:r>
      <w:r w:rsidRPr="004932C1">
        <w:rPr>
          <w:rFonts w:ascii="Times New Roman" w:hAnsi="Times New Roman" w:cs="Times New Roman"/>
          <w:i/>
          <w:iCs/>
          <w:sz w:val="20"/>
          <w:szCs w:val="20"/>
        </w:rPr>
        <w:t>K Program on children’s school readiness skills: Findings from the 2012</w:t>
      </w:r>
      <w:r w:rsidRPr="004932C1">
        <w:rPr>
          <w:rFonts w:ascii="Times New Roman" w:hAnsi="Times New Roman" w:cs="Times New Roman"/>
          <w:sz w:val="20"/>
          <w:szCs w:val="20"/>
        </w:rPr>
        <w:t>-</w:t>
      </w:r>
      <w:r w:rsidRPr="004932C1">
        <w:rPr>
          <w:rFonts w:ascii="Times New Roman" w:hAnsi="Times New Roman" w:cs="Times New Roman"/>
          <w:i/>
          <w:iCs/>
          <w:sz w:val="20"/>
          <w:szCs w:val="20"/>
        </w:rPr>
        <w:t xml:space="preserve">2013 evaluation study. </w:t>
      </w:r>
      <w:r w:rsidRPr="004932C1">
        <w:rPr>
          <w:rFonts w:ascii="Times New Roman" w:hAnsi="Times New Roman" w:cs="Times New Roman"/>
          <w:sz w:val="20"/>
          <w:szCs w:val="20"/>
        </w:rPr>
        <w:t>Chapel Hill: The University of North Carolina, FPG Child Development Institute.</w:t>
      </w:r>
    </w:p>
  </w:footnote>
  <w:footnote w:id="251">
    <w:p w:rsidR="00887BBB" w:rsidRPr="004932C1" w:rsidRDefault="00887BBB" w:rsidP="00331A7B">
      <w:pPr>
        <w:pStyle w:val="FootnoteText"/>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The Council of Economic Advisers. (December, 2014). </w:t>
      </w:r>
      <w:r w:rsidRPr="004932C1">
        <w:rPr>
          <w:rFonts w:ascii="Times New Roman" w:hAnsi="Times New Roman" w:cs="Times New Roman"/>
          <w:i/>
          <w:sz w:val="20"/>
          <w:szCs w:val="20"/>
        </w:rPr>
        <w:t>The Economics of Early Childhood Investments.</w:t>
      </w:r>
      <w:r w:rsidRPr="004932C1">
        <w:rPr>
          <w:rFonts w:ascii="Times New Roman" w:hAnsi="Times New Roman" w:cs="Times New Roman"/>
          <w:sz w:val="20"/>
          <w:szCs w:val="20"/>
        </w:rPr>
        <w:t xml:space="preserve"> Washington, DC: Authors</w:t>
      </w:r>
    </w:p>
  </w:footnote>
  <w:footnote w:id="252">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hAnsi="Times New Roman"/>
          <w:sz w:val="20"/>
        </w:rPr>
        <w:t xml:space="preserve">Puma, M., Bell, S., Cook, R., Heid, C., Broene, P., Jenkins, F., &amp; Downer, J. (2012). Third grade follow-up to the Head Start impact study final report. </w:t>
      </w:r>
      <w:r w:rsidRPr="004932C1">
        <w:rPr>
          <w:rFonts w:ascii="Times New Roman" w:hAnsi="Times New Roman"/>
          <w:i/>
          <w:sz w:val="20"/>
        </w:rPr>
        <w:t>US Department of Health and Human Services Office of Planning, Research and Evaluation</w:t>
      </w:r>
      <w:r w:rsidRPr="004932C1">
        <w:rPr>
          <w:rFonts w:ascii="Times New Roman" w:hAnsi="Times New Roman"/>
          <w:sz w:val="20"/>
        </w:rPr>
        <w:t>.</w:t>
      </w:r>
    </w:p>
  </w:footnote>
  <w:footnote w:id="253">
    <w:p w:rsidR="00887BBB" w:rsidRPr="004932C1" w:rsidRDefault="00887BBB" w:rsidP="00331A7B">
      <w:pPr>
        <w:pStyle w:val="FootnoteText"/>
      </w:pPr>
      <w:r w:rsidRPr="004932C1">
        <w:rPr>
          <w:rStyle w:val="FootnoteReference"/>
          <w:rFonts w:ascii="Times New Roman" w:hAnsi="Times New Roman"/>
          <w:sz w:val="20"/>
        </w:rPr>
        <w:footnoteRef/>
      </w:r>
      <w:r w:rsidRPr="004932C1">
        <w:rPr>
          <w:rFonts w:ascii="Times New Roman" w:hAnsi="Times New Roman"/>
          <w:sz w:val="20"/>
        </w:rPr>
        <w:t xml:space="preserve"> </w:t>
      </w:r>
      <w:r w:rsidRPr="004932C1">
        <w:rPr>
          <w:rFonts w:ascii="Times New Roman" w:hAnsi="Times New Roman" w:cs="Times New Roman"/>
          <w:sz w:val="20"/>
          <w:szCs w:val="20"/>
        </w:rPr>
        <w:t xml:space="preserve">Weiland, C., &amp; Yoshikawa, H. (2013). Impacts of a prekindergarten program on children’s mathematics, language, literacy, executive function, and emotional skills. </w:t>
      </w:r>
      <w:r w:rsidRPr="004932C1">
        <w:rPr>
          <w:rFonts w:ascii="Times New Roman" w:hAnsi="Times New Roman" w:cs="Times New Roman"/>
          <w:i/>
          <w:sz w:val="20"/>
          <w:szCs w:val="20"/>
        </w:rPr>
        <w:t xml:space="preserve">Child Development, </w:t>
      </w:r>
      <w:r w:rsidRPr="004932C1">
        <w:rPr>
          <w:rFonts w:ascii="Times New Roman" w:eastAsia="Times New Roman" w:hAnsi="Times New Roman" w:cs="Times New Roman"/>
          <w:i/>
          <w:sz w:val="20"/>
          <w:szCs w:val="20"/>
          <w:shd w:val="clear" w:color="auto" w:fill="FFFFFF"/>
        </w:rPr>
        <w:t>84,</w:t>
      </w:r>
      <w:r w:rsidRPr="004932C1">
        <w:rPr>
          <w:rFonts w:ascii="Times New Roman" w:eastAsia="Times New Roman" w:hAnsi="Times New Roman" w:cs="Times New Roman"/>
          <w:sz w:val="20"/>
          <w:szCs w:val="20"/>
          <w:shd w:val="clear" w:color="auto" w:fill="FFFFFF"/>
        </w:rPr>
        <w:t xml:space="preserve"> 2112–2130.</w:t>
      </w:r>
    </w:p>
  </w:footnote>
  <w:footnote w:id="254">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Barnett, W.S., Jung, K., Youn, M.J., and Frede, E.C. (2013).  </w:t>
      </w:r>
      <w:r w:rsidRPr="004932C1">
        <w:rPr>
          <w:rFonts w:ascii="Times New Roman" w:hAnsi="Times New Roman" w:cs="Times New Roman"/>
          <w:i/>
          <w:sz w:val="20"/>
          <w:szCs w:val="20"/>
        </w:rPr>
        <w:t xml:space="preserve">Abbott Preschool Program Longitudinal Effects Study: Fifth Grade Follow-Up. </w:t>
      </w:r>
      <w:r w:rsidRPr="004932C1">
        <w:rPr>
          <w:rFonts w:ascii="Times New Roman" w:hAnsi="Times New Roman" w:cs="Times New Roman"/>
          <w:sz w:val="20"/>
          <w:szCs w:val="20"/>
        </w:rPr>
        <w:t>National Institute for Early Education Research Rutgers—The State University of New Jersey.</w:t>
      </w:r>
    </w:p>
  </w:footnote>
  <w:footnote w:id="255">
    <w:p w:rsidR="00887BBB" w:rsidRPr="004932C1" w:rsidRDefault="00887BBB" w:rsidP="00331A7B">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Lee, V. E., Burkam, D. T., Ready, D. D., Honigman, J., &amp; Meisels, S. J. (2006). Full-Day versus Half-Day Kindergarten: In Which Program Do Children Learn More? </w:t>
      </w:r>
      <w:r w:rsidRPr="004932C1">
        <w:rPr>
          <w:rFonts w:ascii="Times New Roman" w:hAnsi="Times New Roman" w:cs="Times New Roman"/>
          <w:i/>
          <w:sz w:val="20"/>
          <w:szCs w:val="20"/>
        </w:rPr>
        <w:t>American Journal of Education, 112(2),</w:t>
      </w:r>
      <w:r w:rsidRPr="004932C1">
        <w:rPr>
          <w:rFonts w:ascii="Times New Roman" w:hAnsi="Times New Roman" w:cs="Times New Roman"/>
          <w:sz w:val="20"/>
          <w:szCs w:val="20"/>
        </w:rPr>
        <w:t xml:space="preserve"> 163-208.</w:t>
      </w:r>
    </w:p>
  </w:footnote>
  <w:footnote w:id="256">
    <w:p w:rsidR="00887BBB" w:rsidRPr="004932C1" w:rsidRDefault="00887BBB" w:rsidP="00331A7B">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Walston, J.T., and West, J. (2004). </w:t>
      </w:r>
      <w:r w:rsidRPr="004932C1">
        <w:rPr>
          <w:rFonts w:ascii="Times New Roman" w:hAnsi="Times New Roman" w:cs="Times New Roman"/>
          <w:i/>
          <w:sz w:val="20"/>
          <w:szCs w:val="20"/>
        </w:rPr>
        <w:t>Full-day and Half-day Kindergarten in the United States: Findings from the Early Childhood Longitudinal Study, Kindergarten Class of 1998–99 (NCES 2004–078)</w:t>
      </w:r>
      <w:r w:rsidRPr="004932C1">
        <w:rPr>
          <w:rFonts w:ascii="Times New Roman" w:hAnsi="Times New Roman" w:cs="Times New Roman"/>
          <w:sz w:val="20"/>
          <w:szCs w:val="20"/>
        </w:rPr>
        <w:t>. U.S. Department of Education, National Center for Education Statistics. Washington, DC: U.S. Government Printing Office.</w:t>
      </w:r>
    </w:p>
  </w:footnote>
  <w:footnote w:id="257">
    <w:p w:rsidR="00887BBB" w:rsidRPr="004932C1" w:rsidRDefault="00887BBB" w:rsidP="00331A7B">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Sloan McCombs, J. et al., (2011). Making Summer Count. How Summer Programs Can Boost Children’s Learning. Santa Monica, Calif.: RAND Corporation.</w:t>
      </w:r>
    </w:p>
  </w:footnote>
  <w:footnote w:id="258">
    <w:p w:rsidR="00887BBB" w:rsidRPr="004932C1" w:rsidRDefault="00887BBB" w:rsidP="00331A7B">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Downey, D.B., von Hippel, P.T. &amp; Broh, B.A. (2004).  Are Schools the Great Equalizer? Cognitive Inequality During the Sum</w:t>
      </w:r>
      <w:r w:rsidRPr="004932C1">
        <w:rPr>
          <w:rStyle w:val="A11"/>
          <w:rFonts w:ascii="Times New Roman" w:hAnsi="Times New Roman" w:cs="Times New Roman"/>
          <w:color w:val="auto"/>
          <w:sz w:val="20"/>
          <w:szCs w:val="20"/>
        </w:rPr>
        <w:softHyphen/>
        <w:t>mer Months and the School Year.  American Sociological Review, 69(5), 613–635.</w:t>
      </w:r>
    </w:p>
  </w:footnote>
  <w:footnote w:id="259">
    <w:p w:rsidR="00887BBB" w:rsidRPr="004932C1" w:rsidRDefault="00887BBB" w:rsidP="00331A7B">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Ehrlich, S.B., Gwynne, J.A…,..Sorice, E. (2014).  </w:t>
      </w:r>
      <w:r w:rsidRPr="004932C1">
        <w:rPr>
          <w:rFonts w:ascii="Times New Roman" w:hAnsi="Times New Roman" w:cs="Times New Roman"/>
          <w:i/>
          <w:sz w:val="20"/>
          <w:szCs w:val="20"/>
        </w:rPr>
        <w:t>Preschool Attendance in Chicago Public Schools: Relationships with Learning Outcomes and Reasons for Absences.</w:t>
      </w:r>
      <w:r w:rsidRPr="004932C1">
        <w:rPr>
          <w:rFonts w:ascii="Times New Roman" w:hAnsi="Times New Roman" w:cs="Times New Roman"/>
          <w:sz w:val="20"/>
          <w:szCs w:val="20"/>
        </w:rPr>
        <w:t xml:space="preserve">  University of Chicago Consortium on Chicago School Research.  Research Report.</w:t>
      </w:r>
    </w:p>
  </w:footnote>
  <w:footnote w:id="260">
    <w:p w:rsidR="00887BBB" w:rsidRPr="004932C1" w:rsidRDefault="00887BBB" w:rsidP="00331A7B">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Peisner-Feinberg, E. S., Schaaf, J. M., LaForett, D. R., Hildebrandt, L.M., &amp; Sideris, J. (2014). </w:t>
      </w:r>
      <w:r w:rsidRPr="004932C1">
        <w:rPr>
          <w:rFonts w:ascii="Times New Roman" w:hAnsi="Times New Roman" w:cs="Times New Roman"/>
          <w:i/>
          <w:sz w:val="20"/>
          <w:szCs w:val="20"/>
        </w:rPr>
        <w:t>Effects of Georgia’s Pre-K Program on children’s school readiness skills: Findings from the 2012–2013 evaluation study.</w:t>
      </w:r>
      <w:r w:rsidRPr="004932C1">
        <w:rPr>
          <w:rFonts w:ascii="Times New Roman" w:hAnsi="Times New Roman" w:cs="Times New Roman"/>
          <w:sz w:val="20"/>
          <w:szCs w:val="20"/>
        </w:rPr>
        <w:t xml:space="preserve"> Chapel Hill: The University of North Carolina, FPG Child Development Institute.</w:t>
      </w:r>
    </w:p>
  </w:footnote>
  <w:footnote w:id="261">
    <w:p w:rsidR="00887BBB" w:rsidRPr="004932C1" w:rsidRDefault="00887BBB" w:rsidP="00331A7B">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Barnett, W.S., Jung, K., Youn, M.J., and Frede, E.C. (2013).  </w:t>
      </w:r>
      <w:r w:rsidRPr="004932C1">
        <w:rPr>
          <w:rFonts w:ascii="Times New Roman" w:hAnsi="Times New Roman" w:cs="Times New Roman"/>
          <w:i/>
          <w:sz w:val="20"/>
          <w:szCs w:val="20"/>
        </w:rPr>
        <w:t xml:space="preserve">Abbott Preschool Program Longitudinal Effects Study: Fifth Grade Follow-Up. </w:t>
      </w:r>
      <w:r w:rsidRPr="004932C1">
        <w:rPr>
          <w:rFonts w:ascii="Times New Roman" w:hAnsi="Times New Roman" w:cs="Times New Roman"/>
          <w:sz w:val="20"/>
          <w:szCs w:val="20"/>
        </w:rPr>
        <w:t>National Institute for Early Education Research Rutgers—The State University of New Jersey.</w:t>
      </w:r>
    </w:p>
  </w:footnote>
  <w:footnote w:id="262">
    <w:p w:rsidR="00887BBB" w:rsidRPr="004932C1" w:rsidRDefault="00887BBB" w:rsidP="00331A7B">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Gormley, G.T., Gayer, T., Phillips, D., &amp; Dawson, B. (2005).  The effects of universal pre-k on cognitive development.  </w:t>
      </w:r>
      <w:r w:rsidRPr="004932C1">
        <w:rPr>
          <w:rFonts w:ascii="Times New Roman" w:hAnsi="Times New Roman" w:cs="Times New Roman"/>
          <w:i/>
          <w:sz w:val="20"/>
          <w:szCs w:val="20"/>
        </w:rPr>
        <w:t>Developmental Psychology, 4</w:t>
      </w:r>
      <w:r w:rsidRPr="004932C1">
        <w:rPr>
          <w:rFonts w:ascii="Times New Roman" w:hAnsi="Times New Roman" w:cs="Times New Roman"/>
          <w:sz w:val="20"/>
          <w:szCs w:val="20"/>
        </w:rPr>
        <w:t>(6), 872-884.</w:t>
      </w:r>
    </w:p>
  </w:footnote>
  <w:footnote w:id="263">
    <w:p w:rsidR="00887BBB" w:rsidRPr="004932C1" w:rsidRDefault="00887BBB" w:rsidP="00331A7B">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Weiland, C., &amp; Yoshikawa, H. (2013). Impacts of a prekindergarten program on children’s mathematics, language, literacy, executive function, and emotional skills. </w:t>
      </w:r>
      <w:r w:rsidRPr="004932C1">
        <w:rPr>
          <w:rFonts w:ascii="Times New Roman" w:hAnsi="Times New Roman" w:cs="Times New Roman"/>
          <w:i/>
          <w:sz w:val="20"/>
          <w:szCs w:val="20"/>
        </w:rPr>
        <w:t xml:space="preserve">Child Development, </w:t>
      </w:r>
      <w:r w:rsidRPr="004932C1">
        <w:rPr>
          <w:rFonts w:ascii="Times New Roman" w:eastAsia="Times New Roman" w:hAnsi="Times New Roman" w:cs="Times New Roman"/>
          <w:i/>
          <w:sz w:val="20"/>
          <w:szCs w:val="20"/>
          <w:shd w:val="clear" w:color="auto" w:fill="FFFFFF"/>
        </w:rPr>
        <w:t>84,</w:t>
      </w:r>
      <w:r w:rsidRPr="004932C1">
        <w:rPr>
          <w:rFonts w:ascii="Times New Roman" w:eastAsia="Times New Roman" w:hAnsi="Times New Roman" w:cs="Times New Roman"/>
          <w:sz w:val="20"/>
          <w:szCs w:val="20"/>
          <w:shd w:val="clear" w:color="auto" w:fill="FFFFFF"/>
        </w:rPr>
        <w:t xml:space="preserve"> 2112–2130.</w:t>
      </w:r>
    </w:p>
  </w:footnote>
  <w:footnote w:id="264">
    <w:p w:rsidR="00887BBB" w:rsidRPr="004932C1" w:rsidRDefault="00887BBB" w:rsidP="00331A7B">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Walters, C. R. (2015). Inputs in the Production of Early Childhood Human Capital: Evidence from Head Start, </w:t>
      </w:r>
      <w:r w:rsidRPr="004932C1">
        <w:rPr>
          <w:rFonts w:ascii="Times New Roman" w:hAnsi="Times New Roman" w:cs="Times New Roman"/>
          <w:i/>
          <w:sz w:val="20"/>
          <w:szCs w:val="20"/>
        </w:rPr>
        <w:t>American Economic Journal: Applied Economics, 7</w:t>
      </w:r>
      <w:r w:rsidRPr="004932C1">
        <w:rPr>
          <w:rFonts w:ascii="Times New Roman" w:hAnsi="Times New Roman" w:cs="Times New Roman"/>
          <w:sz w:val="20"/>
          <w:szCs w:val="20"/>
        </w:rPr>
        <w:t>(4), 76–102.</w:t>
      </w:r>
    </w:p>
  </w:footnote>
  <w:footnote w:id="265">
    <w:p w:rsidR="00887BBB" w:rsidRPr="004932C1" w:rsidRDefault="00887BBB" w:rsidP="00331A7B">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Yoshikawa, H., Weiland, C., Brooks-Gunn, J., Burchinal, M.R., Espinosa, L.M., Gormley,  W.T., Ludwig, J., Magnuson, K.A., Phillips, D., &amp; Zaslow, M.J. (2013).  </w:t>
      </w:r>
      <w:r w:rsidRPr="004932C1">
        <w:rPr>
          <w:rFonts w:ascii="Times New Roman" w:hAnsi="Times New Roman" w:cs="Times New Roman"/>
          <w:i/>
          <w:iCs/>
          <w:sz w:val="20"/>
          <w:szCs w:val="20"/>
        </w:rPr>
        <w:t>Investing in Our Future: The Evidence Base on Preschool Education.</w:t>
      </w:r>
      <w:r w:rsidRPr="004932C1">
        <w:rPr>
          <w:rFonts w:ascii="Times New Roman" w:hAnsi="Times New Roman" w:cs="Times New Roman"/>
          <w:sz w:val="20"/>
          <w:szCs w:val="20"/>
        </w:rPr>
        <w:t xml:space="preserve">  Policy Brief. Foundation for Child Development.</w:t>
      </w:r>
    </w:p>
  </w:footnote>
  <w:footnote w:id="266">
    <w:p w:rsidR="00887BBB" w:rsidRPr="004932C1" w:rsidRDefault="00887BBB" w:rsidP="00331A7B">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Lee, V. E., Burkam, D. T., Ready, D. D., Honigman, J., &amp; Meisels, S. J. (2006). Full-Day versus Half-Day Kindergarten: In Which Program Do Children Learn More? </w:t>
      </w:r>
      <w:r w:rsidRPr="004932C1">
        <w:rPr>
          <w:rFonts w:ascii="Times New Roman" w:hAnsi="Times New Roman" w:cs="Times New Roman"/>
          <w:i/>
          <w:sz w:val="20"/>
          <w:szCs w:val="20"/>
        </w:rPr>
        <w:t>American Journal of Education, 112(2),</w:t>
      </w:r>
      <w:r w:rsidRPr="004932C1">
        <w:rPr>
          <w:rFonts w:ascii="Times New Roman" w:hAnsi="Times New Roman" w:cs="Times New Roman"/>
          <w:sz w:val="20"/>
          <w:szCs w:val="20"/>
        </w:rPr>
        <w:t xml:space="preserve"> 163-208.</w:t>
      </w:r>
    </w:p>
  </w:footnote>
  <w:footnote w:id="267">
    <w:p w:rsidR="00887BBB" w:rsidRPr="004932C1" w:rsidRDefault="00887BBB" w:rsidP="00331A7B">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Walston, J.T., and West, J. (2004). </w:t>
      </w:r>
      <w:r w:rsidRPr="004932C1">
        <w:rPr>
          <w:rFonts w:ascii="Times New Roman" w:hAnsi="Times New Roman" w:cs="Times New Roman"/>
          <w:i/>
          <w:sz w:val="20"/>
          <w:szCs w:val="20"/>
        </w:rPr>
        <w:t>Full-day and Half-day Kindergarten in the United States: Findings from the Early Childhood Longitudinal Study, Kindergarten Class of 1998–99 (NCES 2004–078)</w:t>
      </w:r>
      <w:r w:rsidRPr="004932C1">
        <w:rPr>
          <w:rFonts w:ascii="Times New Roman" w:hAnsi="Times New Roman" w:cs="Times New Roman"/>
          <w:sz w:val="20"/>
          <w:szCs w:val="20"/>
        </w:rPr>
        <w:t>. U.S. Department of Education, National Center for Education Statistics. Washington, DC: U.S. Government Printing Office.</w:t>
      </w:r>
    </w:p>
  </w:footnote>
  <w:footnote w:id="268">
    <w:p w:rsidR="00887BBB" w:rsidRPr="004932C1" w:rsidRDefault="00887BBB" w:rsidP="00331A7B">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Sloan McCombs, J. et al., (2011). Making Summer Count. How Summer Programs Can Boost Children’s Learning. Santa Monica, Calif.: RAND Corporation.</w:t>
      </w:r>
    </w:p>
  </w:footnote>
  <w:footnote w:id="269">
    <w:p w:rsidR="00887BBB" w:rsidRPr="004932C1" w:rsidRDefault="00887BBB" w:rsidP="00331A7B">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Style w:val="A11"/>
          <w:rFonts w:ascii="Times New Roman" w:hAnsi="Times New Roman" w:cs="Times New Roman"/>
          <w:color w:val="auto"/>
          <w:sz w:val="20"/>
          <w:szCs w:val="20"/>
        </w:rPr>
        <w:t>Downey, D.B., von Hippel, P.T. &amp; Broh, B.A. (2004).  Are Schools the Great Equalizer? Cognitive Inequality During the Sum</w:t>
      </w:r>
      <w:r w:rsidRPr="004932C1">
        <w:rPr>
          <w:rStyle w:val="A11"/>
          <w:rFonts w:ascii="Times New Roman" w:hAnsi="Times New Roman" w:cs="Times New Roman"/>
          <w:color w:val="auto"/>
          <w:sz w:val="20"/>
          <w:szCs w:val="20"/>
        </w:rPr>
        <w:softHyphen/>
        <w:t>mer Months and the School Year.  American Sociological Review, 69(5), 613–635.</w:t>
      </w:r>
    </w:p>
  </w:footnote>
  <w:footnote w:id="270">
    <w:p w:rsidR="00887BBB" w:rsidRPr="004932C1" w:rsidRDefault="00887BBB" w:rsidP="00331A7B">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Ehrlich, S.B., Gwynne, J.A…,..Sorice, E. (2014).  </w:t>
      </w:r>
      <w:r w:rsidRPr="004932C1">
        <w:rPr>
          <w:rFonts w:ascii="Times New Roman" w:hAnsi="Times New Roman" w:cs="Times New Roman"/>
          <w:i/>
          <w:sz w:val="20"/>
          <w:szCs w:val="20"/>
        </w:rPr>
        <w:t>Preschool Attendance in Chicago Public Schools: Relationships with Learning Outcomes and Reasons for Absences.</w:t>
      </w:r>
      <w:r w:rsidRPr="004932C1">
        <w:rPr>
          <w:rFonts w:ascii="Times New Roman" w:hAnsi="Times New Roman" w:cs="Times New Roman"/>
          <w:sz w:val="20"/>
          <w:szCs w:val="20"/>
        </w:rPr>
        <w:t xml:space="preserve">  University of Chicago Consortium on Chicago School Research.  Research Report.</w:t>
      </w:r>
    </w:p>
  </w:footnote>
  <w:footnote w:id="271">
    <w:p w:rsidR="00887BBB" w:rsidRPr="004932C1" w:rsidRDefault="00887BBB" w:rsidP="00331A7B">
      <w:pPr>
        <w:pStyle w:val="NoSpacing"/>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Peisner-Feinberg, E. S., Schaaf, J. M., LaForett, D. R., Hildebrandt, L.M., &amp; Sideris, J. (2014). </w:t>
      </w:r>
      <w:r w:rsidRPr="004932C1">
        <w:rPr>
          <w:rFonts w:ascii="Times New Roman" w:hAnsi="Times New Roman" w:cs="Times New Roman"/>
          <w:i/>
          <w:sz w:val="20"/>
          <w:szCs w:val="20"/>
        </w:rPr>
        <w:t>Effects of Georgia’s Pre-K Program on children’s school readiness skills: Findings from the 2012–2013 evaluation study.</w:t>
      </w:r>
      <w:r w:rsidRPr="004932C1">
        <w:rPr>
          <w:rFonts w:ascii="Times New Roman" w:hAnsi="Times New Roman" w:cs="Times New Roman"/>
          <w:sz w:val="20"/>
          <w:szCs w:val="20"/>
        </w:rPr>
        <w:t xml:space="preserve"> Chapel Hill: The University of North Carolina, FPG Child Development Institute.</w:t>
      </w:r>
    </w:p>
  </w:footnote>
  <w:footnote w:id="272">
    <w:p w:rsidR="00887BBB" w:rsidRPr="004932C1" w:rsidRDefault="00887BBB" w:rsidP="00331A7B">
      <w:pPr>
        <w:spacing w:after="0" w:line="240" w:lineRule="auto"/>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Barnett, W.S., Jung, K., Youn, M.J., and Frede, E.C. (2013).  </w:t>
      </w:r>
      <w:r w:rsidRPr="004932C1">
        <w:rPr>
          <w:rFonts w:ascii="Times New Roman" w:hAnsi="Times New Roman" w:cs="Times New Roman"/>
          <w:i/>
          <w:sz w:val="20"/>
          <w:szCs w:val="20"/>
        </w:rPr>
        <w:t xml:space="preserve">Abbott Preschool Program Longitudinal Effects Study: Fifth Grade Follow-Up. </w:t>
      </w:r>
      <w:r w:rsidRPr="004932C1">
        <w:rPr>
          <w:rFonts w:ascii="Times New Roman" w:hAnsi="Times New Roman" w:cs="Times New Roman"/>
          <w:sz w:val="20"/>
          <w:szCs w:val="20"/>
        </w:rPr>
        <w:t>National Institute for Early Education Research Rutgers—The State University of New Jersey.</w:t>
      </w:r>
    </w:p>
  </w:footnote>
  <w:footnote w:id="273">
    <w:p w:rsidR="00887BBB" w:rsidRPr="004932C1" w:rsidRDefault="00887BBB" w:rsidP="00331A7B">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Gormley, G.T., Gayer, T., Phillips, D., &amp; Dawson, B. (2005).  The effects of universal pre-k on cognitive development.  </w:t>
      </w:r>
      <w:r w:rsidRPr="004932C1">
        <w:rPr>
          <w:rFonts w:ascii="Times New Roman" w:hAnsi="Times New Roman" w:cs="Times New Roman"/>
          <w:i/>
          <w:sz w:val="20"/>
          <w:szCs w:val="20"/>
        </w:rPr>
        <w:t>Developmental Psychology, 4</w:t>
      </w:r>
      <w:r w:rsidRPr="004932C1">
        <w:rPr>
          <w:rFonts w:ascii="Times New Roman" w:hAnsi="Times New Roman" w:cs="Times New Roman"/>
          <w:sz w:val="20"/>
          <w:szCs w:val="20"/>
        </w:rPr>
        <w:t>(6), 872-884.</w:t>
      </w:r>
    </w:p>
  </w:footnote>
  <w:footnote w:id="274">
    <w:p w:rsidR="00887BBB" w:rsidRPr="004932C1" w:rsidRDefault="00887BBB" w:rsidP="00331A7B">
      <w:pPr>
        <w:pStyle w:val="FootnoteText"/>
        <w:ind w:left="187" w:hanging="187"/>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Weiland, C., &amp; Yoshikawa, H. (2013). Impacts of a prekindergarten program on children’s mathematics, language, literacy, executive function, and emotional skills. </w:t>
      </w:r>
      <w:r w:rsidRPr="004932C1">
        <w:rPr>
          <w:rFonts w:ascii="Times New Roman" w:hAnsi="Times New Roman" w:cs="Times New Roman"/>
          <w:i/>
          <w:sz w:val="20"/>
          <w:szCs w:val="20"/>
        </w:rPr>
        <w:t xml:space="preserve">Child Development, </w:t>
      </w:r>
      <w:r w:rsidRPr="004932C1">
        <w:rPr>
          <w:rFonts w:ascii="Times New Roman" w:eastAsia="Times New Roman" w:hAnsi="Times New Roman" w:cs="Times New Roman"/>
          <w:i/>
          <w:sz w:val="20"/>
          <w:szCs w:val="20"/>
          <w:shd w:val="clear" w:color="auto" w:fill="FFFFFF"/>
        </w:rPr>
        <w:t>84,</w:t>
      </w:r>
      <w:r w:rsidRPr="004932C1">
        <w:rPr>
          <w:rFonts w:ascii="Times New Roman" w:eastAsia="Times New Roman" w:hAnsi="Times New Roman" w:cs="Times New Roman"/>
          <w:sz w:val="20"/>
          <w:szCs w:val="20"/>
          <w:shd w:val="clear" w:color="auto" w:fill="FFFFFF"/>
        </w:rPr>
        <w:t xml:space="preserve"> 2112–2130.</w:t>
      </w:r>
    </w:p>
  </w:footnote>
  <w:footnote w:id="275">
    <w:p w:rsidR="00887BBB" w:rsidRPr="004932C1" w:rsidRDefault="00887BBB" w:rsidP="00331A7B">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Walters, C. R. (2015). Inputs in the Production of Early Childhood Human Capital: Evidence from Head Start, </w:t>
      </w:r>
      <w:r w:rsidRPr="004932C1">
        <w:rPr>
          <w:rFonts w:ascii="Times New Roman" w:hAnsi="Times New Roman" w:cs="Times New Roman"/>
          <w:i/>
          <w:sz w:val="20"/>
          <w:szCs w:val="20"/>
        </w:rPr>
        <w:t>American Economic Journal: Applied Economics, 7</w:t>
      </w:r>
      <w:r w:rsidRPr="004932C1">
        <w:rPr>
          <w:rFonts w:ascii="Times New Roman" w:hAnsi="Times New Roman" w:cs="Times New Roman"/>
          <w:sz w:val="20"/>
          <w:szCs w:val="20"/>
        </w:rPr>
        <w:t>(4), 76–102.</w:t>
      </w:r>
    </w:p>
  </w:footnote>
  <w:footnote w:id="276">
    <w:p w:rsidR="00887BBB" w:rsidRPr="004932C1" w:rsidRDefault="00887BBB" w:rsidP="00331A7B">
      <w:pPr>
        <w:pStyle w:val="FootnoteText"/>
        <w:ind w:left="180" w:hanging="180"/>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Yoshikawa, H., Weiland, C., Brooks-Gunn, J., Burchinal, M.R., Espinosa, L.M., Gormley,  W.T., Ludwig, J., Magnuson, K.A., Phillips, D., &amp; Zaslow, M.J. (2013).  </w:t>
      </w:r>
      <w:r w:rsidRPr="004932C1">
        <w:rPr>
          <w:rFonts w:ascii="Times New Roman" w:hAnsi="Times New Roman" w:cs="Times New Roman"/>
          <w:i/>
          <w:iCs/>
          <w:sz w:val="20"/>
          <w:szCs w:val="20"/>
        </w:rPr>
        <w:t>Investing in Our Future: The Evidence Base on Preschool Education.</w:t>
      </w:r>
      <w:r w:rsidRPr="004932C1">
        <w:rPr>
          <w:rFonts w:ascii="Times New Roman" w:hAnsi="Times New Roman" w:cs="Times New Roman"/>
          <w:sz w:val="20"/>
          <w:szCs w:val="20"/>
        </w:rPr>
        <w:t xml:space="preserve">  Policy Brief. Foundation for Child Development.</w:t>
      </w:r>
    </w:p>
  </w:footnote>
  <w:footnote w:id="277">
    <w:p w:rsidR="00887BBB" w:rsidRPr="004932C1" w:rsidRDefault="00887BBB" w:rsidP="00331A7B">
      <w:pPr>
        <w:pStyle w:val="Default"/>
        <w:rPr>
          <w:rFonts w:ascii="Times New Roman" w:hAnsi="Times New Roman" w:cs="Times New Roman"/>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Buysse, V., &amp; Wesley, P. W. (2005). </w:t>
      </w:r>
      <w:r w:rsidRPr="004932C1">
        <w:rPr>
          <w:rFonts w:ascii="Times New Roman" w:hAnsi="Times New Roman" w:cs="Times New Roman"/>
          <w:i/>
          <w:iCs/>
          <w:color w:val="auto"/>
          <w:sz w:val="20"/>
          <w:szCs w:val="20"/>
        </w:rPr>
        <w:t>Consultation in Early Childhood Settings</w:t>
      </w:r>
      <w:r w:rsidRPr="004932C1">
        <w:rPr>
          <w:rFonts w:ascii="Times New Roman" w:hAnsi="Times New Roman" w:cs="Times New Roman"/>
          <w:color w:val="auto"/>
          <w:sz w:val="20"/>
          <w:szCs w:val="20"/>
        </w:rPr>
        <w:t xml:space="preserve">. Baltimore, MD: Paul H. Brookes Publishing. </w:t>
      </w:r>
    </w:p>
  </w:footnote>
  <w:footnote w:id="278">
    <w:p w:rsidR="00887BBB" w:rsidRPr="004932C1" w:rsidRDefault="00887BBB" w:rsidP="00331A7B">
      <w:pPr>
        <w:pStyle w:val="Default"/>
        <w:rPr>
          <w:rFonts w:ascii="Times New Roman" w:hAnsi="Times New Roman" w:cs="Times New Roman"/>
          <w:color w:val="auto"/>
          <w:sz w:val="20"/>
          <w:szCs w:val="20"/>
        </w:rPr>
      </w:pPr>
      <w:r w:rsidRPr="004932C1">
        <w:rPr>
          <w:rStyle w:val="FootnoteReference"/>
          <w:rFonts w:ascii="Times New Roman" w:hAnsi="Times New Roman" w:cs="Times New Roman"/>
          <w:color w:val="auto"/>
          <w:sz w:val="20"/>
          <w:szCs w:val="20"/>
        </w:rPr>
        <w:footnoteRef/>
      </w:r>
      <w:r w:rsidRPr="004932C1">
        <w:rPr>
          <w:rFonts w:ascii="Times New Roman" w:hAnsi="Times New Roman" w:cs="Times New Roman"/>
          <w:color w:val="auto"/>
          <w:sz w:val="20"/>
          <w:szCs w:val="20"/>
        </w:rPr>
        <w:t xml:space="preserve"> Tout, K., Halle, T., Zaslow, M., &amp; Starr, R. (2009). </w:t>
      </w:r>
      <w:r w:rsidRPr="004932C1">
        <w:rPr>
          <w:rFonts w:ascii="Times New Roman" w:hAnsi="Times New Roman" w:cs="Times New Roman"/>
          <w:i/>
          <w:iCs/>
          <w:color w:val="auto"/>
          <w:sz w:val="20"/>
          <w:szCs w:val="20"/>
        </w:rPr>
        <w:t>Evaluation of the Early Childhood Educator Professional Development Program: Final Report</w:t>
      </w:r>
      <w:r w:rsidRPr="004932C1">
        <w:rPr>
          <w:rFonts w:ascii="Times New Roman" w:hAnsi="Times New Roman" w:cs="Times New Roman"/>
          <w:color w:val="auto"/>
          <w:sz w:val="20"/>
          <w:szCs w:val="20"/>
        </w:rPr>
        <w:t xml:space="preserve">: Report prepared for the U.S. Department of Education. </w:t>
      </w:r>
    </w:p>
  </w:footnote>
  <w:footnote w:id="279">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Zaslow, M., Tout, K., Halle, T., Vick, J., &amp; Lavelle, B. (2010). </w:t>
      </w:r>
      <w:r w:rsidRPr="004932C1">
        <w:rPr>
          <w:rFonts w:ascii="Times New Roman" w:hAnsi="Times New Roman" w:cs="Times New Roman"/>
          <w:i/>
          <w:iCs/>
          <w:sz w:val="20"/>
          <w:szCs w:val="20"/>
        </w:rPr>
        <w:t xml:space="preserve">Towards the identification of features of effective professional development for early childhood educators: A review of the literature. </w:t>
      </w:r>
      <w:r w:rsidRPr="004932C1">
        <w:rPr>
          <w:rFonts w:ascii="Times New Roman" w:hAnsi="Times New Roman" w:cs="Times New Roman"/>
          <w:sz w:val="20"/>
          <w:szCs w:val="20"/>
        </w:rPr>
        <w:t>Report prepared for the U.S. Department of Education.</w:t>
      </w:r>
    </w:p>
  </w:footnote>
  <w:footnote w:id="280">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Isner, T., Tout, K., Zaslow, M., Soli, M., Quinn, K., Rothenberg, L., &amp; Burkhauser, M. (2011). </w:t>
      </w:r>
      <w:r w:rsidRPr="004932C1">
        <w:rPr>
          <w:rFonts w:ascii="Times New Roman" w:hAnsi="Times New Roman" w:cs="Times New Roman"/>
          <w:i/>
          <w:sz w:val="20"/>
          <w:szCs w:val="20"/>
        </w:rPr>
        <w:t>Coaching in early care and education programs and Quality Rating and Improvement Systems (QRIS): Identifying promising features</w:t>
      </w:r>
      <w:r w:rsidRPr="004932C1">
        <w:rPr>
          <w:rFonts w:ascii="Times New Roman" w:hAnsi="Times New Roman" w:cs="Times New Roman"/>
          <w:sz w:val="20"/>
          <w:szCs w:val="20"/>
        </w:rPr>
        <w:t>. Child Trends.</w:t>
      </w:r>
    </w:p>
  </w:footnote>
  <w:footnote w:id="281">
    <w:p w:rsidR="00887BBB" w:rsidRPr="004932C1" w:rsidRDefault="00887BBB" w:rsidP="00331A7B">
      <w:pPr>
        <w:pStyle w:val="FootnoteText"/>
        <w:rPr>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Lloyd, C. M., &amp; Modlin, E. L. (2012). </w:t>
      </w:r>
      <w:r w:rsidRPr="004932C1">
        <w:rPr>
          <w:rFonts w:ascii="Times New Roman" w:hAnsi="Times New Roman" w:cs="Times New Roman"/>
          <w:i/>
          <w:sz w:val="20"/>
          <w:szCs w:val="20"/>
        </w:rPr>
        <w:t>Coaching as a key component in teachers’ professional development: Improving classroom practices in Head Start settings.</w:t>
      </w:r>
      <w:r w:rsidRPr="004932C1">
        <w:rPr>
          <w:rFonts w:ascii="Times New Roman" w:hAnsi="Times New Roman" w:cs="Times New Roman"/>
          <w:sz w:val="20"/>
          <w:szCs w:val="20"/>
        </w:rPr>
        <w:t xml:space="preserve"> Administration for Children and Families.</w:t>
      </w:r>
    </w:p>
  </w:footnote>
  <w:footnote w:id="282">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2 U.S.C. §1501 </w:t>
      </w:r>
      <w:r w:rsidRPr="004932C1">
        <w:rPr>
          <w:rFonts w:ascii="Times New Roman" w:hAnsi="Times New Roman" w:cs="Times New Roman"/>
          <w:i/>
          <w:sz w:val="20"/>
          <w:szCs w:val="20"/>
        </w:rPr>
        <w:t>et seq</w:t>
      </w:r>
      <w:r w:rsidRPr="004932C1">
        <w:rPr>
          <w:rFonts w:ascii="Times New Roman" w:hAnsi="Times New Roman" w:cs="Times New Roman"/>
          <w:sz w:val="20"/>
          <w:szCs w:val="20"/>
        </w:rPr>
        <w:t>.</w:t>
      </w:r>
    </w:p>
  </w:footnote>
  <w:footnote w:id="283">
    <w:p w:rsidR="00887BBB" w:rsidRPr="004932C1" w:rsidRDefault="00887BBB" w:rsidP="00331A7B">
      <w:pPr>
        <w:pStyle w:val="FootnoteText"/>
      </w:pPr>
      <w:r w:rsidRPr="004932C1">
        <w:rPr>
          <w:rStyle w:val="FootnoteReference"/>
          <w:rFonts w:ascii="Times New Roman" w:hAnsi="Times New Roman"/>
          <w:sz w:val="20"/>
        </w:rPr>
        <w:footnoteRef/>
      </w:r>
      <w:r w:rsidRPr="004932C1">
        <w:rPr>
          <w:rFonts w:ascii="Times New Roman" w:hAnsi="Times New Roman"/>
          <w:sz w:val="20"/>
        </w:rPr>
        <w:t xml:space="preserve"> </w:t>
      </w:r>
      <w:r w:rsidRPr="004932C1">
        <w:rPr>
          <w:rFonts w:ascii="Times New Roman" w:hAnsi="Times New Roman" w:cs="Times New Roman"/>
          <w:sz w:val="20"/>
          <w:szCs w:val="20"/>
        </w:rPr>
        <w:t>Pub. L. 105–277</w:t>
      </w:r>
    </w:p>
  </w:footnote>
  <w:footnote w:id="284">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5 U.S.C. 802(a)</w:t>
      </w:r>
    </w:p>
  </w:footnote>
  <w:footnote w:id="285">
    <w:p w:rsidR="00887BBB" w:rsidRPr="004932C1" w:rsidRDefault="00887BBB" w:rsidP="00331A7B">
      <w:pPr>
        <w:pStyle w:val="FootnoteText"/>
        <w:rPr>
          <w:rFonts w:ascii="Times New Roman" w:hAnsi="Times New Roman" w:cs="Times New Roman"/>
          <w:sz w:val="20"/>
          <w:szCs w:val="20"/>
        </w:rPr>
      </w:pPr>
      <w:r w:rsidRPr="004932C1">
        <w:rPr>
          <w:rStyle w:val="FootnoteReference"/>
          <w:rFonts w:ascii="Times New Roman" w:hAnsi="Times New Roman" w:cs="Times New Roman"/>
          <w:sz w:val="20"/>
          <w:szCs w:val="20"/>
        </w:rPr>
        <w:footnoteRef/>
      </w:r>
      <w:r w:rsidRPr="004932C1">
        <w:rPr>
          <w:rFonts w:ascii="Times New Roman" w:hAnsi="Times New Roman" w:cs="Times New Roman"/>
          <w:sz w:val="20"/>
          <w:szCs w:val="20"/>
        </w:rPr>
        <w:t xml:space="preserve"> </w:t>
      </w:r>
      <w:r w:rsidRPr="004932C1">
        <w:rPr>
          <w:rFonts w:ascii="Times New Roman" w:eastAsiaTheme="minorHAnsi" w:hAnsi="Times New Roman" w:cs="Times New Roman"/>
          <w:sz w:val="20"/>
          <w:szCs w:val="20"/>
        </w:rPr>
        <w:t>5 U.S.C. Chapter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BBB" w:rsidRDefault="00887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BBB" w:rsidRDefault="00887B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BBB" w:rsidRDefault="00887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2B3"/>
    <w:multiLevelType w:val="hybridMultilevel"/>
    <w:tmpl w:val="A612A9CA"/>
    <w:lvl w:ilvl="0" w:tplc="056E9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2755B"/>
    <w:multiLevelType w:val="hybridMultilevel"/>
    <w:tmpl w:val="A6F0D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8D460A"/>
    <w:multiLevelType w:val="hybridMultilevel"/>
    <w:tmpl w:val="6BF0659A"/>
    <w:lvl w:ilvl="0" w:tplc="080CF266">
      <w:start w:val="1"/>
      <w:numFmt w:val="decimal"/>
      <w:lvlText w:val="(%1)"/>
      <w:lvlJc w:val="left"/>
      <w:pPr>
        <w:ind w:left="1785" w:hanging="1065"/>
      </w:pPr>
      <w:rPr>
        <w:rFonts w:hint="default"/>
        <w:b/>
      </w:rPr>
    </w:lvl>
    <w:lvl w:ilvl="1" w:tplc="657483FA">
      <w:start w:val="1"/>
      <w:numFmt w:val="lowerRoman"/>
      <w:lvlText w:val="(%2)"/>
      <w:lvlJc w:val="left"/>
      <w:pPr>
        <w:ind w:left="2445" w:hanging="1005"/>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229D3"/>
    <w:multiLevelType w:val="hybridMultilevel"/>
    <w:tmpl w:val="B4B8A286"/>
    <w:lvl w:ilvl="0" w:tplc="6F521E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00173"/>
    <w:multiLevelType w:val="hybridMultilevel"/>
    <w:tmpl w:val="BB3EC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55EC3"/>
    <w:multiLevelType w:val="multilevel"/>
    <w:tmpl w:val="738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102256"/>
    <w:multiLevelType w:val="hybridMultilevel"/>
    <w:tmpl w:val="D4009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D7F13"/>
    <w:multiLevelType w:val="hybridMultilevel"/>
    <w:tmpl w:val="A4862BC0"/>
    <w:lvl w:ilvl="0" w:tplc="B72A58A2">
      <w:start w:val="1"/>
      <w:numFmt w:val="decimal"/>
      <w:lvlText w:val="(%1)"/>
      <w:lvlJc w:val="left"/>
      <w:pPr>
        <w:ind w:left="1785" w:hanging="1065"/>
      </w:pPr>
      <w:rPr>
        <w:rFonts w:hint="default"/>
        <w:b/>
      </w:rPr>
    </w:lvl>
    <w:lvl w:ilvl="1" w:tplc="E9FADE12">
      <w:start w:val="1"/>
      <w:numFmt w:val="lowerRoman"/>
      <w:lvlText w:val="(%2)"/>
      <w:lvlJc w:val="left"/>
      <w:pPr>
        <w:ind w:left="2445" w:hanging="1005"/>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39030F"/>
    <w:multiLevelType w:val="hybridMultilevel"/>
    <w:tmpl w:val="372E520A"/>
    <w:lvl w:ilvl="0" w:tplc="81505E3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6A5621"/>
    <w:multiLevelType w:val="hybridMultilevel"/>
    <w:tmpl w:val="100CF83A"/>
    <w:lvl w:ilvl="0" w:tplc="659A295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EB6B78"/>
    <w:multiLevelType w:val="hybridMultilevel"/>
    <w:tmpl w:val="99B2A648"/>
    <w:lvl w:ilvl="0" w:tplc="88EC31A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CD6183"/>
    <w:multiLevelType w:val="hybridMultilevel"/>
    <w:tmpl w:val="3CCE386E"/>
    <w:lvl w:ilvl="0" w:tplc="05DE85D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C63E57"/>
    <w:multiLevelType w:val="hybridMultilevel"/>
    <w:tmpl w:val="BFAA5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5536EE"/>
    <w:multiLevelType w:val="hybridMultilevel"/>
    <w:tmpl w:val="53F43726"/>
    <w:lvl w:ilvl="0" w:tplc="04090011">
      <w:start w:val="1"/>
      <w:numFmt w:val="decimal"/>
      <w:lvlText w:val="%1)"/>
      <w:lvlJc w:val="left"/>
      <w:pPr>
        <w:ind w:left="-360" w:hanging="360"/>
      </w:pPr>
      <w:rPr>
        <w:rFonts w:hint="default"/>
      </w:rPr>
    </w:lvl>
    <w:lvl w:ilvl="1" w:tplc="04090003">
      <w:start w:val="1"/>
      <w:numFmt w:val="bullet"/>
      <w:lvlText w:val="o"/>
      <w:lvlJc w:val="left"/>
      <w:pPr>
        <w:ind w:left="360" w:hanging="360"/>
      </w:pPr>
      <w:rPr>
        <w:rFonts w:ascii="Courier New" w:hAnsi="Courier New" w:cs="Courier New" w:hint="default"/>
      </w:rPr>
    </w:lvl>
    <w:lvl w:ilvl="2" w:tplc="0409000F">
      <w:start w:val="1"/>
      <w:numFmt w:val="decimal"/>
      <w:lvlText w:val="%3."/>
      <w:lvlJc w:val="left"/>
      <w:pPr>
        <w:ind w:left="1080" w:hanging="360"/>
      </w:pPr>
      <w:rPr>
        <w:rFonts w:hint="default"/>
      </w:rPr>
    </w:lvl>
    <w:lvl w:ilvl="3" w:tplc="04090005">
      <w:start w:val="1"/>
      <w:numFmt w:val="bullet"/>
      <w:lvlText w:val=""/>
      <w:lvlJc w:val="left"/>
      <w:pPr>
        <w:ind w:left="1800" w:hanging="360"/>
      </w:pPr>
      <w:rPr>
        <w:rFonts w:ascii="Wingdings" w:hAnsi="Wingdings"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14">
    <w:nsid w:val="1D2E3770"/>
    <w:multiLevelType w:val="hybridMultilevel"/>
    <w:tmpl w:val="AFD4F86A"/>
    <w:lvl w:ilvl="0" w:tplc="856E4A16">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79560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nsid w:val="2274667C"/>
    <w:multiLevelType w:val="multilevel"/>
    <w:tmpl w:val="D1E494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3B63207"/>
    <w:multiLevelType w:val="hybridMultilevel"/>
    <w:tmpl w:val="FCCA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4B1A51"/>
    <w:multiLevelType w:val="hybridMultilevel"/>
    <w:tmpl w:val="C5AE2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EC344C"/>
    <w:multiLevelType w:val="hybridMultilevel"/>
    <w:tmpl w:val="E982B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7326280"/>
    <w:multiLevelType w:val="hybridMultilevel"/>
    <w:tmpl w:val="7E8AFD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78C5E54"/>
    <w:multiLevelType w:val="hybridMultilevel"/>
    <w:tmpl w:val="651AF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F31265"/>
    <w:multiLevelType w:val="hybridMultilevel"/>
    <w:tmpl w:val="E682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DD54D3"/>
    <w:multiLevelType w:val="hybridMultilevel"/>
    <w:tmpl w:val="A06CFB48"/>
    <w:lvl w:ilvl="0" w:tplc="A9941656">
      <w:start w:val="2"/>
      <w:numFmt w:val="decimal"/>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73685F"/>
    <w:multiLevelType w:val="hybridMultilevel"/>
    <w:tmpl w:val="586A50BC"/>
    <w:lvl w:ilvl="0" w:tplc="69B24350">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3D8D19DC"/>
    <w:multiLevelType w:val="hybridMultilevel"/>
    <w:tmpl w:val="7BEEEEA6"/>
    <w:lvl w:ilvl="0" w:tplc="A3D6EC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EB2A59"/>
    <w:multiLevelType w:val="hybridMultilevel"/>
    <w:tmpl w:val="CC520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141577"/>
    <w:multiLevelType w:val="hybridMultilevel"/>
    <w:tmpl w:val="07FA7E2C"/>
    <w:lvl w:ilvl="0" w:tplc="854E8BA0">
      <w:start w:val="1"/>
      <w:numFmt w:val="lowerRoman"/>
      <w:suff w:val="space"/>
      <w:lvlText w:val="(%1)"/>
      <w:lvlJc w:val="left"/>
      <w:pPr>
        <w:ind w:left="432" w:hanging="72"/>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458E08D4"/>
    <w:multiLevelType w:val="hybridMultilevel"/>
    <w:tmpl w:val="5AACE3FE"/>
    <w:lvl w:ilvl="0" w:tplc="6FCED57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nsid w:val="459D69AC"/>
    <w:multiLevelType w:val="hybridMultilevel"/>
    <w:tmpl w:val="9432C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78A3336"/>
    <w:multiLevelType w:val="multilevel"/>
    <w:tmpl w:val="A694F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1434B1D"/>
    <w:multiLevelType w:val="hybridMultilevel"/>
    <w:tmpl w:val="DFDEE7EC"/>
    <w:lvl w:ilvl="0" w:tplc="1C147916">
      <w:start w:val="1"/>
      <w:numFmt w:val="lowerRoman"/>
      <w:lvlText w:val="(%1)"/>
      <w:lvlJc w:val="left"/>
      <w:pPr>
        <w:ind w:left="1725" w:hanging="10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6B3E05"/>
    <w:multiLevelType w:val="hybridMultilevel"/>
    <w:tmpl w:val="F752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E6321"/>
    <w:multiLevelType w:val="hybridMultilevel"/>
    <w:tmpl w:val="6914ACDE"/>
    <w:lvl w:ilvl="0" w:tplc="3948E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684469"/>
    <w:multiLevelType w:val="hybridMultilevel"/>
    <w:tmpl w:val="96826226"/>
    <w:lvl w:ilvl="0" w:tplc="D9C8617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9A6647"/>
    <w:multiLevelType w:val="hybridMultilevel"/>
    <w:tmpl w:val="9F18D720"/>
    <w:lvl w:ilvl="0" w:tplc="DDE40A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5BE474B6"/>
    <w:multiLevelType w:val="hybridMultilevel"/>
    <w:tmpl w:val="7136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DC4A24"/>
    <w:multiLevelType w:val="hybridMultilevel"/>
    <w:tmpl w:val="D0AA7F1A"/>
    <w:lvl w:ilvl="0" w:tplc="5652EDBC">
      <w:start w:val="1"/>
      <w:numFmt w:val="lowerRoman"/>
      <w:lvlText w:val="(%1)"/>
      <w:lvlJc w:val="left"/>
      <w:pPr>
        <w:ind w:left="1725" w:hanging="10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3991F1C"/>
    <w:multiLevelType w:val="hybridMultilevel"/>
    <w:tmpl w:val="544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FC0AAE"/>
    <w:multiLevelType w:val="hybridMultilevel"/>
    <w:tmpl w:val="0F6C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A11AD"/>
    <w:multiLevelType w:val="hybridMultilevel"/>
    <w:tmpl w:val="930A9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4862240"/>
    <w:multiLevelType w:val="hybridMultilevel"/>
    <w:tmpl w:val="B106B912"/>
    <w:lvl w:ilvl="0" w:tplc="4FBAFA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943E22"/>
    <w:multiLevelType w:val="hybridMultilevel"/>
    <w:tmpl w:val="71B0F798"/>
    <w:lvl w:ilvl="0" w:tplc="24A66BE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797D7C"/>
    <w:multiLevelType w:val="hybridMultilevel"/>
    <w:tmpl w:val="BF26A1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9B515F5"/>
    <w:multiLevelType w:val="hybridMultilevel"/>
    <w:tmpl w:val="3A8C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FD13A1"/>
    <w:multiLevelType w:val="hybridMultilevel"/>
    <w:tmpl w:val="488EF5E4"/>
    <w:lvl w:ilvl="0" w:tplc="8D963AB2">
      <w:start w:val="1"/>
      <w:numFmt w:val="lowerRoman"/>
      <w:lvlText w:val="(%1)"/>
      <w:lvlJc w:val="left"/>
      <w:pPr>
        <w:ind w:left="1785" w:hanging="1005"/>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6">
    <w:nsid w:val="745B114D"/>
    <w:multiLevelType w:val="hybridMultilevel"/>
    <w:tmpl w:val="A922FE0C"/>
    <w:lvl w:ilvl="0" w:tplc="F252F20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5A5AF4"/>
    <w:multiLevelType w:val="hybridMultilevel"/>
    <w:tmpl w:val="DC741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73606A"/>
    <w:multiLevelType w:val="hybridMultilevel"/>
    <w:tmpl w:val="184A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A708EB"/>
    <w:multiLevelType w:val="hybridMultilevel"/>
    <w:tmpl w:val="B63A7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9F76AF"/>
    <w:multiLevelType w:val="hybridMultilevel"/>
    <w:tmpl w:val="2A460E3A"/>
    <w:lvl w:ilvl="0" w:tplc="9CB20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B110402"/>
    <w:multiLevelType w:val="hybridMultilevel"/>
    <w:tmpl w:val="E860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EE7CC9"/>
    <w:multiLevelType w:val="hybridMultilevel"/>
    <w:tmpl w:val="AF9E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1E4CAA"/>
    <w:multiLevelType w:val="hybridMultilevel"/>
    <w:tmpl w:val="AC04A24E"/>
    <w:lvl w:ilvl="0" w:tplc="115A29E0">
      <w:start w:val="1"/>
      <w:numFmt w:val="lowerLetter"/>
      <w:pStyle w:val="TOC2"/>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14"/>
  </w:num>
  <w:num w:numId="2">
    <w:abstractNumId w:val="11"/>
  </w:num>
  <w:num w:numId="3">
    <w:abstractNumId w:val="4"/>
  </w:num>
  <w:num w:numId="4">
    <w:abstractNumId w:val="42"/>
  </w:num>
  <w:num w:numId="5">
    <w:abstractNumId w:val="5"/>
  </w:num>
  <w:num w:numId="6">
    <w:abstractNumId w:val="15"/>
  </w:num>
  <w:num w:numId="7">
    <w:abstractNumId w:val="0"/>
  </w:num>
  <w:num w:numId="8">
    <w:abstractNumId w:val="53"/>
  </w:num>
  <w:num w:numId="9">
    <w:abstractNumId w:val="23"/>
  </w:num>
  <w:num w:numId="10">
    <w:abstractNumId w:val="9"/>
  </w:num>
  <w:num w:numId="11">
    <w:abstractNumId w:val="27"/>
  </w:num>
  <w:num w:numId="12">
    <w:abstractNumId w:val="33"/>
  </w:num>
  <w:num w:numId="13">
    <w:abstractNumId w:val="4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6"/>
  </w:num>
  <w:num w:numId="22">
    <w:abstractNumId w:val="12"/>
  </w:num>
  <w:num w:numId="23">
    <w:abstractNumId w:val="36"/>
  </w:num>
  <w:num w:numId="24">
    <w:abstractNumId w:val="1"/>
  </w:num>
  <w:num w:numId="25">
    <w:abstractNumId w:val="13"/>
  </w:num>
  <w:num w:numId="26">
    <w:abstractNumId w:val="49"/>
  </w:num>
  <w:num w:numId="27">
    <w:abstractNumId w:val="39"/>
  </w:num>
  <w:num w:numId="28">
    <w:abstractNumId w:val="20"/>
  </w:num>
  <w:num w:numId="29">
    <w:abstractNumId w:val="34"/>
  </w:num>
  <w:num w:numId="30">
    <w:abstractNumId w:val="43"/>
  </w:num>
  <w:num w:numId="31">
    <w:abstractNumId w:val="18"/>
  </w:num>
  <w:num w:numId="32">
    <w:abstractNumId w:val="3"/>
  </w:num>
  <w:num w:numId="33">
    <w:abstractNumId w:val="28"/>
  </w:num>
  <w:num w:numId="34">
    <w:abstractNumId w:val="35"/>
  </w:num>
  <w:num w:numId="35">
    <w:abstractNumId w:val="24"/>
  </w:num>
  <w:num w:numId="36">
    <w:abstractNumId w:val="48"/>
  </w:num>
  <w:num w:numId="37">
    <w:abstractNumId w:val="8"/>
  </w:num>
  <w:num w:numId="38">
    <w:abstractNumId w:val="3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50"/>
  </w:num>
  <w:num w:numId="46">
    <w:abstractNumId w:val="52"/>
  </w:num>
  <w:num w:numId="47">
    <w:abstractNumId w:val="46"/>
  </w:num>
  <w:num w:numId="48">
    <w:abstractNumId w:val="21"/>
  </w:num>
  <w:num w:numId="49">
    <w:abstractNumId w:val="47"/>
  </w:num>
  <w:num w:numId="50">
    <w:abstractNumId w:val="37"/>
  </w:num>
  <w:num w:numId="51">
    <w:abstractNumId w:val="44"/>
  </w:num>
  <w:num w:numId="52">
    <w:abstractNumId w:val="51"/>
  </w:num>
  <w:num w:numId="53">
    <w:abstractNumId w:val="41"/>
  </w:num>
  <w:num w:numId="54">
    <w:abstractNumId w:val="6"/>
  </w:num>
  <w:num w:numId="55">
    <w:abstractNumId w:val="45"/>
  </w:num>
  <w:num w:numId="56">
    <w:abstractNumId w:val="22"/>
  </w:num>
  <w:num w:numId="57">
    <w:abstractNumId w:val="7"/>
  </w:num>
  <w:num w:numId="58">
    <w:abstractNumId w:val="38"/>
  </w:num>
  <w:num w:numId="59">
    <w:abstractNumId w:val="10"/>
  </w:num>
  <w:num w:numId="60">
    <w:abstractNumId w:val="32"/>
  </w:num>
  <w:num w:numId="61">
    <w:abstractNumId w:val="31"/>
  </w:num>
  <w:num w:numId="62">
    <w:abstractNumId w:val="19"/>
  </w:num>
  <w:num w:numId="63">
    <w:abstractNumId w:val="2"/>
  </w:num>
  <w:num w:numId="64">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C1"/>
    <w:rsid w:val="00000452"/>
    <w:rsid w:val="000004FA"/>
    <w:rsid w:val="00000667"/>
    <w:rsid w:val="00000ED1"/>
    <w:rsid w:val="00001E53"/>
    <w:rsid w:val="00002537"/>
    <w:rsid w:val="00002905"/>
    <w:rsid w:val="0000317F"/>
    <w:rsid w:val="00003F40"/>
    <w:rsid w:val="000045D0"/>
    <w:rsid w:val="00004999"/>
    <w:rsid w:val="00004D19"/>
    <w:rsid w:val="00004FA7"/>
    <w:rsid w:val="000050E7"/>
    <w:rsid w:val="00006FC8"/>
    <w:rsid w:val="00006FEA"/>
    <w:rsid w:val="000076F7"/>
    <w:rsid w:val="00007796"/>
    <w:rsid w:val="00007DC5"/>
    <w:rsid w:val="00007F9A"/>
    <w:rsid w:val="00010826"/>
    <w:rsid w:val="00010AFF"/>
    <w:rsid w:val="00012437"/>
    <w:rsid w:val="00012E08"/>
    <w:rsid w:val="00012F40"/>
    <w:rsid w:val="000139A5"/>
    <w:rsid w:val="000139D7"/>
    <w:rsid w:val="00013B0F"/>
    <w:rsid w:val="00013CA4"/>
    <w:rsid w:val="00014644"/>
    <w:rsid w:val="00014D18"/>
    <w:rsid w:val="00014E8D"/>
    <w:rsid w:val="000151E2"/>
    <w:rsid w:val="00015D88"/>
    <w:rsid w:val="00016788"/>
    <w:rsid w:val="0001696B"/>
    <w:rsid w:val="00017C77"/>
    <w:rsid w:val="00017F71"/>
    <w:rsid w:val="00020E3F"/>
    <w:rsid w:val="00021760"/>
    <w:rsid w:val="0002184F"/>
    <w:rsid w:val="00021C4E"/>
    <w:rsid w:val="0002403B"/>
    <w:rsid w:val="0002464C"/>
    <w:rsid w:val="00024980"/>
    <w:rsid w:val="00024AA0"/>
    <w:rsid w:val="00024AD8"/>
    <w:rsid w:val="00024D0C"/>
    <w:rsid w:val="00024F40"/>
    <w:rsid w:val="00025474"/>
    <w:rsid w:val="00025640"/>
    <w:rsid w:val="00025DB9"/>
    <w:rsid w:val="0002605F"/>
    <w:rsid w:val="000266D1"/>
    <w:rsid w:val="00027009"/>
    <w:rsid w:val="00027AE6"/>
    <w:rsid w:val="00027AFA"/>
    <w:rsid w:val="00027CDC"/>
    <w:rsid w:val="00027D40"/>
    <w:rsid w:val="00027EF0"/>
    <w:rsid w:val="0003012D"/>
    <w:rsid w:val="00030743"/>
    <w:rsid w:val="00030974"/>
    <w:rsid w:val="00030F49"/>
    <w:rsid w:val="0003162C"/>
    <w:rsid w:val="00031D8C"/>
    <w:rsid w:val="00033832"/>
    <w:rsid w:val="00034769"/>
    <w:rsid w:val="0003526B"/>
    <w:rsid w:val="00035C75"/>
    <w:rsid w:val="00035F4B"/>
    <w:rsid w:val="00035F6E"/>
    <w:rsid w:val="000365E2"/>
    <w:rsid w:val="0003715B"/>
    <w:rsid w:val="00037D02"/>
    <w:rsid w:val="00037E18"/>
    <w:rsid w:val="00037E6C"/>
    <w:rsid w:val="00040213"/>
    <w:rsid w:val="000402BE"/>
    <w:rsid w:val="0004050C"/>
    <w:rsid w:val="0004083B"/>
    <w:rsid w:val="00040C71"/>
    <w:rsid w:val="00040CA8"/>
    <w:rsid w:val="00041807"/>
    <w:rsid w:val="00041E4C"/>
    <w:rsid w:val="000423CC"/>
    <w:rsid w:val="000423E9"/>
    <w:rsid w:val="000425D6"/>
    <w:rsid w:val="00042650"/>
    <w:rsid w:val="00043D4E"/>
    <w:rsid w:val="0004424F"/>
    <w:rsid w:val="00044AE7"/>
    <w:rsid w:val="00044E00"/>
    <w:rsid w:val="0004503F"/>
    <w:rsid w:val="00045356"/>
    <w:rsid w:val="000453A7"/>
    <w:rsid w:val="00045A3A"/>
    <w:rsid w:val="00045BDF"/>
    <w:rsid w:val="00045BEF"/>
    <w:rsid w:val="00046073"/>
    <w:rsid w:val="0004672B"/>
    <w:rsid w:val="0004674F"/>
    <w:rsid w:val="0004683B"/>
    <w:rsid w:val="0004696F"/>
    <w:rsid w:val="00046F2C"/>
    <w:rsid w:val="0004739D"/>
    <w:rsid w:val="00047CA6"/>
    <w:rsid w:val="000507A4"/>
    <w:rsid w:val="000508A9"/>
    <w:rsid w:val="00052AD0"/>
    <w:rsid w:val="000533AA"/>
    <w:rsid w:val="00054083"/>
    <w:rsid w:val="000542CB"/>
    <w:rsid w:val="000544AE"/>
    <w:rsid w:val="0005500D"/>
    <w:rsid w:val="000551CB"/>
    <w:rsid w:val="000555EF"/>
    <w:rsid w:val="000558B7"/>
    <w:rsid w:val="0005673C"/>
    <w:rsid w:val="00056B85"/>
    <w:rsid w:val="0005792F"/>
    <w:rsid w:val="0006078E"/>
    <w:rsid w:val="00060AE5"/>
    <w:rsid w:val="00061649"/>
    <w:rsid w:val="00061B45"/>
    <w:rsid w:val="00061E6D"/>
    <w:rsid w:val="000625C2"/>
    <w:rsid w:val="00063AD3"/>
    <w:rsid w:val="00063BCB"/>
    <w:rsid w:val="00063EAD"/>
    <w:rsid w:val="00063FBC"/>
    <w:rsid w:val="00065382"/>
    <w:rsid w:val="000653CB"/>
    <w:rsid w:val="0006562C"/>
    <w:rsid w:val="00065EA3"/>
    <w:rsid w:val="00066478"/>
    <w:rsid w:val="000669AC"/>
    <w:rsid w:val="00066A66"/>
    <w:rsid w:val="00066AD2"/>
    <w:rsid w:val="00070196"/>
    <w:rsid w:val="00070197"/>
    <w:rsid w:val="0007024A"/>
    <w:rsid w:val="000704B9"/>
    <w:rsid w:val="00070975"/>
    <w:rsid w:val="0007142E"/>
    <w:rsid w:val="00072009"/>
    <w:rsid w:val="00072563"/>
    <w:rsid w:val="0007273D"/>
    <w:rsid w:val="00072CF8"/>
    <w:rsid w:val="000732AC"/>
    <w:rsid w:val="0007360F"/>
    <w:rsid w:val="00073BC5"/>
    <w:rsid w:val="000740C1"/>
    <w:rsid w:val="00074148"/>
    <w:rsid w:val="00074E16"/>
    <w:rsid w:val="00075867"/>
    <w:rsid w:val="0007603E"/>
    <w:rsid w:val="00076281"/>
    <w:rsid w:val="00076A47"/>
    <w:rsid w:val="00077098"/>
    <w:rsid w:val="000778C5"/>
    <w:rsid w:val="00080308"/>
    <w:rsid w:val="00080753"/>
    <w:rsid w:val="00080A64"/>
    <w:rsid w:val="0008145F"/>
    <w:rsid w:val="00081A6E"/>
    <w:rsid w:val="00081AD5"/>
    <w:rsid w:val="00082B22"/>
    <w:rsid w:val="00083F12"/>
    <w:rsid w:val="00084C03"/>
    <w:rsid w:val="00084CC3"/>
    <w:rsid w:val="00084D8D"/>
    <w:rsid w:val="000856D2"/>
    <w:rsid w:val="00085E97"/>
    <w:rsid w:val="00086515"/>
    <w:rsid w:val="00086B85"/>
    <w:rsid w:val="00086D11"/>
    <w:rsid w:val="00086F17"/>
    <w:rsid w:val="00087239"/>
    <w:rsid w:val="000877FB"/>
    <w:rsid w:val="0009099A"/>
    <w:rsid w:val="00090AF8"/>
    <w:rsid w:val="00090EE1"/>
    <w:rsid w:val="000926C9"/>
    <w:rsid w:val="0009356B"/>
    <w:rsid w:val="00094015"/>
    <w:rsid w:val="000941EF"/>
    <w:rsid w:val="00094632"/>
    <w:rsid w:val="00094F78"/>
    <w:rsid w:val="00096475"/>
    <w:rsid w:val="00096505"/>
    <w:rsid w:val="00096670"/>
    <w:rsid w:val="0009698C"/>
    <w:rsid w:val="00096993"/>
    <w:rsid w:val="00096E35"/>
    <w:rsid w:val="000A178F"/>
    <w:rsid w:val="000A1899"/>
    <w:rsid w:val="000A198A"/>
    <w:rsid w:val="000A1A91"/>
    <w:rsid w:val="000A2092"/>
    <w:rsid w:val="000A22F6"/>
    <w:rsid w:val="000A26A3"/>
    <w:rsid w:val="000A3339"/>
    <w:rsid w:val="000A4184"/>
    <w:rsid w:val="000A46C0"/>
    <w:rsid w:val="000A4712"/>
    <w:rsid w:val="000A49FF"/>
    <w:rsid w:val="000A5090"/>
    <w:rsid w:val="000A5EC4"/>
    <w:rsid w:val="000A69A8"/>
    <w:rsid w:val="000A69E5"/>
    <w:rsid w:val="000A7D1B"/>
    <w:rsid w:val="000B0474"/>
    <w:rsid w:val="000B0A46"/>
    <w:rsid w:val="000B0CB5"/>
    <w:rsid w:val="000B0DA9"/>
    <w:rsid w:val="000B150C"/>
    <w:rsid w:val="000B1517"/>
    <w:rsid w:val="000B2524"/>
    <w:rsid w:val="000B2538"/>
    <w:rsid w:val="000B3329"/>
    <w:rsid w:val="000B3710"/>
    <w:rsid w:val="000B389D"/>
    <w:rsid w:val="000B4A53"/>
    <w:rsid w:val="000B4CBF"/>
    <w:rsid w:val="000B563C"/>
    <w:rsid w:val="000B5E82"/>
    <w:rsid w:val="000B5E8D"/>
    <w:rsid w:val="000B5EFF"/>
    <w:rsid w:val="000B7140"/>
    <w:rsid w:val="000C0029"/>
    <w:rsid w:val="000C0474"/>
    <w:rsid w:val="000C0DDD"/>
    <w:rsid w:val="000C17FF"/>
    <w:rsid w:val="000C1806"/>
    <w:rsid w:val="000C1E21"/>
    <w:rsid w:val="000C20FC"/>
    <w:rsid w:val="000C2FB6"/>
    <w:rsid w:val="000C3497"/>
    <w:rsid w:val="000C390D"/>
    <w:rsid w:val="000C3CFB"/>
    <w:rsid w:val="000C4634"/>
    <w:rsid w:val="000C57A5"/>
    <w:rsid w:val="000C5B35"/>
    <w:rsid w:val="000C5FB8"/>
    <w:rsid w:val="000C6312"/>
    <w:rsid w:val="000C67D2"/>
    <w:rsid w:val="000C6B5C"/>
    <w:rsid w:val="000C6F1E"/>
    <w:rsid w:val="000C6FE3"/>
    <w:rsid w:val="000C7672"/>
    <w:rsid w:val="000C776D"/>
    <w:rsid w:val="000C79E0"/>
    <w:rsid w:val="000D2752"/>
    <w:rsid w:val="000D2786"/>
    <w:rsid w:val="000D2983"/>
    <w:rsid w:val="000D3131"/>
    <w:rsid w:val="000D3612"/>
    <w:rsid w:val="000D3C6C"/>
    <w:rsid w:val="000D3ED1"/>
    <w:rsid w:val="000D44A7"/>
    <w:rsid w:val="000D4886"/>
    <w:rsid w:val="000D569F"/>
    <w:rsid w:val="000D64A1"/>
    <w:rsid w:val="000D6F6D"/>
    <w:rsid w:val="000D70AB"/>
    <w:rsid w:val="000D78FE"/>
    <w:rsid w:val="000D7A6A"/>
    <w:rsid w:val="000D7A74"/>
    <w:rsid w:val="000D7F55"/>
    <w:rsid w:val="000E0203"/>
    <w:rsid w:val="000E095E"/>
    <w:rsid w:val="000E1888"/>
    <w:rsid w:val="000E198E"/>
    <w:rsid w:val="000E2FC6"/>
    <w:rsid w:val="000E36F9"/>
    <w:rsid w:val="000E3E5F"/>
    <w:rsid w:val="000E3E6C"/>
    <w:rsid w:val="000E4AF8"/>
    <w:rsid w:val="000E5010"/>
    <w:rsid w:val="000E518C"/>
    <w:rsid w:val="000E51AE"/>
    <w:rsid w:val="000E5788"/>
    <w:rsid w:val="000E63C3"/>
    <w:rsid w:val="000E67D9"/>
    <w:rsid w:val="000E694A"/>
    <w:rsid w:val="000E6E1B"/>
    <w:rsid w:val="000F0F91"/>
    <w:rsid w:val="000F124E"/>
    <w:rsid w:val="000F24AB"/>
    <w:rsid w:val="000F25CA"/>
    <w:rsid w:val="000F340E"/>
    <w:rsid w:val="000F3A8B"/>
    <w:rsid w:val="000F3B2A"/>
    <w:rsid w:val="000F56A0"/>
    <w:rsid w:val="000F5F8E"/>
    <w:rsid w:val="000F6A7E"/>
    <w:rsid w:val="000F6CD4"/>
    <w:rsid w:val="000F71F9"/>
    <w:rsid w:val="000F73B3"/>
    <w:rsid w:val="000F7632"/>
    <w:rsid w:val="000F76D3"/>
    <w:rsid w:val="001000A7"/>
    <w:rsid w:val="00100167"/>
    <w:rsid w:val="0010065C"/>
    <w:rsid w:val="00100827"/>
    <w:rsid w:val="00101D7D"/>
    <w:rsid w:val="00102BAF"/>
    <w:rsid w:val="00102BC1"/>
    <w:rsid w:val="00102F9A"/>
    <w:rsid w:val="00103739"/>
    <w:rsid w:val="0010395C"/>
    <w:rsid w:val="00103AFB"/>
    <w:rsid w:val="00103B6B"/>
    <w:rsid w:val="001041BB"/>
    <w:rsid w:val="00104653"/>
    <w:rsid w:val="00104974"/>
    <w:rsid w:val="001049EF"/>
    <w:rsid w:val="0010550E"/>
    <w:rsid w:val="0010564A"/>
    <w:rsid w:val="00105A3E"/>
    <w:rsid w:val="00106182"/>
    <w:rsid w:val="00106F4C"/>
    <w:rsid w:val="00107674"/>
    <w:rsid w:val="001077EE"/>
    <w:rsid w:val="00107B0D"/>
    <w:rsid w:val="001111C4"/>
    <w:rsid w:val="0011148A"/>
    <w:rsid w:val="00111B2A"/>
    <w:rsid w:val="00111D81"/>
    <w:rsid w:val="001126C3"/>
    <w:rsid w:val="00113A79"/>
    <w:rsid w:val="00113DAD"/>
    <w:rsid w:val="00113FC2"/>
    <w:rsid w:val="001144BF"/>
    <w:rsid w:val="00114DDF"/>
    <w:rsid w:val="00114EBD"/>
    <w:rsid w:val="00114F7B"/>
    <w:rsid w:val="00116171"/>
    <w:rsid w:val="00116747"/>
    <w:rsid w:val="001172F3"/>
    <w:rsid w:val="001175CA"/>
    <w:rsid w:val="0012083D"/>
    <w:rsid w:val="00121964"/>
    <w:rsid w:val="00122255"/>
    <w:rsid w:val="00122298"/>
    <w:rsid w:val="001228D1"/>
    <w:rsid w:val="00122A54"/>
    <w:rsid w:val="00123C67"/>
    <w:rsid w:val="00124735"/>
    <w:rsid w:val="00124EE7"/>
    <w:rsid w:val="0012565E"/>
    <w:rsid w:val="00125A50"/>
    <w:rsid w:val="001264AF"/>
    <w:rsid w:val="001266D0"/>
    <w:rsid w:val="00126921"/>
    <w:rsid w:val="00126C0F"/>
    <w:rsid w:val="001270B0"/>
    <w:rsid w:val="00127967"/>
    <w:rsid w:val="00127D32"/>
    <w:rsid w:val="00130511"/>
    <w:rsid w:val="00130575"/>
    <w:rsid w:val="00130615"/>
    <w:rsid w:val="001309C1"/>
    <w:rsid w:val="001317D0"/>
    <w:rsid w:val="00131DA2"/>
    <w:rsid w:val="00133AF1"/>
    <w:rsid w:val="00134225"/>
    <w:rsid w:val="00134234"/>
    <w:rsid w:val="00136209"/>
    <w:rsid w:val="00136807"/>
    <w:rsid w:val="00136C37"/>
    <w:rsid w:val="00137614"/>
    <w:rsid w:val="00140105"/>
    <w:rsid w:val="00140618"/>
    <w:rsid w:val="00140886"/>
    <w:rsid w:val="001408C8"/>
    <w:rsid w:val="001420D3"/>
    <w:rsid w:val="00143338"/>
    <w:rsid w:val="00143E3F"/>
    <w:rsid w:val="00144F12"/>
    <w:rsid w:val="00145366"/>
    <w:rsid w:val="00145F54"/>
    <w:rsid w:val="00146225"/>
    <w:rsid w:val="00146297"/>
    <w:rsid w:val="001462F4"/>
    <w:rsid w:val="00146A87"/>
    <w:rsid w:val="00147068"/>
    <w:rsid w:val="0014770D"/>
    <w:rsid w:val="0014781E"/>
    <w:rsid w:val="00147B42"/>
    <w:rsid w:val="00147BAE"/>
    <w:rsid w:val="00150311"/>
    <w:rsid w:val="00150A23"/>
    <w:rsid w:val="00151928"/>
    <w:rsid w:val="00151BB1"/>
    <w:rsid w:val="00152080"/>
    <w:rsid w:val="00152FA2"/>
    <w:rsid w:val="00153015"/>
    <w:rsid w:val="00153CF9"/>
    <w:rsid w:val="001554D7"/>
    <w:rsid w:val="00155814"/>
    <w:rsid w:val="00155AE1"/>
    <w:rsid w:val="00156476"/>
    <w:rsid w:val="00156A47"/>
    <w:rsid w:val="00156D0D"/>
    <w:rsid w:val="00156E56"/>
    <w:rsid w:val="00157173"/>
    <w:rsid w:val="00157908"/>
    <w:rsid w:val="0015799B"/>
    <w:rsid w:val="00157A2C"/>
    <w:rsid w:val="0016085A"/>
    <w:rsid w:val="001609B7"/>
    <w:rsid w:val="00160FCB"/>
    <w:rsid w:val="00161946"/>
    <w:rsid w:val="001620CD"/>
    <w:rsid w:val="0016233C"/>
    <w:rsid w:val="0016234F"/>
    <w:rsid w:val="00162C3B"/>
    <w:rsid w:val="0016416F"/>
    <w:rsid w:val="001653B4"/>
    <w:rsid w:val="0016641F"/>
    <w:rsid w:val="00166D68"/>
    <w:rsid w:val="0016739B"/>
    <w:rsid w:val="00167530"/>
    <w:rsid w:val="0016797D"/>
    <w:rsid w:val="00167F0B"/>
    <w:rsid w:val="00170422"/>
    <w:rsid w:val="00170E6D"/>
    <w:rsid w:val="00171726"/>
    <w:rsid w:val="001725B4"/>
    <w:rsid w:val="001728E0"/>
    <w:rsid w:val="00172B5F"/>
    <w:rsid w:val="0017354B"/>
    <w:rsid w:val="00173F4E"/>
    <w:rsid w:val="001743D4"/>
    <w:rsid w:val="001748C8"/>
    <w:rsid w:val="00174C34"/>
    <w:rsid w:val="00174CCD"/>
    <w:rsid w:val="00176B74"/>
    <w:rsid w:val="00177312"/>
    <w:rsid w:val="0017758B"/>
    <w:rsid w:val="00180EBA"/>
    <w:rsid w:val="00181BC0"/>
    <w:rsid w:val="00181C01"/>
    <w:rsid w:val="001829C5"/>
    <w:rsid w:val="0018477B"/>
    <w:rsid w:val="00184D9A"/>
    <w:rsid w:val="00184F0B"/>
    <w:rsid w:val="00184FC9"/>
    <w:rsid w:val="00185804"/>
    <w:rsid w:val="00185D8D"/>
    <w:rsid w:val="00185F67"/>
    <w:rsid w:val="00187DF3"/>
    <w:rsid w:val="00190E82"/>
    <w:rsid w:val="001912B4"/>
    <w:rsid w:val="00191E5F"/>
    <w:rsid w:val="001922F4"/>
    <w:rsid w:val="00192B9E"/>
    <w:rsid w:val="00193826"/>
    <w:rsid w:val="00193BA5"/>
    <w:rsid w:val="00194049"/>
    <w:rsid w:val="00194741"/>
    <w:rsid w:val="001953CD"/>
    <w:rsid w:val="00195990"/>
    <w:rsid w:val="00195B06"/>
    <w:rsid w:val="00195DA7"/>
    <w:rsid w:val="001966E3"/>
    <w:rsid w:val="0019737E"/>
    <w:rsid w:val="001A0143"/>
    <w:rsid w:val="001A0626"/>
    <w:rsid w:val="001A0685"/>
    <w:rsid w:val="001A0D1C"/>
    <w:rsid w:val="001A17CC"/>
    <w:rsid w:val="001A1816"/>
    <w:rsid w:val="001A19D0"/>
    <w:rsid w:val="001A1D93"/>
    <w:rsid w:val="001A2056"/>
    <w:rsid w:val="001A24A7"/>
    <w:rsid w:val="001A2C33"/>
    <w:rsid w:val="001A30BB"/>
    <w:rsid w:val="001A3DC8"/>
    <w:rsid w:val="001A3EB0"/>
    <w:rsid w:val="001A4450"/>
    <w:rsid w:val="001A4BCB"/>
    <w:rsid w:val="001A61B5"/>
    <w:rsid w:val="001A6332"/>
    <w:rsid w:val="001A6B96"/>
    <w:rsid w:val="001A6E55"/>
    <w:rsid w:val="001A7745"/>
    <w:rsid w:val="001A77AB"/>
    <w:rsid w:val="001A77B2"/>
    <w:rsid w:val="001A7DEE"/>
    <w:rsid w:val="001B0395"/>
    <w:rsid w:val="001B14AF"/>
    <w:rsid w:val="001B1D4A"/>
    <w:rsid w:val="001B1E1F"/>
    <w:rsid w:val="001B2032"/>
    <w:rsid w:val="001B300D"/>
    <w:rsid w:val="001B303D"/>
    <w:rsid w:val="001B3183"/>
    <w:rsid w:val="001B3824"/>
    <w:rsid w:val="001B404C"/>
    <w:rsid w:val="001B4540"/>
    <w:rsid w:val="001B5414"/>
    <w:rsid w:val="001B5C96"/>
    <w:rsid w:val="001B627D"/>
    <w:rsid w:val="001B686C"/>
    <w:rsid w:val="001B7408"/>
    <w:rsid w:val="001B7807"/>
    <w:rsid w:val="001B798C"/>
    <w:rsid w:val="001B7F5A"/>
    <w:rsid w:val="001C03AE"/>
    <w:rsid w:val="001C0C67"/>
    <w:rsid w:val="001C0EF8"/>
    <w:rsid w:val="001C2083"/>
    <w:rsid w:val="001C2431"/>
    <w:rsid w:val="001C24BE"/>
    <w:rsid w:val="001C2541"/>
    <w:rsid w:val="001C260E"/>
    <w:rsid w:val="001C2B72"/>
    <w:rsid w:val="001C3DA8"/>
    <w:rsid w:val="001C3DD8"/>
    <w:rsid w:val="001C471D"/>
    <w:rsid w:val="001C4D23"/>
    <w:rsid w:val="001C4DBC"/>
    <w:rsid w:val="001C5109"/>
    <w:rsid w:val="001C58AA"/>
    <w:rsid w:val="001C5EE9"/>
    <w:rsid w:val="001C62A5"/>
    <w:rsid w:val="001C635F"/>
    <w:rsid w:val="001C664F"/>
    <w:rsid w:val="001C6E1E"/>
    <w:rsid w:val="001C70B5"/>
    <w:rsid w:val="001C73A5"/>
    <w:rsid w:val="001C7756"/>
    <w:rsid w:val="001C79D9"/>
    <w:rsid w:val="001D072E"/>
    <w:rsid w:val="001D08B6"/>
    <w:rsid w:val="001D0930"/>
    <w:rsid w:val="001D0C3E"/>
    <w:rsid w:val="001D1787"/>
    <w:rsid w:val="001D1D8C"/>
    <w:rsid w:val="001D2079"/>
    <w:rsid w:val="001D224C"/>
    <w:rsid w:val="001D2BD6"/>
    <w:rsid w:val="001D313B"/>
    <w:rsid w:val="001D4BBA"/>
    <w:rsid w:val="001D5206"/>
    <w:rsid w:val="001D5366"/>
    <w:rsid w:val="001D5EA3"/>
    <w:rsid w:val="001D623A"/>
    <w:rsid w:val="001D6B47"/>
    <w:rsid w:val="001D6F15"/>
    <w:rsid w:val="001D723A"/>
    <w:rsid w:val="001D7ACB"/>
    <w:rsid w:val="001D7E22"/>
    <w:rsid w:val="001E02C7"/>
    <w:rsid w:val="001E053B"/>
    <w:rsid w:val="001E102E"/>
    <w:rsid w:val="001E121B"/>
    <w:rsid w:val="001E198C"/>
    <w:rsid w:val="001E1E93"/>
    <w:rsid w:val="001E1FEC"/>
    <w:rsid w:val="001E2137"/>
    <w:rsid w:val="001E286B"/>
    <w:rsid w:val="001E2DBC"/>
    <w:rsid w:val="001E31AC"/>
    <w:rsid w:val="001E3C62"/>
    <w:rsid w:val="001E4151"/>
    <w:rsid w:val="001E4158"/>
    <w:rsid w:val="001E4296"/>
    <w:rsid w:val="001E450C"/>
    <w:rsid w:val="001E4692"/>
    <w:rsid w:val="001E4786"/>
    <w:rsid w:val="001E523F"/>
    <w:rsid w:val="001E580F"/>
    <w:rsid w:val="001E6D00"/>
    <w:rsid w:val="001E7533"/>
    <w:rsid w:val="001F085F"/>
    <w:rsid w:val="001F09BB"/>
    <w:rsid w:val="001F1919"/>
    <w:rsid w:val="001F1AE4"/>
    <w:rsid w:val="001F27D3"/>
    <w:rsid w:val="001F293E"/>
    <w:rsid w:val="001F2978"/>
    <w:rsid w:val="001F37B9"/>
    <w:rsid w:val="001F3D36"/>
    <w:rsid w:val="001F432E"/>
    <w:rsid w:val="001F5147"/>
    <w:rsid w:val="001F5425"/>
    <w:rsid w:val="001F5741"/>
    <w:rsid w:val="001F5EF8"/>
    <w:rsid w:val="001F6130"/>
    <w:rsid w:val="001F695E"/>
    <w:rsid w:val="001F6E89"/>
    <w:rsid w:val="001F76CB"/>
    <w:rsid w:val="001F7747"/>
    <w:rsid w:val="001F780C"/>
    <w:rsid w:val="00200227"/>
    <w:rsid w:val="00200960"/>
    <w:rsid w:val="00200DF7"/>
    <w:rsid w:val="002012D1"/>
    <w:rsid w:val="00202212"/>
    <w:rsid w:val="0020222D"/>
    <w:rsid w:val="0020291B"/>
    <w:rsid w:val="00202FB0"/>
    <w:rsid w:val="002038C4"/>
    <w:rsid w:val="00203BE8"/>
    <w:rsid w:val="002042AD"/>
    <w:rsid w:val="00204333"/>
    <w:rsid w:val="002044D0"/>
    <w:rsid w:val="00204595"/>
    <w:rsid w:val="002049AC"/>
    <w:rsid w:val="0020560A"/>
    <w:rsid w:val="00205A98"/>
    <w:rsid w:val="00205B6B"/>
    <w:rsid w:val="00206098"/>
    <w:rsid w:val="00206AFA"/>
    <w:rsid w:val="00206C8F"/>
    <w:rsid w:val="00207724"/>
    <w:rsid w:val="0021016D"/>
    <w:rsid w:val="00210415"/>
    <w:rsid w:val="00210418"/>
    <w:rsid w:val="00210A05"/>
    <w:rsid w:val="00210E2E"/>
    <w:rsid w:val="0021127E"/>
    <w:rsid w:val="002112BB"/>
    <w:rsid w:val="002117C5"/>
    <w:rsid w:val="00211AF5"/>
    <w:rsid w:val="00211EC9"/>
    <w:rsid w:val="00211F57"/>
    <w:rsid w:val="00212755"/>
    <w:rsid w:val="00212C47"/>
    <w:rsid w:val="00212C61"/>
    <w:rsid w:val="00213075"/>
    <w:rsid w:val="002140AA"/>
    <w:rsid w:val="00214298"/>
    <w:rsid w:val="00214BD1"/>
    <w:rsid w:val="00214FCD"/>
    <w:rsid w:val="00215497"/>
    <w:rsid w:val="002155B9"/>
    <w:rsid w:val="00215992"/>
    <w:rsid w:val="00215A21"/>
    <w:rsid w:val="00215CD7"/>
    <w:rsid w:val="002164CD"/>
    <w:rsid w:val="002167C6"/>
    <w:rsid w:val="00217189"/>
    <w:rsid w:val="002174F0"/>
    <w:rsid w:val="00217706"/>
    <w:rsid w:val="00217D34"/>
    <w:rsid w:val="00220D7E"/>
    <w:rsid w:val="00220FBA"/>
    <w:rsid w:val="00221CDF"/>
    <w:rsid w:val="00222193"/>
    <w:rsid w:val="00222818"/>
    <w:rsid w:val="00222953"/>
    <w:rsid w:val="00223806"/>
    <w:rsid w:val="00224C86"/>
    <w:rsid w:val="002250EA"/>
    <w:rsid w:val="00225E80"/>
    <w:rsid w:val="00225FF2"/>
    <w:rsid w:val="00226423"/>
    <w:rsid w:val="002276E6"/>
    <w:rsid w:val="00227880"/>
    <w:rsid w:val="0022788D"/>
    <w:rsid w:val="002300A6"/>
    <w:rsid w:val="0023065E"/>
    <w:rsid w:val="00230CB3"/>
    <w:rsid w:val="00231165"/>
    <w:rsid w:val="002315D0"/>
    <w:rsid w:val="00231A9F"/>
    <w:rsid w:val="002321E3"/>
    <w:rsid w:val="00232537"/>
    <w:rsid w:val="002327A8"/>
    <w:rsid w:val="002329EC"/>
    <w:rsid w:val="002335A7"/>
    <w:rsid w:val="002336DE"/>
    <w:rsid w:val="00233968"/>
    <w:rsid w:val="00234E84"/>
    <w:rsid w:val="002353F7"/>
    <w:rsid w:val="00235818"/>
    <w:rsid w:val="00235ED7"/>
    <w:rsid w:val="00236075"/>
    <w:rsid w:val="002366EE"/>
    <w:rsid w:val="00236C63"/>
    <w:rsid w:val="00237074"/>
    <w:rsid w:val="00237149"/>
    <w:rsid w:val="00237407"/>
    <w:rsid w:val="002376CF"/>
    <w:rsid w:val="00237D40"/>
    <w:rsid w:val="00240856"/>
    <w:rsid w:val="0024092D"/>
    <w:rsid w:val="00240C2B"/>
    <w:rsid w:val="0024161A"/>
    <w:rsid w:val="0024184A"/>
    <w:rsid w:val="00241D8C"/>
    <w:rsid w:val="002423FE"/>
    <w:rsid w:val="00242C86"/>
    <w:rsid w:val="00242C9D"/>
    <w:rsid w:val="00243A05"/>
    <w:rsid w:val="00243E53"/>
    <w:rsid w:val="002442D2"/>
    <w:rsid w:val="00244D37"/>
    <w:rsid w:val="002450D3"/>
    <w:rsid w:val="00245A71"/>
    <w:rsid w:val="0024686E"/>
    <w:rsid w:val="00247065"/>
    <w:rsid w:val="00247A08"/>
    <w:rsid w:val="00253100"/>
    <w:rsid w:val="00253B78"/>
    <w:rsid w:val="002543B6"/>
    <w:rsid w:val="00254447"/>
    <w:rsid w:val="00254C09"/>
    <w:rsid w:val="00254C2E"/>
    <w:rsid w:val="002563E8"/>
    <w:rsid w:val="00256998"/>
    <w:rsid w:val="00256A6F"/>
    <w:rsid w:val="00257176"/>
    <w:rsid w:val="00257B58"/>
    <w:rsid w:val="00260177"/>
    <w:rsid w:val="00260735"/>
    <w:rsid w:val="00260EF5"/>
    <w:rsid w:val="00261489"/>
    <w:rsid w:val="002617FF"/>
    <w:rsid w:val="00261850"/>
    <w:rsid w:val="00261B10"/>
    <w:rsid w:val="00261C6F"/>
    <w:rsid w:val="002622A0"/>
    <w:rsid w:val="002623B8"/>
    <w:rsid w:val="00262AB7"/>
    <w:rsid w:val="00262C83"/>
    <w:rsid w:val="00262CF3"/>
    <w:rsid w:val="00263D78"/>
    <w:rsid w:val="00264189"/>
    <w:rsid w:val="002646D8"/>
    <w:rsid w:val="00264BDD"/>
    <w:rsid w:val="00264C44"/>
    <w:rsid w:val="002650D5"/>
    <w:rsid w:val="002653DD"/>
    <w:rsid w:val="0026565C"/>
    <w:rsid w:val="0026573A"/>
    <w:rsid w:val="00265BE9"/>
    <w:rsid w:val="002661D5"/>
    <w:rsid w:val="002668AB"/>
    <w:rsid w:val="00266B53"/>
    <w:rsid w:val="00266F77"/>
    <w:rsid w:val="00266F92"/>
    <w:rsid w:val="00270055"/>
    <w:rsid w:val="00271039"/>
    <w:rsid w:val="00272CD7"/>
    <w:rsid w:val="0027397E"/>
    <w:rsid w:val="00273B0C"/>
    <w:rsid w:val="00273F7C"/>
    <w:rsid w:val="00273FC4"/>
    <w:rsid w:val="002743C2"/>
    <w:rsid w:val="002747DC"/>
    <w:rsid w:val="00274DC0"/>
    <w:rsid w:val="0027510A"/>
    <w:rsid w:val="00275F75"/>
    <w:rsid w:val="002760FB"/>
    <w:rsid w:val="00280574"/>
    <w:rsid w:val="00280971"/>
    <w:rsid w:val="00280EC4"/>
    <w:rsid w:val="00281050"/>
    <w:rsid w:val="0028129F"/>
    <w:rsid w:val="0028159E"/>
    <w:rsid w:val="00281951"/>
    <w:rsid w:val="00281BD9"/>
    <w:rsid w:val="00281FF8"/>
    <w:rsid w:val="0028216D"/>
    <w:rsid w:val="002825E2"/>
    <w:rsid w:val="0028276B"/>
    <w:rsid w:val="00282C7A"/>
    <w:rsid w:val="00283C16"/>
    <w:rsid w:val="00283D38"/>
    <w:rsid w:val="00284596"/>
    <w:rsid w:val="00284BF2"/>
    <w:rsid w:val="00285517"/>
    <w:rsid w:val="002860F4"/>
    <w:rsid w:val="00286260"/>
    <w:rsid w:val="002862DC"/>
    <w:rsid w:val="00286586"/>
    <w:rsid w:val="00286DA5"/>
    <w:rsid w:val="0028777F"/>
    <w:rsid w:val="00290341"/>
    <w:rsid w:val="00291557"/>
    <w:rsid w:val="00291570"/>
    <w:rsid w:val="00291700"/>
    <w:rsid w:val="002918AC"/>
    <w:rsid w:val="00292F61"/>
    <w:rsid w:val="00293190"/>
    <w:rsid w:val="0029354D"/>
    <w:rsid w:val="00293607"/>
    <w:rsid w:val="0029371A"/>
    <w:rsid w:val="00293C74"/>
    <w:rsid w:val="00293FBA"/>
    <w:rsid w:val="00294A6C"/>
    <w:rsid w:val="00295575"/>
    <w:rsid w:val="00295891"/>
    <w:rsid w:val="002966AB"/>
    <w:rsid w:val="00297AD7"/>
    <w:rsid w:val="00297EE7"/>
    <w:rsid w:val="002A04EC"/>
    <w:rsid w:val="002A0C1B"/>
    <w:rsid w:val="002A16AC"/>
    <w:rsid w:val="002A1737"/>
    <w:rsid w:val="002A1E31"/>
    <w:rsid w:val="002A257C"/>
    <w:rsid w:val="002A29BA"/>
    <w:rsid w:val="002A2CDB"/>
    <w:rsid w:val="002A2CFF"/>
    <w:rsid w:val="002A3D8A"/>
    <w:rsid w:val="002A469E"/>
    <w:rsid w:val="002A487E"/>
    <w:rsid w:val="002A48E1"/>
    <w:rsid w:val="002A4A50"/>
    <w:rsid w:val="002A4FB8"/>
    <w:rsid w:val="002A4FCB"/>
    <w:rsid w:val="002A5585"/>
    <w:rsid w:val="002A5E13"/>
    <w:rsid w:val="002A65C4"/>
    <w:rsid w:val="002A6C29"/>
    <w:rsid w:val="002A6E41"/>
    <w:rsid w:val="002A6FC7"/>
    <w:rsid w:val="002B0C22"/>
    <w:rsid w:val="002B1404"/>
    <w:rsid w:val="002B19F0"/>
    <w:rsid w:val="002B1E1B"/>
    <w:rsid w:val="002B1F8C"/>
    <w:rsid w:val="002B2E70"/>
    <w:rsid w:val="002B4E64"/>
    <w:rsid w:val="002B4F6D"/>
    <w:rsid w:val="002B5119"/>
    <w:rsid w:val="002B53BF"/>
    <w:rsid w:val="002B596A"/>
    <w:rsid w:val="002B6003"/>
    <w:rsid w:val="002B6AFC"/>
    <w:rsid w:val="002B6E0B"/>
    <w:rsid w:val="002C003F"/>
    <w:rsid w:val="002C0649"/>
    <w:rsid w:val="002C0874"/>
    <w:rsid w:val="002C2220"/>
    <w:rsid w:val="002C2AEA"/>
    <w:rsid w:val="002C42D1"/>
    <w:rsid w:val="002C4B16"/>
    <w:rsid w:val="002C4C58"/>
    <w:rsid w:val="002C5315"/>
    <w:rsid w:val="002C5559"/>
    <w:rsid w:val="002C654D"/>
    <w:rsid w:val="002C65D0"/>
    <w:rsid w:val="002C6786"/>
    <w:rsid w:val="002C68E6"/>
    <w:rsid w:val="002C7077"/>
    <w:rsid w:val="002C75DA"/>
    <w:rsid w:val="002C7866"/>
    <w:rsid w:val="002C7F87"/>
    <w:rsid w:val="002D076B"/>
    <w:rsid w:val="002D0A2A"/>
    <w:rsid w:val="002D0B86"/>
    <w:rsid w:val="002D0C31"/>
    <w:rsid w:val="002D0C60"/>
    <w:rsid w:val="002D0EDF"/>
    <w:rsid w:val="002D1440"/>
    <w:rsid w:val="002D1783"/>
    <w:rsid w:val="002D194B"/>
    <w:rsid w:val="002D1FE1"/>
    <w:rsid w:val="002D27CD"/>
    <w:rsid w:val="002D35E2"/>
    <w:rsid w:val="002D36CE"/>
    <w:rsid w:val="002D37B2"/>
    <w:rsid w:val="002D37EE"/>
    <w:rsid w:val="002D4B03"/>
    <w:rsid w:val="002D53FF"/>
    <w:rsid w:val="002D56A1"/>
    <w:rsid w:val="002D7EEF"/>
    <w:rsid w:val="002E0134"/>
    <w:rsid w:val="002E0142"/>
    <w:rsid w:val="002E0448"/>
    <w:rsid w:val="002E0A9C"/>
    <w:rsid w:val="002E10A2"/>
    <w:rsid w:val="002E1528"/>
    <w:rsid w:val="002E2283"/>
    <w:rsid w:val="002E336E"/>
    <w:rsid w:val="002E3F80"/>
    <w:rsid w:val="002E4158"/>
    <w:rsid w:val="002E41D0"/>
    <w:rsid w:val="002E4644"/>
    <w:rsid w:val="002E4D93"/>
    <w:rsid w:val="002E4F36"/>
    <w:rsid w:val="002E524F"/>
    <w:rsid w:val="002E58A5"/>
    <w:rsid w:val="002E5C71"/>
    <w:rsid w:val="002E5D74"/>
    <w:rsid w:val="002E5F24"/>
    <w:rsid w:val="002F0A0D"/>
    <w:rsid w:val="002F12C4"/>
    <w:rsid w:val="002F1988"/>
    <w:rsid w:val="002F2AD5"/>
    <w:rsid w:val="002F2F1C"/>
    <w:rsid w:val="002F38B8"/>
    <w:rsid w:val="002F3BB3"/>
    <w:rsid w:val="002F418F"/>
    <w:rsid w:val="002F460E"/>
    <w:rsid w:val="002F4B65"/>
    <w:rsid w:val="002F4B79"/>
    <w:rsid w:val="002F501A"/>
    <w:rsid w:val="002F5455"/>
    <w:rsid w:val="002F54B8"/>
    <w:rsid w:val="002F5A16"/>
    <w:rsid w:val="002F5B70"/>
    <w:rsid w:val="002F5BD2"/>
    <w:rsid w:val="002F5F31"/>
    <w:rsid w:val="002F602B"/>
    <w:rsid w:val="002F658A"/>
    <w:rsid w:val="002F7A24"/>
    <w:rsid w:val="003000E8"/>
    <w:rsid w:val="003000EB"/>
    <w:rsid w:val="00300219"/>
    <w:rsid w:val="0030031A"/>
    <w:rsid w:val="00300C0F"/>
    <w:rsid w:val="00301051"/>
    <w:rsid w:val="003013FA"/>
    <w:rsid w:val="003018AE"/>
    <w:rsid w:val="0030330E"/>
    <w:rsid w:val="00303C94"/>
    <w:rsid w:val="00303D30"/>
    <w:rsid w:val="003049E9"/>
    <w:rsid w:val="00304FA9"/>
    <w:rsid w:val="00305145"/>
    <w:rsid w:val="0030553D"/>
    <w:rsid w:val="00305566"/>
    <w:rsid w:val="00306071"/>
    <w:rsid w:val="003070D6"/>
    <w:rsid w:val="003076FB"/>
    <w:rsid w:val="00307A26"/>
    <w:rsid w:val="00307F0B"/>
    <w:rsid w:val="00310021"/>
    <w:rsid w:val="00310184"/>
    <w:rsid w:val="00310448"/>
    <w:rsid w:val="00310E78"/>
    <w:rsid w:val="00311339"/>
    <w:rsid w:val="00313045"/>
    <w:rsid w:val="00314380"/>
    <w:rsid w:val="003144BC"/>
    <w:rsid w:val="0031471C"/>
    <w:rsid w:val="003151C2"/>
    <w:rsid w:val="00315408"/>
    <w:rsid w:val="00315906"/>
    <w:rsid w:val="00315C0E"/>
    <w:rsid w:val="00316500"/>
    <w:rsid w:val="00316B10"/>
    <w:rsid w:val="003173F9"/>
    <w:rsid w:val="00320413"/>
    <w:rsid w:val="00320A20"/>
    <w:rsid w:val="00322E4E"/>
    <w:rsid w:val="00323500"/>
    <w:rsid w:val="00323805"/>
    <w:rsid w:val="0032398A"/>
    <w:rsid w:val="00323C9B"/>
    <w:rsid w:val="00323D40"/>
    <w:rsid w:val="00324E8A"/>
    <w:rsid w:val="0032545E"/>
    <w:rsid w:val="00325A31"/>
    <w:rsid w:val="00325C19"/>
    <w:rsid w:val="0032610D"/>
    <w:rsid w:val="00326199"/>
    <w:rsid w:val="003265AF"/>
    <w:rsid w:val="00326930"/>
    <w:rsid w:val="00326ABB"/>
    <w:rsid w:val="00326B0F"/>
    <w:rsid w:val="00326B16"/>
    <w:rsid w:val="00326B60"/>
    <w:rsid w:val="00326E1C"/>
    <w:rsid w:val="00326E58"/>
    <w:rsid w:val="003273B6"/>
    <w:rsid w:val="0032790D"/>
    <w:rsid w:val="00327A14"/>
    <w:rsid w:val="00327D6B"/>
    <w:rsid w:val="00330566"/>
    <w:rsid w:val="00330E7F"/>
    <w:rsid w:val="00331588"/>
    <w:rsid w:val="00331A7B"/>
    <w:rsid w:val="00331DB1"/>
    <w:rsid w:val="0033200E"/>
    <w:rsid w:val="003320C7"/>
    <w:rsid w:val="003323BE"/>
    <w:rsid w:val="00332CA4"/>
    <w:rsid w:val="0033409A"/>
    <w:rsid w:val="00334907"/>
    <w:rsid w:val="00334AD7"/>
    <w:rsid w:val="00334ADC"/>
    <w:rsid w:val="00334D21"/>
    <w:rsid w:val="00335131"/>
    <w:rsid w:val="00335660"/>
    <w:rsid w:val="00335EC9"/>
    <w:rsid w:val="00336632"/>
    <w:rsid w:val="00336E48"/>
    <w:rsid w:val="003377DC"/>
    <w:rsid w:val="00337DB0"/>
    <w:rsid w:val="003405FF"/>
    <w:rsid w:val="00340AD4"/>
    <w:rsid w:val="00340B2E"/>
    <w:rsid w:val="00340CBD"/>
    <w:rsid w:val="00340F88"/>
    <w:rsid w:val="0034223C"/>
    <w:rsid w:val="00342669"/>
    <w:rsid w:val="00342871"/>
    <w:rsid w:val="00343EB8"/>
    <w:rsid w:val="00344656"/>
    <w:rsid w:val="00346524"/>
    <w:rsid w:val="00346E1A"/>
    <w:rsid w:val="0035041E"/>
    <w:rsid w:val="003504AF"/>
    <w:rsid w:val="00350972"/>
    <w:rsid w:val="00350D44"/>
    <w:rsid w:val="00351588"/>
    <w:rsid w:val="003515A4"/>
    <w:rsid w:val="0035203A"/>
    <w:rsid w:val="00352146"/>
    <w:rsid w:val="0035301B"/>
    <w:rsid w:val="00353167"/>
    <w:rsid w:val="003533EB"/>
    <w:rsid w:val="00353C5F"/>
    <w:rsid w:val="00353E96"/>
    <w:rsid w:val="00354A00"/>
    <w:rsid w:val="00354C05"/>
    <w:rsid w:val="00354E68"/>
    <w:rsid w:val="003553AC"/>
    <w:rsid w:val="00355D0C"/>
    <w:rsid w:val="00355F69"/>
    <w:rsid w:val="00356263"/>
    <w:rsid w:val="0035706F"/>
    <w:rsid w:val="0035742B"/>
    <w:rsid w:val="00357665"/>
    <w:rsid w:val="003578BB"/>
    <w:rsid w:val="00360193"/>
    <w:rsid w:val="003605AC"/>
    <w:rsid w:val="003605E0"/>
    <w:rsid w:val="00361410"/>
    <w:rsid w:val="00362C73"/>
    <w:rsid w:val="00363004"/>
    <w:rsid w:val="0036373C"/>
    <w:rsid w:val="00363E60"/>
    <w:rsid w:val="00364902"/>
    <w:rsid w:val="00364EB3"/>
    <w:rsid w:val="003657AC"/>
    <w:rsid w:val="00365888"/>
    <w:rsid w:val="00366549"/>
    <w:rsid w:val="00366ED6"/>
    <w:rsid w:val="003675B8"/>
    <w:rsid w:val="003700C7"/>
    <w:rsid w:val="003706BD"/>
    <w:rsid w:val="00370D3A"/>
    <w:rsid w:val="00370D88"/>
    <w:rsid w:val="00371011"/>
    <w:rsid w:val="00371719"/>
    <w:rsid w:val="00372277"/>
    <w:rsid w:val="00372598"/>
    <w:rsid w:val="003726BF"/>
    <w:rsid w:val="00372AD0"/>
    <w:rsid w:val="00372F66"/>
    <w:rsid w:val="003730E1"/>
    <w:rsid w:val="003733C3"/>
    <w:rsid w:val="0037485B"/>
    <w:rsid w:val="00374877"/>
    <w:rsid w:val="0037490D"/>
    <w:rsid w:val="003751F1"/>
    <w:rsid w:val="003759EE"/>
    <w:rsid w:val="00375A1A"/>
    <w:rsid w:val="00375A29"/>
    <w:rsid w:val="00375A7A"/>
    <w:rsid w:val="00375C17"/>
    <w:rsid w:val="0037606A"/>
    <w:rsid w:val="003765E4"/>
    <w:rsid w:val="00377115"/>
    <w:rsid w:val="00377843"/>
    <w:rsid w:val="00377CED"/>
    <w:rsid w:val="003806D1"/>
    <w:rsid w:val="00380A4E"/>
    <w:rsid w:val="00381198"/>
    <w:rsid w:val="00382274"/>
    <w:rsid w:val="0038230A"/>
    <w:rsid w:val="00382B7D"/>
    <w:rsid w:val="003849E2"/>
    <w:rsid w:val="00384AFF"/>
    <w:rsid w:val="00384BE5"/>
    <w:rsid w:val="00384C0E"/>
    <w:rsid w:val="00385043"/>
    <w:rsid w:val="003851C4"/>
    <w:rsid w:val="0038535F"/>
    <w:rsid w:val="003857E6"/>
    <w:rsid w:val="00385CFA"/>
    <w:rsid w:val="00386012"/>
    <w:rsid w:val="003865BE"/>
    <w:rsid w:val="00386993"/>
    <w:rsid w:val="00386E16"/>
    <w:rsid w:val="0038706E"/>
    <w:rsid w:val="0038751F"/>
    <w:rsid w:val="00387692"/>
    <w:rsid w:val="0038769C"/>
    <w:rsid w:val="0038773D"/>
    <w:rsid w:val="00387978"/>
    <w:rsid w:val="00387E42"/>
    <w:rsid w:val="00390573"/>
    <w:rsid w:val="003908D8"/>
    <w:rsid w:val="00390B0D"/>
    <w:rsid w:val="00390B13"/>
    <w:rsid w:val="00390B5C"/>
    <w:rsid w:val="00390E6E"/>
    <w:rsid w:val="00392490"/>
    <w:rsid w:val="00392E06"/>
    <w:rsid w:val="003932B7"/>
    <w:rsid w:val="0039473A"/>
    <w:rsid w:val="003950A3"/>
    <w:rsid w:val="00395133"/>
    <w:rsid w:val="00395337"/>
    <w:rsid w:val="00395B9F"/>
    <w:rsid w:val="00396270"/>
    <w:rsid w:val="00396AEF"/>
    <w:rsid w:val="00396EC5"/>
    <w:rsid w:val="0039716C"/>
    <w:rsid w:val="0039781E"/>
    <w:rsid w:val="00397AD1"/>
    <w:rsid w:val="003A0361"/>
    <w:rsid w:val="003A09D3"/>
    <w:rsid w:val="003A13C9"/>
    <w:rsid w:val="003A14D0"/>
    <w:rsid w:val="003A160A"/>
    <w:rsid w:val="003A168D"/>
    <w:rsid w:val="003A247D"/>
    <w:rsid w:val="003A2D34"/>
    <w:rsid w:val="003A33F4"/>
    <w:rsid w:val="003A36B7"/>
    <w:rsid w:val="003A4974"/>
    <w:rsid w:val="003A4986"/>
    <w:rsid w:val="003A4CDE"/>
    <w:rsid w:val="003A547E"/>
    <w:rsid w:val="003A557E"/>
    <w:rsid w:val="003A68AD"/>
    <w:rsid w:val="003A6C94"/>
    <w:rsid w:val="003A73D8"/>
    <w:rsid w:val="003A74A6"/>
    <w:rsid w:val="003A7542"/>
    <w:rsid w:val="003A77AA"/>
    <w:rsid w:val="003A7E37"/>
    <w:rsid w:val="003B0650"/>
    <w:rsid w:val="003B0DEB"/>
    <w:rsid w:val="003B1A4C"/>
    <w:rsid w:val="003B2970"/>
    <w:rsid w:val="003B2B36"/>
    <w:rsid w:val="003B2C6A"/>
    <w:rsid w:val="003B2CD6"/>
    <w:rsid w:val="003B2FC1"/>
    <w:rsid w:val="003B31F1"/>
    <w:rsid w:val="003B35B1"/>
    <w:rsid w:val="003B39DE"/>
    <w:rsid w:val="003B4016"/>
    <w:rsid w:val="003B4202"/>
    <w:rsid w:val="003B5AE0"/>
    <w:rsid w:val="003B602D"/>
    <w:rsid w:val="003B6192"/>
    <w:rsid w:val="003B653D"/>
    <w:rsid w:val="003B687F"/>
    <w:rsid w:val="003B6A88"/>
    <w:rsid w:val="003B6C17"/>
    <w:rsid w:val="003B7CF6"/>
    <w:rsid w:val="003B7DB3"/>
    <w:rsid w:val="003C09F9"/>
    <w:rsid w:val="003C0B43"/>
    <w:rsid w:val="003C14CC"/>
    <w:rsid w:val="003C195C"/>
    <w:rsid w:val="003C27BC"/>
    <w:rsid w:val="003C319C"/>
    <w:rsid w:val="003C33AE"/>
    <w:rsid w:val="003C346E"/>
    <w:rsid w:val="003C36FD"/>
    <w:rsid w:val="003C3960"/>
    <w:rsid w:val="003C3DF5"/>
    <w:rsid w:val="003C3EB8"/>
    <w:rsid w:val="003C41DE"/>
    <w:rsid w:val="003C6342"/>
    <w:rsid w:val="003C6895"/>
    <w:rsid w:val="003C6B4C"/>
    <w:rsid w:val="003C71A2"/>
    <w:rsid w:val="003C722D"/>
    <w:rsid w:val="003C77A5"/>
    <w:rsid w:val="003C7C02"/>
    <w:rsid w:val="003D011E"/>
    <w:rsid w:val="003D0863"/>
    <w:rsid w:val="003D0C6F"/>
    <w:rsid w:val="003D1CBC"/>
    <w:rsid w:val="003D1F8F"/>
    <w:rsid w:val="003D2C20"/>
    <w:rsid w:val="003D3017"/>
    <w:rsid w:val="003D39C4"/>
    <w:rsid w:val="003D4438"/>
    <w:rsid w:val="003D50A6"/>
    <w:rsid w:val="003D5951"/>
    <w:rsid w:val="003D5C0F"/>
    <w:rsid w:val="003D6131"/>
    <w:rsid w:val="003D6E71"/>
    <w:rsid w:val="003D7F5D"/>
    <w:rsid w:val="003E002A"/>
    <w:rsid w:val="003E0243"/>
    <w:rsid w:val="003E0D9E"/>
    <w:rsid w:val="003E1603"/>
    <w:rsid w:val="003E18A2"/>
    <w:rsid w:val="003E1A7E"/>
    <w:rsid w:val="003E1DC6"/>
    <w:rsid w:val="003E24B4"/>
    <w:rsid w:val="003E3350"/>
    <w:rsid w:val="003E335B"/>
    <w:rsid w:val="003E3E0C"/>
    <w:rsid w:val="003E5710"/>
    <w:rsid w:val="003E5CBB"/>
    <w:rsid w:val="003E65EA"/>
    <w:rsid w:val="003E793B"/>
    <w:rsid w:val="003E7BFC"/>
    <w:rsid w:val="003F10E4"/>
    <w:rsid w:val="003F121A"/>
    <w:rsid w:val="003F1D1F"/>
    <w:rsid w:val="003F2137"/>
    <w:rsid w:val="003F2178"/>
    <w:rsid w:val="003F2A4B"/>
    <w:rsid w:val="003F3B6D"/>
    <w:rsid w:val="003F47BE"/>
    <w:rsid w:val="003F5443"/>
    <w:rsid w:val="003F5678"/>
    <w:rsid w:val="003F56B2"/>
    <w:rsid w:val="003F5B56"/>
    <w:rsid w:val="003F5D5E"/>
    <w:rsid w:val="003F5DD4"/>
    <w:rsid w:val="003F5EE4"/>
    <w:rsid w:val="003F68EA"/>
    <w:rsid w:val="003F6D41"/>
    <w:rsid w:val="003F76C6"/>
    <w:rsid w:val="00400B29"/>
    <w:rsid w:val="004011D8"/>
    <w:rsid w:val="00401AC1"/>
    <w:rsid w:val="004028C4"/>
    <w:rsid w:val="00403034"/>
    <w:rsid w:val="00403658"/>
    <w:rsid w:val="00404423"/>
    <w:rsid w:val="00404B59"/>
    <w:rsid w:val="00404BFD"/>
    <w:rsid w:val="00405068"/>
    <w:rsid w:val="00405273"/>
    <w:rsid w:val="00405B4B"/>
    <w:rsid w:val="004075EE"/>
    <w:rsid w:val="004107C9"/>
    <w:rsid w:val="004109A5"/>
    <w:rsid w:val="00410A7C"/>
    <w:rsid w:val="00410BC9"/>
    <w:rsid w:val="00412172"/>
    <w:rsid w:val="00412175"/>
    <w:rsid w:val="004126F9"/>
    <w:rsid w:val="00412C59"/>
    <w:rsid w:val="0041322C"/>
    <w:rsid w:val="0041324D"/>
    <w:rsid w:val="004133D8"/>
    <w:rsid w:val="004135B4"/>
    <w:rsid w:val="00414300"/>
    <w:rsid w:val="00416B1D"/>
    <w:rsid w:val="00416BA1"/>
    <w:rsid w:val="0041705C"/>
    <w:rsid w:val="00417651"/>
    <w:rsid w:val="00417C82"/>
    <w:rsid w:val="004203B6"/>
    <w:rsid w:val="00420A6B"/>
    <w:rsid w:val="00420DAB"/>
    <w:rsid w:val="004216D0"/>
    <w:rsid w:val="00421ADF"/>
    <w:rsid w:val="00421C46"/>
    <w:rsid w:val="004223C4"/>
    <w:rsid w:val="004227D3"/>
    <w:rsid w:val="00422CFA"/>
    <w:rsid w:val="00423268"/>
    <w:rsid w:val="0042355C"/>
    <w:rsid w:val="0042404F"/>
    <w:rsid w:val="00424976"/>
    <w:rsid w:val="00424D8B"/>
    <w:rsid w:val="00424F66"/>
    <w:rsid w:val="00425D42"/>
    <w:rsid w:val="00426B4E"/>
    <w:rsid w:val="004274E5"/>
    <w:rsid w:val="0043031F"/>
    <w:rsid w:val="00430796"/>
    <w:rsid w:val="00430BD4"/>
    <w:rsid w:val="00430FFD"/>
    <w:rsid w:val="004312BA"/>
    <w:rsid w:val="00431426"/>
    <w:rsid w:val="00431A49"/>
    <w:rsid w:val="00431E55"/>
    <w:rsid w:val="00432B8A"/>
    <w:rsid w:val="00432C08"/>
    <w:rsid w:val="00433F2B"/>
    <w:rsid w:val="00434C59"/>
    <w:rsid w:val="004351F7"/>
    <w:rsid w:val="00436291"/>
    <w:rsid w:val="0043686A"/>
    <w:rsid w:val="00436AC5"/>
    <w:rsid w:val="00437203"/>
    <w:rsid w:val="00437E52"/>
    <w:rsid w:val="0044068F"/>
    <w:rsid w:val="004408E6"/>
    <w:rsid w:val="00440B43"/>
    <w:rsid w:val="00440B6B"/>
    <w:rsid w:val="00440D56"/>
    <w:rsid w:val="00441489"/>
    <w:rsid w:val="00441B7C"/>
    <w:rsid w:val="00441B90"/>
    <w:rsid w:val="004426FB"/>
    <w:rsid w:val="00443383"/>
    <w:rsid w:val="004437C1"/>
    <w:rsid w:val="00444261"/>
    <w:rsid w:val="004456C1"/>
    <w:rsid w:val="00447024"/>
    <w:rsid w:val="0044737A"/>
    <w:rsid w:val="0044765F"/>
    <w:rsid w:val="004476AE"/>
    <w:rsid w:val="004479FE"/>
    <w:rsid w:val="00447DFB"/>
    <w:rsid w:val="004503AC"/>
    <w:rsid w:val="00450F4B"/>
    <w:rsid w:val="0045107D"/>
    <w:rsid w:val="004512CA"/>
    <w:rsid w:val="00451641"/>
    <w:rsid w:val="004521BE"/>
    <w:rsid w:val="00452628"/>
    <w:rsid w:val="00453324"/>
    <w:rsid w:val="00453543"/>
    <w:rsid w:val="004538F6"/>
    <w:rsid w:val="00453A99"/>
    <w:rsid w:val="0045572D"/>
    <w:rsid w:val="0045577B"/>
    <w:rsid w:val="00455A45"/>
    <w:rsid w:val="00455EFF"/>
    <w:rsid w:val="00456350"/>
    <w:rsid w:val="00456833"/>
    <w:rsid w:val="00456DE5"/>
    <w:rsid w:val="00456FE9"/>
    <w:rsid w:val="004573A3"/>
    <w:rsid w:val="00457693"/>
    <w:rsid w:val="0046016C"/>
    <w:rsid w:val="004605EE"/>
    <w:rsid w:val="00460B6E"/>
    <w:rsid w:val="00460C3E"/>
    <w:rsid w:val="00462A30"/>
    <w:rsid w:val="004638D2"/>
    <w:rsid w:val="00464CBB"/>
    <w:rsid w:val="00464D6E"/>
    <w:rsid w:val="0046548F"/>
    <w:rsid w:val="004662CF"/>
    <w:rsid w:val="0046687A"/>
    <w:rsid w:val="00466C17"/>
    <w:rsid w:val="00466DA3"/>
    <w:rsid w:val="0046719F"/>
    <w:rsid w:val="00467583"/>
    <w:rsid w:val="0046785B"/>
    <w:rsid w:val="00467E0B"/>
    <w:rsid w:val="004704E9"/>
    <w:rsid w:val="004708A8"/>
    <w:rsid w:val="00470C4B"/>
    <w:rsid w:val="004713C2"/>
    <w:rsid w:val="00471416"/>
    <w:rsid w:val="00471A4D"/>
    <w:rsid w:val="00471B37"/>
    <w:rsid w:val="00471E17"/>
    <w:rsid w:val="00472051"/>
    <w:rsid w:val="00472A9D"/>
    <w:rsid w:val="00472AF7"/>
    <w:rsid w:val="004731BD"/>
    <w:rsid w:val="00473513"/>
    <w:rsid w:val="004735ED"/>
    <w:rsid w:val="0047516E"/>
    <w:rsid w:val="004753FC"/>
    <w:rsid w:val="00475A60"/>
    <w:rsid w:val="00475B65"/>
    <w:rsid w:val="00475B6C"/>
    <w:rsid w:val="00476D10"/>
    <w:rsid w:val="00477C98"/>
    <w:rsid w:val="00480015"/>
    <w:rsid w:val="00480038"/>
    <w:rsid w:val="004803AD"/>
    <w:rsid w:val="0048060B"/>
    <w:rsid w:val="00480E74"/>
    <w:rsid w:val="00480F4A"/>
    <w:rsid w:val="00481170"/>
    <w:rsid w:val="004811E7"/>
    <w:rsid w:val="00481F49"/>
    <w:rsid w:val="00482BB2"/>
    <w:rsid w:val="0048417C"/>
    <w:rsid w:val="00484430"/>
    <w:rsid w:val="00484556"/>
    <w:rsid w:val="00484930"/>
    <w:rsid w:val="00484AF5"/>
    <w:rsid w:val="00485244"/>
    <w:rsid w:val="00486B7B"/>
    <w:rsid w:val="004871E4"/>
    <w:rsid w:val="0048725D"/>
    <w:rsid w:val="0048752F"/>
    <w:rsid w:val="004876BE"/>
    <w:rsid w:val="004907CD"/>
    <w:rsid w:val="00490A1C"/>
    <w:rsid w:val="00490A2B"/>
    <w:rsid w:val="00490BD5"/>
    <w:rsid w:val="00490FB2"/>
    <w:rsid w:val="004916E7"/>
    <w:rsid w:val="00493113"/>
    <w:rsid w:val="004932C1"/>
    <w:rsid w:val="004933B7"/>
    <w:rsid w:val="0049354A"/>
    <w:rsid w:val="0049394F"/>
    <w:rsid w:val="004939EE"/>
    <w:rsid w:val="00494974"/>
    <w:rsid w:val="00494A15"/>
    <w:rsid w:val="0049563D"/>
    <w:rsid w:val="00496499"/>
    <w:rsid w:val="00496CA4"/>
    <w:rsid w:val="00496DF3"/>
    <w:rsid w:val="00496FEE"/>
    <w:rsid w:val="0049705A"/>
    <w:rsid w:val="004971AD"/>
    <w:rsid w:val="00497CEF"/>
    <w:rsid w:val="004A033E"/>
    <w:rsid w:val="004A0BC0"/>
    <w:rsid w:val="004A0D8C"/>
    <w:rsid w:val="004A2DA2"/>
    <w:rsid w:val="004A2FA1"/>
    <w:rsid w:val="004A3721"/>
    <w:rsid w:val="004A3C21"/>
    <w:rsid w:val="004A44E8"/>
    <w:rsid w:val="004A4BE4"/>
    <w:rsid w:val="004A4EE1"/>
    <w:rsid w:val="004A52CB"/>
    <w:rsid w:val="004A53C8"/>
    <w:rsid w:val="004A5717"/>
    <w:rsid w:val="004A601D"/>
    <w:rsid w:val="004A61D4"/>
    <w:rsid w:val="004A635E"/>
    <w:rsid w:val="004A661D"/>
    <w:rsid w:val="004A670C"/>
    <w:rsid w:val="004A6C7D"/>
    <w:rsid w:val="004A79BB"/>
    <w:rsid w:val="004A7CB8"/>
    <w:rsid w:val="004A7D5F"/>
    <w:rsid w:val="004B0359"/>
    <w:rsid w:val="004B0A9D"/>
    <w:rsid w:val="004B0B86"/>
    <w:rsid w:val="004B0BE0"/>
    <w:rsid w:val="004B0EA2"/>
    <w:rsid w:val="004B18E6"/>
    <w:rsid w:val="004B1E6C"/>
    <w:rsid w:val="004B3279"/>
    <w:rsid w:val="004B3755"/>
    <w:rsid w:val="004B3A67"/>
    <w:rsid w:val="004B3FB4"/>
    <w:rsid w:val="004B50CF"/>
    <w:rsid w:val="004B5B5F"/>
    <w:rsid w:val="004B6719"/>
    <w:rsid w:val="004B692D"/>
    <w:rsid w:val="004B6D66"/>
    <w:rsid w:val="004B7192"/>
    <w:rsid w:val="004C019C"/>
    <w:rsid w:val="004C075D"/>
    <w:rsid w:val="004C0E33"/>
    <w:rsid w:val="004C1F46"/>
    <w:rsid w:val="004C1F5C"/>
    <w:rsid w:val="004C23C0"/>
    <w:rsid w:val="004C24E5"/>
    <w:rsid w:val="004C2D1E"/>
    <w:rsid w:val="004C371B"/>
    <w:rsid w:val="004C4344"/>
    <w:rsid w:val="004C498B"/>
    <w:rsid w:val="004C4C4D"/>
    <w:rsid w:val="004C4D68"/>
    <w:rsid w:val="004C51A5"/>
    <w:rsid w:val="004C5B11"/>
    <w:rsid w:val="004C5E7E"/>
    <w:rsid w:val="004C6736"/>
    <w:rsid w:val="004C673A"/>
    <w:rsid w:val="004C6C24"/>
    <w:rsid w:val="004C74B3"/>
    <w:rsid w:val="004C7A76"/>
    <w:rsid w:val="004D050C"/>
    <w:rsid w:val="004D0551"/>
    <w:rsid w:val="004D2146"/>
    <w:rsid w:val="004D2253"/>
    <w:rsid w:val="004D309D"/>
    <w:rsid w:val="004D318D"/>
    <w:rsid w:val="004D3A6D"/>
    <w:rsid w:val="004D3CE9"/>
    <w:rsid w:val="004D3FB3"/>
    <w:rsid w:val="004D425C"/>
    <w:rsid w:val="004D4474"/>
    <w:rsid w:val="004D48BE"/>
    <w:rsid w:val="004D5046"/>
    <w:rsid w:val="004D54BA"/>
    <w:rsid w:val="004D55E7"/>
    <w:rsid w:val="004D5968"/>
    <w:rsid w:val="004D6820"/>
    <w:rsid w:val="004D6A8D"/>
    <w:rsid w:val="004D6EC8"/>
    <w:rsid w:val="004D72B6"/>
    <w:rsid w:val="004D738E"/>
    <w:rsid w:val="004D786B"/>
    <w:rsid w:val="004D7F6A"/>
    <w:rsid w:val="004E0444"/>
    <w:rsid w:val="004E0775"/>
    <w:rsid w:val="004E162F"/>
    <w:rsid w:val="004E18A3"/>
    <w:rsid w:val="004E2014"/>
    <w:rsid w:val="004E203A"/>
    <w:rsid w:val="004E25F1"/>
    <w:rsid w:val="004E7302"/>
    <w:rsid w:val="004E7354"/>
    <w:rsid w:val="004E74CA"/>
    <w:rsid w:val="004F070A"/>
    <w:rsid w:val="004F0890"/>
    <w:rsid w:val="004F10B9"/>
    <w:rsid w:val="004F2813"/>
    <w:rsid w:val="004F303A"/>
    <w:rsid w:val="004F3B45"/>
    <w:rsid w:val="004F4064"/>
    <w:rsid w:val="004F4991"/>
    <w:rsid w:val="004F4BC0"/>
    <w:rsid w:val="004F5094"/>
    <w:rsid w:val="004F5A2F"/>
    <w:rsid w:val="004F604C"/>
    <w:rsid w:val="004F6482"/>
    <w:rsid w:val="004F6763"/>
    <w:rsid w:val="004F7112"/>
    <w:rsid w:val="004F7245"/>
    <w:rsid w:val="004F7278"/>
    <w:rsid w:val="004F7A0E"/>
    <w:rsid w:val="00500DA9"/>
    <w:rsid w:val="00501C7A"/>
    <w:rsid w:val="00503018"/>
    <w:rsid w:val="00503A89"/>
    <w:rsid w:val="0050411D"/>
    <w:rsid w:val="0050482F"/>
    <w:rsid w:val="005049F0"/>
    <w:rsid w:val="00504BDA"/>
    <w:rsid w:val="00504D21"/>
    <w:rsid w:val="00505A49"/>
    <w:rsid w:val="00506AB8"/>
    <w:rsid w:val="00506C3F"/>
    <w:rsid w:val="0050718E"/>
    <w:rsid w:val="0051000C"/>
    <w:rsid w:val="0051032C"/>
    <w:rsid w:val="00510CDF"/>
    <w:rsid w:val="00510DAD"/>
    <w:rsid w:val="00510E82"/>
    <w:rsid w:val="005123E3"/>
    <w:rsid w:val="0051267D"/>
    <w:rsid w:val="00512BD1"/>
    <w:rsid w:val="00512FE7"/>
    <w:rsid w:val="0051358A"/>
    <w:rsid w:val="00514023"/>
    <w:rsid w:val="00514B2A"/>
    <w:rsid w:val="00514DD9"/>
    <w:rsid w:val="00514E82"/>
    <w:rsid w:val="005167EA"/>
    <w:rsid w:val="00516F6B"/>
    <w:rsid w:val="00520070"/>
    <w:rsid w:val="0052077C"/>
    <w:rsid w:val="0052087E"/>
    <w:rsid w:val="0052102A"/>
    <w:rsid w:val="005212D6"/>
    <w:rsid w:val="00521361"/>
    <w:rsid w:val="00521500"/>
    <w:rsid w:val="00521879"/>
    <w:rsid w:val="00522611"/>
    <w:rsid w:val="00522DE7"/>
    <w:rsid w:val="00522F49"/>
    <w:rsid w:val="00523540"/>
    <w:rsid w:val="00523652"/>
    <w:rsid w:val="00523B37"/>
    <w:rsid w:val="00524001"/>
    <w:rsid w:val="00524581"/>
    <w:rsid w:val="0052475E"/>
    <w:rsid w:val="00524D28"/>
    <w:rsid w:val="0052568B"/>
    <w:rsid w:val="00525A83"/>
    <w:rsid w:val="005262F5"/>
    <w:rsid w:val="00526650"/>
    <w:rsid w:val="0052741B"/>
    <w:rsid w:val="00527901"/>
    <w:rsid w:val="00527CA3"/>
    <w:rsid w:val="00527CCC"/>
    <w:rsid w:val="00527EDC"/>
    <w:rsid w:val="0053026F"/>
    <w:rsid w:val="0053071E"/>
    <w:rsid w:val="00531805"/>
    <w:rsid w:val="005329BB"/>
    <w:rsid w:val="005331B4"/>
    <w:rsid w:val="00533711"/>
    <w:rsid w:val="00533EDC"/>
    <w:rsid w:val="00534540"/>
    <w:rsid w:val="005350F8"/>
    <w:rsid w:val="00535C39"/>
    <w:rsid w:val="00535E9D"/>
    <w:rsid w:val="00536C05"/>
    <w:rsid w:val="00537214"/>
    <w:rsid w:val="005373D5"/>
    <w:rsid w:val="00537614"/>
    <w:rsid w:val="00537833"/>
    <w:rsid w:val="00540464"/>
    <w:rsid w:val="00540B2D"/>
    <w:rsid w:val="00541239"/>
    <w:rsid w:val="005413BB"/>
    <w:rsid w:val="00541895"/>
    <w:rsid w:val="00541C93"/>
    <w:rsid w:val="0054320A"/>
    <w:rsid w:val="0054327F"/>
    <w:rsid w:val="005433D7"/>
    <w:rsid w:val="00543BB1"/>
    <w:rsid w:val="00544019"/>
    <w:rsid w:val="0054468B"/>
    <w:rsid w:val="00544A2C"/>
    <w:rsid w:val="00544A60"/>
    <w:rsid w:val="00545579"/>
    <w:rsid w:val="0054600E"/>
    <w:rsid w:val="005476AC"/>
    <w:rsid w:val="005476EF"/>
    <w:rsid w:val="00547D4A"/>
    <w:rsid w:val="00550353"/>
    <w:rsid w:val="0055069F"/>
    <w:rsid w:val="00551C40"/>
    <w:rsid w:val="00551DF0"/>
    <w:rsid w:val="00552093"/>
    <w:rsid w:val="00552107"/>
    <w:rsid w:val="005521F9"/>
    <w:rsid w:val="00552A6D"/>
    <w:rsid w:val="00552B17"/>
    <w:rsid w:val="00552B24"/>
    <w:rsid w:val="005536B8"/>
    <w:rsid w:val="005541B3"/>
    <w:rsid w:val="00554326"/>
    <w:rsid w:val="005545C2"/>
    <w:rsid w:val="0055462A"/>
    <w:rsid w:val="005549A3"/>
    <w:rsid w:val="0055633E"/>
    <w:rsid w:val="005566DF"/>
    <w:rsid w:val="00556D8A"/>
    <w:rsid w:val="00556F63"/>
    <w:rsid w:val="005578F9"/>
    <w:rsid w:val="00557CC6"/>
    <w:rsid w:val="0056029C"/>
    <w:rsid w:val="00560A1B"/>
    <w:rsid w:val="00560C0A"/>
    <w:rsid w:val="00560C21"/>
    <w:rsid w:val="00560CF0"/>
    <w:rsid w:val="00561019"/>
    <w:rsid w:val="005619BE"/>
    <w:rsid w:val="00562133"/>
    <w:rsid w:val="00562297"/>
    <w:rsid w:val="005624BB"/>
    <w:rsid w:val="00562D92"/>
    <w:rsid w:val="00563296"/>
    <w:rsid w:val="00563796"/>
    <w:rsid w:val="00563B8F"/>
    <w:rsid w:val="00564201"/>
    <w:rsid w:val="00564AB6"/>
    <w:rsid w:val="0056619D"/>
    <w:rsid w:val="00566585"/>
    <w:rsid w:val="00566626"/>
    <w:rsid w:val="00566A18"/>
    <w:rsid w:val="00566A26"/>
    <w:rsid w:val="0056735C"/>
    <w:rsid w:val="00567379"/>
    <w:rsid w:val="005673C1"/>
    <w:rsid w:val="00567D52"/>
    <w:rsid w:val="00567DFB"/>
    <w:rsid w:val="0057099B"/>
    <w:rsid w:val="005719F8"/>
    <w:rsid w:val="00571F2A"/>
    <w:rsid w:val="005724EA"/>
    <w:rsid w:val="005726B5"/>
    <w:rsid w:val="0057294C"/>
    <w:rsid w:val="00572A88"/>
    <w:rsid w:val="005730BE"/>
    <w:rsid w:val="0057367F"/>
    <w:rsid w:val="00573D49"/>
    <w:rsid w:val="00573EF8"/>
    <w:rsid w:val="00574213"/>
    <w:rsid w:val="00574275"/>
    <w:rsid w:val="0057556C"/>
    <w:rsid w:val="005758FF"/>
    <w:rsid w:val="00575D82"/>
    <w:rsid w:val="0057600B"/>
    <w:rsid w:val="00577B8E"/>
    <w:rsid w:val="00580204"/>
    <w:rsid w:val="00580296"/>
    <w:rsid w:val="0058101F"/>
    <w:rsid w:val="00581475"/>
    <w:rsid w:val="005816B5"/>
    <w:rsid w:val="005817C4"/>
    <w:rsid w:val="005819C4"/>
    <w:rsid w:val="00581AD3"/>
    <w:rsid w:val="00582053"/>
    <w:rsid w:val="00582244"/>
    <w:rsid w:val="00582900"/>
    <w:rsid w:val="00583614"/>
    <w:rsid w:val="00583A33"/>
    <w:rsid w:val="00583B5F"/>
    <w:rsid w:val="0058415F"/>
    <w:rsid w:val="00584978"/>
    <w:rsid w:val="0058592B"/>
    <w:rsid w:val="00586432"/>
    <w:rsid w:val="005868C9"/>
    <w:rsid w:val="00586C78"/>
    <w:rsid w:val="00587028"/>
    <w:rsid w:val="00587BDC"/>
    <w:rsid w:val="00587E76"/>
    <w:rsid w:val="005915A3"/>
    <w:rsid w:val="00591638"/>
    <w:rsid w:val="00591B8B"/>
    <w:rsid w:val="00592332"/>
    <w:rsid w:val="00592516"/>
    <w:rsid w:val="005929DF"/>
    <w:rsid w:val="00592ACD"/>
    <w:rsid w:val="00592CFE"/>
    <w:rsid w:val="00593AA5"/>
    <w:rsid w:val="00593D2A"/>
    <w:rsid w:val="00593D92"/>
    <w:rsid w:val="00594333"/>
    <w:rsid w:val="0059445A"/>
    <w:rsid w:val="005949A0"/>
    <w:rsid w:val="00594BFC"/>
    <w:rsid w:val="00595619"/>
    <w:rsid w:val="00595D71"/>
    <w:rsid w:val="005962F8"/>
    <w:rsid w:val="005964D1"/>
    <w:rsid w:val="005964FB"/>
    <w:rsid w:val="00596A45"/>
    <w:rsid w:val="00596FC8"/>
    <w:rsid w:val="0059720C"/>
    <w:rsid w:val="005A0247"/>
    <w:rsid w:val="005A095D"/>
    <w:rsid w:val="005A0A94"/>
    <w:rsid w:val="005A0AE4"/>
    <w:rsid w:val="005A1465"/>
    <w:rsid w:val="005A2B4F"/>
    <w:rsid w:val="005A3921"/>
    <w:rsid w:val="005A3A40"/>
    <w:rsid w:val="005A3F66"/>
    <w:rsid w:val="005A415B"/>
    <w:rsid w:val="005A4A94"/>
    <w:rsid w:val="005A519E"/>
    <w:rsid w:val="005A53EA"/>
    <w:rsid w:val="005A547C"/>
    <w:rsid w:val="005A5AEB"/>
    <w:rsid w:val="005A6091"/>
    <w:rsid w:val="005A671D"/>
    <w:rsid w:val="005A6838"/>
    <w:rsid w:val="005A69AE"/>
    <w:rsid w:val="005A6D4C"/>
    <w:rsid w:val="005A72E7"/>
    <w:rsid w:val="005A7517"/>
    <w:rsid w:val="005A75C8"/>
    <w:rsid w:val="005B033E"/>
    <w:rsid w:val="005B09A4"/>
    <w:rsid w:val="005B11AB"/>
    <w:rsid w:val="005B13E1"/>
    <w:rsid w:val="005B14B6"/>
    <w:rsid w:val="005B2541"/>
    <w:rsid w:val="005B3060"/>
    <w:rsid w:val="005B3DB9"/>
    <w:rsid w:val="005B47E6"/>
    <w:rsid w:val="005B4D51"/>
    <w:rsid w:val="005C0399"/>
    <w:rsid w:val="005C08CF"/>
    <w:rsid w:val="005C0E9C"/>
    <w:rsid w:val="005C1820"/>
    <w:rsid w:val="005C193A"/>
    <w:rsid w:val="005C248C"/>
    <w:rsid w:val="005C2D8B"/>
    <w:rsid w:val="005C34E2"/>
    <w:rsid w:val="005C3E8B"/>
    <w:rsid w:val="005C517E"/>
    <w:rsid w:val="005C5530"/>
    <w:rsid w:val="005C57F2"/>
    <w:rsid w:val="005C6502"/>
    <w:rsid w:val="005D019D"/>
    <w:rsid w:val="005D0247"/>
    <w:rsid w:val="005D0770"/>
    <w:rsid w:val="005D11AA"/>
    <w:rsid w:val="005D3BB0"/>
    <w:rsid w:val="005D3BC8"/>
    <w:rsid w:val="005D64DA"/>
    <w:rsid w:val="005D7D20"/>
    <w:rsid w:val="005E0106"/>
    <w:rsid w:val="005E0C60"/>
    <w:rsid w:val="005E1272"/>
    <w:rsid w:val="005E1347"/>
    <w:rsid w:val="005E15E8"/>
    <w:rsid w:val="005E255B"/>
    <w:rsid w:val="005E26E0"/>
    <w:rsid w:val="005E2D32"/>
    <w:rsid w:val="005E31C4"/>
    <w:rsid w:val="005E32EA"/>
    <w:rsid w:val="005E357C"/>
    <w:rsid w:val="005E3B59"/>
    <w:rsid w:val="005E3E68"/>
    <w:rsid w:val="005E3F3F"/>
    <w:rsid w:val="005E4223"/>
    <w:rsid w:val="005E42FB"/>
    <w:rsid w:val="005E4B39"/>
    <w:rsid w:val="005E5190"/>
    <w:rsid w:val="005E5922"/>
    <w:rsid w:val="005E5D53"/>
    <w:rsid w:val="005E6001"/>
    <w:rsid w:val="005E663D"/>
    <w:rsid w:val="005E6797"/>
    <w:rsid w:val="005E6CE2"/>
    <w:rsid w:val="005E79B8"/>
    <w:rsid w:val="005E7D08"/>
    <w:rsid w:val="005E7D82"/>
    <w:rsid w:val="005F035B"/>
    <w:rsid w:val="005F0A6F"/>
    <w:rsid w:val="005F0C67"/>
    <w:rsid w:val="005F1063"/>
    <w:rsid w:val="005F2136"/>
    <w:rsid w:val="005F2B45"/>
    <w:rsid w:val="005F2C6C"/>
    <w:rsid w:val="005F2EA0"/>
    <w:rsid w:val="005F3033"/>
    <w:rsid w:val="005F370C"/>
    <w:rsid w:val="005F3C0D"/>
    <w:rsid w:val="005F4B74"/>
    <w:rsid w:val="005F4FC6"/>
    <w:rsid w:val="005F5085"/>
    <w:rsid w:val="005F5AF6"/>
    <w:rsid w:val="005F6292"/>
    <w:rsid w:val="005F6BAB"/>
    <w:rsid w:val="005F75D5"/>
    <w:rsid w:val="005F7FAA"/>
    <w:rsid w:val="006002E1"/>
    <w:rsid w:val="006002E5"/>
    <w:rsid w:val="006007F2"/>
    <w:rsid w:val="00600CE5"/>
    <w:rsid w:val="00600FB7"/>
    <w:rsid w:val="00601ABB"/>
    <w:rsid w:val="00601B8B"/>
    <w:rsid w:val="00602C45"/>
    <w:rsid w:val="0060321E"/>
    <w:rsid w:val="006033C4"/>
    <w:rsid w:val="006040E7"/>
    <w:rsid w:val="00604392"/>
    <w:rsid w:val="00604B63"/>
    <w:rsid w:val="0060552A"/>
    <w:rsid w:val="0060624D"/>
    <w:rsid w:val="00606D49"/>
    <w:rsid w:val="00607597"/>
    <w:rsid w:val="00607BB4"/>
    <w:rsid w:val="00607F28"/>
    <w:rsid w:val="006102F3"/>
    <w:rsid w:val="00610308"/>
    <w:rsid w:val="006103D8"/>
    <w:rsid w:val="00610410"/>
    <w:rsid w:val="0061079F"/>
    <w:rsid w:val="0061087D"/>
    <w:rsid w:val="00610EDC"/>
    <w:rsid w:val="0061143E"/>
    <w:rsid w:val="00611B7D"/>
    <w:rsid w:val="00612339"/>
    <w:rsid w:val="00612A40"/>
    <w:rsid w:val="0061358F"/>
    <w:rsid w:val="00614291"/>
    <w:rsid w:val="00614374"/>
    <w:rsid w:val="006153EE"/>
    <w:rsid w:val="006154E5"/>
    <w:rsid w:val="0061598C"/>
    <w:rsid w:val="006159AF"/>
    <w:rsid w:val="00616699"/>
    <w:rsid w:val="00616949"/>
    <w:rsid w:val="00616A73"/>
    <w:rsid w:val="00617CEC"/>
    <w:rsid w:val="006210C4"/>
    <w:rsid w:val="006226A0"/>
    <w:rsid w:val="0062271B"/>
    <w:rsid w:val="00622D00"/>
    <w:rsid w:val="00623328"/>
    <w:rsid w:val="006233F8"/>
    <w:rsid w:val="00623D07"/>
    <w:rsid w:val="00623FAA"/>
    <w:rsid w:val="00624AA2"/>
    <w:rsid w:val="0062564E"/>
    <w:rsid w:val="0062652D"/>
    <w:rsid w:val="006266E7"/>
    <w:rsid w:val="00626784"/>
    <w:rsid w:val="00626BCE"/>
    <w:rsid w:val="00626E82"/>
    <w:rsid w:val="00626ED4"/>
    <w:rsid w:val="00630123"/>
    <w:rsid w:val="00630614"/>
    <w:rsid w:val="00630A4A"/>
    <w:rsid w:val="00630BA3"/>
    <w:rsid w:val="00630E56"/>
    <w:rsid w:val="00631CF8"/>
    <w:rsid w:val="006320CB"/>
    <w:rsid w:val="006335DB"/>
    <w:rsid w:val="006340DD"/>
    <w:rsid w:val="006350D5"/>
    <w:rsid w:val="00635A0E"/>
    <w:rsid w:val="00635C06"/>
    <w:rsid w:val="00636865"/>
    <w:rsid w:val="00636B80"/>
    <w:rsid w:val="00636DAD"/>
    <w:rsid w:val="00636F5A"/>
    <w:rsid w:val="00637172"/>
    <w:rsid w:val="006374AC"/>
    <w:rsid w:val="00637A3D"/>
    <w:rsid w:val="00640EC3"/>
    <w:rsid w:val="0064125E"/>
    <w:rsid w:val="006417CD"/>
    <w:rsid w:val="006418DA"/>
    <w:rsid w:val="00641F14"/>
    <w:rsid w:val="006421B2"/>
    <w:rsid w:val="0064267A"/>
    <w:rsid w:val="00643120"/>
    <w:rsid w:val="006436B3"/>
    <w:rsid w:val="006447F9"/>
    <w:rsid w:val="00645C3C"/>
    <w:rsid w:val="00645E30"/>
    <w:rsid w:val="00646115"/>
    <w:rsid w:val="006464C7"/>
    <w:rsid w:val="00646A0C"/>
    <w:rsid w:val="006472C4"/>
    <w:rsid w:val="006472C9"/>
    <w:rsid w:val="00647448"/>
    <w:rsid w:val="00647A27"/>
    <w:rsid w:val="00650367"/>
    <w:rsid w:val="006504B5"/>
    <w:rsid w:val="006515E1"/>
    <w:rsid w:val="00651732"/>
    <w:rsid w:val="00651801"/>
    <w:rsid w:val="00651CF3"/>
    <w:rsid w:val="00652351"/>
    <w:rsid w:val="00652390"/>
    <w:rsid w:val="006523CC"/>
    <w:rsid w:val="00652586"/>
    <w:rsid w:val="006529B7"/>
    <w:rsid w:val="00652B12"/>
    <w:rsid w:val="00652D9F"/>
    <w:rsid w:val="006533FF"/>
    <w:rsid w:val="0065353A"/>
    <w:rsid w:val="006537D7"/>
    <w:rsid w:val="00654658"/>
    <w:rsid w:val="00655351"/>
    <w:rsid w:val="00655785"/>
    <w:rsid w:val="00655F39"/>
    <w:rsid w:val="0065625F"/>
    <w:rsid w:val="00656EF0"/>
    <w:rsid w:val="006576F0"/>
    <w:rsid w:val="00657CD4"/>
    <w:rsid w:val="00660042"/>
    <w:rsid w:val="00661160"/>
    <w:rsid w:val="006618A3"/>
    <w:rsid w:val="00661FFA"/>
    <w:rsid w:val="006633FB"/>
    <w:rsid w:val="0066462D"/>
    <w:rsid w:val="00664826"/>
    <w:rsid w:val="00664855"/>
    <w:rsid w:val="00664C0A"/>
    <w:rsid w:val="00664CD7"/>
    <w:rsid w:val="00664F34"/>
    <w:rsid w:val="00665098"/>
    <w:rsid w:val="00666351"/>
    <w:rsid w:val="006664BD"/>
    <w:rsid w:val="00666820"/>
    <w:rsid w:val="00667764"/>
    <w:rsid w:val="0067097B"/>
    <w:rsid w:val="00670D46"/>
    <w:rsid w:val="00671D06"/>
    <w:rsid w:val="0067448F"/>
    <w:rsid w:val="0067519C"/>
    <w:rsid w:val="00675B9D"/>
    <w:rsid w:val="00676810"/>
    <w:rsid w:val="0067740A"/>
    <w:rsid w:val="00677473"/>
    <w:rsid w:val="00677A44"/>
    <w:rsid w:val="00677B30"/>
    <w:rsid w:val="0068024D"/>
    <w:rsid w:val="006802C0"/>
    <w:rsid w:val="0068049A"/>
    <w:rsid w:val="00680E3D"/>
    <w:rsid w:val="0068137B"/>
    <w:rsid w:val="006813E1"/>
    <w:rsid w:val="00682760"/>
    <w:rsid w:val="006828BC"/>
    <w:rsid w:val="00682920"/>
    <w:rsid w:val="00682A38"/>
    <w:rsid w:val="00682DB1"/>
    <w:rsid w:val="006830AE"/>
    <w:rsid w:val="006834B3"/>
    <w:rsid w:val="00683B0E"/>
    <w:rsid w:val="00683D24"/>
    <w:rsid w:val="0068444C"/>
    <w:rsid w:val="00684E08"/>
    <w:rsid w:val="0068505D"/>
    <w:rsid w:val="00685199"/>
    <w:rsid w:val="00685499"/>
    <w:rsid w:val="006867D9"/>
    <w:rsid w:val="006868C6"/>
    <w:rsid w:val="00686A49"/>
    <w:rsid w:val="00687335"/>
    <w:rsid w:val="00687C22"/>
    <w:rsid w:val="0069053E"/>
    <w:rsid w:val="0069159C"/>
    <w:rsid w:val="0069165C"/>
    <w:rsid w:val="00691C46"/>
    <w:rsid w:val="00692FA2"/>
    <w:rsid w:val="006945A9"/>
    <w:rsid w:val="00694E03"/>
    <w:rsid w:val="006954C7"/>
    <w:rsid w:val="00695970"/>
    <w:rsid w:val="00696112"/>
    <w:rsid w:val="006962E6"/>
    <w:rsid w:val="006964BB"/>
    <w:rsid w:val="00696912"/>
    <w:rsid w:val="00696A29"/>
    <w:rsid w:val="0069726C"/>
    <w:rsid w:val="006972B5"/>
    <w:rsid w:val="006976F6"/>
    <w:rsid w:val="00697905"/>
    <w:rsid w:val="006A05DE"/>
    <w:rsid w:val="006A0986"/>
    <w:rsid w:val="006A0B06"/>
    <w:rsid w:val="006A0BF1"/>
    <w:rsid w:val="006A0CE4"/>
    <w:rsid w:val="006A209D"/>
    <w:rsid w:val="006A252F"/>
    <w:rsid w:val="006A2541"/>
    <w:rsid w:val="006A2AA8"/>
    <w:rsid w:val="006A3167"/>
    <w:rsid w:val="006A39A4"/>
    <w:rsid w:val="006A3D0D"/>
    <w:rsid w:val="006A3E27"/>
    <w:rsid w:val="006A446D"/>
    <w:rsid w:val="006A5046"/>
    <w:rsid w:val="006A560B"/>
    <w:rsid w:val="006A5662"/>
    <w:rsid w:val="006A58C8"/>
    <w:rsid w:val="006A5AD1"/>
    <w:rsid w:val="006A5B64"/>
    <w:rsid w:val="006A5BCF"/>
    <w:rsid w:val="006A784D"/>
    <w:rsid w:val="006A7FE4"/>
    <w:rsid w:val="006B05F6"/>
    <w:rsid w:val="006B0807"/>
    <w:rsid w:val="006B090B"/>
    <w:rsid w:val="006B0A78"/>
    <w:rsid w:val="006B0DFF"/>
    <w:rsid w:val="006B189F"/>
    <w:rsid w:val="006B1B4A"/>
    <w:rsid w:val="006B1F85"/>
    <w:rsid w:val="006B26FA"/>
    <w:rsid w:val="006B2CD2"/>
    <w:rsid w:val="006B3932"/>
    <w:rsid w:val="006B3FF7"/>
    <w:rsid w:val="006B49C9"/>
    <w:rsid w:val="006B4AA7"/>
    <w:rsid w:val="006B4EC2"/>
    <w:rsid w:val="006B4EF3"/>
    <w:rsid w:val="006B53F2"/>
    <w:rsid w:val="006B58C8"/>
    <w:rsid w:val="006B5EE7"/>
    <w:rsid w:val="006B63CE"/>
    <w:rsid w:val="006B6466"/>
    <w:rsid w:val="006B6A4E"/>
    <w:rsid w:val="006C07E2"/>
    <w:rsid w:val="006C0B6E"/>
    <w:rsid w:val="006C1334"/>
    <w:rsid w:val="006C1357"/>
    <w:rsid w:val="006C1E88"/>
    <w:rsid w:val="006C1F84"/>
    <w:rsid w:val="006C27B9"/>
    <w:rsid w:val="006C2DBA"/>
    <w:rsid w:val="006C2F83"/>
    <w:rsid w:val="006C3270"/>
    <w:rsid w:val="006C34BD"/>
    <w:rsid w:val="006C3591"/>
    <w:rsid w:val="006C4257"/>
    <w:rsid w:val="006C5BBE"/>
    <w:rsid w:val="006C5CB3"/>
    <w:rsid w:val="006C614C"/>
    <w:rsid w:val="006C6CA9"/>
    <w:rsid w:val="006C6F4E"/>
    <w:rsid w:val="006C71CC"/>
    <w:rsid w:val="006C7303"/>
    <w:rsid w:val="006C778A"/>
    <w:rsid w:val="006C7CDE"/>
    <w:rsid w:val="006D0156"/>
    <w:rsid w:val="006D0641"/>
    <w:rsid w:val="006D0808"/>
    <w:rsid w:val="006D1C7C"/>
    <w:rsid w:val="006D1F79"/>
    <w:rsid w:val="006D29D4"/>
    <w:rsid w:val="006D434B"/>
    <w:rsid w:val="006D4ABC"/>
    <w:rsid w:val="006D4E14"/>
    <w:rsid w:val="006D50B8"/>
    <w:rsid w:val="006D5D31"/>
    <w:rsid w:val="006D5EE3"/>
    <w:rsid w:val="006E033F"/>
    <w:rsid w:val="006E1293"/>
    <w:rsid w:val="006E20AF"/>
    <w:rsid w:val="006E25D4"/>
    <w:rsid w:val="006E266B"/>
    <w:rsid w:val="006E2A81"/>
    <w:rsid w:val="006E3230"/>
    <w:rsid w:val="006E3D5F"/>
    <w:rsid w:val="006E4951"/>
    <w:rsid w:val="006E4B6C"/>
    <w:rsid w:val="006E5F27"/>
    <w:rsid w:val="006E6FB3"/>
    <w:rsid w:val="006E7614"/>
    <w:rsid w:val="006E7C1C"/>
    <w:rsid w:val="006E7F2E"/>
    <w:rsid w:val="006F08EA"/>
    <w:rsid w:val="006F0AC4"/>
    <w:rsid w:val="006F1590"/>
    <w:rsid w:val="006F1795"/>
    <w:rsid w:val="006F1A99"/>
    <w:rsid w:val="006F238B"/>
    <w:rsid w:val="006F26D7"/>
    <w:rsid w:val="006F2A47"/>
    <w:rsid w:val="006F2AD7"/>
    <w:rsid w:val="006F2D27"/>
    <w:rsid w:val="006F3120"/>
    <w:rsid w:val="006F32A6"/>
    <w:rsid w:val="006F3469"/>
    <w:rsid w:val="006F42DE"/>
    <w:rsid w:val="006F457F"/>
    <w:rsid w:val="006F45BB"/>
    <w:rsid w:val="006F4835"/>
    <w:rsid w:val="006F4B69"/>
    <w:rsid w:val="006F4DD4"/>
    <w:rsid w:val="006F576B"/>
    <w:rsid w:val="006F5A4C"/>
    <w:rsid w:val="006F5EF3"/>
    <w:rsid w:val="006F617D"/>
    <w:rsid w:val="006F6456"/>
    <w:rsid w:val="006F6753"/>
    <w:rsid w:val="006F6B5A"/>
    <w:rsid w:val="006F6E2C"/>
    <w:rsid w:val="006F74E6"/>
    <w:rsid w:val="006F770B"/>
    <w:rsid w:val="006F7D1C"/>
    <w:rsid w:val="006F7D87"/>
    <w:rsid w:val="007005F6"/>
    <w:rsid w:val="007010C7"/>
    <w:rsid w:val="00701164"/>
    <w:rsid w:val="0070167F"/>
    <w:rsid w:val="00701A1F"/>
    <w:rsid w:val="00701AA8"/>
    <w:rsid w:val="0070253B"/>
    <w:rsid w:val="00702E3C"/>
    <w:rsid w:val="00703CE7"/>
    <w:rsid w:val="007041CB"/>
    <w:rsid w:val="007046FF"/>
    <w:rsid w:val="0070547F"/>
    <w:rsid w:val="007056EF"/>
    <w:rsid w:val="00705CE0"/>
    <w:rsid w:val="00705D93"/>
    <w:rsid w:val="007066DC"/>
    <w:rsid w:val="00707325"/>
    <w:rsid w:val="0070740C"/>
    <w:rsid w:val="00707CEB"/>
    <w:rsid w:val="007104CF"/>
    <w:rsid w:val="00710B0E"/>
    <w:rsid w:val="00710D81"/>
    <w:rsid w:val="00711874"/>
    <w:rsid w:val="00711D89"/>
    <w:rsid w:val="0071222D"/>
    <w:rsid w:val="00712C7C"/>
    <w:rsid w:val="007134D6"/>
    <w:rsid w:val="00713593"/>
    <w:rsid w:val="007135CB"/>
    <w:rsid w:val="00713B24"/>
    <w:rsid w:val="00713EEC"/>
    <w:rsid w:val="00714273"/>
    <w:rsid w:val="00714450"/>
    <w:rsid w:val="007150B6"/>
    <w:rsid w:val="0071517C"/>
    <w:rsid w:val="00715766"/>
    <w:rsid w:val="0071651A"/>
    <w:rsid w:val="007167B3"/>
    <w:rsid w:val="00716F5B"/>
    <w:rsid w:val="00717533"/>
    <w:rsid w:val="007175E6"/>
    <w:rsid w:val="00717739"/>
    <w:rsid w:val="007205C2"/>
    <w:rsid w:val="007206C3"/>
    <w:rsid w:val="00720A8B"/>
    <w:rsid w:val="00720D9B"/>
    <w:rsid w:val="00721703"/>
    <w:rsid w:val="00722FEF"/>
    <w:rsid w:val="007237D5"/>
    <w:rsid w:val="0072391D"/>
    <w:rsid w:val="00724DCB"/>
    <w:rsid w:val="00724DF8"/>
    <w:rsid w:val="007259C9"/>
    <w:rsid w:val="00726EA5"/>
    <w:rsid w:val="007272AE"/>
    <w:rsid w:val="00727B1B"/>
    <w:rsid w:val="00727DDA"/>
    <w:rsid w:val="007302FF"/>
    <w:rsid w:val="007307A8"/>
    <w:rsid w:val="007310A2"/>
    <w:rsid w:val="00731A0E"/>
    <w:rsid w:val="00731AB9"/>
    <w:rsid w:val="00732856"/>
    <w:rsid w:val="007329CC"/>
    <w:rsid w:val="00733773"/>
    <w:rsid w:val="00733A8B"/>
    <w:rsid w:val="00733DEC"/>
    <w:rsid w:val="00734830"/>
    <w:rsid w:val="007353B5"/>
    <w:rsid w:val="00735D08"/>
    <w:rsid w:val="0073628C"/>
    <w:rsid w:val="00736C70"/>
    <w:rsid w:val="00737F4F"/>
    <w:rsid w:val="00740061"/>
    <w:rsid w:val="00741BA1"/>
    <w:rsid w:val="007422F4"/>
    <w:rsid w:val="0074402F"/>
    <w:rsid w:val="00744435"/>
    <w:rsid w:val="0074445A"/>
    <w:rsid w:val="007448C1"/>
    <w:rsid w:val="00745A5A"/>
    <w:rsid w:val="0074618D"/>
    <w:rsid w:val="007462C1"/>
    <w:rsid w:val="007469F9"/>
    <w:rsid w:val="00746B33"/>
    <w:rsid w:val="007474CC"/>
    <w:rsid w:val="0074752B"/>
    <w:rsid w:val="00747A11"/>
    <w:rsid w:val="00747C23"/>
    <w:rsid w:val="00750C3D"/>
    <w:rsid w:val="00750F53"/>
    <w:rsid w:val="00750FCA"/>
    <w:rsid w:val="00751583"/>
    <w:rsid w:val="007525ED"/>
    <w:rsid w:val="00752BF7"/>
    <w:rsid w:val="00752C79"/>
    <w:rsid w:val="00753067"/>
    <w:rsid w:val="007532DE"/>
    <w:rsid w:val="00753E18"/>
    <w:rsid w:val="007543E8"/>
    <w:rsid w:val="0075452E"/>
    <w:rsid w:val="00754CDB"/>
    <w:rsid w:val="00754EE4"/>
    <w:rsid w:val="007568E8"/>
    <w:rsid w:val="00757659"/>
    <w:rsid w:val="00757963"/>
    <w:rsid w:val="007579A2"/>
    <w:rsid w:val="00757E05"/>
    <w:rsid w:val="00760F2E"/>
    <w:rsid w:val="00762276"/>
    <w:rsid w:val="00762481"/>
    <w:rsid w:val="00762A26"/>
    <w:rsid w:val="00762A9D"/>
    <w:rsid w:val="00762F59"/>
    <w:rsid w:val="00763A67"/>
    <w:rsid w:val="00763C15"/>
    <w:rsid w:val="0076400F"/>
    <w:rsid w:val="00764030"/>
    <w:rsid w:val="0076485E"/>
    <w:rsid w:val="00764DC0"/>
    <w:rsid w:val="0076509D"/>
    <w:rsid w:val="007659D3"/>
    <w:rsid w:val="00765A98"/>
    <w:rsid w:val="00765A9B"/>
    <w:rsid w:val="00766B13"/>
    <w:rsid w:val="00766F7E"/>
    <w:rsid w:val="007670ED"/>
    <w:rsid w:val="00767B9E"/>
    <w:rsid w:val="007700CA"/>
    <w:rsid w:val="007700E8"/>
    <w:rsid w:val="00770863"/>
    <w:rsid w:val="00770F4D"/>
    <w:rsid w:val="0077116C"/>
    <w:rsid w:val="00771175"/>
    <w:rsid w:val="007717C3"/>
    <w:rsid w:val="00772EAA"/>
    <w:rsid w:val="00773450"/>
    <w:rsid w:val="00773600"/>
    <w:rsid w:val="0077360A"/>
    <w:rsid w:val="00773842"/>
    <w:rsid w:val="00773FE6"/>
    <w:rsid w:val="007751A0"/>
    <w:rsid w:val="007752E4"/>
    <w:rsid w:val="00775535"/>
    <w:rsid w:val="00775979"/>
    <w:rsid w:val="00776041"/>
    <w:rsid w:val="007762B9"/>
    <w:rsid w:val="0077641C"/>
    <w:rsid w:val="00776F4B"/>
    <w:rsid w:val="007772DA"/>
    <w:rsid w:val="0077732C"/>
    <w:rsid w:val="00777421"/>
    <w:rsid w:val="00777C76"/>
    <w:rsid w:val="007801F8"/>
    <w:rsid w:val="007805E4"/>
    <w:rsid w:val="00780787"/>
    <w:rsid w:val="00781752"/>
    <w:rsid w:val="007819F6"/>
    <w:rsid w:val="00781D52"/>
    <w:rsid w:val="00782133"/>
    <w:rsid w:val="0078221A"/>
    <w:rsid w:val="0078273B"/>
    <w:rsid w:val="00782785"/>
    <w:rsid w:val="007853C9"/>
    <w:rsid w:val="00785DC3"/>
    <w:rsid w:val="007862E2"/>
    <w:rsid w:val="00786309"/>
    <w:rsid w:val="0079085E"/>
    <w:rsid w:val="007911CF"/>
    <w:rsid w:val="00791390"/>
    <w:rsid w:val="0079151D"/>
    <w:rsid w:val="0079152A"/>
    <w:rsid w:val="00791779"/>
    <w:rsid w:val="007917F9"/>
    <w:rsid w:val="00791FA6"/>
    <w:rsid w:val="00792B42"/>
    <w:rsid w:val="00792BB9"/>
    <w:rsid w:val="00792D06"/>
    <w:rsid w:val="007932FB"/>
    <w:rsid w:val="007938AF"/>
    <w:rsid w:val="007942A9"/>
    <w:rsid w:val="00794523"/>
    <w:rsid w:val="00794BE2"/>
    <w:rsid w:val="00795596"/>
    <w:rsid w:val="00795C5D"/>
    <w:rsid w:val="007969D5"/>
    <w:rsid w:val="00797394"/>
    <w:rsid w:val="00797D4A"/>
    <w:rsid w:val="007A1281"/>
    <w:rsid w:val="007A128D"/>
    <w:rsid w:val="007A16F9"/>
    <w:rsid w:val="007A1D87"/>
    <w:rsid w:val="007A2017"/>
    <w:rsid w:val="007A2146"/>
    <w:rsid w:val="007A2E21"/>
    <w:rsid w:val="007A34ED"/>
    <w:rsid w:val="007A40EA"/>
    <w:rsid w:val="007A4904"/>
    <w:rsid w:val="007A497D"/>
    <w:rsid w:val="007A4B6C"/>
    <w:rsid w:val="007A4D7F"/>
    <w:rsid w:val="007A4F18"/>
    <w:rsid w:val="007A678A"/>
    <w:rsid w:val="007A69A9"/>
    <w:rsid w:val="007A6C5B"/>
    <w:rsid w:val="007A71D8"/>
    <w:rsid w:val="007A724C"/>
    <w:rsid w:val="007A788F"/>
    <w:rsid w:val="007A7BB0"/>
    <w:rsid w:val="007B034E"/>
    <w:rsid w:val="007B0B27"/>
    <w:rsid w:val="007B0E60"/>
    <w:rsid w:val="007B1DF5"/>
    <w:rsid w:val="007B27BD"/>
    <w:rsid w:val="007B3D32"/>
    <w:rsid w:val="007B4182"/>
    <w:rsid w:val="007B44F5"/>
    <w:rsid w:val="007B490A"/>
    <w:rsid w:val="007B4A3C"/>
    <w:rsid w:val="007B4BBA"/>
    <w:rsid w:val="007B4D97"/>
    <w:rsid w:val="007B5CE7"/>
    <w:rsid w:val="007B60D8"/>
    <w:rsid w:val="007B6334"/>
    <w:rsid w:val="007B63C7"/>
    <w:rsid w:val="007B6ED7"/>
    <w:rsid w:val="007B7557"/>
    <w:rsid w:val="007B78E4"/>
    <w:rsid w:val="007C01AA"/>
    <w:rsid w:val="007C0829"/>
    <w:rsid w:val="007C0A47"/>
    <w:rsid w:val="007C0B5B"/>
    <w:rsid w:val="007C0D42"/>
    <w:rsid w:val="007C107F"/>
    <w:rsid w:val="007C3B13"/>
    <w:rsid w:val="007C3DF7"/>
    <w:rsid w:val="007C41DB"/>
    <w:rsid w:val="007C4AA6"/>
    <w:rsid w:val="007C60C2"/>
    <w:rsid w:val="007C6236"/>
    <w:rsid w:val="007C6467"/>
    <w:rsid w:val="007C64DA"/>
    <w:rsid w:val="007C66B9"/>
    <w:rsid w:val="007C7A0A"/>
    <w:rsid w:val="007C7EB5"/>
    <w:rsid w:val="007D1249"/>
    <w:rsid w:val="007D1843"/>
    <w:rsid w:val="007D2070"/>
    <w:rsid w:val="007D27AF"/>
    <w:rsid w:val="007D2B6A"/>
    <w:rsid w:val="007D3B73"/>
    <w:rsid w:val="007D3BE9"/>
    <w:rsid w:val="007D4B0C"/>
    <w:rsid w:val="007D6DED"/>
    <w:rsid w:val="007D6FC2"/>
    <w:rsid w:val="007D7169"/>
    <w:rsid w:val="007D79A7"/>
    <w:rsid w:val="007E0248"/>
    <w:rsid w:val="007E0434"/>
    <w:rsid w:val="007E0F7E"/>
    <w:rsid w:val="007E1A3A"/>
    <w:rsid w:val="007E1BBC"/>
    <w:rsid w:val="007E204D"/>
    <w:rsid w:val="007E22DB"/>
    <w:rsid w:val="007E304F"/>
    <w:rsid w:val="007E34BB"/>
    <w:rsid w:val="007E3877"/>
    <w:rsid w:val="007E413C"/>
    <w:rsid w:val="007E48A0"/>
    <w:rsid w:val="007E65C8"/>
    <w:rsid w:val="007E6B93"/>
    <w:rsid w:val="007F020F"/>
    <w:rsid w:val="007F06F3"/>
    <w:rsid w:val="007F117A"/>
    <w:rsid w:val="007F123B"/>
    <w:rsid w:val="007F1B3D"/>
    <w:rsid w:val="007F1F65"/>
    <w:rsid w:val="007F2EFF"/>
    <w:rsid w:val="007F31E0"/>
    <w:rsid w:val="007F4162"/>
    <w:rsid w:val="007F4F1A"/>
    <w:rsid w:val="007F530B"/>
    <w:rsid w:val="007F552C"/>
    <w:rsid w:val="007F6DDA"/>
    <w:rsid w:val="007F6E36"/>
    <w:rsid w:val="007F7644"/>
    <w:rsid w:val="007F7F17"/>
    <w:rsid w:val="007F7F54"/>
    <w:rsid w:val="008007F5"/>
    <w:rsid w:val="00800D1B"/>
    <w:rsid w:val="008010BE"/>
    <w:rsid w:val="00802218"/>
    <w:rsid w:val="00802389"/>
    <w:rsid w:val="00802E33"/>
    <w:rsid w:val="00802EC3"/>
    <w:rsid w:val="00802FF3"/>
    <w:rsid w:val="0080358A"/>
    <w:rsid w:val="0080480E"/>
    <w:rsid w:val="00804CBD"/>
    <w:rsid w:val="00804E1A"/>
    <w:rsid w:val="00805AEE"/>
    <w:rsid w:val="00805F8E"/>
    <w:rsid w:val="00806188"/>
    <w:rsid w:val="0080643F"/>
    <w:rsid w:val="008064FE"/>
    <w:rsid w:val="0080659C"/>
    <w:rsid w:val="00806B31"/>
    <w:rsid w:val="008071EA"/>
    <w:rsid w:val="008104EA"/>
    <w:rsid w:val="00810CBF"/>
    <w:rsid w:val="00810D6D"/>
    <w:rsid w:val="00811ADE"/>
    <w:rsid w:val="00811B13"/>
    <w:rsid w:val="00811B96"/>
    <w:rsid w:val="00811E7B"/>
    <w:rsid w:val="00811E92"/>
    <w:rsid w:val="00811F88"/>
    <w:rsid w:val="008124E4"/>
    <w:rsid w:val="00812979"/>
    <w:rsid w:val="00812B2A"/>
    <w:rsid w:val="0081364E"/>
    <w:rsid w:val="00813781"/>
    <w:rsid w:val="00813AF3"/>
    <w:rsid w:val="008140D9"/>
    <w:rsid w:val="00814D52"/>
    <w:rsid w:val="00814ED9"/>
    <w:rsid w:val="00815B03"/>
    <w:rsid w:val="00815C65"/>
    <w:rsid w:val="00816EE8"/>
    <w:rsid w:val="00820093"/>
    <w:rsid w:val="0082051B"/>
    <w:rsid w:val="00820746"/>
    <w:rsid w:val="008210EE"/>
    <w:rsid w:val="00821B2B"/>
    <w:rsid w:val="0082291E"/>
    <w:rsid w:val="00822F81"/>
    <w:rsid w:val="008234C3"/>
    <w:rsid w:val="00823786"/>
    <w:rsid w:val="00823966"/>
    <w:rsid w:val="00823A76"/>
    <w:rsid w:val="00824262"/>
    <w:rsid w:val="008248C6"/>
    <w:rsid w:val="008264FA"/>
    <w:rsid w:val="00826D79"/>
    <w:rsid w:val="00826DBF"/>
    <w:rsid w:val="00826F53"/>
    <w:rsid w:val="008277B0"/>
    <w:rsid w:val="0083008E"/>
    <w:rsid w:val="00830C6B"/>
    <w:rsid w:val="00830E6C"/>
    <w:rsid w:val="00831A8E"/>
    <w:rsid w:val="00831F1C"/>
    <w:rsid w:val="008320E1"/>
    <w:rsid w:val="00832AC6"/>
    <w:rsid w:val="00832B6B"/>
    <w:rsid w:val="00832E6D"/>
    <w:rsid w:val="00834F21"/>
    <w:rsid w:val="00835058"/>
    <w:rsid w:val="00835F10"/>
    <w:rsid w:val="0083622B"/>
    <w:rsid w:val="00837231"/>
    <w:rsid w:val="008378C5"/>
    <w:rsid w:val="0084067A"/>
    <w:rsid w:val="00840739"/>
    <w:rsid w:val="00841DCE"/>
    <w:rsid w:val="0084211C"/>
    <w:rsid w:val="00842744"/>
    <w:rsid w:val="00842749"/>
    <w:rsid w:val="00842D0D"/>
    <w:rsid w:val="0084317E"/>
    <w:rsid w:val="0084336A"/>
    <w:rsid w:val="008433BE"/>
    <w:rsid w:val="00843B0A"/>
    <w:rsid w:val="00843BB9"/>
    <w:rsid w:val="00844F6B"/>
    <w:rsid w:val="008459CB"/>
    <w:rsid w:val="00846324"/>
    <w:rsid w:val="008468F8"/>
    <w:rsid w:val="00846D8B"/>
    <w:rsid w:val="0084773D"/>
    <w:rsid w:val="0084792C"/>
    <w:rsid w:val="0085020A"/>
    <w:rsid w:val="00850D0F"/>
    <w:rsid w:val="00851094"/>
    <w:rsid w:val="00851114"/>
    <w:rsid w:val="008514FE"/>
    <w:rsid w:val="00851582"/>
    <w:rsid w:val="0085176F"/>
    <w:rsid w:val="00851DEA"/>
    <w:rsid w:val="0085217B"/>
    <w:rsid w:val="00852C99"/>
    <w:rsid w:val="00852F61"/>
    <w:rsid w:val="008539DE"/>
    <w:rsid w:val="0085435F"/>
    <w:rsid w:val="00854B5E"/>
    <w:rsid w:val="008551D7"/>
    <w:rsid w:val="0085520D"/>
    <w:rsid w:val="0085640E"/>
    <w:rsid w:val="008564CF"/>
    <w:rsid w:val="00856511"/>
    <w:rsid w:val="008572AF"/>
    <w:rsid w:val="008575C2"/>
    <w:rsid w:val="00857D33"/>
    <w:rsid w:val="008608A3"/>
    <w:rsid w:val="00861065"/>
    <w:rsid w:val="00861381"/>
    <w:rsid w:val="00861441"/>
    <w:rsid w:val="008618C9"/>
    <w:rsid w:val="0086218F"/>
    <w:rsid w:val="00862539"/>
    <w:rsid w:val="00862F24"/>
    <w:rsid w:val="0086325E"/>
    <w:rsid w:val="00863F7C"/>
    <w:rsid w:val="00864B5E"/>
    <w:rsid w:val="00865138"/>
    <w:rsid w:val="0086554A"/>
    <w:rsid w:val="008656A1"/>
    <w:rsid w:val="00866A4A"/>
    <w:rsid w:val="00866C0B"/>
    <w:rsid w:val="00866FB0"/>
    <w:rsid w:val="0086799E"/>
    <w:rsid w:val="008679DD"/>
    <w:rsid w:val="008679FF"/>
    <w:rsid w:val="00870012"/>
    <w:rsid w:val="008700F5"/>
    <w:rsid w:val="008705CA"/>
    <w:rsid w:val="0087097D"/>
    <w:rsid w:val="00870D2C"/>
    <w:rsid w:val="00870F0A"/>
    <w:rsid w:val="008715FF"/>
    <w:rsid w:val="0087169C"/>
    <w:rsid w:val="00871B01"/>
    <w:rsid w:val="00871CEA"/>
    <w:rsid w:val="00872341"/>
    <w:rsid w:val="008736CA"/>
    <w:rsid w:val="00874CB6"/>
    <w:rsid w:val="00876845"/>
    <w:rsid w:val="00877269"/>
    <w:rsid w:val="0087736E"/>
    <w:rsid w:val="008801D9"/>
    <w:rsid w:val="00880F71"/>
    <w:rsid w:val="00881C6E"/>
    <w:rsid w:val="00881EAC"/>
    <w:rsid w:val="00882CFB"/>
    <w:rsid w:val="008833ED"/>
    <w:rsid w:val="00883DF2"/>
    <w:rsid w:val="00883F73"/>
    <w:rsid w:val="00884761"/>
    <w:rsid w:val="0088577C"/>
    <w:rsid w:val="0088599A"/>
    <w:rsid w:val="00886516"/>
    <w:rsid w:val="008877E8"/>
    <w:rsid w:val="008877F1"/>
    <w:rsid w:val="00887811"/>
    <w:rsid w:val="00887B96"/>
    <w:rsid w:val="00887BBB"/>
    <w:rsid w:val="00887C87"/>
    <w:rsid w:val="00887D0D"/>
    <w:rsid w:val="00887F78"/>
    <w:rsid w:val="00890462"/>
    <w:rsid w:val="008905E4"/>
    <w:rsid w:val="00890883"/>
    <w:rsid w:val="00890D12"/>
    <w:rsid w:val="00890EDD"/>
    <w:rsid w:val="0089144B"/>
    <w:rsid w:val="00891ADD"/>
    <w:rsid w:val="00891F8E"/>
    <w:rsid w:val="008921E1"/>
    <w:rsid w:val="0089244C"/>
    <w:rsid w:val="0089271D"/>
    <w:rsid w:val="00892D78"/>
    <w:rsid w:val="0089471D"/>
    <w:rsid w:val="00894A0A"/>
    <w:rsid w:val="00894AEC"/>
    <w:rsid w:val="00894DA5"/>
    <w:rsid w:val="00895000"/>
    <w:rsid w:val="0089529C"/>
    <w:rsid w:val="00895486"/>
    <w:rsid w:val="00895526"/>
    <w:rsid w:val="008960F5"/>
    <w:rsid w:val="008969D1"/>
    <w:rsid w:val="00897DB0"/>
    <w:rsid w:val="00897F99"/>
    <w:rsid w:val="008A07F7"/>
    <w:rsid w:val="008A09DA"/>
    <w:rsid w:val="008A1FDD"/>
    <w:rsid w:val="008A2A53"/>
    <w:rsid w:val="008A2B14"/>
    <w:rsid w:val="008A2DA6"/>
    <w:rsid w:val="008A3E83"/>
    <w:rsid w:val="008A3FDA"/>
    <w:rsid w:val="008A4290"/>
    <w:rsid w:val="008A477F"/>
    <w:rsid w:val="008A4A0D"/>
    <w:rsid w:val="008A4A3C"/>
    <w:rsid w:val="008A4BA7"/>
    <w:rsid w:val="008A55FA"/>
    <w:rsid w:val="008A61B7"/>
    <w:rsid w:val="008A648B"/>
    <w:rsid w:val="008A6667"/>
    <w:rsid w:val="008A6B7C"/>
    <w:rsid w:val="008A6C28"/>
    <w:rsid w:val="008A6E8B"/>
    <w:rsid w:val="008A7166"/>
    <w:rsid w:val="008A7508"/>
    <w:rsid w:val="008A7B1D"/>
    <w:rsid w:val="008B0421"/>
    <w:rsid w:val="008B07EE"/>
    <w:rsid w:val="008B13CF"/>
    <w:rsid w:val="008B15CA"/>
    <w:rsid w:val="008B209A"/>
    <w:rsid w:val="008B2108"/>
    <w:rsid w:val="008B2500"/>
    <w:rsid w:val="008B2781"/>
    <w:rsid w:val="008B2E80"/>
    <w:rsid w:val="008B39FF"/>
    <w:rsid w:val="008B3AA3"/>
    <w:rsid w:val="008B3C8A"/>
    <w:rsid w:val="008B4A7F"/>
    <w:rsid w:val="008B4BB2"/>
    <w:rsid w:val="008B4C51"/>
    <w:rsid w:val="008B4E4E"/>
    <w:rsid w:val="008B543A"/>
    <w:rsid w:val="008B5A69"/>
    <w:rsid w:val="008B600C"/>
    <w:rsid w:val="008B6054"/>
    <w:rsid w:val="008B6379"/>
    <w:rsid w:val="008B6F51"/>
    <w:rsid w:val="008B71DD"/>
    <w:rsid w:val="008B737B"/>
    <w:rsid w:val="008C0775"/>
    <w:rsid w:val="008C0FA9"/>
    <w:rsid w:val="008C15C7"/>
    <w:rsid w:val="008C2EE7"/>
    <w:rsid w:val="008C3797"/>
    <w:rsid w:val="008C3FF8"/>
    <w:rsid w:val="008C423D"/>
    <w:rsid w:val="008C426F"/>
    <w:rsid w:val="008C4C7B"/>
    <w:rsid w:val="008C5654"/>
    <w:rsid w:val="008C5823"/>
    <w:rsid w:val="008C5989"/>
    <w:rsid w:val="008C618B"/>
    <w:rsid w:val="008C64A3"/>
    <w:rsid w:val="008C67F2"/>
    <w:rsid w:val="008C690A"/>
    <w:rsid w:val="008C7EDF"/>
    <w:rsid w:val="008D1305"/>
    <w:rsid w:val="008D196C"/>
    <w:rsid w:val="008D230C"/>
    <w:rsid w:val="008D2C04"/>
    <w:rsid w:val="008D31F3"/>
    <w:rsid w:val="008D328E"/>
    <w:rsid w:val="008D35C5"/>
    <w:rsid w:val="008D3648"/>
    <w:rsid w:val="008D3F10"/>
    <w:rsid w:val="008D4411"/>
    <w:rsid w:val="008D4E57"/>
    <w:rsid w:val="008D5619"/>
    <w:rsid w:val="008D59A1"/>
    <w:rsid w:val="008D5A4D"/>
    <w:rsid w:val="008D5AEF"/>
    <w:rsid w:val="008D5EC5"/>
    <w:rsid w:val="008D6092"/>
    <w:rsid w:val="008D61B1"/>
    <w:rsid w:val="008D6BB6"/>
    <w:rsid w:val="008D6FB8"/>
    <w:rsid w:val="008D6FEB"/>
    <w:rsid w:val="008D71EA"/>
    <w:rsid w:val="008D74B7"/>
    <w:rsid w:val="008E0562"/>
    <w:rsid w:val="008E0835"/>
    <w:rsid w:val="008E253E"/>
    <w:rsid w:val="008E2A7E"/>
    <w:rsid w:val="008E3C55"/>
    <w:rsid w:val="008E3ED7"/>
    <w:rsid w:val="008E4C5A"/>
    <w:rsid w:val="008E4DDF"/>
    <w:rsid w:val="008E5412"/>
    <w:rsid w:val="008E5D4E"/>
    <w:rsid w:val="008E6400"/>
    <w:rsid w:val="008E649A"/>
    <w:rsid w:val="008E6571"/>
    <w:rsid w:val="008E70BE"/>
    <w:rsid w:val="008E77F3"/>
    <w:rsid w:val="008E7DE4"/>
    <w:rsid w:val="008F0045"/>
    <w:rsid w:val="008F099A"/>
    <w:rsid w:val="008F0A22"/>
    <w:rsid w:val="008F0ACF"/>
    <w:rsid w:val="008F1057"/>
    <w:rsid w:val="008F109B"/>
    <w:rsid w:val="008F12BD"/>
    <w:rsid w:val="008F175C"/>
    <w:rsid w:val="008F188A"/>
    <w:rsid w:val="008F18A4"/>
    <w:rsid w:val="008F1A56"/>
    <w:rsid w:val="008F1F67"/>
    <w:rsid w:val="008F24F9"/>
    <w:rsid w:val="008F2CF5"/>
    <w:rsid w:val="008F2FD0"/>
    <w:rsid w:val="008F38D9"/>
    <w:rsid w:val="008F46E6"/>
    <w:rsid w:val="008F47A4"/>
    <w:rsid w:val="008F4996"/>
    <w:rsid w:val="008F51FE"/>
    <w:rsid w:val="008F5AAB"/>
    <w:rsid w:val="008F62B6"/>
    <w:rsid w:val="008F6499"/>
    <w:rsid w:val="008F66D2"/>
    <w:rsid w:val="008F71AB"/>
    <w:rsid w:val="00900D37"/>
    <w:rsid w:val="00901589"/>
    <w:rsid w:val="00902247"/>
    <w:rsid w:val="00903320"/>
    <w:rsid w:val="00903B2D"/>
    <w:rsid w:val="00905A54"/>
    <w:rsid w:val="00907474"/>
    <w:rsid w:val="00907C84"/>
    <w:rsid w:val="00907CFE"/>
    <w:rsid w:val="00907EB6"/>
    <w:rsid w:val="00910D38"/>
    <w:rsid w:val="00911352"/>
    <w:rsid w:val="00911988"/>
    <w:rsid w:val="009127DF"/>
    <w:rsid w:val="00912A70"/>
    <w:rsid w:val="00912E18"/>
    <w:rsid w:val="00913695"/>
    <w:rsid w:val="0091404B"/>
    <w:rsid w:val="00914538"/>
    <w:rsid w:val="0091481E"/>
    <w:rsid w:val="00914D6A"/>
    <w:rsid w:val="00915289"/>
    <w:rsid w:val="009158AD"/>
    <w:rsid w:val="00915D9F"/>
    <w:rsid w:val="00915E6F"/>
    <w:rsid w:val="00916660"/>
    <w:rsid w:val="00916D8D"/>
    <w:rsid w:val="00917141"/>
    <w:rsid w:val="00920813"/>
    <w:rsid w:val="00920A16"/>
    <w:rsid w:val="00921105"/>
    <w:rsid w:val="00921878"/>
    <w:rsid w:val="00921D88"/>
    <w:rsid w:val="00922252"/>
    <w:rsid w:val="009229AD"/>
    <w:rsid w:val="00922C44"/>
    <w:rsid w:val="009235E0"/>
    <w:rsid w:val="00923C87"/>
    <w:rsid w:val="009244A3"/>
    <w:rsid w:val="00924808"/>
    <w:rsid w:val="009249C5"/>
    <w:rsid w:val="00924DA2"/>
    <w:rsid w:val="009261FB"/>
    <w:rsid w:val="00926520"/>
    <w:rsid w:val="00926A91"/>
    <w:rsid w:val="00926E3D"/>
    <w:rsid w:val="00927402"/>
    <w:rsid w:val="009276A4"/>
    <w:rsid w:val="00927C44"/>
    <w:rsid w:val="00927C98"/>
    <w:rsid w:val="0093010D"/>
    <w:rsid w:val="00930C84"/>
    <w:rsid w:val="00931721"/>
    <w:rsid w:val="009319F1"/>
    <w:rsid w:val="00933334"/>
    <w:rsid w:val="00933433"/>
    <w:rsid w:val="00933679"/>
    <w:rsid w:val="00933C97"/>
    <w:rsid w:val="00933E85"/>
    <w:rsid w:val="009340AB"/>
    <w:rsid w:val="00934B57"/>
    <w:rsid w:val="00936929"/>
    <w:rsid w:val="00937907"/>
    <w:rsid w:val="00937F21"/>
    <w:rsid w:val="00940A65"/>
    <w:rsid w:val="00940E49"/>
    <w:rsid w:val="00941458"/>
    <w:rsid w:val="009416B1"/>
    <w:rsid w:val="0094175D"/>
    <w:rsid w:val="00942083"/>
    <w:rsid w:val="0094215E"/>
    <w:rsid w:val="00942239"/>
    <w:rsid w:val="009423BD"/>
    <w:rsid w:val="00942BAF"/>
    <w:rsid w:val="009431DC"/>
    <w:rsid w:val="00943452"/>
    <w:rsid w:val="00944604"/>
    <w:rsid w:val="00944EBE"/>
    <w:rsid w:val="00945017"/>
    <w:rsid w:val="00945D36"/>
    <w:rsid w:val="00946A14"/>
    <w:rsid w:val="00946FB7"/>
    <w:rsid w:val="00947D8D"/>
    <w:rsid w:val="00947FE9"/>
    <w:rsid w:val="0095016E"/>
    <w:rsid w:val="009503AC"/>
    <w:rsid w:val="0095075C"/>
    <w:rsid w:val="00950816"/>
    <w:rsid w:val="00950B24"/>
    <w:rsid w:val="00950D60"/>
    <w:rsid w:val="00951064"/>
    <w:rsid w:val="0095165B"/>
    <w:rsid w:val="00952033"/>
    <w:rsid w:val="00952980"/>
    <w:rsid w:val="0095348C"/>
    <w:rsid w:val="009536C9"/>
    <w:rsid w:val="009538FE"/>
    <w:rsid w:val="009539D4"/>
    <w:rsid w:val="00954986"/>
    <w:rsid w:val="00954B1A"/>
    <w:rsid w:val="00955902"/>
    <w:rsid w:val="00955F0E"/>
    <w:rsid w:val="00960615"/>
    <w:rsid w:val="009607DD"/>
    <w:rsid w:val="00960E39"/>
    <w:rsid w:val="00961F3B"/>
    <w:rsid w:val="0096266B"/>
    <w:rsid w:val="00962AAA"/>
    <w:rsid w:val="00962BC4"/>
    <w:rsid w:val="009633A7"/>
    <w:rsid w:val="00964177"/>
    <w:rsid w:val="00964A2D"/>
    <w:rsid w:val="00964FE0"/>
    <w:rsid w:val="009664A5"/>
    <w:rsid w:val="009678AE"/>
    <w:rsid w:val="0097026A"/>
    <w:rsid w:val="009704E9"/>
    <w:rsid w:val="0097072F"/>
    <w:rsid w:val="009714EB"/>
    <w:rsid w:val="00972A9F"/>
    <w:rsid w:val="00972B52"/>
    <w:rsid w:val="0097351D"/>
    <w:rsid w:val="0097363D"/>
    <w:rsid w:val="00973F9C"/>
    <w:rsid w:val="009740C7"/>
    <w:rsid w:val="00974F81"/>
    <w:rsid w:val="00975578"/>
    <w:rsid w:val="00975B9F"/>
    <w:rsid w:val="00975BE7"/>
    <w:rsid w:val="0097629F"/>
    <w:rsid w:val="00976478"/>
    <w:rsid w:val="009775FE"/>
    <w:rsid w:val="00977661"/>
    <w:rsid w:val="009777E3"/>
    <w:rsid w:val="00980E0E"/>
    <w:rsid w:val="00980E58"/>
    <w:rsid w:val="00980F82"/>
    <w:rsid w:val="009814E0"/>
    <w:rsid w:val="00981926"/>
    <w:rsid w:val="0098295A"/>
    <w:rsid w:val="00982AF9"/>
    <w:rsid w:val="00982DAD"/>
    <w:rsid w:val="00983A0F"/>
    <w:rsid w:val="00984865"/>
    <w:rsid w:val="00984C0D"/>
    <w:rsid w:val="00984FC3"/>
    <w:rsid w:val="00985186"/>
    <w:rsid w:val="009851F3"/>
    <w:rsid w:val="00985699"/>
    <w:rsid w:val="00985E8D"/>
    <w:rsid w:val="00986B8F"/>
    <w:rsid w:val="00987138"/>
    <w:rsid w:val="009874D1"/>
    <w:rsid w:val="00987AB6"/>
    <w:rsid w:val="0099038A"/>
    <w:rsid w:val="00990B2F"/>
    <w:rsid w:val="00990FAC"/>
    <w:rsid w:val="00991030"/>
    <w:rsid w:val="00991318"/>
    <w:rsid w:val="0099234C"/>
    <w:rsid w:val="00993880"/>
    <w:rsid w:val="00994452"/>
    <w:rsid w:val="0099449C"/>
    <w:rsid w:val="00994C88"/>
    <w:rsid w:val="00994F81"/>
    <w:rsid w:val="00994FD8"/>
    <w:rsid w:val="00995A10"/>
    <w:rsid w:val="00995C8A"/>
    <w:rsid w:val="009963AB"/>
    <w:rsid w:val="0099723E"/>
    <w:rsid w:val="009976A0"/>
    <w:rsid w:val="00997799"/>
    <w:rsid w:val="00997AC6"/>
    <w:rsid w:val="009A10C6"/>
    <w:rsid w:val="009A11DD"/>
    <w:rsid w:val="009A150F"/>
    <w:rsid w:val="009A17A6"/>
    <w:rsid w:val="009A1C37"/>
    <w:rsid w:val="009A2680"/>
    <w:rsid w:val="009A26C9"/>
    <w:rsid w:val="009A287D"/>
    <w:rsid w:val="009A2F2C"/>
    <w:rsid w:val="009A2F5A"/>
    <w:rsid w:val="009A3362"/>
    <w:rsid w:val="009A4495"/>
    <w:rsid w:val="009A520B"/>
    <w:rsid w:val="009A526A"/>
    <w:rsid w:val="009A5BA2"/>
    <w:rsid w:val="009A5CCB"/>
    <w:rsid w:val="009A5E2C"/>
    <w:rsid w:val="009A5FB8"/>
    <w:rsid w:val="009A7364"/>
    <w:rsid w:val="009A7804"/>
    <w:rsid w:val="009A7A03"/>
    <w:rsid w:val="009B04B0"/>
    <w:rsid w:val="009B053D"/>
    <w:rsid w:val="009B05B0"/>
    <w:rsid w:val="009B06D3"/>
    <w:rsid w:val="009B06FB"/>
    <w:rsid w:val="009B0B60"/>
    <w:rsid w:val="009B123D"/>
    <w:rsid w:val="009B1E6F"/>
    <w:rsid w:val="009B2073"/>
    <w:rsid w:val="009B2AC0"/>
    <w:rsid w:val="009B2E4C"/>
    <w:rsid w:val="009B317B"/>
    <w:rsid w:val="009B327E"/>
    <w:rsid w:val="009B36C1"/>
    <w:rsid w:val="009B3703"/>
    <w:rsid w:val="009B38FE"/>
    <w:rsid w:val="009B3D5B"/>
    <w:rsid w:val="009B420A"/>
    <w:rsid w:val="009B445B"/>
    <w:rsid w:val="009B6667"/>
    <w:rsid w:val="009B7742"/>
    <w:rsid w:val="009C03BC"/>
    <w:rsid w:val="009C0765"/>
    <w:rsid w:val="009C0EB2"/>
    <w:rsid w:val="009C1440"/>
    <w:rsid w:val="009C1A71"/>
    <w:rsid w:val="009C26C4"/>
    <w:rsid w:val="009C28FB"/>
    <w:rsid w:val="009C2EF1"/>
    <w:rsid w:val="009C2FD6"/>
    <w:rsid w:val="009C3167"/>
    <w:rsid w:val="009C4802"/>
    <w:rsid w:val="009C4E87"/>
    <w:rsid w:val="009C5617"/>
    <w:rsid w:val="009C5D79"/>
    <w:rsid w:val="009C64A3"/>
    <w:rsid w:val="009C658D"/>
    <w:rsid w:val="009C76EF"/>
    <w:rsid w:val="009C7FFD"/>
    <w:rsid w:val="009D026D"/>
    <w:rsid w:val="009D0859"/>
    <w:rsid w:val="009D140E"/>
    <w:rsid w:val="009D1A5D"/>
    <w:rsid w:val="009D1BCB"/>
    <w:rsid w:val="009D1DE4"/>
    <w:rsid w:val="009D207B"/>
    <w:rsid w:val="009D2E47"/>
    <w:rsid w:val="009D3739"/>
    <w:rsid w:val="009D3748"/>
    <w:rsid w:val="009D4549"/>
    <w:rsid w:val="009D5044"/>
    <w:rsid w:val="009D535E"/>
    <w:rsid w:val="009D63A9"/>
    <w:rsid w:val="009D6631"/>
    <w:rsid w:val="009D7179"/>
    <w:rsid w:val="009D73DA"/>
    <w:rsid w:val="009D7EB0"/>
    <w:rsid w:val="009E009F"/>
    <w:rsid w:val="009E0778"/>
    <w:rsid w:val="009E0A3A"/>
    <w:rsid w:val="009E0BCF"/>
    <w:rsid w:val="009E0FE1"/>
    <w:rsid w:val="009E1B6A"/>
    <w:rsid w:val="009E2B85"/>
    <w:rsid w:val="009E2BA7"/>
    <w:rsid w:val="009E2C07"/>
    <w:rsid w:val="009E300A"/>
    <w:rsid w:val="009E3B22"/>
    <w:rsid w:val="009E3C38"/>
    <w:rsid w:val="009E4EAF"/>
    <w:rsid w:val="009E5340"/>
    <w:rsid w:val="009E53F3"/>
    <w:rsid w:val="009E5985"/>
    <w:rsid w:val="009E70F9"/>
    <w:rsid w:val="009E7818"/>
    <w:rsid w:val="009E7F53"/>
    <w:rsid w:val="009E7F5B"/>
    <w:rsid w:val="009F029D"/>
    <w:rsid w:val="009F0410"/>
    <w:rsid w:val="009F0502"/>
    <w:rsid w:val="009F0A63"/>
    <w:rsid w:val="009F14FC"/>
    <w:rsid w:val="009F2821"/>
    <w:rsid w:val="009F2F65"/>
    <w:rsid w:val="009F31EB"/>
    <w:rsid w:val="009F3311"/>
    <w:rsid w:val="009F369F"/>
    <w:rsid w:val="009F4313"/>
    <w:rsid w:val="009F51B2"/>
    <w:rsid w:val="009F625F"/>
    <w:rsid w:val="009F730D"/>
    <w:rsid w:val="009F76A7"/>
    <w:rsid w:val="009F77F7"/>
    <w:rsid w:val="009F7978"/>
    <w:rsid w:val="009F79B0"/>
    <w:rsid w:val="009F7F96"/>
    <w:rsid w:val="00A00870"/>
    <w:rsid w:val="00A011D1"/>
    <w:rsid w:val="00A01256"/>
    <w:rsid w:val="00A017BE"/>
    <w:rsid w:val="00A01859"/>
    <w:rsid w:val="00A01B0C"/>
    <w:rsid w:val="00A0319E"/>
    <w:rsid w:val="00A03312"/>
    <w:rsid w:val="00A037D6"/>
    <w:rsid w:val="00A04565"/>
    <w:rsid w:val="00A051BC"/>
    <w:rsid w:val="00A055F1"/>
    <w:rsid w:val="00A05AE4"/>
    <w:rsid w:val="00A05C46"/>
    <w:rsid w:val="00A07151"/>
    <w:rsid w:val="00A07A6A"/>
    <w:rsid w:val="00A07C88"/>
    <w:rsid w:val="00A1008F"/>
    <w:rsid w:val="00A10564"/>
    <w:rsid w:val="00A1089A"/>
    <w:rsid w:val="00A1117B"/>
    <w:rsid w:val="00A12160"/>
    <w:rsid w:val="00A12E1E"/>
    <w:rsid w:val="00A133C5"/>
    <w:rsid w:val="00A13903"/>
    <w:rsid w:val="00A13A9C"/>
    <w:rsid w:val="00A1421D"/>
    <w:rsid w:val="00A14548"/>
    <w:rsid w:val="00A148D6"/>
    <w:rsid w:val="00A14CF8"/>
    <w:rsid w:val="00A14DED"/>
    <w:rsid w:val="00A15252"/>
    <w:rsid w:val="00A152AE"/>
    <w:rsid w:val="00A15821"/>
    <w:rsid w:val="00A15AF0"/>
    <w:rsid w:val="00A16B78"/>
    <w:rsid w:val="00A2031C"/>
    <w:rsid w:val="00A2047E"/>
    <w:rsid w:val="00A21222"/>
    <w:rsid w:val="00A21A29"/>
    <w:rsid w:val="00A21E7E"/>
    <w:rsid w:val="00A22F6A"/>
    <w:rsid w:val="00A230F4"/>
    <w:rsid w:val="00A234E6"/>
    <w:rsid w:val="00A23706"/>
    <w:rsid w:val="00A2440C"/>
    <w:rsid w:val="00A2488F"/>
    <w:rsid w:val="00A24CE5"/>
    <w:rsid w:val="00A24D86"/>
    <w:rsid w:val="00A24DB2"/>
    <w:rsid w:val="00A24F9B"/>
    <w:rsid w:val="00A25238"/>
    <w:rsid w:val="00A256EB"/>
    <w:rsid w:val="00A25C0F"/>
    <w:rsid w:val="00A26094"/>
    <w:rsid w:val="00A2659E"/>
    <w:rsid w:val="00A269AF"/>
    <w:rsid w:val="00A27115"/>
    <w:rsid w:val="00A27197"/>
    <w:rsid w:val="00A27C6E"/>
    <w:rsid w:val="00A27E69"/>
    <w:rsid w:val="00A300A9"/>
    <w:rsid w:val="00A3054F"/>
    <w:rsid w:val="00A30FA0"/>
    <w:rsid w:val="00A3130F"/>
    <w:rsid w:val="00A32497"/>
    <w:rsid w:val="00A327FD"/>
    <w:rsid w:val="00A32C59"/>
    <w:rsid w:val="00A33D23"/>
    <w:rsid w:val="00A34263"/>
    <w:rsid w:val="00A34B16"/>
    <w:rsid w:val="00A3535E"/>
    <w:rsid w:val="00A354B3"/>
    <w:rsid w:val="00A3569C"/>
    <w:rsid w:val="00A35942"/>
    <w:rsid w:val="00A35D6E"/>
    <w:rsid w:val="00A35E37"/>
    <w:rsid w:val="00A36231"/>
    <w:rsid w:val="00A36538"/>
    <w:rsid w:val="00A36EB6"/>
    <w:rsid w:val="00A374AA"/>
    <w:rsid w:val="00A40572"/>
    <w:rsid w:val="00A40A63"/>
    <w:rsid w:val="00A40F9A"/>
    <w:rsid w:val="00A41329"/>
    <w:rsid w:val="00A4180B"/>
    <w:rsid w:val="00A41935"/>
    <w:rsid w:val="00A41CD6"/>
    <w:rsid w:val="00A42223"/>
    <w:rsid w:val="00A422C5"/>
    <w:rsid w:val="00A43025"/>
    <w:rsid w:val="00A43043"/>
    <w:rsid w:val="00A438FB"/>
    <w:rsid w:val="00A43F2A"/>
    <w:rsid w:val="00A444A2"/>
    <w:rsid w:val="00A456E9"/>
    <w:rsid w:val="00A462E0"/>
    <w:rsid w:val="00A46C3E"/>
    <w:rsid w:val="00A47040"/>
    <w:rsid w:val="00A47486"/>
    <w:rsid w:val="00A47742"/>
    <w:rsid w:val="00A47E5F"/>
    <w:rsid w:val="00A5011A"/>
    <w:rsid w:val="00A5018E"/>
    <w:rsid w:val="00A50416"/>
    <w:rsid w:val="00A506EA"/>
    <w:rsid w:val="00A508AC"/>
    <w:rsid w:val="00A50DFC"/>
    <w:rsid w:val="00A50E19"/>
    <w:rsid w:val="00A50F2C"/>
    <w:rsid w:val="00A50F7B"/>
    <w:rsid w:val="00A51501"/>
    <w:rsid w:val="00A53129"/>
    <w:rsid w:val="00A53ED4"/>
    <w:rsid w:val="00A545CD"/>
    <w:rsid w:val="00A549CC"/>
    <w:rsid w:val="00A55718"/>
    <w:rsid w:val="00A55C40"/>
    <w:rsid w:val="00A55CBE"/>
    <w:rsid w:val="00A56133"/>
    <w:rsid w:val="00A563A5"/>
    <w:rsid w:val="00A56DA3"/>
    <w:rsid w:val="00A56FA5"/>
    <w:rsid w:val="00A57032"/>
    <w:rsid w:val="00A57154"/>
    <w:rsid w:val="00A576B9"/>
    <w:rsid w:val="00A579DD"/>
    <w:rsid w:val="00A57A5F"/>
    <w:rsid w:val="00A57AD1"/>
    <w:rsid w:val="00A57D23"/>
    <w:rsid w:val="00A604AC"/>
    <w:rsid w:val="00A607BE"/>
    <w:rsid w:val="00A60E33"/>
    <w:rsid w:val="00A6131E"/>
    <w:rsid w:val="00A61B65"/>
    <w:rsid w:val="00A61FC0"/>
    <w:rsid w:val="00A64360"/>
    <w:rsid w:val="00A6473F"/>
    <w:rsid w:val="00A650E8"/>
    <w:rsid w:val="00A65C45"/>
    <w:rsid w:val="00A6768B"/>
    <w:rsid w:val="00A678EB"/>
    <w:rsid w:val="00A67A57"/>
    <w:rsid w:val="00A67CC4"/>
    <w:rsid w:val="00A70075"/>
    <w:rsid w:val="00A70923"/>
    <w:rsid w:val="00A70C09"/>
    <w:rsid w:val="00A70DC3"/>
    <w:rsid w:val="00A70E78"/>
    <w:rsid w:val="00A72490"/>
    <w:rsid w:val="00A7277A"/>
    <w:rsid w:val="00A72E4E"/>
    <w:rsid w:val="00A733CE"/>
    <w:rsid w:val="00A7352B"/>
    <w:rsid w:val="00A7360A"/>
    <w:rsid w:val="00A7381C"/>
    <w:rsid w:val="00A73C6F"/>
    <w:rsid w:val="00A73E4A"/>
    <w:rsid w:val="00A7425A"/>
    <w:rsid w:val="00A74A8C"/>
    <w:rsid w:val="00A74C4D"/>
    <w:rsid w:val="00A74F11"/>
    <w:rsid w:val="00A74F46"/>
    <w:rsid w:val="00A75149"/>
    <w:rsid w:val="00A75BFD"/>
    <w:rsid w:val="00A764C4"/>
    <w:rsid w:val="00A76B74"/>
    <w:rsid w:val="00A76E8D"/>
    <w:rsid w:val="00A777C3"/>
    <w:rsid w:val="00A77DC9"/>
    <w:rsid w:val="00A800D8"/>
    <w:rsid w:val="00A80579"/>
    <w:rsid w:val="00A8064C"/>
    <w:rsid w:val="00A80B6C"/>
    <w:rsid w:val="00A81C70"/>
    <w:rsid w:val="00A81EFC"/>
    <w:rsid w:val="00A827E0"/>
    <w:rsid w:val="00A82EF9"/>
    <w:rsid w:val="00A83769"/>
    <w:rsid w:val="00A83D91"/>
    <w:rsid w:val="00A844A4"/>
    <w:rsid w:val="00A8598F"/>
    <w:rsid w:val="00A86145"/>
    <w:rsid w:val="00A8669B"/>
    <w:rsid w:val="00A87312"/>
    <w:rsid w:val="00A878B4"/>
    <w:rsid w:val="00A87D7F"/>
    <w:rsid w:val="00A87F1D"/>
    <w:rsid w:val="00A87FF0"/>
    <w:rsid w:val="00A9001C"/>
    <w:rsid w:val="00A901F2"/>
    <w:rsid w:val="00A90F8F"/>
    <w:rsid w:val="00A910F8"/>
    <w:rsid w:val="00A914D7"/>
    <w:rsid w:val="00A9156C"/>
    <w:rsid w:val="00A9174A"/>
    <w:rsid w:val="00A91A9C"/>
    <w:rsid w:val="00A9254A"/>
    <w:rsid w:val="00A92965"/>
    <w:rsid w:val="00A92F42"/>
    <w:rsid w:val="00A9304D"/>
    <w:rsid w:val="00A93420"/>
    <w:rsid w:val="00A93AFE"/>
    <w:rsid w:val="00A94010"/>
    <w:rsid w:val="00A945D3"/>
    <w:rsid w:val="00A94759"/>
    <w:rsid w:val="00A94B82"/>
    <w:rsid w:val="00A94E8A"/>
    <w:rsid w:val="00A95A2F"/>
    <w:rsid w:val="00A95E3D"/>
    <w:rsid w:val="00A96210"/>
    <w:rsid w:val="00A968FD"/>
    <w:rsid w:val="00A96B64"/>
    <w:rsid w:val="00A97248"/>
    <w:rsid w:val="00A97630"/>
    <w:rsid w:val="00A97787"/>
    <w:rsid w:val="00AA02C9"/>
    <w:rsid w:val="00AA06A8"/>
    <w:rsid w:val="00AA0B04"/>
    <w:rsid w:val="00AA113A"/>
    <w:rsid w:val="00AA1554"/>
    <w:rsid w:val="00AA16EC"/>
    <w:rsid w:val="00AA1BD2"/>
    <w:rsid w:val="00AA2174"/>
    <w:rsid w:val="00AA220A"/>
    <w:rsid w:val="00AA25E6"/>
    <w:rsid w:val="00AA2B84"/>
    <w:rsid w:val="00AA34C3"/>
    <w:rsid w:val="00AA3A97"/>
    <w:rsid w:val="00AA41A5"/>
    <w:rsid w:val="00AA432B"/>
    <w:rsid w:val="00AA481B"/>
    <w:rsid w:val="00AA4D93"/>
    <w:rsid w:val="00AA4F30"/>
    <w:rsid w:val="00AA4FCF"/>
    <w:rsid w:val="00AA59C8"/>
    <w:rsid w:val="00AA6BCF"/>
    <w:rsid w:val="00AA764F"/>
    <w:rsid w:val="00AB074B"/>
    <w:rsid w:val="00AB09EF"/>
    <w:rsid w:val="00AB0DD9"/>
    <w:rsid w:val="00AB1357"/>
    <w:rsid w:val="00AB1384"/>
    <w:rsid w:val="00AB149E"/>
    <w:rsid w:val="00AB1562"/>
    <w:rsid w:val="00AB2A92"/>
    <w:rsid w:val="00AB301E"/>
    <w:rsid w:val="00AB3041"/>
    <w:rsid w:val="00AB314E"/>
    <w:rsid w:val="00AB31F7"/>
    <w:rsid w:val="00AB37A5"/>
    <w:rsid w:val="00AB39E2"/>
    <w:rsid w:val="00AB4417"/>
    <w:rsid w:val="00AB54CE"/>
    <w:rsid w:val="00AB5E53"/>
    <w:rsid w:val="00AB607D"/>
    <w:rsid w:val="00AB6556"/>
    <w:rsid w:val="00AB6D55"/>
    <w:rsid w:val="00AB7912"/>
    <w:rsid w:val="00AB7D0F"/>
    <w:rsid w:val="00AC131D"/>
    <w:rsid w:val="00AC133D"/>
    <w:rsid w:val="00AC148D"/>
    <w:rsid w:val="00AC1D91"/>
    <w:rsid w:val="00AC2191"/>
    <w:rsid w:val="00AC235F"/>
    <w:rsid w:val="00AC23AE"/>
    <w:rsid w:val="00AC299B"/>
    <w:rsid w:val="00AC30E7"/>
    <w:rsid w:val="00AC423F"/>
    <w:rsid w:val="00AC4320"/>
    <w:rsid w:val="00AC4618"/>
    <w:rsid w:val="00AC4A03"/>
    <w:rsid w:val="00AC521C"/>
    <w:rsid w:val="00AC56FF"/>
    <w:rsid w:val="00AC5D2B"/>
    <w:rsid w:val="00AC5D55"/>
    <w:rsid w:val="00AC618B"/>
    <w:rsid w:val="00AD012E"/>
    <w:rsid w:val="00AD05F5"/>
    <w:rsid w:val="00AD0D03"/>
    <w:rsid w:val="00AD12D4"/>
    <w:rsid w:val="00AD1313"/>
    <w:rsid w:val="00AD16A1"/>
    <w:rsid w:val="00AD173E"/>
    <w:rsid w:val="00AD1AFD"/>
    <w:rsid w:val="00AD1E19"/>
    <w:rsid w:val="00AD1FC9"/>
    <w:rsid w:val="00AD2587"/>
    <w:rsid w:val="00AD25E6"/>
    <w:rsid w:val="00AD2AA5"/>
    <w:rsid w:val="00AD2CF1"/>
    <w:rsid w:val="00AD32B6"/>
    <w:rsid w:val="00AD3335"/>
    <w:rsid w:val="00AD3745"/>
    <w:rsid w:val="00AD3978"/>
    <w:rsid w:val="00AD3ED5"/>
    <w:rsid w:val="00AD4263"/>
    <w:rsid w:val="00AD4B17"/>
    <w:rsid w:val="00AD5045"/>
    <w:rsid w:val="00AD53D8"/>
    <w:rsid w:val="00AD5955"/>
    <w:rsid w:val="00AD617A"/>
    <w:rsid w:val="00AD6A30"/>
    <w:rsid w:val="00AD6EEE"/>
    <w:rsid w:val="00AD7111"/>
    <w:rsid w:val="00AD716E"/>
    <w:rsid w:val="00AD7356"/>
    <w:rsid w:val="00AD7611"/>
    <w:rsid w:val="00AD7B06"/>
    <w:rsid w:val="00AD7DA7"/>
    <w:rsid w:val="00AE0039"/>
    <w:rsid w:val="00AE0054"/>
    <w:rsid w:val="00AE028D"/>
    <w:rsid w:val="00AE02CB"/>
    <w:rsid w:val="00AE1B3B"/>
    <w:rsid w:val="00AE3144"/>
    <w:rsid w:val="00AE35B0"/>
    <w:rsid w:val="00AE41A3"/>
    <w:rsid w:val="00AE434E"/>
    <w:rsid w:val="00AE4F8C"/>
    <w:rsid w:val="00AE52B1"/>
    <w:rsid w:val="00AE57E8"/>
    <w:rsid w:val="00AE5D09"/>
    <w:rsid w:val="00AE6AED"/>
    <w:rsid w:val="00AE6ED9"/>
    <w:rsid w:val="00AE743C"/>
    <w:rsid w:val="00AE754E"/>
    <w:rsid w:val="00AE7AC8"/>
    <w:rsid w:val="00AE7BA0"/>
    <w:rsid w:val="00AF031A"/>
    <w:rsid w:val="00AF08EF"/>
    <w:rsid w:val="00AF1A20"/>
    <w:rsid w:val="00AF22B5"/>
    <w:rsid w:val="00AF2840"/>
    <w:rsid w:val="00AF312E"/>
    <w:rsid w:val="00AF3130"/>
    <w:rsid w:val="00AF37BE"/>
    <w:rsid w:val="00AF445B"/>
    <w:rsid w:val="00AF4639"/>
    <w:rsid w:val="00AF4A2B"/>
    <w:rsid w:val="00AF4FE2"/>
    <w:rsid w:val="00AF5280"/>
    <w:rsid w:val="00AF5519"/>
    <w:rsid w:val="00AF6BED"/>
    <w:rsid w:val="00AF73A6"/>
    <w:rsid w:val="00AF7698"/>
    <w:rsid w:val="00AF787C"/>
    <w:rsid w:val="00B00C73"/>
    <w:rsid w:val="00B00CDC"/>
    <w:rsid w:val="00B0105F"/>
    <w:rsid w:val="00B01BD1"/>
    <w:rsid w:val="00B02B76"/>
    <w:rsid w:val="00B02D75"/>
    <w:rsid w:val="00B02DB2"/>
    <w:rsid w:val="00B034CF"/>
    <w:rsid w:val="00B037AF"/>
    <w:rsid w:val="00B03C6E"/>
    <w:rsid w:val="00B04045"/>
    <w:rsid w:val="00B04312"/>
    <w:rsid w:val="00B046C9"/>
    <w:rsid w:val="00B04C7B"/>
    <w:rsid w:val="00B05A06"/>
    <w:rsid w:val="00B05EB0"/>
    <w:rsid w:val="00B05F4B"/>
    <w:rsid w:val="00B06ABE"/>
    <w:rsid w:val="00B06FC7"/>
    <w:rsid w:val="00B104DA"/>
    <w:rsid w:val="00B109E3"/>
    <w:rsid w:val="00B10E94"/>
    <w:rsid w:val="00B10EAD"/>
    <w:rsid w:val="00B114D5"/>
    <w:rsid w:val="00B12891"/>
    <w:rsid w:val="00B12AB6"/>
    <w:rsid w:val="00B12B35"/>
    <w:rsid w:val="00B12B86"/>
    <w:rsid w:val="00B12C3B"/>
    <w:rsid w:val="00B139F6"/>
    <w:rsid w:val="00B140BF"/>
    <w:rsid w:val="00B1469F"/>
    <w:rsid w:val="00B14738"/>
    <w:rsid w:val="00B14AE2"/>
    <w:rsid w:val="00B14DF1"/>
    <w:rsid w:val="00B15579"/>
    <w:rsid w:val="00B15D41"/>
    <w:rsid w:val="00B15EC0"/>
    <w:rsid w:val="00B1708B"/>
    <w:rsid w:val="00B1790D"/>
    <w:rsid w:val="00B17941"/>
    <w:rsid w:val="00B17A3C"/>
    <w:rsid w:val="00B20B27"/>
    <w:rsid w:val="00B21202"/>
    <w:rsid w:val="00B21E72"/>
    <w:rsid w:val="00B22453"/>
    <w:rsid w:val="00B22AAC"/>
    <w:rsid w:val="00B22B33"/>
    <w:rsid w:val="00B231D8"/>
    <w:rsid w:val="00B23B74"/>
    <w:rsid w:val="00B2404E"/>
    <w:rsid w:val="00B244ED"/>
    <w:rsid w:val="00B2491B"/>
    <w:rsid w:val="00B24C86"/>
    <w:rsid w:val="00B2537C"/>
    <w:rsid w:val="00B253A2"/>
    <w:rsid w:val="00B264CF"/>
    <w:rsid w:val="00B265F1"/>
    <w:rsid w:val="00B2671E"/>
    <w:rsid w:val="00B267FD"/>
    <w:rsid w:val="00B26E5E"/>
    <w:rsid w:val="00B26F16"/>
    <w:rsid w:val="00B27153"/>
    <w:rsid w:val="00B27398"/>
    <w:rsid w:val="00B3013F"/>
    <w:rsid w:val="00B3059F"/>
    <w:rsid w:val="00B30828"/>
    <w:rsid w:val="00B30A24"/>
    <w:rsid w:val="00B31120"/>
    <w:rsid w:val="00B3115C"/>
    <w:rsid w:val="00B3298C"/>
    <w:rsid w:val="00B3516A"/>
    <w:rsid w:val="00B3534B"/>
    <w:rsid w:val="00B35869"/>
    <w:rsid w:val="00B35AB8"/>
    <w:rsid w:val="00B35DA7"/>
    <w:rsid w:val="00B35EA5"/>
    <w:rsid w:val="00B35ED3"/>
    <w:rsid w:val="00B35F9D"/>
    <w:rsid w:val="00B3616C"/>
    <w:rsid w:val="00B37001"/>
    <w:rsid w:val="00B4006D"/>
    <w:rsid w:val="00B4009A"/>
    <w:rsid w:val="00B40BE5"/>
    <w:rsid w:val="00B41428"/>
    <w:rsid w:val="00B421E2"/>
    <w:rsid w:val="00B42310"/>
    <w:rsid w:val="00B42325"/>
    <w:rsid w:val="00B42684"/>
    <w:rsid w:val="00B43650"/>
    <w:rsid w:val="00B43762"/>
    <w:rsid w:val="00B43C56"/>
    <w:rsid w:val="00B43CF9"/>
    <w:rsid w:val="00B44311"/>
    <w:rsid w:val="00B44832"/>
    <w:rsid w:val="00B44A8F"/>
    <w:rsid w:val="00B45051"/>
    <w:rsid w:val="00B456EC"/>
    <w:rsid w:val="00B46562"/>
    <w:rsid w:val="00B4701B"/>
    <w:rsid w:val="00B47145"/>
    <w:rsid w:val="00B47D0C"/>
    <w:rsid w:val="00B5027F"/>
    <w:rsid w:val="00B50D05"/>
    <w:rsid w:val="00B51F14"/>
    <w:rsid w:val="00B5210C"/>
    <w:rsid w:val="00B52683"/>
    <w:rsid w:val="00B527F1"/>
    <w:rsid w:val="00B52869"/>
    <w:rsid w:val="00B53700"/>
    <w:rsid w:val="00B5394F"/>
    <w:rsid w:val="00B53A26"/>
    <w:rsid w:val="00B54487"/>
    <w:rsid w:val="00B544C2"/>
    <w:rsid w:val="00B546EC"/>
    <w:rsid w:val="00B54933"/>
    <w:rsid w:val="00B54F05"/>
    <w:rsid w:val="00B556A4"/>
    <w:rsid w:val="00B557FE"/>
    <w:rsid w:val="00B56C65"/>
    <w:rsid w:val="00B56F31"/>
    <w:rsid w:val="00B576E0"/>
    <w:rsid w:val="00B601CB"/>
    <w:rsid w:val="00B60219"/>
    <w:rsid w:val="00B609C0"/>
    <w:rsid w:val="00B60CE0"/>
    <w:rsid w:val="00B61CB7"/>
    <w:rsid w:val="00B62158"/>
    <w:rsid w:val="00B622C1"/>
    <w:rsid w:val="00B62398"/>
    <w:rsid w:val="00B62B4D"/>
    <w:rsid w:val="00B635D5"/>
    <w:rsid w:val="00B63C92"/>
    <w:rsid w:val="00B63FD6"/>
    <w:rsid w:val="00B64334"/>
    <w:rsid w:val="00B653C2"/>
    <w:rsid w:val="00B65414"/>
    <w:rsid w:val="00B66DFE"/>
    <w:rsid w:val="00B67A99"/>
    <w:rsid w:val="00B71162"/>
    <w:rsid w:val="00B71254"/>
    <w:rsid w:val="00B713A8"/>
    <w:rsid w:val="00B71834"/>
    <w:rsid w:val="00B71A15"/>
    <w:rsid w:val="00B7239C"/>
    <w:rsid w:val="00B727E9"/>
    <w:rsid w:val="00B72826"/>
    <w:rsid w:val="00B72EA6"/>
    <w:rsid w:val="00B739CA"/>
    <w:rsid w:val="00B73B68"/>
    <w:rsid w:val="00B74002"/>
    <w:rsid w:val="00B75C17"/>
    <w:rsid w:val="00B75D5D"/>
    <w:rsid w:val="00B76388"/>
    <w:rsid w:val="00B764B1"/>
    <w:rsid w:val="00B76DF4"/>
    <w:rsid w:val="00B771CA"/>
    <w:rsid w:val="00B773B6"/>
    <w:rsid w:val="00B77703"/>
    <w:rsid w:val="00B7783E"/>
    <w:rsid w:val="00B80779"/>
    <w:rsid w:val="00B81E06"/>
    <w:rsid w:val="00B822C8"/>
    <w:rsid w:val="00B822FA"/>
    <w:rsid w:val="00B82369"/>
    <w:rsid w:val="00B84747"/>
    <w:rsid w:val="00B86716"/>
    <w:rsid w:val="00B8680D"/>
    <w:rsid w:val="00B870FC"/>
    <w:rsid w:val="00B87CC5"/>
    <w:rsid w:val="00B904E0"/>
    <w:rsid w:val="00B908CC"/>
    <w:rsid w:val="00B90FDC"/>
    <w:rsid w:val="00B921FE"/>
    <w:rsid w:val="00B9220C"/>
    <w:rsid w:val="00B92D46"/>
    <w:rsid w:val="00B92D7B"/>
    <w:rsid w:val="00B9306F"/>
    <w:rsid w:val="00B94857"/>
    <w:rsid w:val="00B94D06"/>
    <w:rsid w:val="00B95EC8"/>
    <w:rsid w:val="00B9650C"/>
    <w:rsid w:val="00B96617"/>
    <w:rsid w:val="00B9747C"/>
    <w:rsid w:val="00B97939"/>
    <w:rsid w:val="00BA0454"/>
    <w:rsid w:val="00BA0867"/>
    <w:rsid w:val="00BA0A3A"/>
    <w:rsid w:val="00BA0B61"/>
    <w:rsid w:val="00BA1C53"/>
    <w:rsid w:val="00BA1DE1"/>
    <w:rsid w:val="00BA1E9D"/>
    <w:rsid w:val="00BA21A9"/>
    <w:rsid w:val="00BA2881"/>
    <w:rsid w:val="00BA2B49"/>
    <w:rsid w:val="00BA3209"/>
    <w:rsid w:val="00BA360A"/>
    <w:rsid w:val="00BA393E"/>
    <w:rsid w:val="00BA3F7D"/>
    <w:rsid w:val="00BA4038"/>
    <w:rsid w:val="00BA44F1"/>
    <w:rsid w:val="00BA6211"/>
    <w:rsid w:val="00BA6D6B"/>
    <w:rsid w:val="00BA7213"/>
    <w:rsid w:val="00BA7BD7"/>
    <w:rsid w:val="00BA7DD4"/>
    <w:rsid w:val="00BB01E8"/>
    <w:rsid w:val="00BB053A"/>
    <w:rsid w:val="00BB0BCF"/>
    <w:rsid w:val="00BB0E9F"/>
    <w:rsid w:val="00BB1DE9"/>
    <w:rsid w:val="00BB294A"/>
    <w:rsid w:val="00BB3942"/>
    <w:rsid w:val="00BB3E20"/>
    <w:rsid w:val="00BB4151"/>
    <w:rsid w:val="00BB4583"/>
    <w:rsid w:val="00BB4705"/>
    <w:rsid w:val="00BB49E2"/>
    <w:rsid w:val="00BB4C05"/>
    <w:rsid w:val="00BB4CE3"/>
    <w:rsid w:val="00BB4EF4"/>
    <w:rsid w:val="00BB4FDE"/>
    <w:rsid w:val="00BB54D8"/>
    <w:rsid w:val="00BB557F"/>
    <w:rsid w:val="00BB55CE"/>
    <w:rsid w:val="00BB5CC3"/>
    <w:rsid w:val="00BB6AC2"/>
    <w:rsid w:val="00BB6DFE"/>
    <w:rsid w:val="00BB6F35"/>
    <w:rsid w:val="00BB75CE"/>
    <w:rsid w:val="00BB793E"/>
    <w:rsid w:val="00BB7A28"/>
    <w:rsid w:val="00BB7F34"/>
    <w:rsid w:val="00BC02DC"/>
    <w:rsid w:val="00BC02E0"/>
    <w:rsid w:val="00BC0649"/>
    <w:rsid w:val="00BC0674"/>
    <w:rsid w:val="00BC0FE9"/>
    <w:rsid w:val="00BC18CB"/>
    <w:rsid w:val="00BC1B5F"/>
    <w:rsid w:val="00BC2018"/>
    <w:rsid w:val="00BC26DA"/>
    <w:rsid w:val="00BC3720"/>
    <w:rsid w:val="00BC3BA2"/>
    <w:rsid w:val="00BC3EFB"/>
    <w:rsid w:val="00BC48DB"/>
    <w:rsid w:val="00BC4D91"/>
    <w:rsid w:val="00BC4DDC"/>
    <w:rsid w:val="00BC585E"/>
    <w:rsid w:val="00BC5EB4"/>
    <w:rsid w:val="00BC6726"/>
    <w:rsid w:val="00BC692E"/>
    <w:rsid w:val="00BC6B50"/>
    <w:rsid w:val="00BC6C13"/>
    <w:rsid w:val="00BC6EB9"/>
    <w:rsid w:val="00BC6FCB"/>
    <w:rsid w:val="00BC7991"/>
    <w:rsid w:val="00BD11C6"/>
    <w:rsid w:val="00BD11D4"/>
    <w:rsid w:val="00BD1CC8"/>
    <w:rsid w:val="00BD20AC"/>
    <w:rsid w:val="00BD21C6"/>
    <w:rsid w:val="00BD2F47"/>
    <w:rsid w:val="00BD316B"/>
    <w:rsid w:val="00BD34A5"/>
    <w:rsid w:val="00BD40D9"/>
    <w:rsid w:val="00BD446E"/>
    <w:rsid w:val="00BD48E7"/>
    <w:rsid w:val="00BD58A2"/>
    <w:rsid w:val="00BD5ADC"/>
    <w:rsid w:val="00BD5BCF"/>
    <w:rsid w:val="00BD5E89"/>
    <w:rsid w:val="00BD63CF"/>
    <w:rsid w:val="00BD6539"/>
    <w:rsid w:val="00BD761A"/>
    <w:rsid w:val="00BD787A"/>
    <w:rsid w:val="00BD7965"/>
    <w:rsid w:val="00BD7CB9"/>
    <w:rsid w:val="00BE0C82"/>
    <w:rsid w:val="00BE16E5"/>
    <w:rsid w:val="00BE1E22"/>
    <w:rsid w:val="00BE29C2"/>
    <w:rsid w:val="00BE2A53"/>
    <w:rsid w:val="00BE2BE8"/>
    <w:rsid w:val="00BE3492"/>
    <w:rsid w:val="00BE3979"/>
    <w:rsid w:val="00BE46A8"/>
    <w:rsid w:val="00BE4DA3"/>
    <w:rsid w:val="00BE51E6"/>
    <w:rsid w:val="00BE53EF"/>
    <w:rsid w:val="00BE585B"/>
    <w:rsid w:val="00BE5D38"/>
    <w:rsid w:val="00BE5D48"/>
    <w:rsid w:val="00BE64FF"/>
    <w:rsid w:val="00BE696B"/>
    <w:rsid w:val="00BE6FC7"/>
    <w:rsid w:val="00BE7023"/>
    <w:rsid w:val="00BE708C"/>
    <w:rsid w:val="00BE7554"/>
    <w:rsid w:val="00BE76D4"/>
    <w:rsid w:val="00BE7F08"/>
    <w:rsid w:val="00BF0598"/>
    <w:rsid w:val="00BF15F1"/>
    <w:rsid w:val="00BF18C0"/>
    <w:rsid w:val="00BF2AAD"/>
    <w:rsid w:val="00BF2F86"/>
    <w:rsid w:val="00BF32FB"/>
    <w:rsid w:val="00BF3458"/>
    <w:rsid w:val="00BF350A"/>
    <w:rsid w:val="00BF3EA6"/>
    <w:rsid w:val="00BF3FA0"/>
    <w:rsid w:val="00BF497E"/>
    <w:rsid w:val="00BF4CC9"/>
    <w:rsid w:val="00BF51A8"/>
    <w:rsid w:val="00BF52C6"/>
    <w:rsid w:val="00BF5749"/>
    <w:rsid w:val="00BF67CE"/>
    <w:rsid w:val="00BF6A90"/>
    <w:rsid w:val="00BF7143"/>
    <w:rsid w:val="00BF744C"/>
    <w:rsid w:val="00BF76D7"/>
    <w:rsid w:val="00BF79C0"/>
    <w:rsid w:val="00BF7E02"/>
    <w:rsid w:val="00C007F8"/>
    <w:rsid w:val="00C01343"/>
    <w:rsid w:val="00C02A37"/>
    <w:rsid w:val="00C02A92"/>
    <w:rsid w:val="00C02DD0"/>
    <w:rsid w:val="00C03439"/>
    <w:rsid w:val="00C03629"/>
    <w:rsid w:val="00C038DC"/>
    <w:rsid w:val="00C03B76"/>
    <w:rsid w:val="00C03FE8"/>
    <w:rsid w:val="00C04C03"/>
    <w:rsid w:val="00C052DA"/>
    <w:rsid w:val="00C053B0"/>
    <w:rsid w:val="00C0575D"/>
    <w:rsid w:val="00C05762"/>
    <w:rsid w:val="00C06A24"/>
    <w:rsid w:val="00C070FF"/>
    <w:rsid w:val="00C077C4"/>
    <w:rsid w:val="00C07A2D"/>
    <w:rsid w:val="00C07C09"/>
    <w:rsid w:val="00C10CE6"/>
    <w:rsid w:val="00C10D41"/>
    <w:rsid w:val="00C120DC"/>
    <w:rsid w:val="00C13A3F"/>
    <w:rsid w:val="00C13B47"/>
    <w:rsid w:val="00C14832"/>
    <w:rsid w:val="00C149E5"/>
    <w:rsid w:val="00C158BD"/>
    <w:rsid w:val="00C15AAC"/>
    <w:rsid w:val="00C15C09"/>
    <w:rsid w:val="00C1694A"/>
    <w:rsid w:val="00C16F24"/>
    <w:rsid w:val="00C171F4"/>
    <w:rsid w:val="00C17697"/>
    <w:rsid w:val="00C176AE"/>
    <w:rsid w:val="00C20963"/>
    <w:rsid w:val="00C20F43"/>
    <w:rsid w:val="00C219FC"/>
    <w:rsid w:val="00C21B8F"/>
    <w:rsid w:val="00C222E5"/>
    <w:rsid w:val="00C2270E"/>
    <w:rsid w:val="00C22773"/>
    <w:rsid w:val="00C228DD"/>
    <w:rsid w:val="00C22980"/>
    <w:rsid w:val="00C22DB5"/>
    <w:rsid w:val="00C23385"/>
    <w:rsid w:val="00C242E3"/>
    <w:rsid w:val="00C249CC"/>
    <w:rsid w:val="00C2510F"/>
    <w:rsid w:val="00C25354"/>
    <w:rsid w:val="00C2538D"/>
    <w:rsid w:val="00C255EF"/>
    <w:rsid w:val="00C25960"/>
    <w:rsid w:val="00C25A85"/>
    <w:rsid w:val="00C25EFA"/>
    <w:rsid w:val="00C260D9"/>
    <w:rsid w:val="00C2612A"/>
    <w:rsid w:val="00C271B9"/>
    <w:rsid w:val="00C30597"/>
    <w:rsid w:val="00C31FE1"/>
    <w:rsid w:val="00C33662"/>
    <w:rsid w:val="00C34136"/>
    <w:rsid w:val="00C346AD"/>
    <w:rsid w:val="00C34D18"/>
    <w:rsid w:val="00C34E7D"/>
    <w:rsid w:val="00C350BE"/>
    <w:rsid w:val="00C354B8"/>
    <w:rsid w:val="00C354C6"/>
    <w:rsid w:val="00C36104"/>
    <w:rsid w:val="00C3682D"/>
    <w:rsid w:val="00C36956"/>
    <w:rsid w:val="00C36F07"/>
    <w:rsid w:val="00C3780B"/>
    <w:rsid w:val="00C378B6"/>
    <w:rsid w:val="00C37ACC"/>
    <w:rsid w:val="00C37C7D"/>
    <w:rsid w:val="00C403CC"/>
    <w:rsid w:val="00C40546"/>
    <w:rsid w:val="00C40DC5"/>
    <w:rsid w:val="00C411E5"/>
    <w:rsid w:val="00C425F0"/>
    <w:rsid w:val="00C42CD9"/>
    <w:rsid w:val="00C42DE0"/>
    <w:rsid w:val="00C430C2"/>
    <w:rsid w:val="00C43819"/>
    <w:rsid w:val="00C4385A"/>
    <w:rsid w:val="00C446D0"/>
    <w:rsid w:val="00C448D1"/>
    <w:rsid w:val="00C44D7F"/>
    <w:rsid w:val="00C45654"/>
    <w:rsid w:val="00C45689"/>
    <w:rsid w:val="00C45A1B"/>
    <w:rsid w:val="00C46075"/>
    <w:rsid w:val="00C463F3"/>
    <w:rsid w:val="00C46848"/>
    <w:rsid w:val="00C470A3"/>
    <w:rsid w:val="00C478C4"/>
    <w:rsid w:val="00C505B3"/>
    <w:rsid w:val="00C50710"/>
    <w:rsid w:val="00C50F0D"/>
    <w:rsid w:val="00C5129D"/>
    <w:rsid w:val="00C515A3"/>
    <w:rsid w:val="00C517A4"/>
    <w:rsid w:val="00C52213"/>
    <w:rsid w:val="00C530D8"/>
    <w:rsid w:val="00C5319A"/>
    <w:rsid w:val="00C53EDD"/>
    <w:rsid w:val="00C54809"/>
    <w:rsid w:val="00C54E30"/>
    <w:rsid w:val="00C55722"/>
    <w:rsid w:val="00C55A46"/>
    <w:rsid w:val="00C55C13"/>
    <w:rsid w:val="00C56406"/>
    <w:rsid w:val="00C56534"/>
    <w:rsid w:val="00C56A32"/>
    <w:rsid w:val="00C56F01"/>
    <w:rsid w:val="00C56F5D"/>
    <w:rsid w:val="00C60967"/>
    <w:rsid w:val="00C60D95"/>
    <w:rsid w:val="00C614CF"/>
    <w:rsid w:val="00C61514"/>
    <w:rsid w:val="00C615F8"/>
    <w:rsid w:val="00C6200E"/>
    <w:rsid w:val="00C62123"/>
    <w:rsid w:val="00C6232C"/>
    <w:rsid w:val="00C6253D"/>
    <w:rsid w:val="00C62AF1"/>
    <w:rsid w:val="00C62E11"/>
    <w:rsid w:val="00C63B92"/>
    <w:rsid w:val="00C63E20"/>
    <w:rsid w:val="00C64626"/>
    <w:rsid w:val="00C64D22"/>
    <w:rsid w:val="00C65C58"/>
    <w:rsid w:val="00C65F09"/>
    <w:rsid w:val="00C66778"/>
    <w:rsid w:val="00C66C5A"/>
    <w:rsid w:val="00C70429"/>
    <w:rsid w:val="00C70867"/>
    <w:rsid w:val="00C70B18"/>
    <w:rsid w:val="00C729AE"/>
    <w:rsid w:val="00C72DEC"/>
    <w:rsid w:val="00C73163"/>
    <w:rsid w:val="00C731B0"/>
    <w:rsid w:val="00C73457"/>
    <w:rsid w:val="00C739E7"/>
    <w:rsid w:val="00C73A1C"/>
    <w:rsid w:val="00C745F5"/>
    <w:rsid w:val="00C746E4"/>
    <w:rsid w:val="00C74932"/>
    <w:rsid w:val="00C74CBE"/>
    <w:rsid w:val="00C757F4"/>
    <w:rsid w:val="00C75CDB"/>
    <w:rsid w:val="00C75E76"/>
    <w:rsid w:val="00C7623F"/>
    <w:rsid w:val="00C77825"/>
    <w:rsid w:val="00C77A98"/>
    <w:rsid w:val="00C77BE5"/>
    <w:rsid w:val="00C80301"/>
    <w:rsid w:val="00C80504"/>
    <w:rsid w:val="00C80B7D"/>
    <w:rsid w:val="00C811AE"/>
    <w:rsid w:val="00C8150D"/>
    <w:rsid w:val="00C824D9"/>
    <w:rsid w:val="00C8264F"/>
    <w:rsid w:val="00C8297E"/>
    <w:rsid w:val="00C829C6"/>
    <w:rsid w:val="00C82F87"/>
    <w:rsid w:val="00C8342A"/>
    <w:rsid w:val="00C836B2"/>
    <w:rsid w:val="00C83AF2"/>
    <w:rsid w:val="00C840C6"/>
    <w:rsid w:val="00C848D1"/>
    <w:rsid w:val="00C8550C"/>
    <w:rsid w:val="00C86A46"/>
    <w:rsid w:val="00C87BA1"/>
    <w:rsid w:val="00C90485"/>
    <w:rsid w:val="00C907B8"/>
    <w:rsid w:val="00C90909"/>
    <w:rsid w:val="00C90B80"/>
    <w:rsid w:val="00C90E86"/>
    <w:rsid w:val="00C91A4B"/>
    <w:rsid w:val="00C91FD5"/>
    <w:rsid w:val="00C92266"/>
    <w:rsid w:val="00C92267"/>
    <w:rsid w:val="00C92651"/>
    <w:rsid w:val="00C93144"/>
    <w:rsid w:val="00C93E55"/>
    <w:rsid w:val="00C9437E"/>
    <w:rsid w:val="00C945F2"/>
    <w:rsid w:val="00C947F7"/>
    <w:rsid w:val="00C94B72"/>
    <w:rsid w:val="00C94CBA"/>
    <w:rsid w:val="00C95674"/>
    <w:rsid w:val="00C95E16"/>
    <w:rsid w:val="00C964C5"/>
    <w:rsid w:val="00C964CE"/>
    <w:rsid w:val="00C967A9"/>
    <w:rsid w:val="00C97419"/>
    <w:rsid w:val="00C97476"/>
    <w:rsid w:val="00C9759A"/>
    <w:rsid w:val="00CA0B4C"/>
    <w:rsid w:val="00CA0FC5"/>
    <w:rsid w:val="00CA101E"/>
    <w:rsid w:val="00CA17E5"/>
    <w:rsid w:val="00CA1B9D"/>
    <w:rsid w:val="00CA1C23"/>
    <w:rsid w:val="00CA1F44"/>
    <w:rsid w:val="00CA25FE"/>
    <w:rsid w:val="00CA277D"/>
    <w:rsid w:val="00CA281C"/>
    <w:rsid w:val="00CA2930"/>
    <w:rsid w:val="00CA29A0"/>
    <w:rsid w:val="00CA33B4"/>
    <w:rsid w:val="00CA409C"/>
    <w:rsid w:val="00CA456F"/>
    <w:rsid w:val="00CA46D9"/>
    <w:rsid w:val="00CA473A"/>
    <w:rsid w:val="00CA4CA2"/>
    <w:rsid w:val="00CA5B5C"/>
    <w:rsid w:val="00CA5BAD"/>
    <w:rsid w:val="00CA5ED6"/>
    <w:rsid w:val="00CA600A"/>
    <w:rsid w:val="00CA65CA"/>
    <w:rsid w:val="00CA6843"/>
    <w:rsid w:val="00CA6DBC"/>
    <w:rsid w:val="00CA71F0"/>
    <w:rsid w:val="00CA7B39"/>
    <w:rsid w:val="00CB0064"/>
    <w:rsid w:val="00CB05D3"/>
    <w:rsid w:val="00CB06A3"/>
    <w:rsid w:val="00CB09E0"/>
    <w:rsid w:val="00CB26D6"/>
    <w:rsid w:val="00CB27C1"/>
    <w:rsid w:val="00CB28CD"/>
    <w:rsid w:val="00CB291C"/>
    <w:rsid w:val="00CB2EDD"/>
    <w:rsid w:val="00CB3B51"/>
    <w:rsid w:val="00CB3CA7"/>
    <w:rsid w:val="00CB4024"/>
    <w:rsid w:val="00CB4097"/>
    <w:rsid w:val="00CB411E"/>
    <w:rsid w:val="00CB45CC"/>
    <w:rsid w:val="00CB473E"/>
    <w:rsid w:val="00CB4954"/>
    <w:rsid w:val="00CB54BD"/>
    <w:rsid w:val="00CB59CA"/>
    <w:rsid w:val="00CB5E7B"/>
    <w:rsid w:val="00CB5F97"/>
    <w:rsid w:val="00CB67E9"/>
    <w:rsid w:val="00CB6A6E"/>
    <w:rsid w:val="00CB6BDE"/>
    <w:rsid w:val="00CB7226"/>
    <w:rsid w:val="00CB7444"/>
    <w:rsid w:val="00CB74A8"/>
    <w:rsid w:val="00CB7606"/>
    <w:rsid w:val="00CB7A8C"/>
    <w:rsid w:val="00CC04C6"/>
    <w:rsid w:val="00CC07B6"/>
    <w:rsid w:val="00CC0942"/>
    <w:rsid w:val="00CC1030"/>
    <w:rsid w:val="00CC1224"/>
    <w:rsid w:val="00CC1B63"/>
    <w:rsid w:val="00CC1E5B"/>
    <w:rsid w:val="00CC1F77"/>
    <w:rsid w:val="00CC2086"/>
    <w:rsid w:val="00CC216D"/>
    <w:rsid w:val="00CC257A"/>
    <w:rsid w:val="00CC2E04"/>
    <w:rsid w:val="00CC30B0"/>
    <w:rsid w:val="00CC3839"/>
    <w:rsid w:val="00CC3985"/>
    <w:rsid w:val="00CC4495"/>
    <w:rsid w:val="00CC462A"/>
    <w:rsid w:val="00CC4B72"/>
    <w:rsid w:val="00CC5235"/>
    <w:rsid w:val="00CC572D"/>
    <w:rsid w:val="00CC5E72"/>
    <w:rsid w:val="00CC5F56"/>
    <w:rsid w:val="00CC6279"/>
    <w:rsid w:val="00CC6BF6"/>
    <w:rsid w:val="00CC7416"/>
    <w:rsid w:val="00CC7807"/>
    <w:rsid w:val="00CC7F34"/>
    <w:rsid w:val="00CD03AC"/>
    <w:rsid w:val="00CD09F0"/>
    <w:rsid w:val="00CD1A0E"/>
    <w:rsid w:val="00CD22EA"/>
    <w:rsid w:val="00CD34FC"/>
    <w:rsid w:val="00CD442C"/>
    <w:rsid w:val="00CD4ABB"/>
    <w:rsid w:val="00CD660F"/>
    <w:rsid w:val="00CD66EB"/>
    <w:rsid w:val="00CD6E3F"/>
    <w:rsid w:val="00CD724E"/>
    <w:rsid w:val="00CD74D0"/>
    <w:rsid w:val="00CD7958"/>
    <w:rsid w:val="00CE0359"/>
    <w:rsid w:val="00CE03EE"/>
    <w:rsid w:val="00CE168F"/>
    <w:rsid w:val="00CE18E5"/>
    <w:rsid w:val="00CE3B27"/>
    <w:rsid w:val="00CE4115"/>
    <w:rsid w:val="00CE4A25"/>
    <w:rsid w:val="00CE5C7F"/>
    <w:rsid w:val="00CE6023"/>
    <w:rsid w:val="00CE65C7"/>
    <w:rsid w:val="00CE6A8C"/>
    <w:rsid w:val="00CE745E"/>
    <w:rsid w:val="00CE76E4"/>
    <w:rsid w:val="00CE794F"/>
    <w:rsid w:val="00CF013A"/>
    <w:rsid w:val="00CF0E1F"/>
    <w:rsid w:val="00CF1139"/>
    <w:rsid w:val="00CF13E3"/>
    <w:rsid w:val="00CF2CA7"/>
    <w:rsid w:val="00CF37CF"/>
    <w:rsid w:val="00CF490F"/>
    <w:rsid w:val="00CF4B24"/>
    <w:rsid w:val="00CF524F"/>
    <w:rsid w:val="00CF5674"/>
    <w:rsid w:val="00CF6120"/>
    <w:rsid w:val="00CF6215"/>
    <w:rsid w:val="00CF6B80"/>
    <w:rsid w:val="00CF726B"/>
    <w:rsid w:val="00CF763A"/>
    <w:rsid w:val="00CF76B0"/>
    <w:rsid w:val="00CF780D"/>
    <w:rsid w:val="00CF7F9B"/>
    <w:rsid w:val="00D00A1D"/>
    <w:rsid w:val="00D00B5B"/>
    <w:rsid w:val="00D00E31"/>
    <w:rsid w:val="00D01CF6"/>
    <w:rsid w:val="00D01FBC"/>
    <w:rsid w:val="00D0281E"/>
    <w:rsid w:val="00D02EA2"/>
    <w:rsid w:val="00D030BC"/>
    <w:rsid w:val="00D032DD"/>
    <w:rsid w:val="00D03D05"/>
    <w:rsid w:val="00D03F9C"/>
    <w:rsid w:val="00D04C3F"/>
    <w:rsid w:val="00D0552F"/>
    <w:rsid w:val="00D057DC"/>
    <w:rsid w:val="00D067C3"/>
    <w:rsid w:val="00D0700A"/>
    <w:rsid w:val="00D07F4B"/>
    <w:rsid w:val="00D07F7E"/>
    <w:rsid w:val="00D10221"/>
    <w:rsid w:val="00D108CB"/>
    <w:rsid w:val="00D10D6D"/>
    <w:rsid w:val="00D10D88"/>
    <w:rsid w:val="00D111E0"/>
    <w:rsid w:val="00D113AA"/>
    <w:rsid w:val="00D118C5"/>
    <w:rsid w:val="00D1195D"/>
    <w:rsid w:val="00D124E5"/>
    <w:rsid w:val="00D12E76"/>
    <w:rsid w:val="00D13374"/>
    <w:rsid w:val="00D137DC"/>
    <w:rsid w:val="00D1381D"/>
    <w:rsid w:val="00D140AF"/>
    <w:rsid w:val="00D14197"/>
    <w:rsid w:val="00D145BD"/>
    <w:rsid w:val="00D155AE"/>
    <w:rsid w:val="00D15971"/>
    <w:rsid w:val="00D15E65"/>
    <w:rsid w:val="00D1611D"/>
    <w:rsid w:val="00D1694D"/>
    <w:rsid w:val="00D16DC4"/>
    <w:rsid w:val="00D170E3"/>
    <w:rsid w:val="00D1717D"/>
    <w:rsid w:val="00D1753C"/>
    <w:rsid w:val="00D1793C"/>
    <w:rsid w:val="00D17DD0"/>
    <w:rsid w:val="00D20554"/>
    <w:rsid w:val="00D2094D"/>
    <w:rsid w:val="00D21466"/>
    <w:rsid w:val="00D21916"/>
    <w:rsid w:val="00D22B54"/>
    <w:rsid w:val="00D23179"/>
    <w:rsid w:val="00D23898"/>
    <w:rsid w:val="00D23ECA"/>
    <w:rsid w:val="00D246E5"/>
    <w:rsid w:val="00D247F2"/>
    <w:rsid w:val="00D24BE6"/>
    <w:rsid w:val="00D24C24"/>
    <w:rsid w:val="00D25451"/>
    <w:rsid w:val="00D2610D"/>
    <w:rsid w:val="00D262B4"/>
    <w:rsid w:val="00D267D7"/>
    <w:rsid w:val="00D26C40"/>
    <w:rsid w:val="00D26D2B"/>
    <w:rsid w:val="00D26E59"/>
    <w:rsid w:val="00D26F32"/>
    <w:rsid w:val="00D27CD0"/>
    <w:rsid w:val="00D27FC3"/>
    <w:rsid w:val="00D3070A"/>
    <w:rsid w:val="00D311EE"/>
    <w:rsid w:val="00D316D2"/>
    <w:rsid w:val="00D318EB"/>
    <w:rsid w:val="00D322EB"/>
    <w:rsid w:val="00D32EF3"/>
    <w:rsid w:val="00D337C4"/>
    <w:rsid w:val="00D33F0B"/>
    <w:rsid w:val="00D33F23"/>
    <w:rsid w:val="00D33FB9"/>
    <w:rsid w:val="00D3421D"/>
    <w:rsid w:val="00D34978"/>
    <w:rsid w:val="00D35080"/>
    <w:rsid w:val="00D35A5B"/>
    <w:rsid w:val="00D37CE8"/>
    <w:rsid w:val="00D37D52"/>
    <w:rsid w:val="00D40763"/>
    <w:rsid w:val="00D40FF8"/>
    <w:rsid w:val="00D411FD"/>
    <w:rsid w:val="00D41C82"/>
    <w:rsid w:val="00D41DB9"/>
    <w:rsid w:val="00D42A1F"/>
    <w:rsid w:val="00D42C8C"/>
    <w:rsid w:val="00D42E27"/>
    <w:rsid w:val="00D443A8"/>
    <w:rsid w:val="00D44408"/>
    <w:rsid w:val="00D44B08"/>
    <w:rsid w:val="00D45A07"/>
    <w:rsid w:val="00D45BFA"/>
    <w:rsid w:val="00D46043"/>
    <w:rsid w:val="00D46298"/>
    <w:rsid w:val="00D46EBA"/>
    <w:rsid w:val="00D47D76"/>
    <w:rsid w:val="00D50161"/>
    <w:rsid w:val="00D5028A"/>
    <w:rsid w:val="00D50367"/>
    <w:rsid w:val="00D51224"/>
    <w:rsid w:val="00D51867"/>
    <w:rsid w:val="00D51BC4"/>
    <w:rsid w:val="00D51C69"/>
    <w:rsid w:val="00D51EC6"/>
    <w:rsid w:val="00D5256D"/>
    <w:rsid w:val="00D5297D"/>
    <w:rsid w:val="00D53E66"/>
    <w:rsid w:val="00D558E5"/>
    <w:rsid w:val="00D55D07"/>
    <w:rsid w:val="00D5609D"/>
    <w:rsid w:val="00D5660E"/>
    <w:rsid w:val="00D56C60"/>
    <w:rsid w:val="00D56DA7"/>
    <w:rsid w:val="00D57011"/>
    <w:rsid w:val="00D57162"/>
    <w:rsid w:val="00D57465"/>
    <w:rsid w:val="00D57AFA"/>
    <w:rsid w:val="00D60493"/>
    <w:rsid w:val="00D6062D"/>
    <w:rsid w:val="00D60894"/>
    <w:rsid w:val="00D61D1A"/>
    <w:rsid w:val="00D62383"/>
    <w:rsid w:val="00D62454"/>
    <w:rsid w:val="00D62719"/>
    <w:rsid w:val="00D62750"/>
    <w:rsid w:val="00D62988"/>
    <w:rsid w:val="00D630E2"/>
    <w:rsid w:val="00D633DD"/>
    <w:rsid w:val="00D6427C"/>
    <w:rsid w:val="00D645CD"/>
    <w:rsid w:val="00D659F2"/>
    <w:rsid w:val="00D6637B"/>
    <w:rsid w:val="00D676E0"/>
    <w:rsid w:val="00D67C29"/>
    <w:rsid w:val="00D7021A"/>
    <w:rsid w:val="00D722F2"/>
    <w:rsid w:val="00D7298D"/>
    <w:rsid w:val="00D7331E"/>
    <w:rsid w:val="00D73B67"/>
    <w:rsid w:val="00D73F4F"/>
    <w:rsid w:val="00D743EA"/>
    <w:rsid w:val="00D74A17"/>
    <w:rsid w:val="00D751AA"/>
    <w:rsid w:val="00D756A4"/>
    <w:rsid w:val="00D75D3B"/>
    <w:rsid w:val="00D766B9"/>
    <w:rsid w:val="00D77E7F"/>
    <w:rsid w:val="00D77EFB"/>
    <w:rsid w:val="00D80A78"/>
    <w:rsid w:val="00D80B3A"/>
    <w:rsid w:val="00D80F9A"/>
    <w:rsid w:val="00D81280"/>
    <w:rsid w:val="00D812BE"/>
    <w:rsid w:val="00D81BC9"/>
    <w:rsid w:val="00D823E3"/>
    <w:rsid w:val="00D8244A"/>
    <w:rsid w:val="00D824F9"/>
    <w:rsid w:val="00D8252F"/>
    <w:rsid w:val="00D82E7F"/>
    <w:rsid w:val="00D833CA"/>
    <w:rsid w:val="00D83943"/>
    <w:rsid w:val="00D83C97"/>
    <w:rsid w:val="00D83D6F"/>
    <w:rsid w:val="00D853A9"/>
    <w:rsid w:val="00D85480"/>
    <w:rsid w:val="00D85608"/>
    <w:rsid w:val="00D85849"/>
    <w:rsid w:val="00D86046"/>
    <w:rsid w:val="00D86132"/>
    <w:rsid w:val="00D865FA"/>
    <w:rsid w:val="00D86C22"/>
    <w:rsid w:val="00D86C91"/>
    <w:rsid w:val="00D86FBA"/>
    <w:rsid w:val="00D87B7B"/>
    <w:rsid w:val="00D904DC"/>
    <w:rsid w:val="00D9074E"/>
    <w:rsid w:val="00D90DF1"/>
    <w:rsid w:val="00D91117"/>
    <w:rsid w:val="00D911B7"/>
    <w:rsid w:val="00D922A9"/>
    <w:rsid w:val="00D92779"/>
    <w:rsid w:val="00D92908"/>
    <w:rsid w:val="00D929B6"/>
    <w:rsid w:val="00D92DF9"/>
    <w:rsid w:val="00D92E7F"/>
    <w:rsid w:val="00D93929"/>
    <w:rsid w:val="00D93ECB"/>
    <w:rsid w:val="00D93F58"/>
    <w:rsid w:val="00D94387"/>
    <w:rsid w:val="00D94A39"/>
    <w:rsid w:val="00D95EB6"/>
    <w:rsid w:val="00D95F14"/>
    <w:rsid w:val="00D96485"/>
    <w:rsid w:val="00D96B47"/>
    <w:rsid w:val="00D96BE3"/>
    <w:rsid w:val="00D97209"/>
    <w:rsid w:val="00D97929"/>
    <w:rsid w:val="00DA036E"/>
    <w:rsid w:val="00DA0A28"/>
    <w:rsid w:val="00DA0A70"/>
    <w:rsid w:val="00DA16B4"/>
    <w:rsid w:val="00DA2401"/>
    <w:rsid w:val="00DA2A2F"/>
    <w:rsid w:val="00DA2A88"/>
    <w:rsid w:val="00DA3111"/>
    <w:rsid w:val="00DA35F5"/>
    <w:rsid w:val="00DA4070"/>
    <w:rsid w:val="00DA47BE"/>
    <w:rsid w:val="00DA4E78"/>
    <w:rsid w:val="00DA5D10"/>
    <w:rsid w:val="00DA5E5D"/>
    <w:rsid w:val="00DA7AA0"/>
    <w:rsid w:val="00DB0E3F"/>
    <w:rsid w:val="00DB109F"/>
    <w:rsid w:val="00DB17F8"/>
    <w:rsid w:val="00DB1812"/>
    <w:rsid w:val="00DB1A03"/>
    <w:rsid w:val="00DB1DE5"/>
    <w:rsid w:val="00DB222F"/>
    <w:rsid w:val="00DB24C9"/>
    <w:rsid w:val="00DB2BD3"/>
    <w:rsid w:val="00DB2FAE"/>
    <w:rsid w:val="00DB392E"/>
    <w:rsid w:val="00DB3F80"/>
    <w:rsid w:val="00DB46EA"/>
    <w:rsid w:val="00DB4A41"/>
    <w:rsid w:val="00DB4F24"/>
    <w:rsid w:val="00DB6447"/>
    <w:rsid w:val="00DB6B60"/>
    <w:rsid w:val="00DC0513"/>
    <w:rsid w:val="00DC1A0F"/>
    <w:rsid w:val="00DC2100"/>
    <w:rsid w:val="00DC2253"/>
    <w:rsid w:val="00DC23CC"/>
    <w:rsid w:val="00DC2CD0"/>
    <w:rsid w:val="00DC3E74"/>
    <w:rsid w:val="00DC3FCE"/>
    <w:rsid w:val="00DC44A7"/>
    <w:rsid w:val="00DC44D0"/>
    <w:rsid w:val="00DC4658"/>
    <w:rsid w:val="00DC5146"/>
    <w:rsid w:val="00DC543E"/>
    <w:rsid w:val="00DC589E"/>
    <w:rsid w:val="00DC61A4"/>
    <w:rsid w:val="00DC6626"/>
    <w:rsid w:val="00DC7B06"/>
    <w:rsid w:val="00DC7D98"/>
    <w:rsid w:val="00DD0AE8"/>
    <w:rsid w:val="00DD0E42"/>
    <w:rsid w:val="00DD19BA"/>
    <w:rsid w:val="00DD1FE8"/>
    <w:rsid w:val="00DD389D"/>
    <w:rsid w:val="00DD3D03"/>
    <w:rsid w:val="00DD4409"/>
    <w:rsid w:val="00DD4741"/>
    <w:rsid w:val="00DD6709"/>
    <w:rsid w:val="00DD697E"/>
    <w:rsid w:val="00DD78E2"/>
    <w:rsid w:val="00DD7F93"/>
    <w:rsid w:val="00DE0E94"/>
    <w:rsid w:val="00DE1347"/>
    <w:rsid w:val="00DE1640"/>
    <w:rsid w:val="00DE1D0C"/>
    <w:rsid w:val="00DE208C"/>
    <w:rsid w:val="00DE3086"/>
    <w:rsid w:val="00DE3100"/>
    <w:rsid w:val="00DE3515"/>
    <w:rsid w:val="00DE392B"/>
    <w:rsid w:val="00DE3D9A"/>
    <w:rsid w:val="00DE3EA9"/>
    <w:rsid w:val="00DE48E8"/>
    <w:rsid w:val="00DE55A3"/>
    <w:rsid w:val="00DE56CE"/>
    <w:rsid w:val="00DE57D2"/>
    <w:rsid w:val="00DE5914"/>
    <w:rsid w:val="00DE5E1F"/>
    <w:rsid w:val="00DE628B"/>
    <w:rsid w:val="00DE6735"/>
    <w:rsid w:val="00DE6A4D"/>
    <w:rsid w:val="00DE716D"/>
    <w:rsid w:val="00DE78A7"/>
    <w:rsid w:val="00DF02EC"/>
    <w:rsid w:val="00DF0AB4"/>
    <w:rsid w:val="00DF0D5A"/>
    <w:rsid w:val="00DF0F24"/>
    <w:rsid w:val="00DF0FB8"/>
    <w:rsid w:val="00DF1C6D"/>
    <w:rsid w:val="00DF1CE6"/>
    <w:rsid w:val="00DF2EB4"/>
    <w:rsid w:val="00DF3437"/>
    <w:rsid w:val="00DF4E0D"/>
    <w:rsid w:val="00DF5A58"/>
    <w:rsid w:val="00DF5B42"/>
    <w:rsid w:val="00DF6048"/>
    <w:rsid w:val="00DF6735"/>
    <w:rsid w:val="00DF6C8A"/>
    <w:rsid w:val="00DF6FF7"/>
    <w:rsid w:val="00DF7306"/>
    <w:rsid w:val="00DF76E9"/>
    <w:rsid w:val="00DF78DC"/>
    <w:rsid w:val="00E00C32"/>
    <w:rsid w:val="00E01167"/>
    <w:rsid w:val="00E013EC"/>
    <w:rsid w:val="00E0148B"/>
    <w:rsid w:val="00E020AC"/>
    <w:rsid w:val="00E02676"/>
    <w:rsid w:val="00E02F3A"/>
    <w:rsid w:val="00E0336C"/>
    <w:rsid w:val="00E034D1"/>
    <w:rsid w:val="00E03FE2"/>
    <w:rsid w:val="00E044F1"/>
    <w:rsid w:val="00E04A4F"/>
    <w:rsid w:val="00E05347"/>
    <w:rsid w:val="00E05CE3"/>
    <w:rsid w:val="00E069D8"/>
    <w:rsid w:val="00E06A51"/>
    <w:rsid w:val="00E07338"/>
    <w:rsid w:val="00E074D9"/>
    <w:rsid w:val="00E07666"/>
    <w:rsid w:val="00E077AD"/>
    <w:rsid w:val="00E11953"/>
    <w:rsid w:val="00E12053"/>
    <w:rsid w:val="00E12536"/>
    <w:rsid w:val="00E12958"/>
    <w:rsid w:val="00E135FE"/>
    <w:rsid w:val="00E1390C"/>
    <w:rsid w:val="00E13DCC"/>
    <w:rsid w:val="00E13EED"/>
    <w:rsid w:val="00E15EC7"/>
    <w:rsid w:val="00E162B3"/>
    <w:rsid w:val="00E16464"/>
    <w:rsid w:val="00E16A61"/>
    <w:rsid w:val="00E16CA1"/>
    <w:rsid w:val="00E173E9"/>
    <w:rsid w:val="00E177E3"/>
    <w:rsid w:val="00E17A3E"/>
    <w:rsid w:val="00E17E9F"/>
    <w:rsid w:val="00E20B2B"/>
    <w:rsid w:val="00E20CE2"/>
    <w:rsid w:val="00E216B6"/>
    <w:rsid w:val="00E21B2C"/>
    <w:rsid w:val="00E21F0F"/>
    <w:rsid w:val="00E22C05"/>
    <w:rsid w:val="00E22D67"/>
    <w:rsid w:val="00E231D0"/>
    <w:rsid w:val="00E23885"/>
    <w:rsid w:val="00E23990"/>
    <w:rsid w:val="00E23ED6"/>
    <w:rsid w:val="00E23FB5"/>
    <w:rsid w:val="00E245F3"/>
    <w:rsid w:val="00E24C81"/>
    <w:rsid w:val="00E25513"/>
    <w:rsid w:val="00E258EA"/>
    <w:rsid w:val="00E25EB3"/>
    <w:rsid w:val="00E25ECF"/>
    <w:rsid w:val="00E25F16"/>
    <w:rsid w:val="00E27393"/>
    <w:rsid w:val="00E30417"/>
    <w:rsid w:val="00E30441"/>
    <w:rsid w:val="00E3062E"/>
    <w:rsid w:val="00E31234"/>
    <w:rsid w:val="00E31D34"/>
    <w:rsid w:val="00E32790"/>
    <w:rsid w:val="00E32E0D"/>
    <w:rsid w:val="00E33D52"/>
    <w:rsid w:val="00E34090"/>
    <w:rsid w:val="00E34B60"/>
    <w:rsid w:val="00E3541C"/>
    <w:rsid w:val="00E35810"/>
    <w:rsid w:val="00E35B72"/>
    <w:rsid w:val="00E35E63"/>
    <w:rsid w:val="00E362A2"/>
    <w:rsid w:val="00E36AE1"/>
    <w:rsid w:val="00E37C24"/>
    <w:rsid w:val="00E400BC"/>
    <w:rsid w:val="00E401C6"/>
    <w:rsid w:val="00E40395"/>
    <w:rsid w:val="00E407F2"/>
    <w:rsid w:val="00E409AB"/>
    <w:rsid w:val="00E40BC1"/>
    <w:rsid w:val="00E41629"/>
    <w:rsid w:val="00E41688"/>
    <w:rsid w:val="00E41711"/>
    <w:rsid w:val="00E4209C"/>
    <w:rsid w:val="00E421E6"/>
    <w:rsid w:val="00E4222D"/>
    <w:rsid w:val="00E42B9B"/>
    <w:rsid w:val="00E42BE1"/>
    <w:rsid w:val="00E4427F"/>
    <w:rsid w:val="00E4456F"/>
    <w:rsid w:val="00E450C8"/>
    <w:rsid w:val="00E45298"/>
    <w:rsid w:val="00E454CD"/>
    <w:rsid w:val="00E45644"/>
    <w:rsid w:val="00E457A5"/>
    <w:rsid w:val="00E4584A"/>
    <w:rsid w:val="00E458B7"/>
    <w:rsid w:val="00E459B6"/>
    <w:rsid w:val="00E45E2A"/>
    <w:rsid w:val="00E45E47"/>
    <w:rsid w:val="00E45F82"/>
    <w:rsid w:val="00E45FBF"/>
    <w:rsid w:val="00E45FD3"/>
    <w:rsid w:val="00E47137"/>
    <w:rsid w:val="00E47F2B"/>
    <w:rsid w:val="00E502C2"/>
    <w:rsid w:val="00E520EA"/>
    <w:rsid w:val="00E52DFF"/>
    <w:rsid w:val="00E53867"/>
    <w:rsid w:val="00E53AF6"/>
    <w:rsid w:val="00E54242"/>
    <w:rsid w:val="00E54A53"/>
    <w:rsid w:val="00E5535F"/>
    <w:rsid w:val="00E56EA3"/>
    <w:rsid w:val="00E56F49"/>
    <w:rsid w:val="00E5732D"/>
    <w:rsid w:val="00E57362"/>
    <w:rsid w:val="00E5749E"/>
    <w:rsid w:val="00E57613"/>
    <w:rsid w:val="00E5799D"/>
    <w:rsid w:val="00E603E9"/>
    <w:rsid w:val="00E60580"/>
    <w:rsid w:val="00E606F4"/>
    <w:rsid w:val="00E6074D"/>
    <w:rsid w:val="00E608C1"/>
    <w:rsid w:val="00E60969"/>
    <w:rsid w:val="00E611CD"/>
    <w:rsid w:val="00E6135D"/>
    <w:rsid w:val="00E61417"/>
    <w:rsid w:val="00E61848"/>
    <w:rsid w:val="00E61CB9"/>
    <w:rsid w:val="00E6212B"/>
    <w:rsid w:val="00E622B1"/>
    <w:rsid w:val="00E627D4"/>
    <w:rsid w:val="00E6357F"/>
    <w:rsid w:val="00E63BE7"/>
    <w:rsid w:val="00E645BE"/>
    <w:rsid w:val="00E6485E"/>
    <w:rsid w:val="00E65495"/>
    <w:rsid w:val="00E6575D"/>
    <w:rsid w:val="00E65AB4"/>
    <w:rsid w:val="00E65ADE"/>
    <w:rsid w:val="00E65AE1"/>
    <w:rsid w:val="00E66C69"/>
    <w:rsid w:val="00E67499"/>
    <w:rsid w:val="00E70528"/>
    <w:rsid w:val="00E70A0E"/>
    <w:rsid w:val="00E71311"/>
    <w:rsid w:val="00E71F90"/>
    <w:rsid w:val="00E726C6"/>
    <w:rsid w:val="00E72A93"/>
    <w:rsid w:val="00E72CF3"/>
    <w:rsid w:val="00E72FF0"/>
    <w:rsid w:val="00E73619"/>
    <w:rsid w:val="00E7397D"/>
    <w:rsid w:val="00E74F5B"/>
    <w:rsid w:val="00E750D7"/>
    <w:rsid w:val="00E75486"/>
    <w:rsid w:val="00E777A2"/>
    <w:rsid w:val="00E77801"/>
    <w:rsid w:val="00E77A18"/>
    <w:rsid w:val="00E80368"/>
    <w:rsid w:val="00E808B0"/>
    <w:rsid w:val="00E80A18"/>
    <w:rsid w:val="00E80EF7"/>
    <w:rsid w:val="00E81526"/>
    <w:rsid w:val="00E82699"/>
    <w:rsid w:val="00E82741"/>
    <w:rsid w:val="00E82C1D"/>
    <w:rsid w:val="00E8391A"/>
    <w:rsid w:val="00E856A9"/>
    <w:rsid w:val="00E86231"/>
    <w:rsid w:val="00E8649A"/>
    <w:rsid w:val="00E86AD5"/>
    <w:rsid w:val="00E8710E"/>
    <w:rsid w:val="00E90182"/>
    <w:rsid w:val="00E925BE"/>
    <w:rsid w:val="00E92887"/>
    <w:rsid w:val="00E92ED7"/>
    <w:rsid w:val="00E93223"/>
    <w:rsid w:val="00E93D96"/>
    <w:rsid w:val="00E9695B"/>
    <w:rsid w:val="00E96E1D"/>
    <w:rsid w:val="00E970A1"/>
    <w:rsid w:val="00E974AA"/>
    <w:rsid w:val="00E97B64"/>
    <w:rsid w:val="00EA0A30"/>
    <w:rsid w:val="00EA0B4B"/>
    <w:rsid w:val="00EA0DC4"/>
    <w:rsid w:val="00EA0E12"/>
    <w:rsid w:val="00EA109C"/>
    <w:rsid w:val="00EA1368"/>
    <w:rsid w:val="00EA15A1"/>
    <w:rsid w:val="00EA18F2"/>
    <w:rsid w:val="00EA1A4C"/>
    <w:rsid w:val="00EA1BB5"/>
    <w:rsid w:val="00EA1CEA"/>
    <w:rsid w:val="00EA1F2D"/>
    <w:rsid w:val="00EA22DF"/>
    <w:rsid w:val="00EA2BDA"/>
    <w:rsid w:val="00EA2DA9"/>
    <w:rsid w:val="00EA3770"/>
    <w:rsid w:val="00EA3E1C"/>
    <w:rsid w:val="00EA3E7A"/>
    <w:rsid w:val="00EA424F"/>
    <w:rsid w:val="00EA442C"/>
    <w:rsid w:val="00EA454C"/>
    <w:rsid w:val="00EA45F9"/>
    <w:rsid w:val="00EA5078"/>
    <w:rsid w:val="00EA640A"/>
    <w:rsid w:val="00EA68B3"/>
    <w:rsid w:val="00EA6ABA"/>
    <w:rsid w:val="00EA72B1"/>
    <w:rsid w:val="00EA7C5A"/>
    <w:rsid w:val="00EA7D3B"/>
    <w:rsid w:val="00EA7DB6"/>
    <w:rsid w:val="00EA7EA0"/>
    <w:rsid w:val="00EB028F"/>
    <w:rsid w:val="00EB1281"/>
    <w:rsid w:val="00EB15B8"/>
    <w:rsid w:val="00EB1ECA"/>
    <w:rsid w:val="00EB1FB2"/>
    <w:rsid w:val="00EB4246"/>
    <w:rsid w:val="00EB46F9"/>
    <w:rsid w:val="00EB4B6B"/>
    <w:rsid w:val="00EB539C"/>
    <w:rsid w:val="00EB567D"/>
    <w:rsid w:val="00EB5C01"/>
    <w:rsid w:val="00EB5DFF"/>
    <w:rsid w:val="00EB5EBA"/>
    <w:rsid w:val="00EB6AED"/>
    <w:rsid w:val="00EB6C84"/>
    <w:rsid w:val="00EB6CAC"/>
    <w:rsid w:val="00EB7340"/>
    <w:rsid w:val="00EB7450"/>
    <w:rsid w:val="00EB754B"/>
    <w:rsid w:val="00EB7763"/>
    <w:rsid w:val="00EB7794"/>
    <w:rsid w:val="00EC0312"/>
    <w:rsid w:val="00EC03EB"/>
    <w:rsid w:val="00EC0577"/>
    <w:rsid w:val="00EC1286"/>
    <w:rsid w:val="00EC17A6"/>
    <w:rsid w:val="00EC1FCB"/>
    <w:rsid w:val="00EC24F4"/>
    <w:rsid w:val="00EC2EB0"/>
    <w:rsid w:val="00EC33DE"/>
    <w:rsid w:val="00EC39CC"/>
    <w:rsid w:val="00EC3BAB"/>
    <w:rsid w:val="00EC3F0A"/>
    <w:rsid w:val="00EC492B"/>
    <w:rsid w:val="00EC4B14"/>
    <w:rsid w:val="00EC4BFE"/>
    <w:rsid w:val="00EC5A54"/>
    <w:rsid w:val="00EC6375"/>
    <w:rsid w:val="00EC6397"/>
    <w:rsid w:val="00EC6468"/>
    <w:rsid w:val="00EC6510"/>
    <w:rsid w:val="00EC6F8D"/>
    <w:rsid w:val="00EC7136"/>
    <w:rsid w:val="00EC788F"/>
    <w:rsid w:val="00EC7D76"/>
    <w:rsid w:val="00ED08FA"/>
    <w:rsid w:val="00ED10AF"/>
    <w:rsid w:val="00ED1D7E"/>
    <w:rsid w:val="00ED2443"/>
    <w:rsid w:val="00ED2635"/>
    <w:rsid w:val="00ED2C78"/>
    <w:rsid w:val="00ED3105"/>
    <w:rsid w:val="00ED3471"/>
    <w:rsid w:val="00ED37D9"/>
    <w:rsid w:val="00ED3F0E"/>
    <w:rsid w:val="00ED4C98"/>
    <w:rsid w:val="00ED54A4"/>
    <w:rsid w:val="00ED58B8"/>
    <w:rsid w:val="00ED6CEE"/>
    <w:rsid w:val="00ED74F5"/>
    <w:rsid w:val="00ED7A0A"/>
    <w:rsid w:val="00ED7C06"/>
    <w:rsid w:val="00ED7F99"/>
    <w:rsid w:val="00EE051E"/>
    <w:rsid w:val="00EE072E"/>
    <w:rsid w:val="00EE0B2B"/>
    <w:rsid w:val="00EE1173"/>
    <w:rsid w:val="00EE11FB"/>
    <w:rsid w:val="00EE1740"/>
    <w:rsid w:val="00EE193D"/>
    <w:rsid w:val="00EE29AA"/>
    <w:rsid w:val="00EE4111"/>
    <w:rsid w:val="00EE42EB"/>
    <w:rsid w:val="00EE457E"/>
    <w:rsid w:val="00EE499A"/>
    <w:rsid w:val="00EE4BC3"/>
    <w:rsid w:val="00EE56FA"/>
    <w:rsid w:val="00EE5B92"/>
    <w:rsid w:val="00EE5EC5"/>
    <w:rsid w:val="00EE6DB1"/>
    <w:rsid w:val="00EE6E96"/>
    <w:rsid w:val="00EE7091"/>
    <w:rsid w:val="00EE7237"/>
    <w:rsid w:val="00EE74BF"/>
    <w:rsid w:val="00EE7EAF"/>
    <w:rsid w:val="00EE7EBE"/>
    <w:rsid w:val="00EF07A6"/>
    <w:rsid w:val="00EF088F"/>
    <w:rsid w:val="00EF0F10"/>
    <w:rsid w:val="00EF1252"/>
    <w:rsid w:val="00EF15FA"/>
    <w:rsid w:val="00EF2650"/>
    <w:rsid w:val="00EF269F"/>
    <w:rsid w:val="00EF37CF"/>
    <w:rsid w:val="00EF407B"/>
    <w:rsid w:val="00EF5AD4"/>
    <w:rsid w:val="00EF6028"/>
    <w:rsid w:val="00EF618B"/>
    <w:rsid w:val="00EF67A6"/>
    <w:rsid w:val="00EF6CA7"/>
    <w:rsid w:val="00EF70C8"/>
    <w:rsid w:val="00EF713D"/>
    <w:rsid w:val="00EF726D"/>
    <w:rsid w:val="00EF7557"/>
    <w:rsid w:val="00EF7D25"/>
    <w:rsid w:val="00F0076C"/>
    <w:rsid w:val="00F00820"/>
    <w:rsid w:val="00F01196"/>
    <w:rsid w:val="00F027A0"/>
    <w:rsid w:val="00F02DF7"/>
    <w:rsid w:val="00F03D26"/>
    <w:rsid w:val="00F0499E"/>
    <w:rsid w:val="00F05157"/>
    <w:rsid w:val="00F05391"/>
    <w:rsid w:val="00F05A9F"/>
    <w:rsid w:val="00F0677D"/>
    <w:rsid w:val="00F06938"/>
    <w:rsid w:val="00F069BD"/>
    <w:rsid w:val="00F07995"/>
    <w:rsid w:val="00F07D11"/>
    <w:rsid w:val="00F1061C"/>
    <w:rsid w:val="00F10F9E"/>
    <w:rsid w:val="00F10FE2"/>
    <w:rsid w:val="00F113B0"/>
    <w:rsid w:val="00F12160"/>
    <w:rsid w:val="00F125F2"/>
    <w:rsid w:val="00F13BC7"/>
    <w:rsid w:val="00F14B24"/>
    <w:rsid w:val="00F160E8"/>
    <w:rsid w:val="00F16501"/>
    <w:rsid w:val="00F1654B"/>
    <w:rsid w:val="00F1691F"/>
    <w:rsid w:val="00F17368"/>
    <w:rsid w:val="00F177F7"/>
    <w:rsid w:val="00F20158"/>
    <w:rsid w:val="00F20275"/>
    <w:rsid w:val="00F209A4"/>
    <w:rsid w:val="00F22286"/>
    <w:rsid w:val="00F224D5"/>
    <w:rsid w:val="00F22517"/>
    <w:rsid w:val="00F22BF1"/>
    <w:rsid w:val="00F22C0F"/>
    <w:rsid w:val="00F23CDD"/>
    <w:rsid w:val="00F2470B"/>
    <w:rsid w:val="00F25276"/>
    <w:rsid w:val="00F25322"/>
    <w:rsid w:val="00F25411"/>
    <w:rsid w:val="00F25B65"/>
    <w:rsid w:val="00F25E7B"/>
    <w:rsid w:val="00F26693"/>
    <w:rsid w:val="00F27085"/>
    <w:rsid w:val="00F27543"/>
    <w:rsid w:val="00F27EBC"/>
    <w:rsid w:val="00F30D2F"/>
    <w:rsid w:val="00F31AD8"/>
    <w:rsid w:val="00F31F99"/>
    <w:rsid w:val="00F325F5"/>
    <w:rsid w:val="00F333B9"/>
    <w:rsid w:val="00F34783"/>
    <w:rsid w:val="00F348DB"/>
    <w:rsid w:val="00F35BA6"/>
    <w:rsid w:val="00F36AAE"/>
    <w:rsid w:val="00F37A6F"/>
    <w:rsid w:val="00F37F00"/>
    <w:rsid w:val="00F40128"/>
    <w:rsid w:val="00F410F9"/>
    <w:rsid w:val="00F425E0"/>
    <w:rsid w:val="00F4263C"/>
    <w:rsid w:val="00F427A7"/>
    <w:rsid w:val="00F42C8A"/>
    <w:rsid w:val="00F42D11"/>
    <w:rsid w:val="00F4314A"/>
    <w:rsid w:val="00F4314B"/>
    <w:rsid w:val="00F4408A"/>
    <w:rsid w:val="00F44F21"/>
    <w:rsid w:val="00F44FB7"/>
    <w:rsid w:val="00F4507D"/>
    <w:rsid w:val="00F4575E"/>
    <w:rsid w:val="00F45AEB"/>
    <w:rsid w:val="00F45CCD"/>
    <w:rsid w:val="00F45FB6"/>
    <w:rsid w:val="00F46583"/>
    <w:rsid w:val="00F46889"/>
    <w:rsid w:val="00F46EF4"/>
    <w:rsid w:val="00F46F0D"/>
    <w:rsid w:val="00F46F6D"/>
    <w:rsid w:val="00F477B0"/>
    <w:rsid w:val="00F477EE"/>
    <w:rsid w:val="00F47E3D"/>
    <w:rsid w:val="00F50005"/>
    <w:rsid w:val="00F503BB"/>
    <w:rsid w:val="00F50E4C"/>
    <w:rsid w:val="00F50FCC"/>
    <w:rsid w:val="00F5167C"/>
    <w:rsid w:val="00F51D75"/>
    <w:rsid w:val="00F5245B"/>
    <w:rsid w:val="00F52621"/>
    <w:rsid w:val="00F52C0D"/>
    <w:rsid w:val="00F53466"/>
    <w:rsid w:val="00F53619"/>
    <w:rsid w:val="00F53652"/>
    <w:rsid w:val="00F53768"/>
    <w:rsid w:val="00F53E22"/>
    <w:rsid w:val="00F54CD7"/>
    <w:rsid w:val="00F55E08"/>
    <w:rsid w:val="00F5626B"/>
    <w:rsid w:val="00F569F2"/>
    <w:rsid w:val="00F574E2"/>
    <w:rsid w:val="00F578CF"/>
    <w:rsid w:val="00F57B9E"/>
    <w:rsid w:val="00F60BB8"/>
    <w:rsid w:val="00F60E36"/>
    <w:rsid w:val="00F629E2"/>
    <w:rsid w:val="00F63803"/>
    <w:rsid w:val="00F63968"/>
    <w:rsid w:val="00F63D57"/>
    <w:rsid w:val="00F63D9A"/>
    <w:rsid w:val="00F646D6"/>
    <w:rsid w:val="00F64F61"/>
    <w:rsid w:val="00F65246"/>
    <w:rsid w:val="00F65C2B"/>
    <w:rsid w:val="00F65EFF"/>
    <w:rsid w:val="00F6656E"/>
    <w:rsid w:val="00F669D0"/>
    <w:rsid w:val="00F66E0B"/>
    <w:rsid w:val="00F66E22"/>
    <w:rsid w:val="00F67835"/>
    <w:rsid w:val="00F70403"/>
    <w:rsid w:val="00F70B49"/>
    <w:rsid w:val="00F70FCE"/>
    <w:rsid w:val="00F71591"/>
    <w:rsid w:val="00F71F62"/>
    <w:rsid w:val="00F7244A"/>
    <w:rsid w:val="00F724F9"/>
    <w:rsid w:val="00F72597"/>
    <w:rsid w:val="00F72757"/>
    <w:rsid w:val="00F72F87"/>
    <w:rsid w:val="00F73277"/>
    <w:rsid w:val="00F73694"/>
    <w:rsid w:val="00F73EE8"/>
    <w:rsid w:val="00F73F6C"/>
    <w:rsid w:val="00F74266"/>
    <w:rsid w:val="00F74305"/>
    <w:rsid w:val="00F746B7"/>
    <w:rsid w:val="00F7490B"/>
    <w:rsid w:val="00F750B2"/>
    <w:rsid w:val="00F76011"/>
    <w:rsid w:val="00F762CD"/>
    <w:rsid w:val="00F76508"/>
    <w:rsid w:val="00F766D5"/>
    <w:rsid w:val="00F76A2F"/>
    <w:rsid w:val="00F76B24"/>
    <w:rsid w:val="00F770D9"/>
    <w:rsid w:val="00F803E7"/>
    <w:rsid w:val="00F80F61"/>
    <w:rsid w:val="00F81663"/>
    <w:rsid w:val="00F81F9F"/>
    <w:rsid w:val="00F82452"/>
    <w:rsid w:val="00F82D55"/>
    <w:rsid w:val="00F83B2B"/>
    <w:rsid w:val="00F84304"/>
    <w:rsid w:val="00F84C0D"/>
    <w:rsid w:val="00F85EFE"/>
    <w:rsid w:val="00F865DA"/>
    <w:rsid w:val="00F8667B"/>
    <w:rsid w:val="00F8694B"/>
    <w:rsid w:val="00F8704D"/>
    <w:rsid w:val="00F8749C"/>
    <w:rsid w:val="00F87533"/>
    <w:rsid w:val="00F87AA4"/>
    <w:rsid w:val="00F87AC9"/>
    <w:rsid w:val="00F87E14"/>
    <w:rsid w:val="00F87F4C"/>
    <w:rsid w:val="00F9016A"/>
    <w:rsid w:val="00F90268"/>
    <w:rsid w:val="00F90992"/>
    <w:rsid w:val="00F90C18"/>
    <w:rsid w:val="00F90D6C"/>
    <w:rsid w:val="00F911C4"/>
    <w:rsid w:val="00F917BC"/>
    <w:rsid w:val="00F92106"/>
    <w:rsid w:val="00F9275F"/>
    <w:rsid w:val="00F948B0"/>
    <w:rsid w:val="00F94A8C"/>
    <w:rsid w:val="00F95439"/>
    <w:rsid w:val="00F9550C"/>
    <w:rsid w:val="00F9558A"/>
    <w:rsid w:val="00F95E35"/>
    <w:rsid w:val="00F9611D"/>
    <w:rsid w:val="00F9706D"/>
    <w:rsid w:val="00F97957"/>
    <w:rsid w:val="00FA04A2"/>
    <w:rsid w:val="00FA04F1"/>
    <w:rsid w:val="00FA06EB"/>
    <w:rsid w:val="00FA0DF7"/>
    <w:rsid w:val="00FA13D6"/>
    <w:rsid w:val="00FA1D8B"/>
    <w:rsid w:val="00FA1E44"/>
    <w:rsid w:val="00FA2A0E"/>
    <w:rsid w:val="00FA310B"/>
    <w:rsid w:val="00FA3925"/>
    <w:rsid w:val="00FA46C2"/>
    <w:rsid w:val="00FA5EE9"/>
    <w:rsid w:val="00FA60D8"/>
    <w:rsid w:val="00FA67D2"/>
    <w:rsid w:val="00FA6EFE"/>
    <w:rsid w:val="00FB00C8"/>
    <w:rsid w:val="00FB02BE"/>
    <w:rsid w:val="00FB1217"/>
    <w:rsid w:val="00FB196B"/>
    <w:rsid w:val="00FB2246"/>
    <w:rsid w:val="00FB2C8C"/>
    <w:rsid w:val="00FB2D69"/>
    <w:rsid w:val="00FB3683"/>
    <w:rsid w:val="00FB3AA1"/>
    <w:rsid w:val="00FB3DFD"/>
    <w:rsid w:val="00FB3E7B"/>
    <w:rsid w:val="00FB4336"/>
    <w:rsid w:val="00FB46C4"/>
    <w:rsid w:val="00FB471C"/>
    <w:rsid w:val="00FB541D"/>
    <w:rsid w:val="00FB5929"/>
    <w:rsid w:val="00FB600F"/>
    <w:rsid w:val="00FB650E"/>
    <w:rsid w:val="00FB6563"/>
    <w:rsid w:val="00FB705F"/>
    <w:rsid w:val="00FC0270"/>
    <w:rsid w:val="00FC070F"/>
    <w:rsid w:val="00FC217E"/>
    <w:rsid w:val="00FC2580"/>
    <w:rsid w:val="00FC293F"/>
    <w:rsid w:val="00FC2AE3"/>
    <w:rsid w:val="00FC2C4B"/>
    <w:rsid w:val="00FC2EBF"/>
    <w:rsid w:val="00FC3975"/>
    <w:rsid w:val="00FC41F8"/>
    <w:rsid w:val="00FC43C1"/>
    <w:rsid w:val="00FC45C5"/>
    <w:rsid w:val="00FC4EE8"/>
    <w:rsid w:val="00FC6223"/>
    <w:rsid w:val="00FC668B"/>
    <w:rsid w:val="00FC738C"/>
    <w:rsid w:val="00FC7A98"/>
    <w:rsid w:val="00FC7BE0"/>
    <w:rsid w:val="00FD00B0"/>
    <w:rsid w:val="00FD0367"/>
    <w:rsid w:val="00FD0686"/>
    <w:rsid w:val="00FD1436"/>
    <w:rsid w:val="00FD1C62"/>
    <w:rsid w:val="00FD2715"/>
    <w:rsid w:val="00FD3215"/>
    <w:rsid w:val="00FD3531"/>
    <w:rsid w:val="00FD3665"/>
    <w:rsid w:val="00FD386B"/>
    <w:rsid w:val="00FD39C7"/>
    <w:rsid w:val="00FD3BD9"/>
    <w:rsid w:val="00FD3F60"/>
    <w:rsid w:val="00FD51E6"/>
    <w:rsid w:val="00FD541E"/>
    <w:rsid w:val="00FD5494"/>
    <w:rsid w:val="00FD54D7"/>
    <w:rsid w:val="00FD585E"/>
    <w:rsid w:val="00FD5CFA"/>
    <w:rsid w:val="00FD720A"/>
    <w:rsid w:val="00FD7244"/>
    <w:rsid w:val="00FD76DD"/>
    <w:rsid w:val="00FE03F1"/>
    <w:rsid w:val="00FE045C"/>
    <w:rsid w:val="00FE08BB"/>
    <w:rsid w:val="00FE1C16"/>
    <w:rsid w:val="00FE2CCF"/>
    <w:rsid w:val="00FE31AE"/>
    <w:rsid w:val="00FE323B"/>
    <w:rsid w:val="00FE3305"/>
    <w:rsid w:val="00FE3422"/>
    <w:rsid w:val="00FE3957"/>
    <w:rsid w:val="00FE3F2A"/>
    <w:rsid w:val="00FE3F78"/>
    <w:rsid w:val="00FE4604"/>
    <w:rsid w:val="00FE5644"/>
    <w:rsid w:val="00FE58C7"/>
    <w:rsid w:val="00FE5F41"/>
    <w:rsid w:val="00FE6B4D"/>
    <w:rsid w:val="00FE6B53"/>
    <w:rsid w:val="00FE6C5C"/>
    <w:rsid w:val="00FE7403"/>
    <w:rsid w:val="00FF10B5"/>
    <w:rsid w:val="00FF1C5C"/>
    <w:rsid w:val="00FF1D3E"/>
    <w:rsid w:val="00FF2704"/>
    <w:rsid w:val="00FF2C51"/>
    <w:rsid w:val="00FF308F"/>
    <w:rsid w:val="00FF36BF"/>
    <w:rsid w:val="00FF3B9A"/>
    <w:rsid w:val="00FF4ED2"/>
    <w:rsid w:val="00FF5011"/>
    <w:rsid w:val="00FF5C1C"/>
    <w:rsid w:val="00FF5C76"/>
    <w:rsid w:val="00FF5EC4"/>
    <w:rsid w:val="00FF604B"/>
    <w:rsid w:val="00FF6267"/>
    <w:rsid w:val="00FF66EC"/>
    <w:rsid w:val="00FF6AC8"/>
    <w:rsid w:val="00FF6B2B"/>
    <w:rsid w:val="00FF76B5"/>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7F54"/>
    <w:pPr>
      <w:keepNext/>
      <w:keepLines/>
      <w:numPr>
        <w:numId w:val="6"/>
      </w:numPr>
      <w:spacing w:after="120" w:line="240" w:lineRule="auto"/>
      <w:jc w:val="both"/>
      <w:outlineLvl w:val="0"/>
    </w:pPr>
    <w:rPr>
      <w:rFonts w:ascii="Arial" w:eastAsia="Times New Roman" w:hAnsi="Arial" w:cs="Times New Roman"/>
      <w:b/>
      <w:bCs/>
      <w:sz w:val="23"/>
      <w:szCs w:val="28"/>
      <w:lang w:eastAsia="ja-JP"/>
    </w:rPr>
  </w:style>
  <w:style w:type="paragraph" w:styleId="Heading2">
    <w:name w:val="heading 2"/>
    <w:basedOn w:val="Normal"/>
    <w:next w:val="Normal"/>
    <w:link w:val="Heading2Char"/>
    <w:uiPriority w:val="9"/>
    <w:qFormat/>
    <w:rsid w:val="007F7F54"/>
    <w:pPr>
      <w:keepNext/>
      <w:numPr>
        <w:ilvl w:val="1"/>
        <w:numId w:val="6"/>
      </w:numPr>
      <w:spacing w:before="240" w:after="60" w:line="240" w:lineRule="auto"/>
      <w:ind w:left="0"/>
      <w:jc w:val="both"/>
      <w:outlineLvl w:val="1"/>
    </w:pPr>
    <w:rPr>
      <w:rFonts w:ascii="Calibri" w:eastAsia="Times New Roman" w:hAnsi="Calibri" w:cs="Times New Roman"/>
      <w:b/>
      <w:bCs/>
      <w:i/>
      <w:iCs/>
      <w:sz w:val="28"/>
      <w:szCs w:val="28"/>
      <w:lang w:eastAsia="ja-JP"/>
    </w:rPr>
  </w:style>
  <w:style w:type="paragraph" w:styleId="Heading3">
    <w:name w:val="heading 3"/>
    <w:basedOn w:val="Normal"/>
    <w:next w:val="Normal"/>
    <w:link w:val="Heading3Char"/>
    <w:uiPriority w:val="9"/>
    <w:unhideWhenUsed/>
    <w:qFormat/>
    <w:rsid w:val="007F7F54"/>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7F54"/>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F7F54"/>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F7F54"/>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F7F5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F7F5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F7F5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54"/>
    <w:rPr>
      <w:rFonts w:ascii="Arial" w:eastAsia="Times New Roman" w:hAnsi="Arial" w:cs="Times New Roman"/>
      <w:b/>
      <w:bCs/>
      <w:sz w:val="23"/>
      <w:szCs w:val="28"/>
      <w:lang w:eastAsia="ja-JP"/>
    </w:rPr>
  </w:style>
  <w:style w:type="character" w:customStyle="1" w:styleId="Heading2Char">
    <w:name w:val="Heading 2 Char"/>
    <w:basedOn w:val="DefaultParagraphFont"/>
    <w:link w:val="Heading2"/>
    <w:uiPriority w:val="9"/>
    <w:rsid w:val="007F7F54"/>
    <w:rPr>
      <w:rFonts w:ascii="Calibri" w:eastAsia="Times New Roman" w:hAnsi="Calibri" w:cs="Times New Roman"/>
      <w:b/>
      <w:bCs/>
      <w:i/>
      <w:iCs/>
      <w:sz w:val="28"/>
      <w:szCs w:val="28"/>
      <w:lang w:eastAsia="ja-JP"/>
    </w:rPr>
  </w:style>
  <w:style w:type="character" w:customStyle="1" w:styleId="Heading3Char">
    <w:name w:val="Heading 3 Char"/>
    <w:basedOn w:val="DefaultParagraphFont"/>
    <w:link w:val="Heading3"/>
    <w:uiPriority w:val="9"/>
    <w:rsid w:val="007F7F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F7F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F7F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F7F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F7F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F7F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F7F54"/>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4456C1"/>
    <w:rPr>
      <w:color w:val="0000FF" w:themeColor="hyperlink"/>
      <w:u w:val="single"/>
    </w:rPr>
  </w:style>
  <w:style w:type="paragraph" w:styleId="ListParagraph">
    <w:name w:val="List Paragraph"/>
    <w:basedOn w:val="Normal"/>
    <w:uiPriority w:val="34"/>
    <w:qFormat/>
    <w:rsid w:val="00094015"/>
    <w:pPr>
      <w:ind w:left="720"/>
      <w:contextualSpacing/>
    </w:pPr>
  </w:style>
  <w:style w:type="paragraph" w:styleId="CommentText">
    <w:name w:val="annotation text"/>
    <w:basedOn w:val="Normal"/>
    <w:link w:val="CommentTextChar"/>
    <w:uiPriority w:val="99"/>
    <w:unhideWhenUsed/>
    <w:rsid w:val="0097629F"/>
    <w:pPr>
      <w:spacing w:line="240" w:lineRule="auto"/>
      <w:ind w:left="360"/>
    </w:pPr>
    <w:rPr>
      <w:sz w:val="20"/>
      <w:szCs w:val="20"/>
    </w:rPr>
  </w:style>
  <w:style w:type="character" w:customStyle="1" w:styleId="CommentTextChar">
    <w:name w:val="Comment Text Char"/>
    <w:basedOn w:val="DefaultParagraphFont"/>
    <w:link w:val="CommentText"/>
    <w:uiPriority w:val="99"/>
    <w:rsid w:val="008D6FB8"/>
    <w:rPr>
      <w:sz w:val="20"/>
      <w:szCs w:val="20"/>
    </w:rPr>
  </w:style>
  <w:style w:type="paragraph" w:styleId="PlainText">
    <w:name w:val="Plain Text"/>
    <w:basedOn w:val="Normal"/>
    <w:link w:val="PlainTextChar"/>
    <w:uiPriority w:val="99"/>
    <w:unhideWhenUsed/>
    <w:rsid w:val="008D6FB8"/>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D6FB8"/>
    <w:rPr>
      <w:rFonts w:ascii="Calibri" w:eastAsiaTheme="minorHAnsi" w:hAnsi="Calibri"/>
      <w:szCs w:val="21"/>
    </w:rPr>
  </w:style>
  <w:style w:type="paragraph" w:styleId="FootnoteText">
    <w:name w:val="footnote text"/>
    <w:basedOn w:val="Normal"/>
    <w:link w:val="FootnoteTextChar"/>
    <w:uiPriority w:val="99"/>
    <w:unhideWhenUsed/>
    <w:rsid w:val="008D6FB8"/>
    <w:pPr>
      <w:spacing w:after="0" w:line="240" w:lineRule="auto"/>
    </w:pPr>
    <w:rPr>
      <w:sz w:val="24"/>
      <w:szCs w:val="24"/>
    </w:rPr>
  </w:style>
  <w:style w:type="character" w:customStyle="1" w:styleId="FootnoteTextChar">
    <w:name w:val="Footnote Text Char"/>
    <w:basedOn w:val="DefaultParagraphFont"/>
    <w:link w:val="FootnoteText"/>
    <w:uiPriority w:val="99"/>
    <w:rsid w:val="008D6FB8"/>
    <w:rPr>
      <w:sz w:val="24"/>
      <w:szCs w:val="24"/>
    </w:rPr>
  </w:style>
  <w:style w:type="character" w:styleId="FootnoteReference">
    <w:name w:val="footnote reference"/>
    <w:basedOn w:val="DefaultParagraphFont"/>
    <w:uiPriority w:val="99"/>
    <w:unhideWhenUsed/>
    <w:rsid w:val="008D6FB8"/>
    <w:rPr>
      <w:vertAlign w:val="superscript"/>
    </w:rPr>
  </w:style>
  <w:style w:type="paragraph" w:customStyle="1" w:styleId="CM72">
    <w:name w:val="CM72"/>
    <w:basedOn w:val="Normal"/>
    <w:next w:val="Normal"/>
    <w:uiPriority w:val="99"/>
    <w:rsid w:val="008D6FB8"/>
    <w:pPr>
      <w:autoSpaceDE w:val="0"/>
      <w:autoSpaceDN w:val="0"/>
      <w:adjustRightInd w:val="0"/>
      <w:spacing w:after="0" w:line="240" w:lineRule="auto"/>
    </w:pPr>
    <w:rPr>
      <w:rFonts w:ascii="Cambria" w:eastAsiaTheme="minorHAnsi" w:hAnsi="Cambria"/>
      <w:sz w:val="24"/>
      <w:szCs w:val="24"/>
    </w:rPr>
  </w:style>
  <w:style w:type="character" w:styleId="CommentReference">
    <w:name w:val="annotation reference"/>
    <w:basedOn w:val="DefaultParagraphFont"/>
    <w:uiPriority w:val="99"/>
    <w:semiHidden/>
    <w:unhideWhenUsed/>
    <w:rsid w:val="002C65D0"/>
    <w:rPr>
      <w:sz w:val="16"/>
      <w:szCs w:val="16"/>
    </w:rPr>
  </w:style>
  <w:style w:type="paragraph" w:styleId="BalloonText">
    <w:name w:val="Balloon Text"/>
    <w:basedOn w:val="Normal"/>
    <w:link w:val="BalloonTextChar"/>
    <w:uiPriority w:val="99"/>
    <w:semiHidden/>
    <w:unhideWhenUsed/>
    <w:rsid w:val="002C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5D0"/>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97629F"/>
    <w:pPr>
      <w:ind w:left="0"/>
    </w:pPr>
    <w:rPr>
      <w:b/>
      <w:bCs/>
    </w:rPr>
  </w:style>
  <w:style w:type="character" w:customStyle="1" w:styleId="CommentSubjectChar">
    <w:name w:val="Comment Subject Char"/>
    <w:basedOn w:val="CommentTextChar"/>
    <w:link w:val="CommentSubject"/>
    <w:uiPriority w:val="99"/>
    <w:rsid w:val="002C65D0"/>
    <w:rPr>
      <w:b/>
      <w:bCs/>
      <w:sz w:val="20"/>
      <w:szCs w:val="20"/>
    </w:rPr>
  </w:style>
  <w:style w:type="character" w:styleId="Strong">
    <w:name w:val="Strong"/>
    <w:basedOn w:val="DefaultParagraphFont"/>
    <w:uiPriority w:val="22"/>
    <w:qFormat/>
    <w:rsid w:val="00B00CDC"/>
    <w:rPr>
      <w:b/>
      <w:bCs/>
    </w:rPr>
  </w:style>
  <w:style w:type="paragraph" w:styleId="Header">
    <w:name w:val="header"/>
    <w:basedOn w:val="Normal"/>
    <w:link w:val="HeaderChar"/>
    <w:uiPriority w:val="99"/>
    <w:unhideWhenUsed/>
    <w:rsid w:val="00FD3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C7"/>
  </w:style>
  <w:style w:type="paragraph" w:styleId="Footer">
    <w:name w:val="footer"/>
    <w:basedOn w:val="Normal"/>
    <w:link w:val="FooterChar"/>
    <w:uiPriority w:val="99"/>
    <w:unhideWhenUsed/>
    <w:rsid w:val="00FD3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C7"/>
  </w:style>
  <w:style w:type="paragraph" w:styleId="NormalWeb">
    <w:name w:val="Normal (Web)"/>
    <w:basedOn w:val="Normal"/>
    <w:uiPriority w:val="99"/>
    <w:unhideWhenUsed/>
    <w:rsid w:val="001D52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
    <w:name w:val="trigger"/>
    <w:basedOn w:val="DefaultParagraphFont"/>
    <w:rsid w:val="001D5206"/>
  </w:style>
  <w:style w:type="character" w:customStyle="1" w:styleId="e-02">
    <w:name w:val="e-02"/>
    <w:basedOn w:val="DefaultParagraphFont"/>
    <w:rsid w:val="00085E97"/>
  </w:style>
  <w:style w:type="character" w:customStyle="1" w:styleId="e-04">
    <w:name w:val="e-04"/>
    <w:basedOn w:val="DefaultParagraphFont"/>
    <w:rsid w:val="00085E97"/>
  </w:style>
  <w:style w:type="paragraph" w:styleId="Revision">
    <w:name w:val="Revision"/>
    <w:hidden/>
    <w:rsid w:val="006B6466"/>
    <w:pPr>
      <w:spacing w:after="0" w:line="240" w:lineRule="auto"/>
    </w:pPr>
  </w:style>
  <w:style w:type="paragraph" w:styleId="NoSpacing">
    <w:name w:val="No Spacing"/>
    <w:link w:val="NoSpacingChar"/>
    <w:uiPriority w:val="1"/>
    <w:qFormat/>
    <w:rsid w:val="002C6786"/>
    <w:pPr>
      <w:spacing w:after="0" w:line="240" w:lineRule="auto"/>
    </w:pPr>
  </w:style>
  <w:style w:type="character" w:customStyle="1" w:styleId="NoSpacingChar">
    <w:name w:val="No Spacing Char"/>
    <w:basedOn w:val="DefaultParagraphFont"/>
    <w:link w:val="NoSpacing"/>
    <w:uiPriority w:val="1"/>
    <w:rsid w:val="007F7F54"/>
  </w:style>
  <w:style w:type="character" w:customStyle="1" w:styleId="A11">
    <w:name w:val="A11"/>
    <w:uiPriority w:val="99"/>
    <w:rsid w:val="002C6786"/>
    <w:rPr>
      <w:rFonts w:cs="AGaramond"/>
      <w:color w:val="000000"/>
      <w:sz w:val="14"/>
      <w:szCs w:val="14"/>
    </w:rPr>
  </w:style>
  <w:style w:type="character" w:customStyle="1" w:styleId="bodytitle1">
    <w:name w:val="bodytitle1"/>
    <w:rsid w:val="005E15E8"/>
    <w:rPr>
      <w:rFonts w:ascii="Verdana" w:hAnsi="Verdana" w:hint="default"/>
      <w:b/>
      <w:bCs/>
      <w:i w:val="0"/>
      <w:iCs w:val="0"/>
      <w:smallCaps w:val="0"/>
      <w:color w:val="333333"/>
      <w:sz w:val="18"/>
      <w:szCs w:val="18"/>
    </w:rPr>
  </w:style>
  <w:style w:type="paragraph" w:customStyle="1" w:styleId="CM8">
    <w:name w:val="CM8"/>
    <w:basedOn w:val="Normal"/>
    <w:next w:val="Normal"/>
    <w:uiPriority w:val="99"/>
    <w:rsid w:val="00942BAF"/>
    <w:pPr>
      <w:widowControl w:val="0"/>
      <w:autoSpaceDE w:val="0"/>
      <w:autoSpaceDN w:val="0"/>
      <w:adjustRightInd w:val="0"/>
      <w:spacing w:after="0" w:line="196" w:lineRule="atLeast"/>
    </w:pPr>
    <w:rPr>
      <w:rFonts w:ascii="Calibri" w:hAnsi="Calibri" w:cs="Times New Roman"/>
      <w:sz w:val="24"/>
      <w:szCs w:val="24"/>
    </w:rPr>
  </w:style>
  <w:style w:type="paragraph" w:customStyle="1" w:styleId="Nospacing2">
    <w:name w:val="No spacing 2"/>
    <w:basedOn w:val="NoSpacing"/>
    <w:link w:val="Nospacing2Char"/>
    <w:qFormat/>
    <w:rsid w:val="007F7F54"/>
    <w:rPr>
      <w:rFonts w:ascii="Arial" w:eastAsia="Times New Roman" w:hAnsi="Arial" w:cs="Arial"/>
      <w:sz w:val="23"/>
      <w:szCs w:val="24"/>
      <w:lang w:eastAsia="ja-JP"/>
    </w:rPr>
  </w:style>
  <w:style w:type="character" w:customStyle="1" w:styleId="Nospacing2Char">
    <w:name w:val="No spacing 2 Char"/>
    <w:basedOn w:val="NoSpacingChar"/>
    <w:link w:val="Nospacing2"/>
    <w:rsid w:val="007F7F54"/>
    <w:rPr>
      <w:rFonts w:ascii="Arial" w:eastAsia="Times New Roman" w:hAnsi="Arial" w:cs="Arial"/>
      <w:sz w:val="23"/>
      <w:szCs w:val="24"/>
      <w:lang w:eastAsia="ja-JP"/>
    </w:rPr>
  </w:style>
  <w:style w:type="paragraph" w:customStyle="1" w:styleId="Default">
    <w:name w:val="Default"/>
    <w:rsid w:val="007F7F54"/>
    <w:pPr>
      <w:autoSpaceDE w:val="0"/>
      <w:autoSpaceDN w:val="0"/>
      <w:adjustRightInd w:val="0"/>
      <w:spacing w:after="0" w:line="240" w:lineRule="auto"/>
    </w:pPr>
    <w:rPr>
      <w:rFonts w:ascii="FGHEH B+ M Ionic" w:eastAsia="MS Mincho" w:hAnsi="FGHEH B+ M Ionic" w:cs="FGHEH B+ M Ionic"/>
      <w:color w:val="000000"/>
      <w:sz w:val="24"/>
      <w:szCs w:val="24"/>
    </w:rPr>
  </w:style>
  <w:style w:type="character" w:customStyle="1" w:styleId="slug-vol">
    <w:name w:val="slug-vol"/>
    <w:rsid w:val="007F7F54"/>
  </w:style>
  <w:style w:type="character" w:customStyle="1" w:styleId="slug-issue">
    <w:name w:val="slug-issue"/>
    <w:rsid w:val="007F7F54"/>
  </w:style>
  <w:style w:type="paragraph" w:styleId="HTMLPreformatted">
    <w:name w:val="HTML Preformatted"/>
    <w:basedOn w:val="Normal"/>
    <w:link w:val="HTMLPreformattedChar"/>
    <w:uiPriority w:val="99"/>
    <w:unhideWhenUsed/>
    <w:rsid w:val="00040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0402BE"/>
    <w:rPr>
      <w:rFonts w:ascii="Courier New" w:eastAsia="Times New Roman" w:hAnsi="Courier New" w:cs="Times New Roman"/>
      <w:sz w:val="20"/>
      <w:szCs w:val="20"/>
    </w:rPr>
  </w:style>
  <w:style w:type="character" w:customStyle="1" w:styleId="title1">
    <w:name w:val="title1"/>
    <w:rsid w:val="00375C17"/>
    <w:rPr>
      <w:rFonts w:ascii="Georgia" w:hAnsi="Georgia" w:hint="default"/>
      <w:i w:val="0"/>
      <w:iCs w:val="0"/>
      <w:vanish w:val="0"/>
      <w:webHidden w:val="0"/>
      <w:color w:val="333333"/>
      <w:sz w:val="46"/>
      <w:szCs w:val="46"/>
      <w:specVanish w:val="0"/>
    </w:rPr>
  </w:style>
  <w:style w:type="character" w:customStyle="1" w:styleId="apple-converted-space">
    <w:name w:val="apple-converted-space"/>
    <w:basedOn w:val="DefaultParagraphFont"/>
    <w:rsid w:val="00C219FC"/>
  </w:style>
  <w:style w:type="character" w:styleId="Emphasis">
    <w:name w:val="Emphasis"/>
    <w:basedOn w:val="DefaultParagraphFont"/>
    <w:uiPriority w:val="20"/>
    <w:qFormat/>
    <w:rsid w:val="00596FC8"/>
    <w:rPr>
      <w:i/>
      <w:iCs/>
    </w:rPr>
  </w:style>
  <w:style w:type="paragraph" w:styleId="EndnoteText">
    <w:name w:val="endnote text"/>
    <w:basedOn w:val="Normal"/>
    <w:link w:val="EndnoteTextChar"/>
    <w:unhideWhenUsed/>
    <w:rsid w:val="007B034E"/>
    <w:pPr>
      <w:spacing w:after="0" w:line="240" w:lineRule="auto"/>
    </w:pPr>
    <w:rPr>
      <w:sz w:val="20"/>
      <w:szCs w:val="20"/>
    </w:rPr>
  </w:style>
  <w:style w:type="character" w:customStyle="1" w:styleId="EndnoteTextChar">
    <w:name w:val="Endnote Text Char"/>
    <w:basedOn w:val="DefaultParagraphFont"/>
    <w:link w:val="EndnoteText"/>
    <w:rsid w:val="007B034E"/>
    <w:rPr>
      <w:sz w:val="20"/>
      <w:szCs w:val="20"/>
    </w:rPr>
  </w:style>
  <w:style w:type="character" w:styleId="EndnoteReference">
    <w:name w:val="endnote reference"/>
    <w:basedOn w:val="DefaultParagraphFont"/>
    <w:uiPriority w:val="99"/>
    <w:unhideWhenUsed/>
    <w:rsid w:val="007B034E"/>
    <w:rPr>
      <w:vertAlign w:val="superscript"/>
    </w:rPr>
  </w:style>
  <w:style w:type="paragraph" w:customStyle="1" w:styleId="Body">
    <w:name w:val="Body"/>
    <w:rsid w:val="00054083"/>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slug-pages5">
    <w:name w:val="slug-pages5"/>
    <w:basedOn w:val="DefaultParagraphFont"/>
    <w:rsid w:val="00054083"/>
    <w:rPr>
      <w:b w:val="0"/>
      <w:bCs w:val="0"/>
    </w:rPr>
  </w:style>
  <w:style w:type="character" w:customStyle="1" w:styleId="st1">
    <w:name w:val="st1"/>
    <w:basedOn w:val="DefaultParagraphFont"/>
    <w:rsid w:val="006C5CB3"/>
  </w:style>
  <w:style w:type="table" w:styleId="TableGrid">
    <w:name w:val="Table Grid"/>
    <w:basedOn w:val="TableNormal"/>
    <w:rsid w:val="0043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074E16"/>
    <w:pPr>
      <w:spacing w:before="100" w:beforeAutospacing="1" w:after="100" w:afterAutospacing="1" w:line="240" w:lineRule="auto"/>
    </w:pPr>
    <w:rPr>
      <w:rFonts w:ascii="Times" w:hAnsi="Times"/>
      <w:sz w:val="20"/>
      <w:szCs w:val="20"/>
    </w:rPr>
  </w:style>
  <w:style w:type="paragraph" w:styleId="Title">
    <w:name w:val="Title"/>
    <w:basedOn w:val="Normal"/>
    <w:next w:val="Normal"/>
    <w:link w:val="TitleChar"/>
    <w:uiPriority w:val="10"/>
    <w:qFormat/>
    <w:rsid w:val="00C03F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FE8"/>
    <w:rPr>
      <w:rFonts w:asciiTheme="majorHAnsi" w:eastAsiaTheme="majorEastAsia" w:hAnsiTheme="majorHAnsi" w:cstheme="majorBidi"/>
      <w:spacing w:val="-10"/>
      <w:kern w:val="28"/>
      <w:sz w:val="56"/>
      <w:szCs w:val="56"/>
    </w:rPr>
  </w:style>
  <w:style w:type="paragraph" w:customStyle="1" w:styleId="cfrsection2">
    <w:name w:val="cfr_section2"/>
    <w:basedOn w:val="Normal"/>
    <w:rsid w:val="00C03FE8"/>
    <w:pPr>
      <w:pBdr>
        <w:top w:val="dotted" w:sz="6" w:space="8" w:color="7BA1DE"/>
      </w:pBdr>
      <w:spacing w:after="240" w:line="240" w:lineRule="atLeast"/>
      <w:ind w:left="240" w:right="300"/>
    </w:pPr>
    <w:rPr>
      <w:rFonts w:ascii="Verdana" w:eastAsia="Times New Roman" w:hAnsi="Verdana" w:cs="Times New Roman"/>
      <w:b/>
      <w:bCs/>
      <w:sz w:val="18"/>
      <w:szCs w:val="18"/>
    </w:rPr>
  </w:style>
  <w:style w:type="table" w:customStyle="1" w:styleId="LightGrid-Accent11">
    <w:name w:val="Light Grid - Accent 11"/>
    <w:basedOn w:val="TableNormal"/>
    <w:uiPriority w:val="62"/>
    <w:rsid w:val="00C03FE8"/>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lug-doi2">
    <w:name w:val="slug-doi2"/>
    <w:rsid w:val="00C03FE8"/>
  </w:style>
  <w:style w:type="character" w:styleId="FollowedHyperlink">
    <w:name w:val="FollowedHyperlink"/>
    <w:basedOn w:val="DefaultParagraphFont"/>
    <w:rsid w:val="00C03FE8"/>
    <w:rPr>
      <w:color w:val="800080" w:themeColor="followedHyperlink"/>
      <w:u w:val="single"/>
    </w:rPr>
  </w:style>
  <w:style w:type="paragraph" w:styleId="TOCHeading">
    <w:name w:val="TOC Heading"/>
    <w:basedOn w:val="Heading1"/>
    <w:next w:val="Normal"/>
    <w:uiPriority w:val="39"/>
    <w:unhideWhenUsed/>
    <w:qFormat/>
    <w:rsid w:val="00C03FE8"/>
    <w:pPr>
      <w:numPr>
        <w:numId w:val="0"/>
      </w:numPr>
      <w:spacing w:before="480" w:after="200" w:line="276" w:lineRule="auto"/>
      <w:jc w:val="left"/>
      <w:outlineLvl w:val="9"/>
    </w:pPr>
    <w:rPr>
      <w:rFonts w:asciiTheme="majorHAnsi" w:eastAsiaTheme="majorEastAsia" w:hAnsiTheme="majorHAnsi" w:cstheme="majorBidi"/>
      <w:color w:val="365F91" w:themeColor="accent1" w:themeShade="BF"/>
      <w:sz w:val="28"/>
    </w:rPr>
  </w:style>
  <w:style w:type="paragraph" w:styleId="TOC2">
    <w:name w:val="toc 2"/>
    <w:basedOn w:val="Normal"/>
    <w:next w:val="Normal"/>
    <w:autoRedefine/>
    <w:uiPriority w:val="39"/>
    <w:unhideWhenUsed/>
    <w:qFormat/>
    <w:rsid w:val="00C03FE8"/>
    <w:pPr>
      <w:numPr>
        <w:numId w:val="8"/>
      </w:numPr>
      <w:spacing w:after="100"/>
      <w:ind w:hanging="126"/>
    </w:pPr>
    <w:rPr>
      <w:lang w:eastAsia="ja-JP"/>
    </w:rPr>
  </w:style>
  <w:style w:type="paragraph" w:styleId="TOC1">
    <w:name w:val="toc 1"/>
    <w:basedOn w:val="Normal"/>
    <w:next w:val="Normal"/>
    <w:autoRedefine/>
    <w:uiPriority w:val="39"/>
    <w:unhideWhenUsed/>
    <w:qFormat/>
    <w:rsid w:val="00C03FE8"/>
    <w:pPr>
      <w:spacing w:after="100"/>
    </w:pPr>
    <w:rPr>
      <w:lang w:eastAsia="ja-JP"/>
    </w:rPr>
  </w:style>
  <w:style w:type="paragraph" w:styleId="TOC3">
    <w:name w:val="toc 3"/>
    <w:basedOn w:val="Normal"/>
    <w:next w:val="Normal"/>
    <w:autoRedefine/>
    <w:uiPriority w:val="39"/>
    <w:unhideWhenUsed/>
    <w:qFormat/>
    <w:rsid w:val="00C03FE8"/>
    <w:pPr>
      <w:spacing w:after="100"/>
      <w:ind w:left="440"/>
    </w:pPr>
    <w:rPr>
      <w:lang w:eastAsia="ja-JP"/>
    </w:rPr>
  </w:style>
  <w:style w:type="character" w:customStyle="1" w:styleId="ptext-18">
    <w:name w:val="ptext-18"/>
    <w:basedOn w:val="DefaultParagraphFont"/>
    <w:rsid w:val="00C03FE8"/>
  </w:style>
  <w:style w:type="character" w:customStyle="1" w:styleId="BalloonTextChar1">
    <w:name w:val="Balloon Text Char1"/>
    <w:basedOn w:val="DefaultParagraphFont"/>
    <w:uiPriority w:val="99"/>
    <w:semiHidden/>
    <w:rsid w:val="00326E58"/>
    <w:rPr>
      <w:rFonts w:ascii="Tahoma" w:hAnsi="Tahoma" w:cs="Tahoma"/>
      <w:sz w:val="16"/>
      <w:szCs w:val="16"/>
    </w:rPr>
  </w:style>
  <w:style w:type="character" w:customStyle="1" w:styleId="BalloonTextChar2">
    <w:name w:val="Balloon Text Char2"/>
    <w:basedOn w:val="DefaultParagraphFont"/>
    <w:uiPriority w:val="99"/>
    <w:semiHidden/>
    <w:rsid w:val="00326E58"/>
    <w:rPr>
      <w:rFonts w:ascii="Lucida Grande" w:hAnsi="Lucida Grande"/>
      <w:sz w:val="18"/>
      <w:szCs w:val="18"/>
    </w:rPr>
  </w:style>
  <w:style w:type="paragraph" w:styleId="BodyTextIndent">
    <w:name w:val="Body Text Indent"/>
    <w:basedOn w:val="Normal"/>
    <w:link w:val="BodyTextIndentChar"/>
    <w:uiPriority w:val="99"/>
    <w:unhideWhenUsed/>
    <w:rsid w:val="00331A7B"/>
    <w:pPr>
      <w:spacing w:after="0" w:line="240" w:lineRule="auto"/>
      <w:ind w:left="360"/>
    </w:pPr>
    <w:rPr>
      <w:rFonts w:ascii="Times New Roman" w:eastAsiaTheme="minorHAnsi" w:hAnsi="Times New Roman" w:cs="Times New Roman"/>
      <w:sz w:val="24"/>
      <w:szCs w:val="24"/>
    </w:rPr>
  </w:style>
  <w:style w:type="character" w:customStyle="1" w:styleId="BodyTextIndentChar">
    <w:name w:val="Body Text Indent Char"/>
    <w:basedOn w:val="DefaultParagraphFont"/>
    <w:link w:val="BodyTextIndent"/>
    <w:uiPriority w:val="99"/>
    <w:rsid w:val="00331A7B"/>
    <w:rPr>
      <w:rFonts w:ascii="Times New Roman" w:eastAsiaTheme="minorHAnsi" w:hAnsi="Times New Roman" w:cs="Times New Roman"/>
      <w:sz w:val="24"/>
      <w:szCs w:val="24"/>
    </w:rPr>
  </w:style>
  <w:style w:type="character" w:styleId="HTMLCite">
    <w:name w:val="HTML Cite"/>
    <w:basedOn w:val="DefaultParagraphFont"/>
    <w:uiPriority w:val="99"/>
    <w:semiHidden/>
    <w:unhideWhenUsed/>
    <w:rsid w:val="00887B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7F54"/>
    <w:pPr>
      <w:keepNext/>
      <w:keepLines/>
      <w:numPr>
        <w:numId w:val="6"/>
      </w:numPr>
      <w:spacing w:after="120" w:line="240" w:lineRule="auto"/>
      <w:jc w:val="both"/>
      <w:outlineLvl w:val="0"/>
    </w:pPr>
    <w:rPr>
      <w:rFonts w:ascii="Arial" w:eastAsia="Times New Roman" w:hAnsi="Arial" w:cs="Times New Roman"/>
      <w:b/>
      <w:bCs/>
      <w:sz w:val="23"/>
      <w:szCs w:val="28"/>
      <w:lang w:eastAsia="ja-JP"/>
    </w:rPr>
  </w:style>
  <w:style w:type="paragraph" w:styleId="Heading2">
    <w:name w:val="heading 2"/>
    <w:basedOn w:val="Normal"/>
    <w:next w:val="Normal"/>
    <w:link w:val="Heading2Char"/>
    <w:uiPriority w:val="9"/>
    <w:qFormat/>
    <w:rsid w:val="007F7F54"/>
    <w:pPr>
      <w:keepNext/>
      <w:numPr>
        <w:ilvl w:val="1"/>
        <w:numId w:val="6"/>
      </w:numPr>
      <w:spacing w:before="240" w:after="60" w:line="240" w:lineRule="auto"/>
      <w:ind w:left="0"/>
      <w:jc w:val="both"/>
      <w:outlineLvl w:val="1"/>
    </w:pPr>
    <w:rPr>
      <w:rFonts w:ascii="Calibri" w:eastAsia="Times New Roman" w:hAnsi="Calibri" w:cs="Times New Roman"/>
      <w:b/>
      <w:bCs/>
      <w:i/>
      <w:iCs/>
      <w:sz w:val="28"/>
      <w:szCs w:val="28"/>
      <w:lang w:eastAsia="ja-JP"/>
    </w:rPr>
  </w:style>
  <w:style w:type="paragraph" w:styleId="Heading3">
    <w:name w:val="heading 3"/>
    <w:basedOn w:val="Normal"/>
    <w:next w:val="Normal"/>
    <w:link w:val="Heading3Char"/>
    <w:uiPriority w:val="9"/>
    <w:unhideWhenUsed/>
    <w:qFormat/>
    <w:rsid w:val="007F7F54"/>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7F54"/>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F7F54"/>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F7F54"/>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F7F5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F7F5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F7F5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54"/>
    <w:rPr>
      <w:rFonts w:ascii="Arial" w:eastAsia="Times New Roman" w:hAnsi="Arial" w:cs="Times New Roman"/>
      <w:b/>
      <w:bCs/>
      <w:sz w:val="23"/>
      <w:szCs w:val="28"/>
      <w:lang w:eastAsia="ja-JP"/>
    </w:rPr>
  </w:style>
  <w:style w:type="character" w:customStyle="1" w:styleId="Heading2Char">
    <w:name w:val="Heading 2 Char"/>
    <w:basedOn w:val="DefaultParagraphFont"/>
    <w:link w:val="Heading2"/>
    <w:uiPriority w:val="9"/>
    <w:rsid w:val="007F7F54"/>
    <w:rPr>
      <w:rFonts w:ascii="Calibri" w:eastAsia="Times New Roman" w:hAnsi="Calibri" w:cs="Times New Roman"/>
      <w:b/>
      <w:bCs/>
      <w:i/>
      <w:iCs/>
      <w:sz w:val="28"/>
      <w:szCs w:val="28"/>
      <w:lang w:eastAsia="ja-JP"/>
    </w:rPr>
  </w:style>
  <w:style w:type="character" w:customStyle="1" w:styleId="Heading3Char">
    <w:name w:val="Heading 3 Char"/>
    <w:basedOn w:val="DefaultParagraphFont"/>
    <w:link w:val="Heading3"/>
    <w:uiPriority w:val="9"/>
    <w:rsid w:val="007F7F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F7F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F7F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F7F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F7F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F7F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F7F54"/>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4456C1"/>
    <w:rPr>
      <w:color w:val="0000FF" w:themeColor="hyperlink"/>
      <w:u w:val="single"/>
    </w:rPr>
  </w:style>
  <w:style w:type="paragraph" w:styleId="ListParagraph">
    <w:name w:val="List Paragraph"/>
    <w:basedOn w:val="Normal"/>
    <w:uiPriority w:val="34"/>
    <w:qFormat/>
    <w:rsid w:val="00094015"/>
    <w:pPr>
      <w:ind w:left="720"/>
      <w:contextualSpacing/>
    </w:pPr>
  </w:style>
  <w:style w:type="paragraph" w:styleId="CommentText">
    <w:name w:val="annotation text"/>
    <w:basedOn w:val="Normal"/>
    <w:link w:val="CommentTextChar"/>
    <w:uiPriority w:val="99"/>
    <w:unhideWhenUsed/>
    <w:rsid w:val="0097629F"/>
    <w:pPr>
      <w:spacing w:line="240" w:lineRule="auto"/>
      <w:ind w:left="360"/>
    </w:pPr>
    <w:rPr>
      <w:sz w:val="20"/>
      <w:szCs w:val="20"/>
    </w:rPr>
  </w:style>
  <w:style w:type="character" w:customStyle="1" w:styleId="CommentTextChar">
    <w:name w:val="Comment Text Char"/>
    <w:basedOn w:val="DefaultParagraphFont"/>
    <w:link w:val="CommentText"/>
    <w:uiPriority w:val="99"/>
    <w:rsid w:val="008D6FB8"/>
    <w:rPr>
      <w:sz w:val="20"/>
      <w:szCs w:val="20"/>
    </w:rPr>
  </w:style>
  <w:style w:type="paragraph" w:styleId="PlainText">
    <w:name w:val="Plain Text"/>
    <w:basedOn w:val="Normal"/>
    <w:link w:val="PlainTextChar"/>
    <w:uiPriority w:val="99"/>
    <w:unhideWhenUsed/>
    <w:rsid w:val="008D6FB8"/>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D6FB8"/>
    <w:rPr>
      <w:rFonts w:ascii="Calibri" w:eastAsiaTheme="minorHAnsi" w:hAnsi="Calibri"/>
      <w:szCs w:val="21"/>
    </w:rPr>
  </w:style>
  <w:style w:type="paragraph" w:styleId="FootnoteText">
    <w:name w:val="footnote text"/>
    <w:basedOn w:val="Normal"/>
    <w:link w:val="FootnoteTextChar"/>
    <w:uiPriority w:val="99"/>
    <w:unhideWhenUsed/>
    <w:rsid w:val="008D6FB8"/>
    <w:pPr>
      <w:spacing w:after="0" w:line="240" w:lineRule="auto"/>
    </w:pPr>
    <w:rPr>
      <w:sz w:val="24"/>
      <w:szCs w:val="24"/>
    </w:rPr>
  </w:style>
  <w:style w:type="character" w:customStyle="1" w:styleId="FootnoteTextChar">
    <w:name w:val="Footnote Text Char"/>
    <w:basedOn w:val="DefaultParagraphFont"/>
    <w:link w:val="FootnoteText"/>
    <w:uiPriority w:val="99"/>
    <w:rsid w:val="008D6FB8"/>
    <w:rPr>
      <w:sz w:val="24"/>
      <w:szCs w:val="24"/>
    </w:rPr>
  </w:style>
  <w:style w:type="character" w:styleId="FootnoteReference">
    <w:name w:val="footnote reference"/>
    <w:basedOn w:val="DefaultParagraphFont"/>
    <w:uiPriority w:val="99"/>
    <w:unhideWhenUsed/>
    <w:rsid w:val="008D6FB8"/>
    <w:rPr>
      <w:vertAlign w:val="superscript"/>
    </w:rPr>
  </w:style>
  <w:style w:type="paragraph" w:customStyle="1" w:styleId="CM72">
    <w:name w:val="CM72"/>
    <w:basedOn w:val="Normal"/>
    <w:next w:val="Normal"/>
    <w:uiPriority w:val="99"/>
    <w:rsid w:val="008D6FB8"/>
    <w:pPr>
      <w:autoSpaceDE w:val="0"/>
      <w:autoSpaceDN w:val="0"/>
      <w:adjustRightInd w:val="0"/>
      <w:spacing w:after="0" w:line="240" w:lineRule="auto"/>
    </w:pPr>
    <w:rPr>
      <w:rFonts w:ascii="Cambria" w:eastAsiaTheme="minorHAnsi" w:hAnsi="Cambria"/>
      <w:sz w:val="24"/>
      <w:szCs w:val="24"/>
    </w:rPr>
  </w:style>
  <w:style w:type="character" w:styleId="CommentReference">
    <w:name w:val="annotation reference"/>
    <w:basedOn w:val="DefaultParagraphFont"/>
    <w:uiPriority w:val="99"/>
    <w:semiHidden/>
    <w:unhideWhenUsed/>
    <w:rsid w:val="002C65D0"/>
    <w:rPr>
      <w:sz w:val="16"/>
      <w:szCs w:val="16"/>
    </w:rPr>
  </w:style>
  <w:style w:type="paragraph" w:styleId="BalloonText">
    <w:name w:val="Balloon Text"/>
    <w:basedOn w:val="Normal"/>
    <w:link w:val="BalloonTextChar"/>
    <w:uiPriority w:val="99"/>
    <w:semiHidden/>
    <w:unhideWhenUsed/>
    <w:rsid w:val="002C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5D0"/>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97629F"/>
    <w:pPr>
      <w:ind w:left="0"/>
    </w:pPr>
    <w:rPr>
      <w:b/>
      <w:bCs/>
    </w:rPr>
  </w:style>
  <w:style w:type="character" w:customStyle="1" w:styleId="CommentSubjectChar">
    <w:name w:val="Comment Subject Char"/>
    <w:basedOn w:val="CommentTextChar"/>
    <w:link w:val="CommentSubject"/>
    <w:uiPriority w:val="99"/>
    <w:rsid w:val="002C65D0"/>
    <w:rPr>
      <w:b/>
      <w:bCs/>
      <w:sz w:val="20"/>
      <w:szCs w:val="20"/>
    </w:rPr>
  </w:style>
  <w:style w:type="character" w:styleId="Strong">
    <w:name w:val="Strong"/>
    <w:basedOn w:val="DefaultParagraphFont"/>
    <w:uiPriority w:val="22"/>
    <w:qFormat/>
    <w:rsid w:val="00B00CDC"/>
    <w:rPr>
      <w:b/>
      <w:bCs/>
    </w:rPr>
  </w:style>
  <w:style w:type="paragraph" w:styleId="Header">
    <w:name w:val="header"/>
    <w:basedOn w:val="Normal"/>
    <w:link w:val="HeaderChar"/>
    <w:uiPriority w:val="99"/>
    <w:unhideWhenUsed/>
    <w:rsid w:val="00FD3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C7"/>
  </w:style>
  <w:style w:type="paragraph" w:styleId="Footer">
    <w:name w:val="footer"/>
    <w:basedOn w:val="Normal"/>
    <w:link w:val="FooterChar"/>
    <w:uiPriority w:val="99"/>
    <w:unhideWhenUsed/>
    <w:rsid w:val="00FD3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C7"/>
  </w:style>
  <w:style w:type="paragraph" w:styleId="NormalWeb">
    <w:name w:val="Normal (Web)"/>
    <w:basedOn w:val="Normal"/>
    <w:uiPriority w:val="99"/>
    <w:unhideWhenUsed/>
    <w:rsid w:val="001D52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
    <w:name w:val="trigger"/>
    <w:basedOn w:val="DefaultParagraphFont"/>
    <w:rsid w:val="001D5206"/>
  </w:style>
  <w:style w:type="character" w:customStyle="1" w:styleId="e-02">
    <w:name w:val="e-02"/>
    <w:basedOn w:val="DefaultParagraphFont"/>
    <w:rsid w:val="00085E97"/>
  </w:style>
  <w:style w:type="character" w:customStyle="1" w:styleId="e-04">
    <w:name w:val="e-04"/>
    <w:basedOn w:val="DefaultParagraphFont"/>
    <w:rsid w:val="00085E97"/>
  </w:style>
  <w:style w:type="paragraph" w:styleId="Revision">
    <w:name w:val="Revision"/>
    <w:hidden/>
    <w:rsid w:val="006B6466"/>
    <w:pPr>
      <w:spacing w:after="0" w:line="240" w:lineRule="auto"/>
    </w:pPr>
  </w:style>
  <w:style w:type="paragraph" w:styleId="NoSpacing">
    <w:name w:val="No Spacing"/>
    <w:link w:val="NoSpacingChar"/>
    <w:uiPriority w:val="1"/>
    <w:qFormat/>
    <w:rsid w:val="002C6786"/>
    <w:pPr>
      <w:spacing w:after="0" w:line="240" w:lineRule="auto"/>
    </w:pPr>
  </w:style>
  <w:style w:type="character" w:customStyle="1" w:styleId="NoSpacingChar">
    <w:name w:val="No Spacing Char"/>
    <w:basedOn w:val="DefaultParagraphFont"/>
    <w:link w:val="NoSpacing"/>
    <w:uiPriority w:val="1"/>
    <w:rsid w:val="007F7F54"/>
  </w:style>
  <w:style w:type="character" w:customStyle="1" w:styleId="A11">
    <w:name w:val="A11"/>
    <w:uiPriority w:val="99"/>
    <w:rsid w:val="002C6786"/>
    <w:rPr>
      <w:rFonts w:cs="AGaramond"/>
      <w:color w:val="000000"/>
      <w:sz w:val="14"/>
      <w:szCs w:val="14"/>
    </w:rPr>
  </w:style>
  <w:style w:type="character" w:customStyle="1" w:styleId="bodytitle1">
    <w:name w:val="bodytitle1"/>
    <w:rsid w:val="005E15E8"/>
    <w:rPr>
      <w:rFonts w:ascii="Verdana" w:hAnsi="Verdana" w:hint="default"/>
      <w:b/>
      <w:bCs/>
      <w:i w:val="0"/>
      <w:iCs w:val="0"/>
      <w:smallCaps w:val="0"/>
      <w:color w:val="333333"/>
      <w:sz w:val="18"/>
      <w:szCs w:val="18"/>
    </w:rPr>
  </w:style>
  <w:style w:type="paragraph" w:customStyle="1" w:styleId="CM8">
    <w:name w:val="CM8"/>
    <w:basedOn w:val="Normal"/>
    <w:next w:val="Normal"/>
    <w:uiPriority w:val="99"/>
    <w:rsid w:val="00942BAF"/>
    <w:pPr>
      <w:widowControl w:val="0"/>
      <w:autoSpaceDE w:val="0"/>
      <w:autoSpaceDN w:val="0"/>
      <w:adjustRightInd w:val="0"/>
      <w:spacing w:after="0" w:line="196" w:lineRule="atLeast"/>
    </w:pPr>
    <w:rPr>
      <w:rFonts w:ascii="Calibri" w:hAnsi="Calibri" w:cs="Times New Roman"/>
      <w:sz w:val="24"/>
      <w:szCs w:val="24"/>
    </w:rPr>
  </w:style>
  <w:style w:type="paragraph" w:customStyle="1" w:styleId="Nospacing2">
    <w:name w:val="No spacing 2"/>
    <w:basedOn w:val="NoSpacing"/>
    <w:link w:val="Nospacing2Char"/>
    <w:qFormat/>
    <w:rsid w:val="007F7F54"/>
    <w:rPr>
      <w:rFonts w:ascii="Arial" w:eastAsia="Times New Roman" w:hAnsi="Arial" w:cs="Arial"/>
      <w:sz w:val="23"/>
      <w:szCs w:val="24"/>
      <w:lang w:eastAsia="ja-JP"/>
    </w:rPr>
  </w:style>
  <w:style w:type="character" w:customStyle="1" w:styleId="Nospacing2Char">
    <w:name w:val="No spacing 2 Char"/>
    <w:basedOn w:val="NoSpacingChar"/>
    <w:link w:val="Nospacing2"/>
    <w:rsid w:val="007F7F54"/>
    <w:rPr>
      <w:rFonts w:ascii="Arial" w:eastAsia="Times New Roman" w:hAnsi="Arial" w:cs="Arial"/>
      <w:sz w:val="23"/>
      <w:szCs w:val="24"/>
      <w:lang w:eastAsia="ja-JP"/>
    </w:rPr>
  </w:style>
  <w:style w:type="paragraph" w:customStyle="1" w:styleId="Default">
    <w:name w:val="Default"/>
    <w:rsid w:val="007F7F54"/>
    <w:pPr>
      <w:autoSpaceDE w:val="0"/>
      <w:autoSpaceDN w:val="0"/>
      <w:adjustRightInd w:val="0"/>
      <w:spacing w:after="0" w:line="240" w:lineRule="auto"/>
    </w:pPr>
    <w:rPr>
      <w:rFonts w:ascii="FGHEH B+ M Ionic" w:eastAsia="MS Mincho" w:hAnsi="FGHEH B+ M Ionic" w:cs="FGHEH B+ M Ionic"/>
      <w:color w:val="000000"/>
      <w:sz w:val="24"/>
      <w:szCs w:val="24"/>
    </w:rPr>
  </w:style>
  <w:style w:type="character" w:customStyle="1" w:styleId="slug-vol">
    <w:name w:val="slug-vol"/>
    <w:rsid w:val="007F7F54"/>
  </w:style>
  <w:style w:type="character" w:customStyle="1" w:styleId="slug-issue">
    <w:name w:val="slug-issue"/>
    <w:rsid w:val="007F7F54"/>
  </w:style>
  <w:style w:type="paragraph" w:styleId="HTMLPreformatted">
    <w:name w:val="HTML Preformatted"/>
    <w:basedOn w:val="Normal"/>
    <w:link w:val="HTMLPreformattedChar"/>
    <w:uiPriority w:val="99"/>
    <w:unhideWhenUsed/>
    <w:rsid w:val="00040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0402BE"/>
    <w:rPr>
      <w:rFonts w:ascii="Courier New" w:eastAsia="Times New Roman" w:hAnsi="Courier New" w:cs="Times New Roman"/>
      <w:sz w:val="20"/>
      <w:szCs w:val="20"/>
    </w:rPr>
  </w:style>
  <w:style w:type="character" w:customStyle="1" w:styleId="title1">
    <w:name w:val="title1"/>
    <w:rsid w:val="00375C17"/>
    <w:rPr>
      <w:rFonts w:ascii="Georgia" w:hAnsi="Georgia" w:hint="default"/>
      <w:i w:val="0"/>
      <w:iCs w:val="0"/>
      <w:vanish w:val="0"/>
      <w:webHidden w:val="0"/>
      <w:color w:val="333333"/>
      <w:sz w:val="46"/>
      <w:szCs w:val="46"/>
      <w:specVanish w:val="0"/>
    </w:rPr>
  </w:style>
  <w:style w:type="character" w:customStyle="1" w:styleId="apple-converted-space">
    <w:name w:val="apple-converted-space"/>
    <w:basedOn w:val="DefaultParagraphFont"/>
    <w:rsid w:val="00C219FC"/>
  </w:style>
  <w:style w:type="character" w:styleId="Emphasis">
    <w:name w:val="Emphasis"/>
    <w:basedOn w:val="DefaultParagraphFont"/>
    <w:uiPriority w:val="20"/>
    <w:qFormat/>
    <w:rsid w:val="00596FC8"/>
    <w:rPr>
      <w:i/>
      <w:iCs/>
    </w:rPr>
  </w:style>
  <w:style w:type="paragraph" w:styleId="EndnoteText">
    <w:name w:val="endnote text"/>
    <w:basedOn w:val="Normal"/>
    <w:link w:val="EndnoteTextChar"/>
    <w:unhideWhenUsed/>
    <w:rsid w:val="007B034E"/>
    <w:pPr>
      <w:spacing w:after="0" w:line="240" w:lineRule="auto"/>
    </w:pPr>
    <w:rPr>
      <w:sz w:val="20"/>
      <w:szCs w:val="20"/>
    </w:rPr>
  </w:style>
  <w:style w:type="character" w:customStyle="1" w:styleId="EndnoteTextChar">
    <w:name w:val="Endnote Text Char"/>
    <w:basedOn w:val="DefaultParagraphFont"/>
    <w:link w:val="EndnoteText"/>
    <w:rsid w:val="007B034E"/>
    <w:rPr>
      <w:sz w:val="20"/>
      <w:szCs w:val="20"/>
    </w:rPr>
  </w:style>
  <w:style w:type="character" w:styleId="EndnoteReference">
    <w:name w:val="endnote reference"/>
    <w:basedOn w:val="DefaultParagraphFont"/>
    <w:uiPriority w:val="99"/>
    <w:unhideWhenUsed/>
    <w:rsid w:val="007B034E"/>
    <w:rPr>
      <w:vertAlign w:val="superscript"/>
    </w:rPr>
  </w:style>
  <w:style w:type="paragraph" w:customStyle="1" w:styleId="Body">
    <w:name w:val="Body"/>
    <w:rsid w:val="00054083"/>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slug-pages5">
    <w:name w:val="slug-pages5"/>
    <w:basedOn w:val="DefaultParagraphFont"/>
    <w:rsid w:val="00054083"/>
    <w:rPr>
      <w:b w:val="0"/>
      <w:bCs w:val="0"/>
    </w:rPr>
  </w:style>
  <w:style w:type="character" w:customStyle="1" w:styleId="st1">
    <w:name w:val="st1"/>
    <w:basedOn w:val="DefaultParagraphFont"/>
    <w:rsid w:val="006C5CB3"/>
  </w:style>
  <w:style w:type="table" w:styleId="TableGrid">
    <w:name w:val="Table Grid"/>
    <w:basedOn w:val="TableNormal"/>
    <w:rsid w:val="0043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074E16"/>
    <w:pPr>
      <w:spacing w:before="100" w:beforeAutospacing="1" w:after="100" w:afterAutospacing="1" w:line="240" w:lineRule="auto"/>
    </w:pPr>
    <w:rPr>
      <w:rFonts w:ascii="Times" w:hAnsi="Times"/>
      <w:sz w:val="20"/>
      <w:szCs w:val="20"/>
    </w:rPr>
  </w:style>
  <w:style w:type="paragraph" w:styleId="Title">
    <w:name w:val="Title"/>
    <w:basedOn w:val="Normal"/>
    <w:next w:val="Normal"/>
    <w:link w:val="TitleChar"/>
    <w:uiPriority w:val="10"/>
    <w:qFormat/>
    <w:rsid w:val="00C03F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FE8"/>
    <w:rPr>
      <w:rFonts w:asciiTheme="majorHAnsi" w:eastAsiaTheme="majorEastAsia" w:hAnsiTheme="majorHAnsi" w:cstheme="majorBidi"/>
      <w:spacing w:val="-10"/>
      <w:kern w:val="28"/>
      <w:sz w:val="56"/>
      <w:szCs w:val="56"/>
    </w:rPr>
  </w:style>
  <w:style w:type="paragraph" w:customStyle="1" w:styleId="cfrsection2">
    <w:name w:val="cfr_section2"/>
    <w:basedOn w:val="Normal"/>
    <w:rsid w:val="00C03FE8"/>
    <w:pPr>
      <w:pBdr>
        <w:top w:val="dotted" w:sz="6" w:space="8" w:color="7BA1DE"/>
      </w:pBdr>
      <w:spacing w:after="240" w:line="240" w:lineRule="atLeast"/>
      <w:ind w:left="240" w:right="300"/>
    </w:pPr>
    <w:rPr>
      <w:rFonts w:ascii="Verdana" w:eastAsia="Times New Roman" w:hAnsi="Verdana" w:cs="Times New Roman"/>
      <w:b/>
      <w:bCs/>
      <w:sz w:val="18"/>
      <w:szCs w:val="18"/>
    </w:rPr>
  </w:style>
  <w:style w:type="table" w:customStyle="1" w:styleId="LightGrid-Accent11">
    <w:name w:val="Light Grid - Accent 11"/>
    <w:basedOn w:val="TableNormal"/>
    <w:uiPriority w:val="62"/>
    <w:rsid w:val="00C03FE8"/>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lug-doi2">
    <w:name w:val="slug-doi2"/>
    <w:rsid w:val="00C03FE8"/>
  </w:style>
  <w:style w:type="character" w:styleId="FollowedHyperlink">
    <w:name w:val="FollowedHyperlink"/>
    <w:basedOn w:val="DefaultParagraphFont"/>
    <w:rsid w:val="00C03FE8"/>
    <w:rPr>
      <w:color w:val="800080" w:themeColor="followedHyperlink"/>
      <w:u w:val="single"/>
    </w:rPr>
  </w:style>
  <w:style w:type="paragraph" w:styleId="TOCHeading">
    <w:name w:val="TOC Heading"/>
    <w:basedOn w:val="Heading1"/>
    <w:next w:val="Normal"/>
    <w:uiPriority w:val="39"/>
    <w:unhideWhenUsed/>
    <w:qFormat/>
    <w:rsid w:val="00C03FE8"/>
    <w:pPr>
      <w:numPr>
        <w:numId w:val="0"/>
      </w:numPr>
      <w:spacing w:before="480" w:after="200" w:line="276" w:lineRule="auto"/>
      <w:jc w:val="left"/>
      <w:outlineLvl w:val="9"/>
    </w:pPr>
    <w:rPr>
      <w:rFonts w:asciiTheme="majorHAnsi" w:eastAsiaTheme="majorEastAsia" w:hAnsiTheme="majorHAnsi" w:cstheme="majorBidi"/>
      <w:color w:val="365F91" w:themeColor="accent1" w:themeShade="BF"/>
      <w:sz w:val="28"/>
    </w:rPr>
  </w:style>
  <w:style w:type="paragraph" w:styleId="TOC2">
    <w:name w:val="toc 2"/>
    <w:basedOn w:val="Normal"/>
    <w:next w:val="Normal"/>
    <w:autoRedefine/>
    <w:uiPriority w:val="39"/>
    <w:unhideWhenUsed/>
    <w:qFormat/>
    <w:rsid w:val="00C03FE8"/>
    <w:pPr>
      <w:numPr>
        <w:numId w:val="8"/>
      </w:numPr>
      <w:spacing w:after="100"/>
      <w:ind w:hanging="126"/>
    </w:pPr>
    <w:rPr>
      <w:lang w:eastAsia="ja-JP"/>
    </w:rPr>
  </w:style>
  <w:style w:type="paragraph" w:styleId="TOC1">
    <w:name w:val="toc 1"/>
    <w:basedOn w:val="Normal"/>
    <w:next w:val="Normal"/>
    <w:autoRedefine/>
    <w:uiPriority w:val="39"/>
    <w:unhideWhenUsed/>
    <w:qFormat/>
    <w:rsid w:val="00C03FE8"/>
    <w:pPr>
      <w:spacing w:after="100"/>
    </w:pPr>
    <w:rPr>
      <w:lang w:eastAsia="ja-JP"/>
    </w:rPr>
  </w:style>
  <w:style w:type="paragraph" w:styleId="TOC3">
    <w:name w:val="toc 3"/>
    <w:basedOn w:val="Normal"/>
    <w:next w:val="Normal"/>
    <w:autoRedefine/>
    <w:uiPriority w:val="39"/>
    <w:unhideWhenUsed/>
    <w:qFormat/>
    <w:rsid w:val="00C03FE8"/>
    <w:pPr>
      <w:spacing w:after="100"/>
      <w:ind w:left="440"/>
    </w:pPr>
    <w:rPr>
      <w:lang w:eastAsia="ja-JP"/>
    </w:rPr>
  </w:style>
  <w:style w:type="character" w:customStyle="1" w:styleId="ptext-18">
    <w:name w:val="ptext-18"/>
    <w:basedOn w:val="DefaultParagraphFont"/>
    <w:rsid w:val="00C03FE8"/>
  </w:style>
  <w:style w:type="character" w:customStyle="1" w:styleId="BalloonTextChar1">
    <w:name w:val="Balloon Text Char1"/>
    <w:basedOn w:val="DefaultParagraphFont"/>
    <w:uiPriority w:val="99"/>
    <w:semiHidden/>
    <w:rsid w:val="00326E58"/>
    <w:rPr>
      <w:rFonts w:ascii="Tahoma" w:hAnsi="Tahoma" w:cs="Tahoma"/>
      <w:sz w:val="16"/>
      <w:szCs w:val="16"/>
    </w:rPr>
  </w:style>
  <w:style w:type="character" w:customStyle="1" w:styleId="BalloonTextChar2">
    <w:name w:val="Balloon Text Char2"/>
    <w:basedOn w:val="DefaultParagraphFont"/>
    <w:uiPriority w:val="99"/>
    <w:semiHidden/>
    <w:rsid w:val="00326E58"/>
    <w:rPr>
      <w:rFonts w:ascii="Lucida Grande" w:hAnsi="Lucida Grande"/>
      <w:sz w:val="18"/>
      <w:szCs w:val="18"/>
    </w:rPr>
  </w:style>
  <w:style w:type="paragraph" w:styleId="BodyTextIndent">
    <w:name w:val="Body Text Indent"/>
    <w:basedOn w:val="Normal"/>
    <w:link w:val="BodyTextIndentChar"/>
    <w:uiPriority w:val="99"/>
    <w:unhideWhenUsed/>
    <w:rsid w:val="00331A7B"/>
    <w:pPr>
      <w:spacing w:after="0" w:line="240" w:lineRule="auto"/>
      <w:ind w:left="360"/>
    </w:pPr>
    <w:rPr>
      <w:rFonts w:ascii="Times New Roman" w:eastAsiaTheme="minorHAnsi" w:hAnsi="Times New Roman" w:cs="Times New Roman"/>
      <w:sz w:val="24"/>
      <w:szCs w:val="24"/>
    </w:rPr>
  </w:style>
  <w:style w:type="character" w:customStyle="1" w:styleId="BodyTextIndentChar">
    <w:name w:val="Body Text Indent Char"/>
    <w:basedOn w:val="DefaultParagraphFont"/>
    <w:link w:val="BodyTextIndent"/>
    <w:uiPriority w:val="99"/>
    <w:rsid w:val="00331A7B"/>
    <w:rPr>
      <w:rFonts w:ascii="Times New Roman" w:eastAsiaTheme="minorHAnsi" w:hAnsi="Times New Roman" w:cs="Times New Roman"/>
      <w:sz w:val="24"/>
      <w:szCs w:val="24"/>
    </w:rPr>
  </w:style>
  <w:style w:type="character" w:styleId="HTMLCite">
    <w:name w:val="HTML Cite"/>
    <w:basedOn w:val="DefaultParagraphFont"/>
    <w:uiPriority w:val="99"/>
    <w:semiHidden/>
    <w:unhideWhenUsed/>
    <w:rsid w:val="00887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882">
      <w:bodyDiv w:val="1"/>
      <w:marLeft w:val="0"/>
      <w:marRight w:val="0"/>
      <w:marTop w:val="0"/>
      <w:marBottom w:val="0"/>
      <w:divBdr>
        <w:top w:val="none" w:sz="0" w:space="0" w:color="auto"/>
        <w:left w:val="none" w:sz="0" w:space="0" w:color="auto"/>
        <w:bottom w:val="none" w:sz="0" w:space="0" w:color="auto"/>
        <w:right w:val="none" w:sz="0" w:space="0" w:color="auto"/>
      </w:divBdr>
    </w:div>
    <w:div w:id="72047048">
      <w:bodyDiv w:val="1"/>
      <w:marLeft w:val="0"/>
      <w:marRight w:val="0"/>
      <w:marTop w:val="0"/>
      <w:marBottom w:val="0"/>
      <w:divBdr>
        <w:top w:val="none" w:sz="0" w:space="0" w:color="auto"/>
        <w:left w:val="none" w:sz="0" w:space="0" w:color="auto"/>
        <w:bottom w:val="none" w:sz="0" w:space="0" w:color="auto"/>
        <w:right w:val="none" w:sz="0" w:space="0" w:color="auto"/>
      </w:divBdr>
      <w:divsChild>
        <w:div w:id="1476295272">
          <w:marLeft w:val="0"/>
          <w:marRight w:val="0"/>
          <w:marTop w:val="0"/>
          <w:marBottom w:val="0"/>
          <w:divBdr>
            <w:top w:val="none" w:sz="0" w:space="0" w:color="auto"/>
            <w:left w:val="none" w:sz="0" w:space="0" w:color="auto"/>
            <w:bottom w:val="none" w:sz="0" w:space="0" w:color="auto"/>
            <w:right w:val="none" w:sz="0" w:space="0" w:color="auto"/>
          </w:divBdr>
          <w:divsChild>
            <w:div w:id="1068071440">
              <w:marLeft w:val="0"/>
              <w:marRight w:val="0"/>
              <w:marTop w:val="0"/>
              <w:marBottom w:val="0"/>
              <w:divBdr>
                <w:top w:val="none" w:sz="0" w:space="0" w:color="auto"/>
                <w:left w:val="none" w:sz="0" w:space="0" w:color="auto"/>
                <w:bottom w:val="none" w:sz="0" w:space="0" w:color="auto"/>
                <w:right w:val="none" w:sz="0" w:space="0" w:color="auto"/>
              </w:divBdr>
              <w:divsChild>
                <w:div w:id="1854688166">
                  <w:marLeft w:val="0"/>
                  <w:marRight w:val="0"/>
                  <w:marTop w:val="0"/>
                  <w:marBottom w:val="0"/>
                  <w:divBdr>
                    <w:top w:val="none" w:sz="0" w:space="0" w:color="auto"/>
                    <w:left w:val="none" w:sz="0" w:space="0" w:color="auto"/>
                    <w:bottom w:val="none" w:sz="0" w:space="0" w:color="auto"/>
                    <w:right w:val="none" w:sz="0" w:space="0" w:color="auto"/>
                  </w:divBdr>
                  <w:divsChild>
                    <w:div w:id="1452898218">
                      <w:marLeft w:val="0"/>
                      <w:marRight w:val="0"/>
                      <w:marTop w:val="0"/>
                      <w:marBottom w:val="0"/>
                      <w:divBdr>
                        <w:top w:val="none" w:sz="0" w:space="0" w:color="auto"/>
                        <w:left w:val="none" w:sz="0" w:space="0" w:color="auto"/>
                        <w:bottom w:val="none" w:sz="0" w:space="0" w:color="auto"/>
                        <w:right w:val="none" w:sz="0" w:space="0" w:color="auto"/>
                      </w:divBdr>
                      <w:divsChild>
                        <w:div w:id="1861623208">
                          <w:marLeft w:val="0"/>
                          <w:marRight w:val="0"/>
                          <w:marTop w:val="0"/>
                          <w:marBottom w:val="0"/>
                          <w:divBdr>
                            <w:top w:val="none" w:sz="0" w:space="0" w:color="auto"/>
                            <w:left w:val="none" w:sz="0" w:space="0" w:color="auto"/>
                            <w:bottom w:val="none" w:sz="0" w:space="0" w:color="auto"/>
                            <w:right w:val="none" w:sz="0" w:space="0" w:color="auto"/>
                          </w:divBdr>
                          <w:divsChild>
                            <w:div w:id="433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7997">
      <w:bodyDiv w:val="1"/>
      <w:marLeft w:val="0"/>
      <w:marRight w:val="0"/>
      <w:marTop w:val="0"/>
      <w:marBottom w:val="0"/>
      <w:divBdr>
        <w:top w:val="none" w:sz="0" w:space="0" w:color="auto"/>
        <w:left w:val="none" w:sz="0" w:space="0" w:color="auto"/>
        <w:bottom w:val="none" w:sz="0" w:space="0" w:color="auto"/>
        <w:right w:val="none" w:sz="0" w:space="0" w:color="auto"/>
      </w:divBdr>
    </w:div>
    <w:div w:id="111872233">
      <w:bodyDiv w:val="1"/>
      <w:marLeft w:val="0"/>
      <w:marRight w:val="0"/>
      <w:marTop w:val="0"/>
      <w:marBottom w:val="0"/>
      <w:divBdr>
        <w:top w:val="none" w:sz="0" w:space="0" w:color="auto"/>
        <w:left w:val="none" w:sz="0" w:space="0" w:color="auto"/>
        <w:bottom w:val="none" w:sz="0" w:space="0" w:color="auto"/>
        <w:right w:val="none" w:sz="0" w:space="0" w:color="auto"/>
      </w:divBdr>
      <w:divsChild>
        <w:div w:id="469178240">
          <w:marLeft w:val="0"/>
          <w:marRight w:val="0"/>
          <w:marTop w:val="0"/>
          <w:marBottom w:val="0"/>
          <w:divBdr>
            <w:top w:val="none" w:sz="0" w:space="0" w:color="auto"/>
            <w:left w:val="none" w:sz="0" w:space="0" w:color="auto"/>
            <w:bottom w:val="none" w:sz="0" w:space="0" w:color="auto"/>
            <w:right w:val="none" w:sz="0" w:space="0" w:color="auto"/>
          </w:divBdr>
          <w:divsChild>
            <w:div w:id="1227451837">
              <w:marLeft w:val="0"/>
              <w:marRight w:val="0"/>
              <w:marTop w:val="0"/>
              <w:marBottom w:val="0"/>
              <w:divBdr>
                <w:top w:val="none" w:sz="0" w:space="0" w:color="auto"/>
                <w:left w:val="none" w:sz="0" w:space="0" w:color="auto"/>
                <w:bottom w:val="none" w:sz="0" w:space="0" w:color="auto"/>
                <w:right w:val="none" w:sz="0" w:space="0" w:color="auto"/>
              </w:divBdr>
              <w:divsChild>
                <w:div w:id="844898351">
                  <w:marLeft w:val="0"/>
                  <w:marRight w:val="0"/>
                  <w:marTop w:val="0"/>
                  <w:marBottom w:val="0"/>
                  <w:divBdr>
                    <w:top w:val="none" w:sz="0" w:space="0" w:color="auto"/>
                    <w:left w:val="none" w:sz="0" w:space="0" w:color="auto"/>
                    <w:bottom w:val="none" w:sz="0" w:space="0" w:color="auto"/>
                    <w:right w:val="none" w:sz="0" w:space="0" w:color="auto"/>
                  </w:divBdr>
                  <w:divsChild>
                    <w:div w:id="1150057502">
                      <w:marLeft w:val="0"/>
                      <w:marRight w:val="0"/>
                      <w:marTop w:val="0"/>
                      <w:marBottom w:val="0"/>
                      <w:divBdr>
                        <w:top w:val="none" w:sz="0" w:space="0" w:color="auto"/>
                        <w:left w:val="none" w:sz="0" w:space="0" w:color="auto"/>
                        <w:bottom w:val="none" w:sz="0" w:space="0" w:color="auto"/>
                        <w:right w:val="none" w:sz="0" w:space="0" w:color="auto"/>
                      </w:divBdr>
                      <w:divsChild>
                        <w:div w:id="1074011043">
                          <w:marLeft w:val="0"/>
                          <w:marRight w:val="0"/>
                          <w:marTop w:val="0"/>
                          <w:marBottom w:val="0"/>
                          <w:divBdr>
                            <w:top w:val="none" w:sz="0" w:space="0" w:color="auto"/>
                            <w:left w:val="none" w:sz="0" w:space="0" w:color="auto"/>
                            <w:bottom w:val="none" w:sz="0" w:space="0" w:color="auto"/>
                            <w:right w:val="none" w:sz="0" w:space="0" w:color="auto"/>
                          </w:divBdr>
                          <w:divsChild>
                            <w:div w:id="19017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5188">
      <w:bodyDiv w:val="1"/>
      <w:marLeft w:val="0"/>
      <w:marRight w:val="0"/>
      <w:marTop w:val="0"/>
      <w:marBottom w:val="0"/>
      <w:divBdr>
        <w:top w:val="none" w:sz="0" w:space="0" w:color="auto"/>
        <w:left w:val="none" w:sz="0" w:space="0" w:color="auto"/>
        <w:bottom w:val="none" w:sz="0" w:space="0" w:color="auto"/>
        <w:right w:val="none" w:sz="0" w:space="0" w:color="auto"/>
      </w:divBdr>
    </w:div>
    <w:div w:id="118231449">
      <w:bodyDiv w:val="1"/>
      <w:marLeft w:val="0"/>
      <w:marRight w:val="0"/>
      <w:marTop w:val="0"/>
      <w:marBottom w:val="0"/>
      <w:divBdr>
        <w:top w:val="none" w:sz="0" w:space="0" w:color="auto"/>
        <w:left w:val="none" w:sz="0" w:space="0" w:color="auto"/>
        <w:bottom w:val="none" w:sz="0" w:space="0" w:color="auto"/>
        <w:right w:val="none" w:sz="0" w:space="0" w:color="auto"/>
      </w:divBdr>
    </w:div>
    <w:div w:id="124391731">
      <w:bodyDiv w:val="1"/>
      <w:marLeft w:val="0"/>
      <w:marRight w:val="0"/>
      <w:marTop w:val="0"/>
      <w:marBottom w:val="0"/>
      <w:divBdr>
        <w:top w:val="none" w:sz="0" w:space="0" w:color="auto"/>
        <w:left w:val="none" w:sz="0" w:space="0" w:color="auto"/>
        <w:bottom w:val="none" w:sz="0" w:space="0" w:color="auto"/>
        <w:right w:val="none" w:sz="0" w:space="0" w:color="auto"/>
      </w:divBdr>
    </w:div>
    <w:div w:id="140005808">
      <w:bodyDiv w:val="1"/>
      <w:marLeft w:val="0"/>
      <w:marRight w:val="0"/>
      <w:marTop w:val="0"/>
      <w:marBottom w:val="0"/>
      <w:divBdr>
        <w:top w:val="none" w:sz="0" w:space="0" w:color="auto"/>
        <w:left w:val="none" w:sz="0" w:space="0" w:color="auto"/>
        <w:bottom w:val="none" w:sz="0" w:space="0" w:color="auto"/>
        <w:right w:val="none" w:sz="0" w:space="0" w:color="auto"/>
      </w:divBdr>
    </w:div>
    <w:div w:id="185336785">
      <w:bodyDiv w:val="1"/>
      <w:marLeft w:val="0"/>
      <w:marRight w:val="0"/>
      <w:marTop w:val="0"/>
      <w:marBottom w:val="0"/>
      <w:divBdr>
        <w:top w:val="none" w:sz="0" w:space="0" w:color="auto"/>
        <w:left w:val="none" w:sz="0" w:space="0" w:color="auto"/>
        <w:bottom w:val="none" w:sz="0" w:space="0" w:color="auto"/>
        <w:right w:val="none" w:sz="0" w:space="0" w:color="auto"/>
      </w:divBdr>
    </w:div>
    <w:div w:id="189415819">
      <w:bodyDiv w:val="1"/>
      <w:marLeft w:val="0"/>
      <w:marRight w:val="0"/>
      <w:marTop w:val="0"/>
      <w:marBottom w:val="0"/>
      <w:divBdr>
        <w:top w:val="none" w:sz="0" w:space="0" w:color="auto"/>
        <w:left w:val="none" w:sz="0" w:space="0" w:color="auto"/>
        <w:bottom w:val="none" w:sz="0" w:space="0" w:color="auto"/>
        <w:right w:val="none" w:sz="0" w:space="0" w:color="auto"/>
      </w:divBdr>
    </w:div>
    <w:div w:id="207375309">
      <w:bodyDiv w:val="1"/>
      <w:marLeft w:val="0"/>
      <w:marRight w:val="0"/>
      <w:marTop w:val="0"/>
      <w:marBottom w:val="0"/>
      <w:divBdr>
        <w:top w:val="none" w:sz="0" w:space="0" w:color="auto"/>
        <w:left w:val="none" w:sz="0" w:space="0" w:color="auto"/>
        <w:bottom w:val="none" w:sz="0" w:space="0" w:color="auto"/>
        <w:right w:val="none" w:sz="0" w:space="0" w:color="auto"/>
      </w:divBdr>
    </w:div>
    <w:div w:id="251473370">
      <w:bodyDiv w:val="1"/>
      <w:marLeft w:val="0"/>
      <w:marRight w:val="0"/>
      <w:marTop w:val="0"/>
      <w:marBottom w:val="0"/>
      <w:divBdr>
        <w:top w:val="none" w:sz="0" w:space="0" w:color="auto"/>
        <w:left w:val="none" w:sz="0" w:space="0" w:color="auto"/>
        <w:bottom w:val="none" w:sz="0" w:space="0" w:color="auto"/>
        <w:right w:val="none" w:sz="0" w:space="0" w:color="auto"/>
      </w:divBdr>
    </w:div>
    <w:div w:id="283198611">
      <w:bodyDiv w:val="1"/>
      <w:marLeft w:val="0"/>
      <w:marRight w:val="0"/>
      <w:marTop w:val="0"/>
      <w:marBottom w:val="0"/>
      <w:divBdr>
        <w:top w:val="none" w:sz="0" w:space="0" w:color="auto"/>
        <w:left w:val="none" w:sz="0" w:space="0" w:color="auto"/>
        <w:bottom w:val="none" w:sz="0" w:space="0" w:color="auto"/>
        <w:right w:val="none" w:sz="0" w:space="0" w:color="auto"/>
      </w:divBdr>
    </w:div>
    <w:div w:id="424572669">
      <w:bodyDiv w:val="1"/>
      <w:marLeft w:val="0"/>
      <w:marRight w:val="0"/>
      <w:marTop w:val="0"/>
      <w:marBottom w:val="0"/>
      <w:divBdr>
        <w:top w:val="none" w:sz="0" w:space="0" w:color="auto"/>
        <w:left w:val="none" w:sz="0" w:space="0" w:color="auto"/>
        <w:bottom w:val="none" w:sz="0" w:space="0" w:color="auto"/>
        <w:right w:val="none" w:sz="0" w:space="0" w:color="auto"/>
      </w:divBdr>
    </w:div>
    <w:div w:id="430777878">
      <w:bodyDiv w:val="1"/>
      <w:marLeft w:val="0"/>
      <w:marRight w:val="0"/>
      <w:marTop w:val="0"/>
      <w:marBottom w:val="0"/>
      <w:divBdr>
        <w:top w:val="none" w:sz="0" w:space="0" w:color="auto"/>
        <w:left w:val="none" w:sz="0" w:space="0" w:color="auto"/>
        <w:bottom w:val="none" w:sz="0" w:space="0" w:color="auto"/>
        <w:right w:val="none" w:sz="0" w:space="0" w:color="auto"/>
      </w:divBdr>
    </w:div>
    <w:div w:id="440761856">
      <w:bodyDiv w:val="1"/>
      <w:marLeft w:val="0"/>
      <w:marRight w:val="0"/>
      <w:marTop w:val="0"/>
      <w:marBottom w:val="0"/>
      <w:divBdr>
        <w:top w:val="none" w:sz="0" w:space="0" w:color="auto"/>
        <w:left w:val="none" w:sz="0" w:space="0" w:color="auto"/>
        <w:bottom w:val="none" w:sz="0" w:space="0" w:color="auto"/>
        <w:right w:val="none" w:sz="0" w:space="0" w:color="auto"/>
      </w:divBdr>
    </w:div>
    <w:div w:id="441651754">
      <w:bodyDiv w:val="1"/>
      <w:marLeft w:val="0"/>
      <w:marRight w:val="0"/>
      <w:marTop w:val="0"/>
      <w:marBottom w:val="0"/>
      <w:divBdr>
        <w:top w:val="none" w:sz="0" w:space="0" w:color="auto"/>
        <w:left w:val="none" w:sz="0" w:space="0" w:color="auto"/>
        <w:bottom w:val="none" w:sz="0" w:space="0" w:color="auto"/>
        <w:right w:val="none" w:sz="0" w:space="0" w:color="auto"/>
      </w:divBdr>
    </w:div>
    <w:div w:id="561404961">
      <w:bodyDiv w:val="1"/>
      <w:marLeft w:val="0"/>
      <w:marRight w:val="0"/>
      <w:marTop w:val="0"/>
      <w:marBottom w:val="0"/>
      <w:divBdr>
        <w:top w:val="none" w:sz="0" w:space="0" w:color="auto"/>
        <w:left w:val="none" w:sz="0" w:space="0" w:color="auto"/>
        <w:bottom w:val="none" w:sz="0" w:space="0" w:color="auto"/>
        <w:right w:val="none" w:sz="0" w:space="0" w:color="auto"/>
      </w:divBdr>
    </w:div>
    <w:div w:id="586109412">
      <w:bodyDiv w:val="1"/>
      <w:marLeft w:val="0"/>
      <w:marRight w:val="0"/>
      <w:marTop w:val="0"/>
      <w:marBottom w:val="0"/>
      <w:divBdr>
        <w:top w:val="none" w:sz="0" w:space="0" w:color="auto"/>
        <w:left w:val="none" w:sz="0" w:space="0" w:color="auto"/>
        <w:bottom w:val="none" w:sz="0" w:space="0" w:color="auto"/>
        <w:right w:val="none" w:sz="0" w:space="0" w:color="auto"/>
      </w:divBdr>
    </w:div>
    <w:div w:id="611790404">
      <w:bodyDiv w:val="1"/>
      <w:marLeft w:val="0"/>
      <w:marRight w:val="0"/>
      <w:marTop w:val="0"/>
      <w:marBottom w:val="0"/>
      <w:divBdr>
        <w:top w:val="none" w:sz="0" w:space="0" w:color="auto"/>
        <w:left w:val="none" w:sz="0" w:space="0" w:color="auto"/>
        <w:bottom w:val="none" w:sz="0" w:space="0" w:color="auto"/>
        <w:right w:val="none" w:sz="0" w:space="0" w:color="auto"/>
      </w:divBdr>
      <w:divsChild>
        <w:div w:id="1609922246">
          <w:marLeft w:val="0"/>
          <w:marRight w:val="0"/>
          <w:marTop w:val="0"/>
          <w:marBottom w:val="0"/>
          <w:divBdr>
            <w:top w:val="none" w:sz="0" w:space="0" w:color="auto"/>
            <w:left w:val="none" w:sz="0" w:space="0" w:color="auto"/>
            <w:bottom w:val="none" w:sz="0" w:space="0" w:color="auto"/>
            <w:right w:val="none" w:sz="0" w:space="0" w:color="auto"/>
          </w:divBdr>
          <w:divsChild>
            <w:div w:id="317535635">
              <w:marLeft w:val="0"/>
              <w:marRight w:val="0"/>
              <w:marTop w:val="0"/>
              <w:marBottom w:val="0"/>
              <w:divBdr>
                <w:top w:val="none" w:sz="0" w:space="0" w:color="auto"/>
                <w:left w:val="none" w:sz="0" w:space="0" w:color="auto"/>
                <w:bottom w:val="none" w:sz="0" w:space="0" w:color="auto"/>
                <w:right w:val="none" w:sz="0" w:space="0" w:color="auto"/>
              </w:divBdr>
              <w:divsChild>
                <w:div w:id="860321821">
                  <w:marLeft w:val="0"/>
                  <w:marRight w:val="0"/>
                  <w:marTop w:val="0"/>
                  <w:marBottom w:val="0"/>
                  <w:divBdr>
                    <w:top w:val="none" w:sz="0" w:space="0" w:color="auto"/>
                    <w:left w:val="none" w:sz="0" w:space="0" w:color="auto"/>
                    <w:bottom w:val="none" w:sz="0" w:space="0" w:color="auto"/>
                    <w:right w:val="none" w:sz="0" w:space="0" w:color="auto"/>
                  </w:divBdr>
                  <w:divsChild>
                    <w:div w:id="1694451615">
                      <w:marLeft w:val="0"/>
                      <w:marRight w:val="0"/>
                      <w:marTop w:val="0"/>
                      <w:marBottom w:val="0"/>
                      <w:divBdr>
                        <w:top w:val="none" w:sz="0" w:space="0" w:color="auto"/>
                        <w:left w:val="none" w:sz="0" w:space="0" w:color="auto"/>
                        <w:bottom w:val="none" w:sz="0" w:space="0" w:color="auto"/>
                        <w:right w:val="none" w:sz="0" w:space="0" w:color="auto"/>
                      </w:divBdr>
                      <w:divsChild>
                        <w:div w:id="1733232540">
                          <w:marLeft w:val="0"/>
                          <w:marRight w:val="0"/>
                          <w:marTop w:val="0"/>
                          <w:marBottom w:val="0"/>
                          <w:divBdr>
                            <w:top w:val="none" w:sz="0" w:space="0" w:color="auto"/>
                            <w:left w:val="none" w:sz="0" w:space="0" w:color="auto"/>
                            <w:bottom w:val="none" w:sz="0" w:space="0" w:color="auto"/>
                            <w:right w:val="none" w:sz="0" w:space="0" w:color="auto"/>
                          </w:divBdr>
                          <w:divsChild>
                            <w:div w:id="637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28693">
      <w:bodyDiv w:val="1"/>
      <w:marLeft w:val="0"/>
      <w:marRight w:val="0"/>
      <w:marTop w:val="0"/>
      <w:marBottom w:val="0"/>
      <w:divBdr>
        <w:top w:val="none" w:sz="0" w:space="0" w:color="auto"/>
        <w:left w:val="none" w:sz="0" w:space="0" w:color="auto"/>
        <w:bottom w:val="none" w:sz="0" w:space="0" w:color="auto"/>
        <w:right w:val="none" w:sz="0" w:space="0" w:color="auto"/>
      </w:divBdr>
      <w:divsChild>
        <w:div w:id="1548255135">
          <w:marLeft w:val="0"/>
          <w:marRight w:val="0"/>
          <w:marTop w:val="0"/>
          <w:marBottom w:val="0"/>
          <w:divBdr>
            <w:top w:val="none" w:sz="0" w:space="0" w:color="auto"/>
            <w:left w:val="none" w:sz="0" w:space="0" w:color="auto"/>
            <w:bottom w:val="none" w:sz="0" w:space="0" w:color="auto"/>
            <w:right w:val="none" w:sz="0" w:space="0" w:color="auto"/>
          </w:divBdr>
          <w:divsChild>
            <w:div w:id="631447246">
              <w:marLeft w:val="0"/>
              <w:marRight w:val="0"/>
              <w:marTop w:val="0"/>
              <w:marBottom w:val="0"/>
              <w:divBdr>
                <w:top w:val="none" w:sz="0" w:space="0" w:color="auto"/>
                <w:left w:val="none" w:sz="0" w:space="0" w:color="auto"/>
                <w:bottom w:val="none" w:sz="0" w:space="0" w:color="auto"/>
                <w:right w:val="none" w:sz="0" w:space="0" w:color="auto"/>
              </w:divBdr>
              <w:divsChild>
                <w:div w:id="258413066">
                  <w:marLeft w:val="0"/>
                  <w:marRight w:val="0"/>
                  <w:marTop w:val="0"/>
                  <w:marBottom w:val="0"/>
                  <w:divBdr>
                    <w:top w:val="none" w:sz="0" w:space="0" w:color="auto"/>
                    <w:left w:val="none" w:sz="0" w:space="0" w:color="auto"/>
                    <w:bottom w:val="none" w:sz="0" w:space="0" w:color="auto"/>
                    <w:right w:val="none" w:sz="0" w:space="0" w:color="auto"/>
                  </w:divBdr>
                  <w:divsChild>
                    <w:div w:id="373042897">
                      <w:marLeft w:val="0"/>
                      <w:marRight w:val="0"/>
                      <w:marTop w:val="0"/>
                      <w:marBottom w:val="0"/>
                      <w:divBdr>
                        <w:top w:val="none" w:sz="0" w:space="0" w:color="auto"/>
                        <w:left w:val="none" w:sz="0" w:space="0" w:color="auto"/>
                        <w:bottom w:val="none" w:sz="0" w:space="0" w:color="auto"/>
                        <w:right w:val="none" w:sz="0" w:space="0" w:color="auto"/>
                      </w:divBdr>
                      <w:divsChild>
                        <w:div w:id="1094276886">
                          <w:marLeft w:val="0"/>
                          <w:marRight w:val="0"/>
                          <w:marTop w:val="0"/>
                          <w:marBottom w:val="0"/>
                          <w:divBdr>
                            <w:top w:val="none" w:sz="0" w:space="0" w:color="auto"/>
                            <w:left w:val="none" w:sz="0" w:space="0" w:color="auto"/>
                            <w:bottom w:val="none" w:sz="0" w:space="0" w:color="auto"/>
                            <w:right w:val="none" w:sz="0" w:space="0" w:color="auto"/>
                          </w:divBdr>
                          <w:divsChild>
                            <w:div w:id="7575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75424">
      <w:bodyDiv w:val="1"/>
      <w:marLeft w:val="0"/>
      <w:marRight w:val="0"/>
      <w:marTop w:val="0"/>
      <w:marBottom w:val="0"/>
      <w:divBdr>
        <w:top w:val="none" w:sz="0" w:space="0" w:color="auto"/>
        <w:left w:val="none" w:sz="0" w:space="0" w:color="auto"/>
        <w:bottom w:val="none" w:sz="0" w:space="0" w:color="auto"/>
        <w:right w:val="none" w:sz="0" w:space="0" w:color="auto"/>
      </w:divBdr>
    </w:div>
    <w:div w:id="643003253">
      <w:bodyDiv w:val="1"/>
      <w:marLeft w:val="0"/>
      <w:marRight w:val="0"/>
      <w:marTop w:val="0"/>
      <w:marBottom w:val="0"/>
      <w:divBdr>
        <w:top w:val="none" w:sz="0" w:space="0" w:color="auto"/>
        <w:left w:val="none" w:sz="0" w:space="0" w:color="auto"/>
        <w:bottom w:val="none" w:sz="0" w:space="0" w:color="auto"/>
        <w:right w:val="none" w:sz="0" w:space="0" w:color="auto"/>
      </w:divBdr>
    </w:div>
    <w:div w:id="707486747">
      <w:bodyDiv w:val="1"/>
      <w:marLeft w:val="0"/>
      <w:marRight w:val="0"/>
      <w:marTop w:val="0"/>
      <w:marBottom w:val="0"/>
      <w:divBdr>
        <w:top w:val="none" w:sz="0" w:space="0" w:color="auto"/>
        <w:left w:val="none" w:sz="0" w:space="0" w:color="auto"/>
        <w:bottom w:val="none" w:sz="0" w:space="0" w:color="auto"/>
        <w:right w:val="none" w:sz="0" w:space="0" w:color="auto"/>
      </w:divBdr>
    </w:div>
    <w:div w:id="713582525">
      <w:bodyDiv w:val="1"/>
      <w:marLeft w:val="0"/>
      <w:marRight w:val="0"/>
      <w:marTop w:val="0"/>
      <w:marBottom w:val="0"/>
      <w:divBdr>
        <w:top w:val="none" w:sz="0" w:space="0" w:color="auto"/>
        <w:left w:val="none" w:sz="0" w:space="0" w:color="auto"/>
        <w:bottom w:val="none" w:sz="0" w:space="0" w:color="auto"/>
        <w:right w:val="none" w:sz="0" w:space="0" w:color="auto"/>
      </w:divBdr>
    </w:div>
    <w:div w:id="792482373">
      <w:bodyDiv w:val="1"/>
      <w:marLeft w:val="0"/>
      <w:marRight w:val="0"/>
      <w:marTop w:val="0"/>
      <w:marBottom w:val="0"/>
      <w:divBdr>
        <w:top w:val="none" w:sz="0" w:space="0" w:color="auto"/>
        <w:left w:val="none" w:sz="0" w:space="0" w:color="auto"/>
        <w:bottom w:val="none" w:sz="0" w:space="0" w:color="auto"/>
        <w:right w:val="none" w:sz="0" w:space="0" w:color="auto"/>
      </w:divBdr>
      <w:divsChild>
        <w:div w:id="814180938">
          <w:marLeft w:val="0"/>
          <w:marRight w:val="0"/>
          <w:marTop w:val="0"/>
          <w:marBottom w:val="0"/>
          <w:divBdr>
            <w:top w:val="none" w:sz="0" w:space="0" w:color="auto"/>
            <w:left w:val="none" w:sz="0" w:space="0" w:color="auto"/>
            <w:bottom w:val="none" w:sz="0" w:space="0" w:color="auto"/>
            <w:right w:val="none" w:sz="0" w:space="0" w:color="auto"/>
          </w:divBdr>
          <w:divsChild>
            <w:div w:id="1672562711">
              <w:marLeft w:val="0"/>
              <w:marRight w:val="0"/>
              <w:marTop w:val="0"/>
              <w:marBottom w:val="0"/>
              <w:divBdr>
                <w:top w:val="none" w:sz="0" w:space="0" w:color="auto"/>
                <w:left w:val="none" w:sz="0" w:space="0" w:color="auto"/>
                <w:bottom w:val="none" w:sz="0" w:space="0" w:color="auto"/>
                <w:right w:val="none" w:sz="0" w:space="0" w:color="auto"/>
              </w:divBdr>
              <w:divsChild>
                <w:div w:id="50738222">
                  <w:marLeft w:val="0"/>
                  <w:marRight w:val="0"/>
                  <w:marTop w:val="0"/>
                  <w:marBottom w:val="0"/>
                  <w:divBdr>
                    <w:top w:val="none" w:sz="0" w:space="0" w:color="auto"/>
                    <w:left w:val="none" w:sz="0" w:space="0" w:color="auto"/>
                    <w:bottom w:val="none" w:sz="0" w:space="0" w:color="auto"/>
                    <w:right w:val="none" w:sz="0" w:space="0" w:color="auto"/>
                  </w:divBdr>
                  <w:divsChild>
                    <w:div w:id="2005009361">
                      <w:marLeft w:val="0"/>
                      <w:marRight w:val="0"/>
                      <w:marTop w:val="0"/>
                      <w:marBottom w:val="0"/>
                      <w:divBdr>
                        <w:top w:val="none" w:sz="0" w:space="0" w:color="auto"/>
                        <w:left w:val="none" w:sz="0" w:space="0" w:color="auto"/>
                        <w:bottom w:val="none" w:sz="0" w:space="0" w:color="auto"/>
                        <w:right w:val="none" w:sz="0" w:space="0" w:color="auto"/>
                      </w:divBdr>
                      <w:divsChild>
                        <w:div w:id="1023246224">
                          <w:marLeft w:val="0"/>
                          <w:marRight w:val="0"/>
                          <w:marTop w:val="0"/>
                          <w:marBottom w:val="0"/>
                          <w:divBdr>
                            <w:top w:val="none" w:sz="0" w:space="0" w:color="auto"/>
                            <w:left w:val="none" w:sz="0" w:space="0" w:color="auto"/>
                            <w:bottom w:val="none" w:sz="0" w:space="0" w:color="auto"/>
                            <w:right w:val="none" w:sz="0" w:space="0" w:color="auto"/>
                          </w:divBdr>
                          <w:divsChild>
                            <w:div w:id="826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7963">
      <w:bodyDiv w:val="1"/>
      <w:marLeft w:val="0"/>
      <w:marRight w:val="0"/>
      <w:marTop w:val="0"/>
      <w:marBottom w:val="0"/>
      <w:divBdr>
        <w:top w:val="none" w:sz="0" w:space="0" w:color="auto"/>
        <w:left w:val="none" w:sz="0" w:space="0" w:color="auto"/>
        <w:bottom w:val="none" w:sz="0" w:space="0" w:color="auto"/>
        <w:right w:val="none" w:sz="0" w:space="0" w:color="auto"/>
      </w:divBdr>
    </w:div>
    <w:div w:id="850223332">
      <w:bodyDiv w:val="1"/>
      <w:marLeft w:val="0"/>
      <w:marRight w:val="0"/>
      <w:marTop w:val="0"/>
      <w:marBottom w:val="0"/>
      <w:divBdr>
        <w:top w:val="none" w:sz="0" w:space="0" w:color="auto"/>
        <w:left w:val="none" w:sz="0" w:space="0" w:color="auto"/>
        <w:bottom w:val="none" w:sz="0" w:space="0" w:color="auto"/>
        <w:right w:val="none" w:sz="0" w:space="0" w:color="auto"/>
      </w:divBdr>
      <w:divsChild>
        <w:div w:id="620065845">
          <w:marLeft w:val="0"/>
          <w:marRight w:val="0"/>
          <w:marTop w:val="0"/>
          <w:marBottom w:val="0"/>
          <w:divBdr>
            <w:top w:val="none" w:sz="0" w:space="0" w:color="auto"/>
            <w:left w:val="none" w:sz="0" w:space="0" w:color="auto"/>
            <w:bottom w:val="none" w:sz="0" w:space="0" w:color="auto"/>
            <w:right w:val="none" w:sz="0" w:space="0" w:color="auto"/>
          </w:divBdr>
          <w:divsChild>
            <w:div w:id="1047295265">
              <w:marLeft w:val="0"/>
              <w:marRight w:val="0"/>
              <w:marTop w:val="0"/>
              <w:marBottom w:val="0"/>
              <w:divBdr>
                <w:top w:val="none" w:sz="0" w:space="0" w:color="auto"/>
                <w:left w:val="none" w:sz="0" w:space="0" w:color="auto"/>
                <w:bottom w:val="none" w:sz="0" w:space="0" w:color="auto"/>
                <w:right w:val="none" w:sz="0" w:space="0" w:color="auto"/>
              </w:divBdr>
              <w:divsChild>
                <w:div w:id="1061444546">
                  <w:marLeft w:val="0"/>
                  <w:marRight w:val="0"/>
                  <w:marTop w:val="0"/>
                  <w:marBottom w:val="0"/>
                  <w:divBdr>
                    <w:top w:val="none" w:sz="0" w:space="0" w:color="auto"/>
                    <w:left w:val="none" w:sz="0" w:space="0" w:color="auto"/>
                    <w:bottom w:val="none" w:sz="0" w:space="0" w:color="auto"/>
                    <w:right w:val="none" w:sz="0" w:space="0" w:color="auto"/>
                  </w:divBdr>
                  <w:divsChild>
                    <w:div w:id="2139447454">
                      <w:marLeft w:val="0"/>
                      <w:marRight w:val="0"/>
                      <w:marTop w:val="0"/>
                      <w:marBottom w:val="0"/>
                      <w:divBdr>
                        <w:top w:val="none" w:sz="0" w:space="0" w:color="auto"/>
                        <w:left w:val="none" w:sz="0" w:space="0" w:color="auto"/>
                        <w:bottom w:val="none" w:sz="0" w:space="0" w:color="auto"/>
                        <w:right w:val="none" w:sz="0" w:space="0" w:color="auto"/>
                      </w:divBdr>
                      <w:divsChild>
                        <w:div w:id="168175959">
                          <w:marLeft w:val="0"/>
                          <w:marRight w:val="0"/>
                          <w:marTop w:val="0"/>
                          <w:marBottom w:val="0"/>
                          <w:divBdr>
                            <w:top w:val="none" w:sz="0" w:space="0" w:color="auto"/>
                            <w:left w:val="none" w:sz="0" w:space="0" w:color="auto"/>
                            <w:bottom w:val="none" w:sz="0" w:space="0" w:color="auto"/>
                            <w:right w:val="none" w:sz="0" w:space="0" w:color="auto"/>
                          </w:divBdr>
                          <w:divsChild>
                            <w:div w:id="14172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499097">
      <w:bodyDiv w:val="1"/>
      <w:marLeft w:val="0"/>
      <w:marRight w:val="0"/>
      <w:marTop w:val="0"/>
      <w:marBottom w:val="0"/>
      <w:divBdr>
        <w:top w:val="none" w:sz="0" w:space="0" w:color="auto"/>
        <w:left w:val="none" w:sz="0" w:space="0" w:color="auto"/>
        <w:bottom w:val="none" w:sz="0" w:space="0" w:color="auto"/>
        <w:right w:val="none" w:sz="0" w:space="0" w:color="auto"/>
      </w:divBdr>
    </w:div>
    <w:div w:id="941838734">
      <w:bodyDiv w:val="1"/>
      <w:marLeft w:val="0"/>
      <w:marRight w:val="0"/>
      <w:marTop w:val="0"/>
      <w:marBottom w:val="0"/>
      <w:divBdr>
        <w:top w:val="none" w:sz="0" w:space="0" w:color="auto"/>
        <w:left w:val="none" w:sz="0" w:space="0" w:color="auto"/>
        <w:bottom w:val="none" w:sz="0" w:space="0" w:color="auto"/>
        <w:right w:val="none" w:sz="0" w:space="0" w:color="auto"/>
      </w:divBdr>
    </w:div>
    <w:div w:id="953705512">
      <w:bodyDiv w:val="1"/>
      <w:marLeft w:val="0"/>
      <w:marRight w:val="0"/>
      <w:marTop w:val="0"/>
      <w:marBottom w:val="0"/>
      <w:divBdr>
        <w:top w:val="none" w:sz="0" w:space="0" w:color="auto"/>
        <w:left w:val="none" w:sz="0" w:space="0" w:color="auto"/>
        <w:bottom w:val="none" w:sz="0" w:space="0" w:color="auto"/>
        <w:right w:val="none" w:sz="0" w:space="0" w:color="auto"/>
      </w:divBdr>
    </w:div>
    <w:div w:id="990136812">
      <w:bodyDiv w:val="1"/>
      <w:marLeft w:val="0"/>
      <w:marRight w:val="0"/>
      <w:marTop w:val="0"/>
      <w:marBottom w:val="0"/>
      <w:divBdr>
        <w:top w:val="none" w:sz="0" w:space="0" w:color="auto"/>
        <w:left w:val="none" w:sz="0" w:space="0" w:color="auto"/>
        <w:bottom w:val="none" w:sz="0" w:space="0" w:color="auto"/>
        <w:right w:val="none" w:sz="0" w:space="0" w:color="auto"/>
      </w:divBdr>
    </w:div>
    <w:div w:id="1053850850">
      <w:bodyDiv w:val="1"/>
      <w:marLeft w:val="0"/>
      <w:marRight w:val="0"/>
      <w:marTop w:val="0"/>
      <w:marBottom w:val="0"/>
      <w:divBdr>
        <w:top w:val="none" w:sz="0" w:space="0" w:color="auto"/>
        <w:left w:val="none" w:sz="0" w:space="0" w:color="auto"/>
        <w:bottom w:val="none" w:sz="0" w:space="0" w:color="auto"/>
        <w:right w:val="none" w:sz="0" w:space="0" w:color="auto"/>
      </w:divBdr>
    </w:div>
    <w:div w:id="1066106582">
      <w:bodyDiv w:val="1"/>
      <w:marLeft w:val="0"/>
      <w:marRight w:val="0"/>
      <w:marTop w:val="0"/>
      <w:marBottom w:val="0"/>
      <w:divBdr>
        <w:top w:val="none" w:sz="0" w:space="0" w:color="auto"/>
        <w:left w:val="none" w:sz="0" w:space="0" w:color="auto"/>
        <w:bottom w:val="none" w:sz="0" w:space="0" w:color="auto"/>
        <w:right w:val="none" w:sz="0" w:space="0" w:color="auto"/>
      </w:divBdr>
      <w:divsChild>
        <w:div w:id="1340963053">
          <w:marLeft w:val="0"/>
          <w:marRight w:val="0"/>
          <w:marTop w:val="0"/>
          <w:marBottom w:val="0"/>
          <w:divBdr>
            <w:top w:val="none" w:sz="0" w:space="0" w:color="auto"/>
            <w:left w:val="none" w:sz="0" w:space="0" w:color="auto"/>
            <w:bottom w:val="none" w:sz="0" w:space="0" w:color="auto"/>
            <w:right w:val="none" w:sz="0" w:space="0" w:color="auto"/>
          </w:divBdr>
          <w:divsChild>
            <w:div w:id="1716274653">
              <w:marLeft w:val="0"/>
              <w:marRight w:val="0"/>
              <w:marTop w:val="0"/>
              <w:marBottom w:val="0"/>
              <w:divBdr>
                <w:top w:val="none" w:sz="0" w:space="0" w:color="auto"/>
                <w:left w:val="none" w:sz="0" w:space="0" w:color="auto"/>
                <w:bottom w:val="none" w:sz="0" w:space="0" w:color="auto"/>
                <w:right w:val="none" w:sz="0" w:space="0" w:color="auto"/>
              </w:divBdr>
              <w:divsChild>
                <w:div w:id="784812570">
                  <w:marLeft w:val="0"/>
                  <w:marRight w:val="0"/>
                  <w:marTop w:val="0"/>
                  <w:marBottom w:val="0"/>
                  <w:divBdr>
                    <w:top w:val="none" w:sz="0" w:space="0" w:color="auto"/>
                    <w:left w:val="none" w:sz="0" w:space="0" w:color="auto"/>
                    <w:bottom w:val="none" w:sz="0" w:space="0" w:color="auto"/>
                    <w:right w:val="none" w:sz="0" w:space="0" w:color="auto"/>
                  </w:divBdr>
                  <w:divsChild>
                    <w:div w:id="1092161725">
                      <w:marLeft w:val="0"/>
                      <w:marRight w:val="0"/>
                      <w:marTop w:val="0"/>
                      <w:marBottom w:val="0"/>
                      <w:divBdr>
                        <w:top w:val="none" w:sz="0" w:space="0" w:color="auto"/>
                        <w:left w:val="none" w:sz="0" w:space="0" w:color="auto"/>
                        <w:bottom w:val="none" w:sz="0" w:space="0" w:color="auto"/>
                        <w:right w:val="none" w:sz="0" w:space="0" w:color="auto"/>
                      </w:divBdr>
                      <w:divsChild>
                        <w:div w:id="333845454">
                          <w:marLeft w:val="0"/>
                          <w:marRight w:val="0"/>
                          <w:marTop w:val="0"/>
                          <w:marBottom w:val="0"/>
                          <w:divBdr>
                            <w:top w:val="none" w:sz="0" w:space="0" w:color="auto"/>
                            <w:left w:val="none" w:sz="0" w:space="0" w:color="auto"/>
                            <w:bottom w:val="none" w:sz="0" w:space="0" w:color="auto"/>
                            <w:right w:val="none" w:sz="0" w:space="0" w:color="auto"/>
                          </w:divBdr>
                          <w:divsChild>
                            <w:div w:id="21171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77561">
      <w:bodyDiv w:val="1"/>
      <w:marLeft w:val="0"/>
      <w:marRight w:val="0"/>
      <w:marTop w:val="0"/>
      <w:marBottom w:val="0"/>
      <w:divBdr>
        <w:top w:val="none" w:sz="0" w:space="0" w:color="auto"/>
        <w:left w:val="none" w:sz="0" w:space="0" w:color="auto"/>
        <w:bottom w:val="none" w:sz="0" w:space="0" w:color="auto"/>
        <w:right w:val="none" w:sz="0" w:space="0" w:color="auto"/>
      </w:divBdr>
    </w:div>
    <w:div w:id="1153252425">
      <w:bodyDiv w:val="1"/>
      <w:marLeft w:val="0"/>
      <w:marRight w:val="0"/>
      <w:marTop w:val="0"/>
      <w:marBottom w:val="0"/>
      <w:divBdr>
        <w:top w:val="none" w:sz="0" w:space="0" w:color="auto"/>
        <w:left w:val="none" w:sz="0" w:space="0" w:color="auto"/>
        <w:bottom w:val="none" w:sz="0" w:space="0" w:color="auto"/>
        <w:right w:val="none" w:sz="0" w:space="0" w:color="auto"/>
      </w:divBdr>
    </w:div>
    <w:div w:id="1176073553">
      <w:bodyDiv w:val="1"/>
      <w:marLeft w:val="0"/>
      <w:marRight w:val="0"/>
      <w:marTop w:val="0"/>
      <w:marBottom w:val="0"/>
      <w:divBdr>
        <w:top w:val="none" w:sz="0" w:space="0" w:color="auto"/>
        <w:left w:val="none" w:sz="0" w:space="0" w:color="auto"/>
        <w:bottom w:val="none" w:sz="0" w:space="0" w:color="auto"/>
        <w:right w:val="none" w:sz="0" w:space="0" w:color="auto"/>
      </w:divBdr>
    </w:div>
    <w:div w:id="1181705343">
      <w:bodyDiv w:val="1"/>
      <w:marLeft w:val="0"/>
      <w:marRight w:val="0"/>
      <w:marTop w:val="0"/>
      <w:marBottom w:val="0"/>
      <w:divBdr>
        <w:top w:val="none" w:sz="0" w:space="0" w:color="auto"/>
        <w:left w:val="none" w:sz="0" w:space="0" w:color="auto"/>
        <w:bottom w:val="none" w:sz="0" w:space="0" w:color="auto"/>
        <w:right w:val="none" w:sz="0" w:space="0" w:color="auto"/>
      </w:divBdr>
    </w:div>
    <w:div w:id="1196576426">
      <w:bodyDiv w:val="1"/>
      <w:marLeft w:val="0"/>
      <w:marRight w:val="0"/>
      <w:marTop w:val="0"/>
      <w:marBottom w:val="0"/>
      <w:divBdr>
        <w:top w:val="none" w:sz="0" w:space="0" w:color="auto"/>
        <w:left w:val="none" w:sz="0" w:space="0" w:color="auto"/>
        <w:bottom w:val="none" w:sz="0" w:space="0" w:color="auto"/>
        <w:right w:val="none" w:sz="0" w:space="0" w:color="auto"/>
      </w:divBdr>
    </w:div>
    <w:div w:id="1234698282">
      <w:bodyDiv w:val="1"/>
      <w:marLeft w:val="0"/>
      <w:marRight w:val="0"/>
      <w:marTop w:val="0"/>
      <w:marBottom w:val="0"/>
      <w:divBdr>
        <w:top w:val="none" w:sz="0" w:space="0" w:color="auto"/>
        <w:left w:val="none" w:sz="0" w:space="0" w:color="auto"/>
        <w:bottom w:val="none" w:sz="0" w:space="0" w:color="auto"/>
        <w:right w:val="none" w:sz="0" w:space="0" w:color="auto"/>
      </w:divBdr>
    </w:div>
    <w:div w:id="1254389178">
      <w:bodyDiv w:val="1"/>
      <w:marLeft w:val="0"/>
      <w:marRight w:val="0"/>
      <w:marTop w:val="0"/>
      <w:marBottom w:val="0"/>
      <w:divBdr>
        <w:top w:val="none" w:sz="0" w:space="0" w:color="auto"/>
        <w:left w:val="none" w:sz="0" w:space="0" w:color="auto"/>
        <w:bottom w:val="none" w:sz="0" w:space="0" w:color="auto"/>
        <w:right w:val="none" w:sz="0" w:space="0" w:color="auto"/>
      </w:divBdr>
    </w:div>
    <w:div w:id="1255940925">
      <w:bodyDiv w:val="1"/>
      <w:marLeft w:val="0"/>
      <w:marRight w:val="0"/>
      <w:marTop w:val="0"/>
      <w:marBottom w:val="0"/>
      <w:divBdr>
        <w:top w:val="none" w:sz="0" w:space="0" w:color="auto"/>
        <w:left w:val="none" w:sz="0" w:space="0" w:color="auto"/>
        <w:bottom w:val="none" w:sz="0" w:space="0" w:color="auto"/>
        <w:right w:val="none" w:sz="0" w:space="0" w:color="auto"/>
      </w:divBdr>
    </w:div>
    <w:div w:id="1297177816">
      <w:bodyDiv w:val="1"/>
      <w:marLeft w:val="0"/>
      <w:marRight w:val="0"/>
      <w:marTop w:val="0"/>
      <w:marBottom w:val="0"/>
      <w:divBdr>
        <w:top w:val="none" w:sz="0" w:space="0" w:color="auto"/>
        <w:left w:val="none" w:sz="0" w:space="0" w:color="auto"/>
        <w:bottom w:val="none" w:sz="0" w:space="0" w:color="auto"/>
        <w:right w:val="none" w:sz="0" w:space="0" w:color="auto"/>
      </w:divBdr>
    </w:div>
    <w:div w:id="1419206259">
      <w:bodyDiv w:val="1"/>
      <w:marLeft w:val="0"/>
      <w:marRight w:val="0"/>
      <w:marTop w:val="0"/>
      <w:marBottom w:val="0"/>
      <w:divBdr>
        <w:top w:val="none" w:sz="0" w:space="0" w:color="auto"/>
        <w:left w:val="none" w:sz="0" w:space="0" w:color="auto"/>
        <w:bottom w:val="none" w:sz="0" w:space="0" w:color="auto"/>
        <w:right w:val="none" w:sz="0" w:space="0" w:color="auto"/>
      </w:divBdr>
    </w:div>
    <w:div w:id="1421171348">
      <w:bodyDiv w:val="1"/>
      <w:marLeft w:val="0"/>
      <w:marRight w:val="0"/>
      <w:marTop w:val="0"/>
      <w:marBottom w:val="0"/>
      <w:divBdr>
        <w:top w:val="none" w:sz="0" w:space="0" w:color="auto"/>
        <w:left w:val="none" w:sz="0" w:space="0" w:color="auto"/>
        <w:bottom w:val="none" w:sz="0" w:space="0" w:color="auto"/>
        <w:right w:val="none" w:sz="0" w:space="0" w:color="auto"/>
      </w:divBdr>
    </w:div>
    <w:div w:id="1520776487">
      <w:bodyDiv w:val="1"/>
      <w:marLeft w:val="0"/>
      <w:marRight w:val="0"/>
      <w:marTop w:val="0"/>
      <w:marBottom w:val="0"/>
      <w:divBdr>
        <w:top w:val="none" w:sz="0" w:space="0" w:color="auto"/>
        <w:left w:val="none" w:sz="0" w:space="0" w:color="auto"/>
        <w:bottom w:val="none" w:sz="0" w:space="0" w:color="auto"/>
        <w:right w:val="none" w:sz="0" w:space="0" w:color="auto"/>
      </w:divBdr>
    </w:div>
    <w:div w:id="1527477522">
      <w:bodyDiv w:val="1"/>
      <w:marLeft w:val="0"/>
      <w:marRight w:val="0"/>
      <w:marTop w:val="0"/>
      <w:marBottom w:val="0"/>
      <w:divBdr>
        <w:top w:val="none" w:sz="0" w:space="0" w:color="auto"/>
        <w:left w:val="none" w:sz="0" w:space="0" w:color="auto"/>
        <w:bottom w:val="none" w:sz="0" w:space="0" w:color="auto"/>
        <w:right w:val="none" w:sz="0" w:space="0" w:color="auto"/>
      </w:divBdr>
    </w:div>
    <w:div w:id="1645114017">
      <w:bodyDiv w:val="1"/>
      <w:marLeft w:val="0"/>
      <w:marRight w:val="0"/>
      <w:marTop w:val="0"/>
      <w:marBottom w:val="0"/>
      <w:divBdr>
        <w:top w:val="none" w:sz="0" w:space="0" w:color="auto"/>
        <w:left w:val="none" w:sz="0" w:space="0" w:color="auto"/>
        <w:bottom w:val="none" w:sz="0" w:space="0" w:color="auto"/>
        <w:right w:val="none" w:sz="0" w:space="0" w:color="auto"/>
      </w:divBdr>
    </w:div>
    <w:div w:id="1658533043">
      <w:bodyDiv w:val="1"/>
      <w:marLeft w:val="0"/>
      <w:marRight w:val="0"/>
      <w:marTop w:val="0"/>
      <w:marBottom w:val="0"/>
      <w:divBdr>
        <w:top w:val="none" w:sz="0" w:space="0" w:color="auto"/>
        <w:left w:val="none" w:sz="0" w:space="0" w:color="auto"/>
        <w:bottom w:val="none" w:sz="0" w:space="0" w:color="auto"/>
        <w:right w:val="none" w:sz="0" w:space="0" w:color="auto"/>
      </w:divBdr>
    </w:div>
    <w:div w:id="1660424942">
      <w:bodyDiv w:val="1"/>
      <w:marLeft w:val="0"/>
      <w:marRight w:val="0"/>
      <w:marTop w:val="0"/>
      <w:marBottom w:val="0"/>
      <w:divBdr>
        <w:top w:val="none" w:sz="0" w:space="0" w:color="auto"/>
        <w:left w:val="none" w:sz="0" w:space="0" w:color="auto"/>
        <w:bottom w:val="none" w:sz="0" w:space="0" w:color="auto"/>
        <w:right w:val="none" w:sz="0" w:space="0" w:color="auto"/>
      </w:divBdr>
    </w:div>
    <w:div w:id="1681394244">
      <w:bodyDiv w:val="1"/>
      <w:marLeft w:val="0"/>
      <w:marRight w:val="0"/>
      <w:marTop w:val="0"/>
      <w:marBottom w:val="0"/>
      <w:divBdr>
        <w:top w:val="none" w:sz="0" w:space="0" w:color="auto"/>
        <w:left w:val="none" w:sz="0" w:space="0" w:color="auto"/>
        <w:bottom w:val="none" w:sz="0" w:space="0" w:color="auto"/>
        <w:right w:val="none" w:sz="0" w:space="0" w:color="auto"/>
      </w:divBdr>
    </w:div>
    <w:div w:id="1684430266">
      <w:bodyDiv w:val="1"/>
      <w:marLeft w:val="0"/>
      <w:marRight w:val="0"/>
      <w:marTop w:val="0"/>
      <w:marBottom w:val="0"/>
      <w:divBdr>
        <w:top w:val="none" w:sz="0" w:space="0" w:color="auto"/>
        <w:left w:val="none" w:sz="0" w:space="0" w:color="auto"/>
        <w:bottom w:val="none" w:sz="0" w:space="0" w:color="auto"/>
        <w:right w:val="none" w:sz="0" w:space="0" w:color="auto"/>
      </w:divBdr>
    </w:div>
    <w:div w:id="1698658810">
      <w:bodyDiv w:val="1"/>
      <w:marLeft w:val="0"/>
      <w:marRight w:val="0"/>
      <w:marTop w:val="0"/>
      <w:marBottom w:val="0"/>
      <w:divBdr>
        <w:top w:val="none" w:sz="0" w:space="0" w:color="auto"/>
        <w:left w:val="none" w:sz="0" w:space="0" w:color="auto"/>
        <w:bottom w:val="none" w:sz="0" w:space="0" w:color="auto"/>
        <w:right w:val="none" w:sz="0" w:space="0" w:color="auto"/>
      </w:divBdr>
    </w:div>
    <w:div w:id="1739673892">
      <w:bodyDiv w:val="1"/>
      <w:marLeft w:val="0"/>
      <w:marRight w:val="0"/>
      <w:marTop w:val="0"/>
      <w:marBottom w:val="0"/>
      <w:divBdr>
        <w:top w:val="none" w:sz="0" w:space="0" w:color="auto"/>
        <w:left w:val="none" w:sz="0" w:space="0" w:color="auto"/>
        <w:bottom w:val="none" w:sz="0" w:space="0" w:color="auto"/>
        <w:right w:val="none" w:sz="0" w:space="0" w:color="auto"/>
      </w:divBdr>
    </w:div>
    <w:div w:id="1809785048">
      <w:bodyDiv w:val="1"/>
      <w:marLeft w:val="0"/>
      <w:marRight w:val="0"/>
      <w:marTop w:val="0"/>
      <w:marBottom w:val="0"/>
      <w:divBdr>
        <w:top w:val="none" w:sz="0" w:space="0" w:color="auto"/>
        <w:left w:val="none" w:sz="0" w:space="0" w:color="auto"/>
        <w:bottom w:val="none" w:sz="0" w:space="0" w:color="auto"/>
        <w:right w:val="none" w:sz="0" w:space="0" w:color="auto"/>
      </w:divBdr>
    </w:div>
    <w:div w:id="1846288094">
      <w:bodyDiv w:val="1"/>
      <w:marLeft w:val="0"/>
      <w:marRight w:val="0"/>
      <w:marTop w:val="0"/>
      <w:marBottom w:val="0"/>
      <w:divBdr>
        <w:top w:val="none" w:sz="0" w:space="0" w:color="auto"/>
        <w:left w:val="none" w:sz="0" w:space="0" w:color="auto"/>
        <w:bottom w:val="none" w:sz="0" w:space="0" w:color="auto"/>
        <w:right w:val="none" w:sz="0" w:space="0" w:color="auto"/>
      </w:divBdr>
    </w:div>
    <w:div w:id="1849834565">
      <w:bodyDiv w:val="1"/>
      <w:marLeft w:val="0"/>
      <w:marRight w:val="0"/>
      <w:marTop w:val="0"/>
      <w:marBottom w:val="0"/>
      <w:divBdr>
        <w:top w:val="none" w:sz="0" w:space="0" w:color="auto"/>
        <w:left w:val="none" w:sz="0" w:space="0" w:color="auto"/>
        <w:bottom w:val="none" w:sz="0" w:space="0" w:color="auto"/>
        <w:right w:val="none" w:sz="0" w:space="0" w:color="auto"/>
      </w:divBdr>
      <w:divsChild>
        <w:div w:id="1675456002">
          <w:marLeft w:val="0"/>
          <w:marRight w:val="0"/>
          <w:marTop w:val="0"/>
          <w:marBottom w:val="0"/>
          <w:divBdr>
            <w:top w:val="none" w:sz="0" w:space="0" w:color="auto"/>
            <w:left w:val="none" w:sz="0" w:space="0" w:color="auto"/>
            <w:bottom w:val="none" w:sz="0" w:space="0" w:color="auto"/>
            <w:right w:val="none" w:sz="0" w:space="0" w:color="auto"/>
          </w:divBdr>
          <w:divsChild>
            <w:div w:id="1607036781">
              <w:marLeft w:val="0"/>
              <w:marRight w:val="0"/>
              <w:marTop w:val="0"/>
              <w:marBottom w:val="0"/>
              <w:divBdr>
                <w:top w:val="none" w:sz="0" w:space="0" w:color="auto"/>
                <w:left w:val="none" w:sz="0" w:space="0" w:color="auto"/>
                <w:bottom w:val="none" w:sz="0" w:space="0" w:color="auto"/>
                <w:right w:val="none" w:sz="0" w:space="0" w:color="auto"/>
              </w:divBdr>
              <w:divsChild>
                <w:div w:id="1244073617">
                  <w:marLeft w:val="0"/>
                  <w:marRight w:val="0"/>
                  <w:marTop w:val="0"/>
                  <w:marBottom w:val="0"/>
                  <w:divBdr>
                    <w:top w:val="none" w:sz="0" w:space="0" w:color="auto"/>
                    <w:left w:val="none" w:sz="0" w:space="0" w:color="auto"/>
                    <w:bottom w:val="none" w:sz="0" w:space="0" w:color="auto"/>
                    <w:right w:val="none" w:sz="0" w:space="0" w:color="auto"/>
                  </w:divBdr>
                  <w:divsChild>
                    <w:div w:id="1707675567">
                      <w:marLeft w:val="0"/>
                      <w:marRight w:val="0"/>
                      <w:marTop w:val="0"/>
                      <w:marBottom w:val="0"/>
                      <w:divBdr>
                        <w:top w:val="none" w:sz="0" w:space="0" w:color="auto"/>
                        <w:left w:val="none" w:sz="0" w:space="0" w:color="auto"/>
                        <w:bottom w:val="none" w:sz="0" w:space="0" w:color="auto"/>
                        <w:right w:val="none" w:sz="0" w:space="0" w:color="auto"/>
                      </w:divBdr>
                      <w:divsChild>
                        <w:div w:id="1451703560">
                          <w:marLeft w:val="0"/>
                          <w:marRight w:val="0"/>
                          <w:marTop w:val="0"/>
                          <w:marBottom w:val="0"/>
                          <w:divBdr>
                            <w:top w:val="none" w:sz="0" w:space="0" w:color="auto"/>
                            <w:left w:val="none" w:sz="0" w:space="0" w:color="auto"/>
                            <w:bottom w:val="none" w:sz="0" w:space="0" w:color="auto"/>
                            <w:right w:val="none" w:sz="0" w:space="0" w:color="auto"/>
                          </w:divBdr>
                          <w:divsChild>
                            <w:div w:id="17480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814335">
      <w:bodyDiv w:val="1"/>
      <w:marLeft w:val="0"/>
      <w:marRight w:val="0"/>
      <w:marTop w:val="0"/>
      <w:marBottom w:val="0"/>
      <w:divBdr>
        <w:top w:val="none" w:sz="0" w:space="0" w:color="auto"/>
        <w:left w:val="none" w:sz="0" w:space="0" w:color="auto"/>
        <w:bottom w:val="none" w:sz="0" w:space="0" w:color="auto"/>
        <w:right w:val="none" w:sz="0" w:space="0" w:color="auto"/>
      </w:divBdr>
    </w:div>
    <w:div w:id="1865365660">
      <w:bodyDiv w:val="1"/>
      <w:marLeft w:val="0"/>
      <w:marRight w:val="0"/>
      <w:marTop w:val="0"/>
      <w:marBottom w:val="0"/>
      <w:divBdr>
        <w:top w:val="none" w:sz="0" w:space="0" w:color="auto"/>
        <w:left w:val="none" w:sz="0" w:space="0" w:color="auto"/>
        <w:bottom w:val="none" w:sz="0" w:space="0" w:color="auto"/>
        <w:right w:val="none" w:sz="0" w:space="0" w:color="auto"/>
      </w:divBdr>
    </w:div>
    <w:div w:id="1866555640">
      <w:bodyDiv w:val="1"/>
      <w:marLeft w:val="0"/>
      <w:marRight w:val="0"/>
      <w:marTop w:val="0"/>
      <w:marBottom w:val="0"/>
      <w:divBdr>
        <w:top w:val="none" w:sz="0" w:space="0" w:color="auto"/>
        <w:left w:val="none" w:sz="0" w:space="0" w:color="auto"/>
        <w:bottom w:val="none" w:sz="0" w:space="0" w:color="auto"/>
        <w:right w:val="none" w:sz="0" w:space="0" w:color="auto"/>
      </w:divBdr>
    </w:div>
    <w:div w:id="1886021464">
      <w:bodyDiv w:val="1"/>
      <w:marLeft w:val="0"/>
      <w:marRight w:val="0"/>
      <w:marTop w:val="0"/>
      <w:marBottom w:val="0"/>
      <w:divBdr>
        <w:top w:val="none" w:sz="0" w:space="0" w:color="auto"/>
        <w:left w:val="none" w:sz="0" w:space="0" w:color="auto"/>
        <w:bottom w:val="none" w:sz="0" w:space="0" w:color="auto"/>
        <w:right w:val="none" w:sz="0" w:space="0" w:color="auto"/>
      </w:divBdr>
    </w:div>
    <w:div w:id="1915312994">
      <w:bodyDiv w:val="1"/>
      <w:marLeft w:val="0"/>
      <w:marRight w:val="0"/>
      <w:marTop w:val="0"/>
      <w:marBottom w:val="0"/>
      <w:divBdr>
        <w:top w:val="none" w:sz="0" w:space="0" w:color="auto"/>
        <w:left w:val="none" w:sz="0" w:space="0" w:color="auto"/>
        <w:bottom w:val="none" w:sz="0" w:space="0" w:color="auto"/>
        <w:right w:val="none" w:sz="0" w:space="0" w:color="auto"/>
      </w:divBdr>
    </w:div>
    <w:div w:id="1991253916">
      <w:bodyDiv w:val="1"/>
      <w:marLeft w:val="0"/>
      <w:marRight w:val="0"/>
      <w:marTop w:val="0"/>
      <w:marBottom w:val="0"/>
      <w:divBdr>
        <w:top w:val="none" w:sz="0" w:space="0" w:color="auto"/>
        <w:left w:val="none" w:sz="0" w:space="0" w:color="auto"/>
        <w:bottom w:val="none" w:sz="0" w:space="0" w:color="auto"/>
        <w:right w:val="none" w:sz="0" w:space="0" w:color="auto"/>
      </w:divBdr>
    </w:div>
    <w:div w:id="1999376927">
      <w:bodyDiv w:val="1"/>
      <w:marLeft w:val="0"/>
      <w:marRight w:val="0"/>
      <w:marTop w:val="0"/>
      <w:marBottom w:val="0"/>
      <w:divBdr>
        <w:top w:val="none" w:sz="0" w:space="0" w:color="auto"/>
        <w:left w:val="none" w:sz="0" w:space="0" w:color="auto"/>
        <w:bottom w:val="none" w:sz="0" w:space="0" w:color="auto"/>
        <w:right w:val="none" w:sz="0" w:space="0" w:color="auto"/>
      </w:divBdr>
    </w:div>
    <w:div w:id="2060860309">
      <w:bodyDiv w:val="1"/>
      <w:marLeft w:val="0"/>
      <w:marRight w:val="0"/>
      <w:marTop w:val="0"/>
      <w:marBottom w:val="0"/>
      <w:divBdr>
        <w:top w:val="none" w:sz="0" w:space="0" w:color="auto"/>
        <w:left w:val="none" w:sz="0" w:space="0" w:color="auto"/>
        <w:bottom w:val="none" w:sz="0" w:space="0" w:color="auto"/>
        <w:right w:val="none" w:sz="0" w:space="0" w:color="auto"/>
      </w:divBdr>
    </w:div>
    <w:div w:id="2065249493">
      <w:bodyDiv w:val="1"/>
      <w:marLeft w:val="0"/>
      <w:marRight w:val="0"/>
      <w:marTop w:val="0"/>
      <w:marBottom w:val="0"/>
      <w:divBdr>
        <w:top w:val="none" w:sz="0" w:space="0" w:color="auto"/>
        <w:left w:val="none" w:sz="0" w:space="0" w:color="auto"/>
        <w:bottom w:val="none" w:sz="0" w:space="0" w:color="auto"/>
        <w:right w:val="none" w:sz="0" w:space="0" w:color="auto"/>
      </w:divBdr>
      <w:divsChild>
        <w:div w:id="375355670">
          <w:marLeft w:val="0"/>
          <w:marRight w:val="0"/>
          <w:marTop w:val="0"/>
          <w:marBottom w:val="0"/>
          <w:divBdr>
            <w:top w:val="none" w:sz="0" w:space="0" w:color="auto"/>
            <w:left w:val="none" w:sz="0" w:space="0" w:color="auto"/>
            <w:bottom w:val="none" w:sz="0" w:space="0" w:color="auto"/>
            <w:right w:val="none" w:sz="0" w:space="0" w:color="auto"/>
          </w:divBdr>
          <w:divsChild>
            <w:div w:id="659162983">
              <w:marLeft w:val="0"/>
              <w:marRight w:val="0"/>
              <w:marTop w:val="0"/>
              <w:marBottom w:val="0"/>
              <w:divBdr>
                <w:top w:val="none" w:sz="0" w:space="0" w:color="auto"/>
                <w:left w:val="none" w:sz="0" w:space="0" w:color="auto"/>
                <w:bottom w:val="none" w:sz="0" w:space="0" w:color="auto"/>
                <w:right w:val="none" w:sz="0" w:space="0" w:color="auto"/>
              </w:divBdr>
              <w:divsChild>
                <w:div w:id="1424645578">
                  <w:marLeft w:val="0"/>
                  <w:marRight w:val="0"/>
                  <w:marTop w:val="0"/>
                  <w:marBottom w:val="0"/>
                  <w:divBdr>
                    <w:top w:val="none" w:sz="0" w:space="0" w:color="auto"/>
                    <w:left w:val="none" w:sz="0" w:space="0" w:color="auto"/>
                    <w:bottom w:val="none" w:sz="0" w:space="0" w:color="auto"/>
                    <w:right w:val="none" w:sz="0" w:space="0" w:color="auto"/>
                  </w:divBdr>
                  <w:divsChild>
                    <w:div w:id="1895777577">
                      <w:marLeft w:val="0"/>
                      <w:marRight w:val="0"/>
                      <w:marTop w:val="0"/>
                      <w:marBottom w:val="0"/>
                      <w:divBdr>
                        <w:top w:val="none" w:sz="0" w:space="0" w:color="auto"/>
                        <w:left w:val="none" w:sz="0" w:space="0" w:color="auto"/>
                        <w:bottom w:val="none" w:sz="0" w:space="0" w:color="auto"/>
                        <w:right w:val="none" w:sz="0" w:space="0" w:color="auto"/>
                      </w:divBdr>
                      <w:divsChild>
                        <w:div w:id="927468778">
                          <w:marLeft w:val="0"/>
                          <w:marRight w:val="0"/>
                          <w:marTop w:val="0"/>
                          <w:marBottom w:val="0"/>
                          <w:divBdr>
                            <w:top w:val="none" w:sz="0" w:space="0" w:color="auto"/>
                            <w:left w:val="none" w:sz="0" w:space="0" w:color="auto"/>
                            <w:bottom w:val="none" w:sz="0" w:space="0" w:color="auto"/>
                            <w:right w:val="none" w:sz="0" w:space="0" w:color="auto"/>
                          </w:divBdr>
                          <w:divsChild>
                            <w:div w:id="2024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099334">
      <w:bodyDiv w:val="1"/>
      <w:marLeft w:val="0"/>
      <w:marRight w:val="0"/>
      <w:marTop w:val="0"/>
      <w:marBottom w:val="0"/>
      <w:divBdr>
        <w:top w:val="none" w:sz="0" w:space="0" w:color="auto"/>
        <w:left w:val="none" w:sz="0" w:space="0" w:color="auto"/>
        <w:bottom w:val="none" w:sz="0" w:space="0" w:color="auto"/>
        <w:right w:val="none" w:sz="0" w:space="0" w:color="auto"/>
      </w:divBdr>
      <w:divsChild>
        <w:div w:id="1202673296">
          <w:marLeft w:val="0"/>
          <w:marRight w:val="0"/>
          <w:marTop w:val="0"/>
          <w:marBottom w:val="0"/>
          <w:divBdr>
            <w:top w:val="none" w:sz="0" w:space="0" w:color="auto"/>
            <w:left w:val="none" w:sz="0" w:space="0" w:color="auto"/>
            <w:bottom w:val="none" w:sz="0" w:space="0" w:color="auto"/>
            <w:right w:val="none" w:sz="0" w:space="0" w:color="auto"/>
          </w:divBdr>
          <w:divsChild>
            <w:div w:id="776406782">
              <w:marLeft w:val="0"/>
              <w:marRight w:val="0"/>
              <w:marTop w:val="0"/>
              <w:marBottom w:val="0"/>
              <w:divBdr>
                <w:top w:val="none" w:sz="0" w:space="0" w:color="auto"/>
                <w:left w:val="none" w:sz="0" w:space="0" w:color="auto"/>
                <w:bottom w:val="none" w:sz="0" w:space="0" w:color="auto"/>
                <w:right w:val="none" w:sz="0" w:space="0" w:color="auto"/>
              </w:divBdr>
              <w:divsChild>
                <w:div w:id="229997634">
                  <w:marLeft w:val="0"/>
                  <w:marRight w:val="0"/>
                  <w:marTop w:val="0"/>
                  <w:marBottom w:val="0"/>
                  <w:divBdr>
                    <w:top w:val="none" w:sz="0" w:space="0" w:color="auto"/>
                    <w:left w:val="none" w:sz="0" w:space="0" w:color="auto"/>
                    <w:bottom w:val="none" w:sz="0" w:space="0" w:color="auto"/>
                    <w:right w:val="none" w:sz="0" w:space="0" w:color="auto"/>
                  </w:divBdr>
                  <w:divsChild>
                    <w:div w:id="954943413">
                      <w:marLeft w:val="0"/>
                      <w:marRight w:val="0"/>
                      <w:marTop w:val="0"/>
                      <w:marBottom w:val="0"/>
                      <w:divBdr>
                        <w:top w:val="none" w:sz="0" w:space="0" w:color="auto"/>
                        <w:left w:val="none" w:sz="0" w:space="0" w:color="auto"/>
                        <w:bottom w:val="none" w:sz="0" w:space="0" w:color="auto"/>
                        <w:right w:val="none" w:sz="0" w:space="0" w:color="auto"/>
                      </w:divBdr>
                      <w:divsChild>
                        <w:div w:id="103698669">
                          <w:marLeft w:val="0"/>
                          <w:marRight w:val="0"/>
                          <w:marTop w:val="0"/>
                          <w:marBottom w:val="0"/>
                          <w:divBdr>
                            <w:top w:val="none" w:sz="0" w:space="0" w:color="auto"/>
                            <w:left w:val="none" w:sz="0" w:space="0" w:color="auto"/>
                            <w:bottom w:val="none" w:sz="0" w:space="0" w:color="auto"/>
                            <w:right w:val="none" w:sz="0" w:space="0" w:color="auto"/>
                          </w:divBdr>
                          <w:divsChild>
                            <w:div w:id="1600747659">
                              <w:marLeft w:val="0"/>
                              <w:marRight w:val="0"/>
                              <w:marTop w:val="0"/>
                              <w:marBottom w:val="0"/>
                              <w:divBdr>
                                <w:top w:val="none" w:sz="0" w:space="0" w:color="auto"/>
                                <w:left w:val="none" w:sz="0" w:space="0" w:color="auto"/>
                                <w:bottom w:val="none" w:sz="0" w:space="0" w:color="auto"/>
                                <w:right w:val="none" w:sz="0" w:space="0" w:color="auto"/>
                              </w:divBdr>
                              <w:divsChild>
                                <w:div w:id="1234197954">
                                  <w:marLeft w:val="0"/>
                                  <w:marRight w:val="0"/>
                                  <w:marTop w:val="0"/>
                                  <w:marBottom w:val="0"/>
                                  <w:divBdr>
                                    <w:top w:val="none" w:sz="0" w:space="0" w:color="auto"/>
                                    <w:left w:val="none" w:sz="0" w:space="0" w:color="auto"/>
                                    <w:bottom w:val="none" w:sz="0" w:space="0" w:color="auto"/>
                                    <w:right w:val="none" w:sz="0" w:space="0" w:color="auto"/>
                                  </w:divBdr>
                                </w:div>
                                <w:div w:id="6043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292239">
      <w:bodyDiv w:val="1"/>
      <w:marLeft w:val="0"/>
      <w:marRight w:val="0"/>
      <w:marTop w:val="0"/>
      <w:marBottom w:val="0"/>
      <w:divBdr>
        <w:top w:val="none" w:sz="0" w:space="0" w:color="auto"/>
        <w:left w:val="none" w:sz="0" w:space="0" w:color="auto"/>
        <w:bottom w:val="none" w:sz="0" w:space="0" w:color="auto"/>
        <w:right w:val="none" w:sz="0" w:space="0" w:color="auto"/>
      </w:divBdr>
    </w:div>
    <w:div w:id="2096856579">
      <w:bodyDiv w:val="1"/>
      <w:marLeft w:val="0"/>
      <w:marRight w:val="0"/>
      <w:marTop w:val="0"/>
      <w:marBottom w:val="0"/>
      <w:divBdr>
        <w:top w:val="none" w:sz="0" w:space="0" w:color="auto"/>
        <w:left w:val="none" w:sz="0" w:space="0" w:color="auto"/>
        <w:bottom w:val="none" w:sz="0" w:space="0" w:color="auto"/>
        <w:right w:val="none" w:sz="0" w:space="0" w:color="auto"/>
      </w:divBdr>
      <w:divsChild>
        <w:div w:id="216671161">
          <w:marLeft w:val="0"/>
          <w:marRight w:val="0"/>
          <w:marTop w:val="0"/>
          <w:marBottom w:val="0"/>
          <w:divBdr>
            <w:top w:val="none" w:sz="0" w:space="0" w:color="auto"/>
            <w:left w:val="none" w:sz="0" w:space="0" w:color="auto"/>
            <w:bottom w:val="none" w:sz="0" w:space="0" w:color="auto"/>
            <w:right w:val="none" w:sz="0" w:space="0" w:color="auto"/>
          </w:divBdr>
          <w:divsChild>
            <w:div w:id="886645492">
              <w:marLeft w:val="0"/>
              <w:marRight w:val="0"/>
              <w:marTop w:val="0"/>
              <w:marBottom w:val="0"/>
              <w:divBdr>
                <w:top w:val="none" w:sz="0" w:space="0" w:color="auto"/>
                <w:left w:val="none" w:sz="0" w:space="0" w:color="auto"/>
                <w:bottom w:val="none" w:sz="0" w:space="0" w:color="auto"/>
                <w:right w:val="none" w:sz="0" w:space="0" w:color="auto"/>
              </w:divBdr>
              <w:divsChild>
                <w:div w:id="1971354787">
                  <w:marLeft w:val="0"/>
                  <w:marRight w:val="0"/>
                  <w:marTop w:val="0"/>
                  <w:marBottom w:val="0"/>
                  <w:divBdr>
                    <w:top w:val="none" w:sz="0" w:space="0" w:color="auto"/>
                    <w:left w:val="none" w:sz="0" w:space="0" w:color="auto"/>
                    <w:bottom w:val="none" w:sz="0" w:space="0" w:color="auto"/>
                    <w:right w:val="none" w:sz="0" w:space="0" w:color="auto"/>
                  </w:divBdr>
                  <w:divsChild>
                    <w:div w:id="1997411643">
                      <w:marLeft w:val="0"/>
                      <w:marRight w:val="0"/>
                      <w:marTop w:val="0"/>
                      <w:marBottom w:val="0"/>
                      <w:divBdr>
                        <w:top w:val="none" w:sz="0" w:space="0" w:color="auto"/>
                        <w:left w:val="none" w:sz="0" w:space="0" w:color="auto"/>
                        <w:bottom w:val="none" w:sz="0" w:space="0" w:color="auto"/>
                        <w:right w:val="none" w:sz="0" w:space="0" w:color="auto"/>
                      </w:divBdr>
                      <w:divsChild>
                        <w:div w:id="1477066786">
                          <w:marLeft w:val="0"/>
                          <w:marRight w:val="0"/>
                          <w:marTop w:val="0"/>
                          <w:marBottom w:val="0"/>
                          <w:divBdr>
                            <w:top w:val="none" w:sz="0" w:space="0" w:color="auto"/>
                            <w:left w:val="none" w:sz="0" w:space="0" w:color="auto"/>
                            <w:bottom w:val="none" w:sz="0" w:space="0" w:color="auto"/>
                            <w:right w:val="none" w:sz="0" w:space="0" w:color="auto"/>
                          </w:divBdr>
                          <w:divsChild>
                            <w:div w:id="12851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55237">
      <w:bodyDiv w:val="1"/>
      <w:marLeft w:val="0"/>
      <w:marRight w:val="0"/>
      <w:marTop w:val="0"/>
      <w:marBottom w:val="0"/>
      <w:divBdr>
        <w:top w:val="none" w:sz="0" w:space="0" w:color="auto"/>
        <w:left w:val="none" w:sz="0" w:space="0" w:color="auto"/>
        <w:bottom w:val="none" w:sz="0" w:space="0" w:color="auto"/>
        <w:right w:val="none" w:sz="0" w:space="0" w:color="auto"/>
      </w:divBdr>
    </w:div>
    <w:div w:id="2119444590">
      <w:bodyDiv w:val="1"/>
      <w:marLeft w:val="0"/>
      <w:marRight w:val="0"/>
      <w:marTop w:val="0"/>
      <w:marBottom w:val="0"/>
      <w:divBdr>
        <w:top w:val="none" w:sz="0" w:space="0" w:color="auto"/>
        <w:left w:val="none" w:sz="0" w:space="0" w:color="auto"/>
        <w:bottom w:val="none" w:sz="0" w:space="0" w:color="auto"/>
        <w:right w:val="none" w:sz="0" w:space="0" w:color="auto"/>
      </w:divBdr>
    </w:div>
    <w:div w:id="2126191584">
      <w:bodyDiv w:val="1"/>
      <w:marLeft w:val="0"/>
      <w:marRight w:val="0"/>
      <w:marTop w:val="0"/>
      <w:marBottom w:val="0"/>
      <w:divBdr>
        <w:top w:val="none" w:sz="0" w:space="0" w:color="auto"/>
        <w:left w:val="none" w:sz="0" w:space="0" w:color="auto"/>
        <w:bottom w:val="none" w:sz="0" w:space="0" w:color="auto"/>
        <w:right w:val="none" w:sz="0" w:space="0" w:color="auto"/>
      </w:divBdr>
    </w:div>
    <w:div w:id="21436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f.hhs.gov/sites/default/files/ecd/caring_for_our_children_basic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D51AB5F-F7BC-4899-BD0C-4F4CE174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152936</Words>
  <Characters>871740</Characters>
  <Application>Microsoft Office Word</Application>
  <DocSecurity>0</DocSecurity>
  <Lines>7264</Lines>
  <Paragraphs>2045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2016-08-26T19:42:00Z</dcterms:created>
  <dcterms:modified xsi:type="dcterms:W3CDTF">2016-08-26T19:42:00Z</dcterms:modified>
</cp:coreProperties>
</file>