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DD85E" w14:textId="3679264C" w:rsidR="00390E11" w:rsidRPr="005212CA" w:rsidRDefault="00390E11" w:rsidP="00390E11">
      <w:pPr>
        <w:pStyle w:val="CoverTextRed16pt"/>
        <w:ind w:left="5040"/>
        <w:rPr>
          <w:noProof/>
        </w:rPr>
      </w:pPr>
      <w:r w:rsidRPr="005212CA">
        <w:rPr>
          <w:noProof/>
        </w:rPr>
        <w:t>Supporting Statement</w:t>
      </w:r>
      <w:r w:rsidR="005212CA">
        <w:rPr>
          <w:noProof/>
        </w:rPr>
        <w:t xml:space="preserve"> A</w:t>
      </w:r>
    </w:p>
    <w:p w14:paraId="3CB26ECE" w14:textId="6C87D045" w:rsidR="00982F78" w:rsidRDefault="007017B5" w:rsidP="00390E11">
      <w:pPr>
        <w:pStyle w:val="CoverTextRed16pt"/>
        <w:ind w:left="5040"/>
        <w:rPr>
          <w:noProof/>
        </w:rPr>
      </w:pPr>
      <w:r w:rsidRPr="005212CA">
        <w:rPr>
          <w:noProof/>
        </w:rPr>
        <w:t xml:space="preserve"> </w:t>
      </w:r>
      <w:r w:rsidR="00390E11" w:rsidRPr="005212CA">
        <w:rPr>
          <w:noProof/>
        </w:rPr>
        <w:t>For the Paperwork Reduction</w:t>
      </w:r>
      <w:r w:rsidR="00390E11">
        <w:rPr>
          <w:noProof/>
        </w:rPr>
        <w:t xml:space="preserve"> Act of 1995: Approval for the </w:t>
      </w:r>
      <w:r w:rsidR="00F17A9D">
        <w:rPr>
          <w:noProof/>
        </w:rPr>
        <w:t xml:space="preserve">Participant </w:t>
      </w:r>
      <w:r w:rsidR="00A85308">
        <w:rPr>
          <w:noProof/>
        </w:rPr>
        <w:t>Tracking, Interim Surveys and Six-</w:t>
      </w:r>
      <w:r w:rsidR="00F17A9D">
        <w:rPr>
          <w:noProof/>
        </w:rPr>
        <w:t xml:space="preserve">Month Follow-up Survey </w:t>
      </w:r>
      <w:r w:rsidR="00390E11">
        <w:rPr>
          <w:noProof/>
        </w:rPr>
        <w:t>for</w:t>
      </w:r>
      <w:r w:rsidR="00A85308">
        <w:rPr>
          <w:noProof/>
        </w:rPr>
        <w:t xml:space="preserve"> the Job Search Assistance</w:t>
      </w:r>
      <w:r w:rsidR="00390E11">
        <w:rPr>
          <w:noProof/>
        </w:rPr>
        <w:t xml:space="preserve"> Strategies Evaluation</w:t>
      </w:r>
    </w:p>
    <w:p w14:paraId="2451BAD1" w14:textId="77777777" w:rsidR="00982F78" w:rsidRDefault="00982F78" w:rsidP="00390E11">
      <w:pPr>
        <w:pStyle w:val="CoverTextRed16pt"/>
        <w:ind w:left="5040"/>
        <w:rPr>
          <w:noProof/>
        </w:rPr>
      </w:pPr>
    </w:p>
    <w:p w14:paraId="6E789F91" w14:textId="77777777" w:rsidR="00E248FD" w:rsidRDefault="00E248FD" w:rsidP="00390E11">
      <w:pPr>
        <w:pStyle w:val="CoverText-Address"/>
        <w:ind w:left="5040"/>
        <w:rPr>
          <w:noProof/>
        </w:rPr>
      </w:pPr>
    </w:p>
    <w:p w14:paraId="248E6DFF" w14:textId="77777777" w:rsidR="00982F78" w:rsidRDefault="00982F78" w:rsidP="00390E11">
      <w:pPr>
        <w:pStyle w:val="CoverText-Address"/>
        <w:ind w:left="5040"/>
        <w:rPr>
          <w:noProof/>
        </w:rPr>
      </w:pPr>
    </w:p>
    <w:p w14:paraId="071E8DE8" w14:textId="77777777"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14:paraId="3A36AE96" w14:textId="77777777" w:rsidR="00982F78" w:rsidRDefault="00982F78" w:rsidP="00390E11">
      <w:pPr>
        <w:pStyle w:val="CoverText-Address"/>
        <w:ind w:left="5040"/>
      </w:pPr>
    </w:p>
    <w:p w14:paraId="5ED477E6" w14:textId="77777777" w:rsidR="00982F78" w:rsidRDefault="00982F78" w:rsidP="00390E11">
      <w:pPr>
        <w:pStyle w:val="CoverText-Address"/>
        <w:ind w:left="5040"/>
        <w:rPr>
          <w:b/>
        </w:rPr>
      </w:pPr>
    </w:p>
    <w:p w14:paraId="1808905E" w14:textId="77777777" w:rsidR="00982F78" w:rsidRDefault="00982F78" w:rsidP="00390E11">
      <w:pPr>
        <w:pStyle w:val="CoverText-Address"/>
        <w:ind w:left="5040"/>
      </w:pPr>
    </w:p>
    <w:p w14:paraId="1B972983" w14:textId="77777777" w:rsidR="00982F78" w:rsidRDefault="00982F78" w:rsidP="00390E11">
      <w:pPr>
        <w:pStyle w:val="CoverText-Address"/>
        <w:ind w:left="5040"/>
      </w:pPr>
    </w:p>
    <w:p w14:paraId="11204562" w14:textId="37C7F7D3" w:rsidR="00982F78" w:rsidRDefault="006B3329" w:rsidP="00390E11">
      <w:pPr>
        <w:pStyle w:val="CoverText-Address"/>
        <w:ind w:left="5040"/>
      </w:pPr>
      <w:r>
        <w:t>November 9,</w:t>
      </w:r>
      <w:r w:rsidR="00AE5524">
        <w:t xml:space="preserve"> 2015</w:t>
      </w:r>
    </w:p>
    <w:p w14:paraId="1E127C52" w14:textId="77777777" w:rsidR="00982F78" w:rsidRPr="001E2CF1" w:rsidRDefault="00982F78" w:rsidP="00390E11">
      <w:pPr>
        <w:pStyle w:val="CoverText-Address"/>
        <w:ind w:left="5040"/>
      </w:pPr>
    </w:p>
    <w:p w14:paraId="463826B6" w14:textId="77777777"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14:paraId="7331F48C" w14:textId="77777777" w:rsidR="00982F78" w:rsidRPr="00AE5524" w:rsidRDefault="00982F78" w:rsidP="00AE5524">
      <w:pPr>
        <w:pStyle w:val="CoverText11pt"/>
        <w:ind w:left="2016" w:right="-547"/>
        <w:rPr>
          <w:i w:val="0"/>
        </w:rPr>
      </w:pPr>
      <w:r w:rsidRPr="00AE5524">
        <w:rPr>
          <w:i w:val="0"/>
        </w:rPr>
        <w:t>Submitted by:</w:t>
      </w:r>
    </w:p>
    <w:p w14:paraId="5E7F964B" w14:textId="481FA094" w:rsidR="00982F78" w:rsidRPr="00AE5524" w:rsidRDefault="00982F78" w:rsidP="00AE5524">
      <w:pPr>
        <w:pStyle w:val="CoverText11pt"/>
        <w:ind w:left="576" w:right="-547"/>
        <w:rPr>
          <w:i w:val="0"/>
        </w:rPr>
      </w:pPr>
      <w:r w:rsidRPr="00AE5524">
        <w:rPr>
          <w:i w:val="0"/>
        </w:rPr>
        <w:t>Office of Planning, Research &amp; Evaluation</w:t>
      </w:r>
    </w:p>
    <w:p w14:paraId="5FB5A9C4" w14:textId="77777777" w:rsidR="00982F78" w:rsidRPr="00AE5524" w:rsidRDefault="00982F78" w:rsidP="00390E11">
      <w:pPr>
        <w:pStyle w:val="CoverText-Address"/>
        <w:ind w:left="5040"/>
      </w:pPr>
      <w:r w:rsidRPr="00AE5524">
        <w:t>Administration for Children &amp; Families</w:t>
      </w:r>
    </w:p>
    <w:p w14:paraId="573E9AF8" w14:textId="64FBFEC1" w:rsidR="00982F78" w:rsidRPr="00AE5524" w:rsidRDefault="00982F78" w:rsidP="00390E11">
      <w:pPr>
        <w:pStyle w:val="CoverText-Address"/>
        <w:ind w:left="5040"/>
      </w:pPr>
      <w:r w:rsidRPr="00AE5524">
        <w:t>U.S. Department of Health</w:t>
      </w:r>
      <w:r w:rsidR="00AE5524">
        <w:t xml:space="preserve"> </w:t>
      </w:r>
      <w:r w:rsidRPr="00AE5524">
        <w:t>and Human</w:t>
      </w:r>
      <w:r w:rsidR="00AE5524">
        <w:t xml:space="preserve">           </w:t>
      </w:r>
      <w:r w:rsidRPr="00AE5524">
        <w:t>Services</w:t>
      </w:r>
    </w:p>
    <w:p w14:paraId="17CC02F9" w14:textId="77777777" w:rsidR="00982F78" w:rsidRDefault="00982F78" w:rsidP="00390E11">
      <w:pPr>
        <w:pStyle w:val="CoverText-Address"/>
        <w:ind w:left="5040"/>
      </w:pPr>
    </w:p>
    <w:p w14:paraId="089ACCFF" w14:textId="77777777"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14:paraId="35B71181" w14:textId="77777777" w:rsidR="00C10275" w:rsidRDefault="00C10275" w:rsidP="00390E11">
      <w:pPr>
        <w:pStyle w:val="CoverText-Address"/>
        <w:ind w:left="5040"/>
      </w:pPr>
      <w:r>
        <w:t>Federal Project Officer</w:t>
      </w:r>
    </w:p>
    <w:p w14:paraId="4B27448D" w14:textId="77777777" w:rsidR="00C10275" w:rsidRDefault="00C10275" w:rsidP="00390E11">
      <w:pPr>
        <w:pStyle w:val="CoverText-Address"/>
        <w:ind w:left="5040"/>
      </w:pPr>
      <w:r>
        <w:t>Erica Zielewski</w:t>
      </w:r>
    </w:p>
    <w:p w14:paraId="3C7DA206" w14:textId="77777777"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3ABDA0FD" w14:textId="77777777" w:rsidR="00982F78" w:rsidRPr="00A178FC" w:rsidRDefault="00982F78" w:rsidP="00982F78">
      <w:pPr>
        <w:pStyle w:val="TOCHeader"/>
      </w:pPr>
      <w:r w:rsidRPr="00A178FC">
        <w:lastRenderedPageBreak/>
        <w:t>Table of Contents</w:t>
      </w:r>
    </w:p>
    <w:p w14:paraId="00EE7F2A" w14:textId="77777777" w:rsidR="00A31625" w:rsidRDefault="004050EE">
      <w:pPr>
        <w:pStyle w:val="TOC1"/>
        <w:rPr>
          <w:rFonts w:asciiTheme="minorHAnsi" w:eastAsiaTheme="minorEastAsia" w:hAnsiTheme="minorHAnsi" w:cstheme="minorBidi"/>
          <w:b w:val="0"/>
          <w:szCs w:val="22"/>
        </w:rPr>
      </w:pPr>
      <w:r>
        <w:fldChar w:fldCharType="begin"/>
      </w:r>
      <w:r>
        <w:instrText xml:space="preserve"> TOC \o "1-2" \h \z \u </w:instrText>
      </w:r>
      <w:r>
        <w:fldChar w:fldCharType="separate"/>
      </w:r>
      <w:hyperlink w:anchor="_Toc432765865" w:history="1">
        <w:r w:rsidR="00A31625" w:rsidRPr="0085356B">
          <w:rPr>
            <w:rStyle w:val="Hyperlink"/>
          </w:rPr>
          <w:t>Part A: Justification</w:t>
        </w:r>
        <w:r w:rsidR="00A31625">
          <w:rPr>
            <w:webHidden/>
          </w:rPr>
          <w:tab/>
        </w:r>
        <w:r w:rsidR="00A31625">
          <w:rPr>
            <w:webHidden/>
          </w:rPr>
          <w:fldChar w:fldCharType="begin"/>
        </w:r>
        <w:r w:rsidR="00A31625">
          <w:rPr>
            <w:webHidden/>
          </w:rPr>
          <w:instrText xml:space="preserve"> PAGEREF _Toc432765865 \h </w:instrText>
        </w:r>
        <w:r w:rsidR="00A31625">
          <w:rPr>
            <w:webHidden/>
          </w:rPr>
        </w:r>
        <w:r w:rsidR="00A31625">
          <w:rPr>
            <w:webHidden/>
          </w:rPr>
          <w:fldChar w:fldCharType="separate"/>
        </w:r>
        <w:r w:rsidR="00AD613E">
          <w:rPr>
            <w:webHidden/>
          </w:rPr>
          <w:t>1</w:t>
        </w:r>
        <w:r w:rsidR="00A31625">
          <w:rPr>
            <w:webHidden/>
          </w:rPr>
          <w:fldChar w:fldCharType="end"/>
        </w:r>
      </w:hyperlink>
    </w:p>
    <w:p w14:paraId="589127F4" w14:textId="77777777" w:rsidR="00A31625" w:rsidRDefault="00487B8B">
      <w:pPr>
        <w:pStyle w:val="TOC2"/>
        <w:rPr>
          <w:rFonts w:asciiTheme="minorHAnsi" w:eastAsiaTheme="minorEastAsia" w:hAnsiTheme="minorHAnsi" w:cstheme="minorBidi"/>
          <w:szCs w:val="22"/>
        </w:rPr>
      </w:pPr>
      <w:hyperlink w:anchor="_Toc432765866" w:history="1">
        <w:r w:rsidR="00A31625" w:rsidRPr="0085356B">
          <w:rPr>
            <w:rStyle w:val="Hyperlink"/>
          </w:rPr>
          <w:t>A.1</w:t>
        </w:r>
        <w:r w:rsidR="00A31625">
          <w:rPr>
            <w:rFonts w:asciiTheme="minorHAnsi" w:eastAsiaTheme="minorEastAsia" w:hAnsiTheme="minorHAnsi" w:cstheme="minorBidi"/>
            <w:szCs w:val="22"/>
          </w:rPr>
          <w:tab/>
        </w:r>
        <w:r w:rsidR="00A31625" w:rsidRPr="0085356B">
          <w:rPr>
            <w:rStyle w:val="Hyperlink"/>
          </w:rPr>
          <w:t>Necessity for the Data Collection</w:t>
        </w:r>
        <w:r w:rsidR="00A31625">
          <w:rPr>
            <w:webHidden/>
          </w:rPr>
          <w:tab/>
        </w:r>
        <w:r w:rsidR="00A31625">
          <w:rPr>
            <w:webHidden/>
          </w:rPr>
          <w:fldChar w:fldCharType="begin"/>
        </w:r>
        <w:r w:rsidR="00A31625">
          <w:rPr>
            <w:webHidden/>
          </w:rPr>
          <w:instrText xml:space="preserve"> PAGEREF _Toc432765866 \h </w:instrText>
        </w:r>
        <w:r w:rsidR="00A31625">
          <w:rPr>
            <w:webHidden/>
          </w:rPr>
        </w:r>
        <w:r w:rsidR="00A31625">
          <w:rPr>
            <w:webHidden/>
          </w:rPr>
          <w:fldChar w:fldCharType="separate"/>
        </w:r>
        <w:r w:rsidR="00AD613E">
          <w:rPr>
            <w:webHidden/>
          </w:rPr>
          <w:t>2</w:t>
        </w:r>
        <w:r w:rsidR="00A31625">
          <w:rPr>
            <w:webHidden/>
          </w:rPr>
          <w:fldChar w:fldCharType="end"/>
        </w:r>
      </w:hyperlink>
    </w:p>
    <w:p w14:paraId="53B6903C" w14:textId="77777777" w:rsidR="00A31625" w:rsidRDefault="00487B8B">
      <w:pPr>
        <w:pStyle w:val="TOC2"/>
        <w:rPr>
          <w:rFonts w:asciiTheme="minorHAnsi" w:eastAsiaTheme="minorEastAsia" w:hAnsiTheme="minorHAnsi" w:cstheme="minorBidi"/>
          <w:szCs w:val="22"/>
        </w:rPr>
      </w:pPr>
      <w:hyperlink w:anchor="_Toc432765867" w:history="1">
        <w:r w:rsidR="00A31625" w:rsidRPr="0085356B">
          <w:rPr>
            <w:rStyle w:val="Hyperlink"/>
          </w:rPr>
          <w:t>A.2</w:t>
        </w:r>
        <w:r w:rsidR="00A31625">
          <w:rPr>
            <w:rFonts w:asciiTheme="minorHAnsi" w:eastAsiaTheme="minorEastAsia" w:hAnsiTheme="minorHAnsi" w:cstheme="minorBidi"/>
            <w:szCs w:val="22"/>
          </w:rPr>
          <w:tab/>
        </w:r>
        <w:r w:rsidR="00A31625" w:rsidRPr="0085356B">
          <w:rPr>
            <w:rStyle w:val="Hyperlink"/>
          </w:rPr>
          <w:t>Purpose of the Data Collection</w:t>
        </w:r>
        <w:r w:rsidR="00A31625">
          <w:rPr>
            <w:webHidden/>
          </w:rPr>
          <w:tab/>
        </w:r>
        <w:r w:rsidR="00A31625">
          <w:rPr>
            <w:webHidden/>
          </w:rPr>
          <w:fldChar w:fldCharType="begin"/>
        </w:r>
        <w:r w:rsidR="00A31625">
          <w:rPr>
            <w:webHidden/>
          </w:rPr>
          <w:instrText xml:space="preserve"> PAGEREF _Toc432765867 \h </w:instrText>
        </w:r>
        <w:r w:rsidR="00A31625">
          <w:rPr>
            <w:webHidden/>
          </w:rPr>
        </w:r>
        <w:r w:rsidR="00A31625">
          <w:rPr>
            <w:webHidden/>
          </w:rPr>
          <w:fldChar w:fldCharType="separate"/>
        </w:r>
        <w:r w:rsidR="00AD613E">
          <w:rPr>
            <w:webHidden/>
          </w:rPr>
          <w:t>4</w:t>
        </w:r>
        <w:r w:rsidR="00A31625">
          <w:rPr>
            <w:webHidden/>
          </w:rPr>
          <w:fldChar w:fldCharType="end"/>
        </w:r>
      </w:hyperlink>
    </w:p>
    <w:p w14:paraId="1DC835E0" w14:textId="77777777" w:rsidR="00A31625" w:rsidRDefault="00487B8B">
      <w:pPr>
        <w:pStyle w:val="TOC2"/>
        <w:rPr>
          <w:rFonts w:asciiTheme="minorHAnsi" w:eastAsiaTheme="minorEastAsia" w:hAnsiTheme="minorHAnsi" w:cstheme="minorBidi"/>
          <w:szCs w:val="22"/>
        </w:rPr>
      </w:pPr>
      <w:hyperlink w:anchor="_Toc432765868" w:history="1">
        <w:r w:rsidR="00A31625" w:rsidRPr="0085356B">
          <w:rPr>
            <w:rStyle w:val="Hyperlink"/>
          </w:rPr>
          <w:t>A.3</w:t>
        </w:r>
        <w:r w:rsidR="00A31625">
          <w:rPr>
            <w:rFonts w:asciiTheme="minorHAnsi" w:eastAsiaTheme="minorEastAsia" w:hAnsiTheme="minorHAnsi" w:cstheme="minorBidi"/>
            <w:szCs w:val="22"/>
          </w:rPr>
          <w:tab/>
        </w:r>
        <w:r w:rsidR="00A31625" w:rsidRPr="0085356B">
          <w:rPr>
            <w:rStyle w:val="Hyperlink"/>
          </w:rPr>
          <w:t>Improved Information Technology to Reduce Burden</w:t>
        </w:r>
        <w:r w:rsidR="00A31625">
          <w:rPr>
            <w:webHidden/>
          </w:rPr>
          <w:tab/>
        </w:r>
        <w:r w:rsidR="00A31625">
          <w:rPr>
            <w:webHidden/>
          </w:rPr>
          <w:fldChar w:fldCharType="begin"/>
        </w:r>
        <w:r w:rsidR="00A31625">
          <w:rPr>
            <w:webHidden/>
          </w:rPr>
          <w:instrText xml:space="preserve"> PAGEREF _Toc432765868 \h </w:instrText>
        </w:r>
        <w:r w:rsidR="00A31625">
          <w:rPr>
            <w:webHidden/>
          </w:rPr>
        </w:r>
        <w:r w:rsidR="00A31625">
          <w:rPr>
            <w:webHidden/>
          </w:rPr>
          <w:fldChar w:fldCharType="separate"/>
        </w:r>
        <w:r w:rsidR="00AD613E">
          <w:rPr>
            <w:webHidden/>
          </w:rPr>
          <w:t>7</w:t>
        </w:r>
        <w:r w:rsidR="00A31625">
          <w:rPr>
            <w:webHidden/>
          </w:rPr>
          <w:fldChar w:fldCharType="end"/>
        </w:r>
      </w:hyperlink>
    </w:p>
    <w:p w14:paraId="24C79151" w14:textId="77777777" w:rsidR="00A31625" w:rsidRDefault="00487B8B">
      <w:pPr>
        <w:pStyle w:val="TOC2"/>
        <w:rPr>
          <w:rFonts w:asciiTheme="minorHAnsi" w:eastAsiaTheme="minorEastAsia" w:hAnsiTheme="minorHAnsi" w:cstheme="minorBidi"/>
          <w:szCs w:val="22"/>
        </w:rPr>
      </w:pPr>
      <w:hyperlink w:anchor="_Toc432765869" w:history="1">
        <w:r w:rsidR="00A31625" w:rsidRPr="0085356B">
          <w:rPr>
            <w:rStyle w:val="Hyperlink"/>
          </w:rPr>
          <w:t>A.4</w:t>
        </w:r>
        <w:r w:rsidR="00A31625">
          <w:rPr>
            <w:rFonts w:asciiTheme="minorHAnsi" w:eastAsiaTheme="minorEastAsia" w:hAnsiTheme="minorHAnsi" w:cstheme="minorBidi"/>
            <w:szCs w:val="22"/>
          </w:rPr>
          <w:tab/>
        </w:r>
        <w:r w:rsidR="00A31625" w:rsidRPr="0085356B">
          <w:rPr>
            <w:rStyle w:val="Hyperlink"/>
          </w:rPr>
          <w:t>Efforts to Identify Duplication</w:t>
        </w:r>
        <w:r w:rsidR="00A31625">
          <w:rPr>
            <w:webHidden/>
          </w:rPr>
          <w:tab/>
        </w:r>
        <w:r w:rsidR="00A31625">
          <w:rPr>
            <w:webHidden/>
          </w:rPr>
          <w:fldChar w:fldCharType="begin"/>
        </w:r>
        <w:r w:rsidR="00A31625">
          <w:rPr>
            <w:webHidden/>
          </w:rPr>
          <w:instrText xml:space="preserve"> PAGEREF _Toc432765869 \h </w:instrText>
        </w:r>
        <w:r w:rsidR="00A31625">
          <w:rPr>
            <w:webHidden/>
          </w:rPr>
        </w:r>
        <w:r w:rsidR="00A31625">
          <w:rPr>
            <w:webHidden/>
          </w:rPr>
          <w:fldChar w:fldCharType="separate"/>
        </w:r>
        <w:r w:rsidR="00AD613E">
          <w:rPr>
            <w:webHidden/>
          </w:rPr>
          <w:t>7</w:t>
        </w:r>
        <w:r w:rsidR="00A31625">
          <w:rPr>
            <w:webHidden/>
          </w:rPr>
          <w:fldChar w:fldCharType="end"/>
        </w:r>
      </w:hyperlink>
    </w:p>
    <w:p w14:paraId="171E9A15" w14:textId="77777777" w:rsidR="00A31625" w:rsidRDefault="00487B8B">
      <w:pPr>
        <w:pStyle w:val="TOC2"/>
        <w:rPr>
          <w:rFonts w:asciiTheme="minorHAnsi" w:eastAsiaTheme="minorEastAsia" w:hAnsiTheme="minorHAnsi" w:cstheme="minorBidi"/>
          <w:szCs w:val="22"/>
        </w:rPr>
      </w:pPr>
      <w:hyperlink w:anchor="_Toc432765870" w:history="1">
        <w:r w:rsidR="00A31625" w:rsidRPr="0085356B">
          <w:rPr>
            <w:rStyle w:val="Hyperlink"/>
          </w:rPr>
          <w:t>A.5</w:t>
        </w:r>
        <w:r w:rsidR="00A31625">
          <w:rPr>
            <w:rFonts w:asciiTheme="minorHAnsi" w:eastAsiaTheme="minorEastAsia" w:hAnsiTheme="minorHAnsi" w:cstheme="minorBidi"/>
            <w:szCs w:val="22"/>
          </w:rPr>
          <w:tab/>
        </w:r>
        <w:r w:rsidR="00A31625" w:rsidRPr="0085356B">
          <w:rPr>
            <w:rStyle w:val="Hyperlink"/>
          </w:rPr>
          <w:t>Involvement of Small Organizations</w:t>
        </w:r>
        <w:r w:rsidR="00A31625">
          <w:rPr>
            <w:webHidden/>
          </w:rPr>
          <w:tab/>
        </w:r>
        <w:r w:rsidR="00A31625">
          <w:rPr>
            <w:webHidden/>
          </w:rPr>
          <w:fldChar w:fldCharType="begin"/>
        </w:r>
        <w:r w:rsidR="00A31625">
          <w:rPr>
            <w:webHidden/>
          </w:rPr>
          <w:instrText xml:space="preserve"> PAGEREF _Toc432765870 \h </w:instrText>
        </w:r>
        <w:r w:rsidR="00A31625">
          <w:rPr>
            <w:webHidden/>
          </w:rPr>
        </w:r>
        <w:r w:rsidR="00A31625">
          <w:rPr>
            <w:webHidden/>
          </w:rPr>
          <w:fldChar w:fldCharType="separate"/>
        </w:r>
        <w:r w:rsidR="00AD613E">
          <w:rPr>
            <w:webHidden/>
          </w:rPr>
          <w:t>7</w:t>
        </w:r>
        <w:r w:rsidR="00A31625">
          <w:rPr>
            <w:webHidden/>
          </w:rPr>
          <w:fldChar w:fldCharType="end"/>
        </w:r>
      </w:hyperlink>
    </w:p>
    <w:p w14:paraId="0C09E050" w14:textId="77777777" w:rsidR="00A31625" w:rsidRDefault="00487B8B">
      <w:pPr>
        <w:pStyle w:val="TOC2"/>
        <w:rPr>
          <w:rFonts w:asciiTheme="minorHAnsi" w:eastAsiaTheme="minorEastAsia" w:hAnsiTheme="minorHAnsi" w:cstheme="minorBidi"/>
          <w:szCs w:val="22"/>
        </w:rPr>
      </w:pPr>
      <w:hyperlink w:anchor="_Toc432765871" w:history="1">
        <w:r w:rsidR="00A31625" w:rsidRPr="0085356B">
          <w:rPr>
            <w:rStyle w:val="Hyperlink"/>
          </w:rPr>
          <w:t>A.6</w:t>
        </w:r>
        <w:r w:rsidR="00A31625">
          <w:rPr>
            <w:rFonts w:asciiTheme="minorHAnsi" w:eastAsiaTheme="minorEastAsia" w:hAnsiTheme="minorHAnsi" w:cstheme="minorBidi"/>
            <w:szCs w:val="22"/>
          </w:rPr>
          <w:tab/>
        </w:r>
        <w:r w:rsidR="00A31625" w:rsidRPr="0085356B">
          <w:rPr>
            <w:rStyle w:val="Hyperlink"/>
          </w:rPr>
          <w:t>Consequences of Less Frequent Data Collection</w:t>
        </w:r>
        <w:r w:rsidR="00A31625">
          <w:rPr>
            <w:webHidden/>
          </w:rPr>
          <w:tab/>
        </w:r>
        <w:r w:rsidR="00A31625">
          <w:rPr>
            <w:webHidden/>
          </w:rPr>
          <w:fldChar w:fldCharType="begin"/>
        </w:r>
        <w:r w:rsidR="00A31625">
          <w:rPr>
            <w:webHidden/>
          </w:rPr>
          <w:instrText xml:space="preserve"> PAGEREF _Toc432765871 \h </w:instrText>
        </w:r>
        <w:r w:rsidR="00A31625">
          <w:rPr>
            <w:webHidden/>
          </w:rPr>
        </w:r>
        <w:r w:rsidR="00A31625">
          <w:rPr>
            <w:webHidden/>
          </w:rPr>
          <w:fldChar w:fldCharType="separate"/>
        </w:r>
        <w:r w:rsidR="00AD613E">
          <w:rPr>
            <w:webHidden/>
          </w:rPr>
          <w:t>7</w:t>
        </w:r>
        <w:r w:rsidR="00A31625">
          <w:rPr>
            <w:webHidden/>
          </w:rPr>
          <w:fldChar w:fldCharType="end"/>
        </w:r>
      </w:hyperlink>
    </w:p>
    <w:p w14:paraId="71EF17E1" w14:textId="77777777" w:rsidR="00A31625" w:rsidRDefault="00487B8B">
      <w:pPr>
        <w:pStyle w:val="TOC2"/>
        <w:rPr>
          <w:rFonts w:asciiTheme="minorHAnsi" w:eastAsiaTheme="minorEastAsia" w:hAnsiTheme="minorHAnsi" w:cstheme="minorBidi"/>
          <w:szCs w:val="22"/>
        </w:rPr>
      </w:pPr>
      <w:hyperlink w:anchor="_Toc432765872" w:history="1">
        <w:r w:rsidR="00A31625" w:rsidRPr="0085356B">
          <w:rPr>
            <w:rStyle w:val="Hyperlink"/>
          </w:rPr>
          <w:t>A.7</w:t>
        </w:r>
        <w:r w:rsidR="00A31625">
          <w:rPr>
            <w:rFonts w:asciiTheme="minorHAnsi" w:eastAsiaTheme="minorEastAsia" w:hAnsiTheme="minorHAnsi" w:cstheme="minorBidi"/>
            <w:szCs w:val="22"/>
          </w:rPr>
          <w:tab/>
        </w:r>
        <w:r w:rsidR="00A31625" w:rsidRPr="0085356B">
          <w:rPr>
            <w:rStyle w:val="Hyperlink"/>
          </w:rPr>
          <w:t>Special Circumstances</w:t>
        </w:r>
        <w:r w:rsidR="00A31625">
          <w:rPr>
            <w:webHidden/>
          </w:rPr>
          <w:tab/>
        </w:r>
        <w:r w:rsidR="00A31625">
          <w:rPr>
            <w:webHidden/>
          </w:rPr>
          <w:fldChar w:fldCharType="begin"/>
        </w:r>
        <w:r w:rsidR="00A31625">
          <w:rPr>
            <w:webHidden/>
          </w:rPr>
          <w:instrText xml:space="preserve"> PAGEREF _Toc432765872 \h </w:instrText>
        </w:r>
        <w:r w:rsidR="00A31625">
          <w:rPr>
            <w:webHidden/>
          </w:rPr>
        </w:r>
        <w:r w:rsidR="00A31625">
          <w:rPr>
            <w:webHidden/>
          </w:rPr>
          <w:fldChar w:fldCharType="separate"/>
        </w:r>
        <w:r w:rsidR="00AD613E">
          <w:rPr>
            <w:webHidden/>
          </w:rPr>
          <w:t>8</w:t>
        </w:r>
        <w:r w:rsidR="00A31625">
          <w:rPr>
            <w:webHidden/>
          </w:rPr>
          <w:fldChar w:fldCharType="end"/>
        </w:r>
      </w:hyperlink>
    </w:p>
    <w:p w14:paraId="7C740321" w14:textId="77777777" w:rsidR="00A31625" w:rsidRDefault="00487B8B">
      <w:pPr>
        <w:pStyle w:val="TOC2"/>
        <w:rPr>
          <w:rFonts w:asciiTheme="minorHAnsi" w:eastAsiaTheme="minorEastAsia" w:hAnsiTheme="minorHAnsi" w:cstheme="minorBidi"/>
          <w:szCs w:val="22"/>
        </w:rPr>
      </w:pPr>
      <w:hyperlink w:anchor="_Toc432765873" w:history="1">
        <w:r w:rsidR="00A31625" w:rsidRPr="0085356B">
          <w:rPr>
            <w:rStyle w:val="Hyperlink"/>
          </w:rPr>
          <w:t>A.8</w:t>
        </w:r>
        <w:r w:rsidR="00A31625">
          <w:rPr>
            <w:rFonts w:asciiTheme="minorHAnsi" w:eastAsiaTheme="minorEastAsia" w:hAnsiTheme="minorHAnsi" w:cstheme="minorBidi"/>
            <w:szCs w:val="22"/>
          </w:rPr>
          <w:tab/>
        </w:r>
        <w:r w:rsidR="00A31625" w:rsidRPr="0085356B">
          <w:rPr>
            <w:rStyle w:val="Hyperlink"/>
          </w:rPr>
          <w:t>Federal Register Notice and Efforts to Consult Outside the Agency</w:t>
        </w:r>
        <w:r w:rsidR="00A31625">
          <w:rPr>
            <w:webHidden/>
          </w:rPr>
          <w:tab/>
        </w:r>
        <w:r w:rsidR="00A31625">
          <w:rPr>
            <w:webHidden/>
          </w:rPr>
          <w:fldChar w:fldCharType="begin"/>
        </w:r>
        <w:r w:rsidR="00A31625">
          <w:rPr>
            <w:webHidden/>
          </w:rPr>
          <w:instrText xml:space="preserve"> PAGEREF _Toc432765873 \h </w:instrText>
        </w:r>
        <w:r w:rsidR="00A31625">
          <w:rPr>
            <w:webHidden/>
          </w:rPr>
        </w:r>
        <w:r w:rsidR="00A31625">
          <w:rPr>
            <w:webHidden/>
          </w:rPr>
          <w:fldChar w:fldCharType="separate"/>
        </w:r>
        <w:r w:rsidR="00AD613E">
          <w:rPr>
            <w:webHidden/>
          </w:rPr>
          <w:t>8</w:t>
        </w:r>
        <w:r w:rsidR="00A31625">
          <w:rPr>
            <w:webHidden/>
          </w:rPr>
          <w:fldChar w:fldCharType="end"/>
        </w:r>
      </w:hyperlink>
    </w:p>
    <w:p w14:paraId="09A8F484" w14:textId="4AA13860" w:rsidR="00A31625" w:rsidRDefault="00487B8B">
      <w:pPr>
        <w:pStyle w:val="TOC2"/>
        <w:rPr>
          <w:rFonts w:asciiTheme="minorHAnsi" w:eastAsiaTheme="minorEastAsia" w:hAnsiTheme="minorHAnsi" w:cstheme="minorBidi"/>
          <w:szCs w:val="22"/>
        </w:rPr>
      </w:pPr>
      <w:hyperlink w:anchor="_Toc432765874" w:history="1">
        <w:r w:rsidR="00A31625" w:rsidRPr="0085356B">
          <w:rPr>
            <w:rStyle w:val="Hyperlink"/>
          </w:rPr>
          <w:t>A.9</w:t>
        </w:r>
        <w:r w:rsidR="00A31625">
          <w:rPr>
            <w:rFonts w:asciiTheme="minorHAnsi" w:eastAsiaTheme="minorEastAsia" w:hAnsiTheme="minorHAnsi" w:cstheme="minorBidi"/>
            <w:szCs w:val="22"/>
          </w:rPr>
          <w:tab/>
        </w:r>
        <w:r w:rsidR="00CA2006">
          <w:rPr>
            <w:rStyle w:val="Hyperlink"/>
          </w:rPr>
          <w:t>Incentives for Respondents</w:t>
        </w:r>
        <w:r w:rsidR="00A31625">
          <w:rPr>
            <w:webHidden/>
          </w:rPr>
          <w:tab/>
        </w:r>
        <w:r w:rsidR="00A31625">
          <w:rPr>
            <w:webHidden/>
          </w:rPr>
          <w:fldChar w:fldCharType="begin"/>
        </w:r>
        <w:r w:rsidR="00A31625">
          <w:rPr>
            <w:webHidden/>
          </w:rPr>
          <w:instrText xml:space="preserve"> PAGEREF _Toc432765874 \h </w:instrText>
        </w:r>
        <w:r w:rsidR="00A31625">
          <w:rPr>
            <w:webHidden/>
          </w:rPr>
        </w:r>
        <w:r w:rsidR="00A31625">
          <w:rPr>
            <w:webHidden/>
          </w:rPr>
          <w:fldChar w:fldCharType="separate"/>
        </w:r>
        <w:r w:rsidR="00AD613E">
          <w:rPr>
            <w:webHidden/>
          </w:rPr>
          <w:t>8</w:t>
        </w:r>
        <w:r w:rsidR="00A31625">
          <w:rPr>
            <w:webHidden/>
          </w:rPr>
          <w:fldChar w:fldCharType="end"/>
        </w:r>
      </w:hyperlink>
    </w:p>
    <w:p w14:paraId="31B9123E" w14:textId="77777777" w:rsidR="00A31625" w:rsidRDefault="00487B8B">
      <w:pPr>
        <w:pStyle w:val="TOC2"/>
        <w:rPr>
          <w:rFonts w:asciiTheme="minorHAnsi" w:eastAsiaTheme="minorEastAsia" w:hAnsiTheme="minorHAnsi" w:cstheme="minorBidi"/>
          <w:szCs w:val="22"/>
        </w:rPr>
      </w:pPr>
      <w:hyperlink w:anchor="_Toc432765875" w:history="1">
        <w:r w:rsidR="00A31625" w:rsidRPr="0085356B">
          <w:rPr>
            <w:rStyle w:val="Hyperlink"/>
          </w:rPr>
          <w:t>A.10</w:t>
        </w:r>
        <w:r w:rsidR="00A31625">
          <w:rPr>
            <w:rFonts w:asciiTheme="minorHAnsi" w:eastAsiaTheme="minorEastAsia" w:hAnsiTheme="minorHAnsi" w:cstheme="minorBidi"/>
            <w:szCs w:val="22"/>
          </w:rPr>
          <w:tab/>
        </w:r>
        <w:r w:rsidR="00A31625" w:rsidRPr="0085356B">
          <w:rPr>
            <w:rStyle w:val="Hyperlink"/>
          </w:rPr>
          <w:t>Privacy of Respondents</w:t>
        </w:r>
        <w:r w:rsidR="00A31625">
          <w:rPr>
            <w:webHidden/>
          </w:rPr>
          <w:tab/>
        </w:r>
        <w:r w:rsidR="00A31625">
          <w:rPr>
            <w:webHidden/>
          </w:rPr>
          <w:fldChar w:fldCharType="begin"/>
        </w:r>
        <w:r w:rsidR="00A31625">
          <w:rPr>
            <w:webHidden/>
          </w:rPr>
          <w:instrText xml:space="preserve"> PAGEREF _Toc432765875 \h </w:instrText>
        </w:r>
        <w:r w:rsidR="00A31625">
          <w:rPr>
            <w:webHidden/>
          </w:rPr>
        </w:r>
        <w:r w:rsidR="00A31625">
          <w:rPr>
            <w:webHidden/>
          </w:rPr>
          <w:fldChar w:fldCharType="separate"/>
        </w:r>
        <w:r w:rsidR="00AD613E">
          <w:rPr>
            <w:webHidden/>
          </w:rPr>
          <w:t>9</w:t>
        </w:r>
        <w:r w:rsidR="00A31625">
          <w:rPr>
            <w:webHidden/>
          </w:rPr>
          <w:fldChar w:fldCharType="end"/>
        </w:r>
      </w:hyperlink>
    </w:p>
    <w:p w14:paraId="23FDA765" w14:textId="77777777" w:rsidR="00A31625" w:rsidRDefault="00487B8B">
      <w:pPr>
        <w:pStyle w:val="TOC2"/>
        <w:rPr>
          <w:rFonts w:asciiTheme="minorHAnsi" w:eastAsiaTheme="minorEastAsia" w:hAnsiTheme="minorHAnsi" w:cstheme="minorBidi"/>
          <w:szCs w:val="22"/>
        </w:rPr>
      </w:pPr>
      <w:hyperlink w:anchor="_Toc432765876" w:history="1">
        <w:r w:rsidR="00A31625" w:rsidRPr="0085356B">
          <w:rPr>
            <w:rStyle w:val="Hyperlink"/>
          </w:rPr>
          <w:t>A.11</w:t>
        </w:r>
        <w:r w:rsidR="00A31625">
          <w:rPr>
            <w:rFonts w:asciiTheme="minorHAnsi" w:eastAsiaTheme="minorEastAsia" w:hAnsiTheme="minorHAnsi" w:cstheme="minorBidi"/>
            <w:szCs w:val="22"/>
          </w:rPr>
          <w:tab/>
        </w:r>
        <w:r w:rsidR="00A31625" w:rsidRPr="0085356B">
          <w:rPr>
            <w:rStyle w:val="Hyperlink"/>
          </w:rPr>
          <w:t>Sensitive Questions</w:t>
        </w:r>
        <w:r w:rsidR="00A31625">
          <w:rPr>
            <w:webHidden/>
          </w:rPr>
          <w:tab/>
        </w:r>
        <w:r w:rsidR="00A31625">
          <w:rPr>
            <w:webHidden/>
          </w:rPr>
          <w:fldChar w:fldCharType="begin"/>
        </w:r>
        <w:r w:rsidR="00A31625">
          <w:rPr>
            <w:webHidden/>
          </w:rPr>
          <w:instrText xml:space="preserve"> PAGEREF _Toc432765876 \h </w:instrText>
        </w:r>
        <w:r w:rsidR="00A31625">
          <w:rPr>
            <w:webHidden/>
          </w:rPr>
        </w:r>
        <w:r w:rsidR="00A31625">
          <w:rPr>
            <w:webHidden/>
          </w:rPr>
          <w:fldChar w:fldCharType="separate"/>
        </w:r>
        <w:r w:rsidR="00AD613E">
          <w:rPr>
            <w:webHidden/>
          </w:rPr>
          <w:t>10</w:t>
        </w:r>
        <w:r w:rsidR="00A31625">
          <w:rPr>
            <w:webHidden/>
          </w:rPr>
          <w:fldChar w:fldCharType="end"/>
        </w:r>
      </w:hyperlink>
    </w:p>
    <w:p w14:paraId="550BA37C" w14:textId="77777777" w:rsidR="00A31625" w:rsidRDefault="00487B8B">
      <w:pPr>
        <w:pStyle w:val="TOC2"/>
        <w:rPr>
          <w:rFonts w:asciiTheme="minorHAnsi" w:eastAsiaTheme="minorEastAsia" w:hAnsiTheme="minorHAnsi" w:cstheme="minorBidi"/>
          <w:szCs w:val="22"/>
        </w:rPr>
      </w:pPr>
      <w:hyperlink w:anchor="_Toc432765877" w:history="1">
        <w:r w:rsidR="00A31625" w:rsidRPr="0085356B">
          <w:rPr>
            <w:rStyle w:val="Hyperlink"/>
          </w:rPr>
          <w:t>A.12</w:t>
        </w:r>
        <w:r w:rsidR="00A31625">
          <w:rPr>
            <w:rFonts w:asciiTheme="minorHAnsi" w:eastAsiaTheme="minorEastAsia" w:hAnsiTheme="minorHAnsi" w:cstheme="minorBidi"/>
            <w:szCs w:val="22"/>
          </w:rPr>
          <w:tab/>
        </w:r>
        <w:r w:rsidR="00A31625" w:rsidRPr="0085356B">
          <w:rPr>
            <w:rStyle w:val="Hyperlink"/>
          </w:rPr>
          <w:t>Estimation of Information Collection Burden</w:t>
        </w:r>
        <w:r w:rsidR="00A31625">
          <w:rPr>
            <w:webHidden/>
          </w:rPr>
          <w:tab/>
        </w:r>
        <w:r w:rsidR="00A31625">
          <w:rPr>
            <w:webHidden/>
          </w:rPr>
          <w:fldChar w:fldCharType="begin"/>
        </w:r>
        <w:r w:rsidR="00A31625">
          <w:rPr>
            <w:webHidden/>
          </w:rPr>
          <w:instrText xml:space="preserve"> PAGEREF _Toc432765877 \h </w:instrText>
        </w:r>
        <w:r w:rsidR="00A31625">
          <w:rPr>
            <w:webHidden/>
          </w:rPr>
        </w:r>
        <w:r w:rsidR="00A31625">
          <w:rPr>
            <w:webHidden/>
          </w:rPr>
          <w:fldChar w:fldCharType="separate"/>
        </w:r>
        <w:r w:rsidR="00AD613E">
          <w:rPr>
            <w:webHidden/>
          </w:rPr>
          <w:t>10</w:t>
        </w:r>
        <w:r w:rsidR="00A31625">
          <w:rPr>
            <w:webHidden/>
          </w:rPr>
          <w:fldChar w:fldCharType="end"/>
        </w:r>
      </w:hyperlink>
    </w:p>
    <w:p w14:paraId="3A8BA510" w14:textId="77777777" w:rsidR="00A31625" w:rsidRDefault="00487B8B">
      <w:pPr>
        <w:pStyle w:val="TOC2"/>
        <w:rPr>
          <w:rFonts w:asciiTheme="minorHAnsi" w:eastAsiaTheme="minorEastAsia" w:hAnsiTheme="minorHAnsi" w:cstheme="minorBidi"/>
          <w:szCs w:val="22"/>
        </w:rPr>
      </w:pPr>
      <w:hyperlink w:anchor="_Toc432765878" w:history="1">
        <w:r w:rsidR="00A31625" w:rsidRPr="0085356B">
          <w:rPr>
            <w:rStyle w:val="Hyperlink"/>
          </w:rPr>
          <w:t>A.13</w:t>
        </w:r>
        <w:r w:rsidR="00A31625">
          <w:rPr>
            <w:rFonts w:asciiTheme="minorHAnsi" w:eastAsiaTheme="minorEastAsia" w:hAnsiTheme="minorHAnsi" w:cstheme="minorBidi"/>
            <w:szCs w:val="22"/>
          </w:rPr>
          <w:tab/>
        </w:r>
        <w:r w:rsidR="00A31625" w:rsidRPr="0085356B">
          <w:rPr>
            <w:rStyle w:val="Hyperlink"/>
          </w:rPr>
          <w:t>Cost Burden to Respondents or Record Keepers</w:t>
        </w:r>
        <w:r w:rsidR="00A31625">
          <w:rPr>
            <w:webHidden/>
          </w:rPr>
          <w:tab/>
        </w:r>
        <w:r w:rsidR="00A31625">
          <w:rPr>
            <w:webHidden/>
          </w:rPr>
          <w:fldChar w:fldCharType="begin"/>
        </w:r>
        <w:r w:rsidR="00A31625">
          <w:rPr>
            <w:webHidden/>
          </w:rPr>
          <w:instrText xml:space="preserve"> PAGEREF _Toc432765878 \h </w:instrText>
        </w:r>
        <w:r w:rsidR="00A31625">
          <w:rPr>
            <w:webHidden/>
          </w:rPr>
        </w:r>
        <w:r w:rsidR="00A31625">
          <w:rPr>
            <w:webHidden/>
          </w:rPr>
          <w:fldChar w:fldCharType="separate"/>
        </w:r>
        <w:r w:rsidR="00AD613E">
          <w:rPr>
            <w:webHidden/>
          </w:rPr>
          <w:t>11</w:t>
        </w:r>
        <w:r w:rsidR="00A31625">
          <w:rPr>
            <w:webHidden/>
          </w:rPr>
          <w:fldChar w:fldCharType="end"/>
        </w:r>
      </w:hyperlink>
    </w:p>
    <w:p w14:paraId="1A482890" w14:textId="77777777" w:rsidR="00A31625" w:rsidRDefault="00487B8B">
      <w:pPr>
        <w:pStyle w:val="TOC2"/>
        <w:rPr>
          <w:rFonts w:asciiTheme="minorHAnsi" w:eastAsiaTheme="minorEastAsia" w:hAnsiTheme="minorHAnsi" w:cstheme="minorBidi"/>
          <w:szCs w:val="22"/>
        </w:rPr>
      </w:pPr>
      <w:hyperlink w:anchor="_Toc432765879" w:history="1">
        <w:r w:rsidR="00A31625" w:rsidRPr="0085356B">
          <w:rPr>
            <w:rStyle w:val="Hyperlink"/>
          </w:rPr>
          <w:t>A.14</w:t>
        </w:r>
        <w:r w:rsidR="00A31625">
          <w:rPr>
            <w:rFonts w:asciiTheme="minorHAnsi" w:eastAsiaTheme="minorEastAsia" w:hAnsiTheme="minorHAnsi" w:cstheme="minorBidi"/>
            <w:szCs w:val="22"/>
          </w:rPr>
          <w:tab/>
        </w:r>
        <w:r w:rsidR="00A31625" w:rsidRPr="0085356B">
          <w:rPr>
            <w:rStyle w:val="Hyperlink"/>
          </w:rPr>
          <w:t>Estimate of Cost to the Federal Government</w:t>
        </w:r>
        <w:r w:rsidR="00A31625">
          <w:rPr>
            <w:webHidden/>
          </w:rPr>
          <w:tab/>
        </w:r>
        <w:r w:rsidR="00A31625">
          <w:rPr>
            <w:webHidden/>
          </w:rPr>
          <w:fldChar w:fldCharType="begin"/>
        </w:r>
        <w:r w:rsidR="00A31625">
          <w:rPr>
            <w:webHidden/>
          </w:rPr>
          <w:instrText xml:space="preserve"> PAGEREF _Toc432765879 \h </w:instrText>
        </w:r>
        <w:r w:rsidR="00A31625">
          <w:rPr>
            <w:webHidden/>
          </w:rPr>
        </w:r>
        <w:r w:rsidR="00A31625">
          <w:rPr>
            <w:webHidden/>
          </w:rPr>
          <w:fldChar w:fldCharType="separate"/>
        </w:r>
        <w:r w:rsidR="00AD613E">
          <w:rPr>
            <w:webHidden/>
          </w:rPr>
          <w:t>11</w:t>
        </w:r>
        <w:r w:rsidR="00A31625">
          <w:rPr>
            <w:webHidden/>
          </w:rPr>
          <w:fldChar w:fldCharType="end"/>
        </w:r>
      </w:hyperlink>
    </w:p>
    <w:p w14:paraId="5D48D64E" w14:textId="77777777" w:rsidR="00A31625" w:rsidRDefault="00487B8B">
      <w:pPr>
        <w:pStyle w:val="TOC2"/>
        <w:rPr>
          <w:rFonts w:asciiTheme="minorHAnsi" w:eastAsiaTheme="minorEastAsia" w:hAnsiTheme="minorHAnsi" w:cstheme="minorBidi"/>
          <w:szCs w:val="22"/>
        </w:rPr>
      </w:pPr>
      <w:hyperlink w:anchor="_Toc432765880" w:history="1">
        <w:r w:rsidR="00A31625" w:rsidRPr="0085356B">
          <w:rPr>
            <w:rStyle w:val="Hyperlink"/>
          </w:rPr>
          <w:t>A.15</w:t>
        </w:r>
        <w:r w:rsidR="00A31625">
          <w:rPr>
            <w:rFonts w:asciiTheme="minorHAnsi" w:eastAsiaTheme="minorEastAsia" w:hAnsiTheme="minorHAnsi" w:cstheme="minorBidi"/>
            <w:szCs w:val="22"/>
          </w:rPr>
          <w:tab/>
        </w:r>
        <w:r w:rsidR="00A31625" w:rsidRPr="0085356B">
          <w:rPr>
            <w:rStyle w:val="Hyperlink"/>
          </w:rPr>
          <w:t>Change in Burden</w:t>
        </w:r>
        <w:r w:rsidR="00A31625">
          <w:rPr>
            <w:webHidden/>
          </w:rPr>
          <w:tab/>
        </w:r>
        <w:r w:rsidR="00A31625">
          <w:rPr>
            <w:webHidden/>
          </w:rPr>
          <w:fldChar w:fldCharType="begin"/>
        </w:r>
        <w:r w:rsidR="00A31625">
          <w:rPr>
            <w:webHidden/>
          </w:rPr>
          <w:instrText xml:space="preserve"> PAGEREF _Toc432765880 \h </w:instrText>
        </w:r>
        <w:r w:rsidR="00A31625">
          <w:rPr>
            <w:webHidden/>
          </w:rPr>
        </w:r>
        <w:r w:rsidR="00A31625">
          <w:rPr>
            <w:webHidden/>
          </w:rPr>
          <w:fldChar w:fldCharType="separate"/>
        </w:r>
        <w:r w:rsidR="00AD613E">
          <w:rPr>
            <w:webHidden/>
          </w:rPr>
          <w:t>12</w:t>
        </w:r>
        <w:r w:rsidR="00A31625">
          <w:rPr>
            <w:webHidden/>
          </w:rPr>
          <w:fldChar w:fldCharType="end"/>
        </w:r>
      </w:hyperlink>
    </w:p>
    <w:p w14:paraId="4E525ECE" w14:textId="77777777" w:rsidR="00A31625" w:rsidRDefault="00487B8B">
      <w:pPr>
        <w:pStyle w:val="TOC2"/>
        <w:rPr>
          <w:rFonts w:asciiTheme="minorHAnsi" w:eastAsiaTheme="minorEastAsia" w:hAnsiTheme="minorHAnsi" w:cstheme="minorBidi"/>
          <w:szCs w:val="22"/>
        </w:rPr>
      </w:pPr>
      <w:hyperlink w:anchor="_Toc432765881" w:history="1">
        <w:r w:rsidR="00A31625" w:rsidRPr="0085356B">
          <w:rPr>
            <w:rStyle w:val="Hyperlink"/>
          </w:rPr>
          <w:t>A.16</w:t>
        </w:r>
        <w:r w:rsidR="00A31625">
          <w:rPr>
            <w:rFonts w:asciiTheme="minorHAnsi" w:eastAsiaTheme="minorEastAsia" w:hAnsiTheme="minorHAnsi" w:cstheme="minorBidi"/>
            <w:szCs w:val="22"/>
          </w:rPr>
          <w:tab/>
        </w:r>
        <w:r w:rsidR="00A31625" w:rsidRPr="0085356B">
          <w:rPr>
            <w:rStyle w:val="Hyperlink"/>
          </w:rPr>
          <w:t>Publication Plans and Project Schedule</w:t>
        </w:r>
        <w:r w:rsidR="00A31625">
          <w:rPr>
            <w:webHidden/>
          </w:rPr>
          <w:tab/>
        </w:r>
        <w:r w:rsidR="00A31625">
          <w:rPr>
            <w:webHidden/>
          </w:rPr>
          <w:fldChar w:fldCharType="begin"/>
        </w:r>
        <w:r w:rsidR="00A31625">
          <w:rPr>
            <w:webHidden/>
          </w:rPr>
          <w:instrText xml:space="preserve"> PAGEREF _Toc432765881 \h </w:instrText>
        </w:r>
        <w:r w:rsidR="00A31625">
          <w:rPr>
            <w:webHidden/>
          </w:rPr>
        </w:r>
        <w:r w:rsidR="00A31625">
          <w:rPr>
            <w:webHidden/>
          </w:rPr>
          <w:fldChar w:fldCharType="separate"/>
        </w:r>
        <w:r w:rsidR="00AD613E">
          <w:rPr>
            <w:webHidden/>
          </w:rPr>
          <w:t>12</w:t>
        </w:r>
        <w:r w:rsidR="00A31625">
          <w:rPr>
            <w:webHidden/>
          </w:rPr>
          <w:fldChar w:fldCharType="end"/>
        </w:r>
      </w:hyperlink>
    </w:p>
    <w:p w14:paraId="490BD0F6" w14:textId="77777777" w:rsidR="00A31625" w:rsidRDefault="00487B8B">
      <w:pPr>
        <w:pStyle w:val="TOC2"/>
        <w:rPr>
          <w:rFonts w:asciiTheme="minorHAnsi" w:eastAsiaTheme="minorEastAsia" w:hAnsiTheme="minorHAnsi" w:cstheme="minorBidi"/>
          <w:szCs w:val="22"/>
        </w:rPr>
      </w:pPr>
      <w:hyperlink w:anchor="_Toc432765882" w:history="1">
        <w:r w:rsidR="00A31625" w:rsidRPr="0085356B">
          <w:rPr>
            <w:rStyle w:val="Hyperlink"/>
          </w:rPr>
          <w:t>A.17</w:t>
        </w:r>
        <w:r w:rsidR="00A31625">
          <w:rPr>
            <w:rFonts w:asciiTheme="minorHAnsi" w:eastAsiaTheme="minorEastAsia" w:hAnsiTheme="minorHAnsi" w:cstheme="minorBidi"/>
            <w:szCs w:val="22"/>
          </w:rPr>
          <w:tab/>
        </w:r>
        <w:r w:rsidR="00A31625" w:rsidRPr="0085356B">
          <w:rPr>
            <w:rStyle w:val="Hyperlink"/>
          </w:rPr>
          <w:t>Reasons not to Display OMB Expiration Date</w:t>
        </w:r>
        <w:r w:rsidR="00A31625">
          <w:rPr>
            <w:webHidden/>
          </w:rPr>
          <w:tab/>
        </w:r>
        <w:r w:rsidR="00A31625">
          <w:rPr>
            <w:webHidden/>
          </w:rPr>
          <w:fldChar w:fldCharType="begin"/>
        </w:r>
        <w:r w:rsidR="00A31625">
          <w:rPr>
            <w:webHidden/>
          </w:rPr>
          <w:instrText xml:space="preserve"> PAGEREF _Toc432765882 \h </w:instrText>
        </w:r>
        <w:r w:rsidR="00A31625">
          <w:rPr>
            <w:webHidden/>
          </w:rPr>
        </w:r>
        <w:r w:rsidR="00A31625">
          <w:rPr>
            <w:webHidden/>
          </w:rPr>
          <w:fldChar w:fldCharType="separate"/>
        </w:r>
        <w:r w:rsidR="00AD613E">
          <w:rPr>
            <w:webHidden/>
          </w:rPr>
          <w:t>12</w:t>
        </w:r>
        <w:r w:rsidR="00A31625">
          <w:rPr>
            <w:webHidden/>
          </w:rPr>
          <w:fldChar w:fldCharType="end"/>
        </w:r>
      </w:hyperlink>
    </w:p>
    <w:p w14:paraId="655C5C2F" w14:textId="77777777" w:rsidR="00A31625" w:rsidRDefault="00487B8B">
      <w:pPr>
        <w:pStyle w:val="TOC2"/>
        <w:rPr>
          <w:rFonts w:asciiTheme="minorHAnsi" w:eastAsiaTheme="minorEastAsia" w:hAnsiTheme="minorHAnsi" w:cstheme="minorBidi"/>
          <w:szCs w:val="22"/>
        </w:rPr>
      </w:pPr>
      <w:hyperlink w:anchor="_Toc432765883" w:history="1">
        <w:r w:rsidR="00A31625" w:rsidRPr="0085356B">
          <w:rPr>
            <w:rStyle w:val="Hyperlink"/>
          </w:rPr>
          <w:t>A.18</w:t>
        </w:r>
        <w:r w:rsidR="00A31625">
          <w:rPr>
            <w:rFonts w:asciiTheme="minorHAnsi" w:eastAsiaTheme="minorEastAsia" w:hAnsiTheme="minorHAnsi" w:cstheme="minorBidi"/>
            <w:szCs w:val="22"/>
          </w:rPr>
          <w:tab/>
        </w:r>
        <w:r w:rsidR="00A31625" w:rsidRPr="0085356B">
          <w:rPr>
            <w:rStyle w:val="Hyperlink"/>
          </w:rPr>
          <w:t>Exceptions to Certification for Paperwork Reduction Act Submissions</w:t>
        </w:r>
        <w:r w:rsidR="00A31625">
          <w:rPr>
            <w:webHidden/>
          </w:rPr>
          <w:tab/>
        </w:r>
        <w:r w:rsidR="00A31625">
          <w:rPr>
            <w:webHidden/>
          </w:rPr>
          <w:fldChar w:fldCharType="begin"/>
        </w:r>
        <w:r w:rsidR="00A31625">
          <w:rPr>
            <w:webHidden/>
          </w:rPr>
          <w:instrText xml:space="preserve"> PAGEREF _Toc432765883 \h </w:instrText>
        </w:r>
        <w:r w:rsidR="00A31625">
          <w:rPr>
            <w:webHidden/>
          </w:rPr>
        </w:r>
        <w:r w:rsidR="00A31625">
          <w:rPr>
            <w:webHidden/>
          </w:rPr>
          <w:fldChar w:fldCharType="separate"/>
        </w:r>
        <w:r w:rsidR="00AD613E">
          <w:rPr>
            <w:webHidden/>
          </w:rPr>
          <w:t>12</w:t>
        </w:r>
        <w:r w:rsidR="00A31625">
          <w:rPr>
            <w:webHidden/>
          </w:rPr>
          <w:fldChar w:fldCharType="end"/>
        </w:r>
      </w:hyperlink>
    </w:p>
    <w:p w14:paraId="234969B7" w14:textId="77777777" w:rsidR="00A31625" w:rsidRDefault="00487B8B">
      <w:pPr>
        <w:pStyle w:val="TOC2"/>
        <w:rPr>
          <w:rFonts w:asciiTheme="minorHAnsi" w:eastAsiaTheme="minorEastAsia" w:hAnsiTheme="minorHAnsi" w:cstheme="minorBidi"/>
          <w:szCs w:val="22"/>
        </w:rPr>
      </w:pPr>
      <w:hyperlink w:anchor="_Toc432765884" w:history="1">
        <w:r w:rsidR="00A31625" w:rsidRPr="0085356B">
          <w:rPr>
            <w:rStyle w:val="Hyperlink"/>
          </w:rPr>
          <w:t>References</w:t>
        </w:r>
        <w:r w:rsidR="00A31625">
          <w:rPr>
            <w:webHidden/>
          </w:rPr>
          <w:tab/>
        </w:r>
        <w:r w:rsidR="00A31625">
          <w:rPr>
            <w:webHidden/>
          </w:rPr>
          <w:fldChar w:fldCharType="begin"/>
        </w:r>
        <w:r w:rsidR="00A31625">
          <w:rPr>
            <w:webHidden/>
          </w:rPr>
          <w:instrText xml:space="preserve"> PAGEREF _Toc432765884 \h </w:instrText>
        </w:r>
        <w:r w:rsidR="00A31625">
          <w:rPr>
            <w:webHidden/>
          </w:rPr>
        </w:r>
        <w:r w:rsidR="00A31625">
          <w:rPr>
            <w:webHidden/>
          </w:rPr>
          <w:fldChar w:fldCharType="separate"/>
        </w:r>
        <w:r w:rsidR="00AD613E">
          <w:rPr>
            <w:webHidden/>
          </w:rPr>
          <w:t>13</w:t>
        </w:r>
        <w:r w:rsidR="00A31625">
          <w:rPr>
            <w:webHidden/>
          </w:rPr>
          <w:fldChar w:fldCharType="end"/>
        </w:r>
      </w:hyperlink>
    </w:p>
    <w:p w14:paraId="7506C51A" w14:textId="25FC9F0E" w:rsidR="00DC43E7" w:rsidRPr="00DC05EE" w:rsidRDefault="004050EE" w:rsidP="0031284F">
      <w:pPr>
        <w:pStyle w:val="BodyText"/>
        <w:spacing w:before="240"/>
        <w:rPr>
          <w:b/>
          <w:sz w:val="24"/>
        </w:rPr>
      </w:pPr>
      <w:r>
        <w:fldChar w:fldCharType="end"/>
      </w:r>
      <w:r w:rsidR="00920DF6">
        <w:rPr>
          <w:b/>
          <w:sz w:val="24"/>
        </w:rPr>
        <w:t>Attachments</w:t>
      </w:r>
    </w:p>
    <w:p w14:paraId="1FC46CC2" w14:textId="676EB04E" w:rsidR="0021595C" w:rsidRDefault="000234FB" w:rsidP="00A93693">
      <w:pPr>
        <w:pStyle w:val="BodyText"/>
        <w:numPr>
          <w:ilvl w:val="0"/>
          <w:numId w:val="14"/>
        </w:numPr>
        <w:spacing w:after="0"/>
        <w:ind w:left="907"/>
      </w:pPr>
      <w:r>
        <w:t>Welcome Packet and Contact Update Form</w:t>
      </w:r>
    </w:p>
    <w:p w14:paraId="4D8D211F" w14:textId="77777777" w:rsidR="0021595C" w:rsidRDefault="00B43F52" w:rsidP="00A93693">
      <w:pPr>
        <w:pStyle w:val="BodyText"/>
        <w:numPr>
          <w:ilvl w:val="0"/>
          <w:numId w:val="14"/>
        </w:numPr>
        <w:spacing w:after="0"/>
        <w:ind w:left="907"/>
      </w:pPr>
      <w:r>
        <w:t>Interim Surveys</w:t>
      </w:r>
      <w:r w:rsidR="0021595C" w:rsidRPr="0021595C">
        <w:t xml:space="preserve"> </w:t>
      </w:r>
    </w:p>
    <w:p w14:paraId="3A3C8983" w14:textId="7F33426A" w:rsidR="0021595C" w:rsidRDefault="00A85308" w:rsidP="00A93693">
      <w:pPr>
        <w:pStyle w:val="BodyText"/>
        <w:numPr>
          <w:ilvl w:val="0"/>
          <w:numId w:val="14"/>
        </w:numPr>
        <w:spacing w:after="0"/>
        <w:ind w:left="907"/>
      </w:pPr>
      <w:r>
        <w:t>Six</w:t>
      </w:r>
      <w:r w:rsidR="00B43F52">
        <w:t>-month Follow-up Survey</w:t>
      </w:r>
    </w:p>
    <w:p w14:paraId="3F744BF8" w14:textId="1C6E8079" w:rsidR="00E2353F" w:rsidRDefault="00E2353F" w:rsidP="00A93693">
      <w:pPr>
        <w:pStyle w:val="BodyText"/>
        <w:numPr>
          <w:ilvl w:val="0"/>
          <w:numId w:val="14"/>
        </w:numPr>
        <w:spacing w:after="0"/>
        <w:ind w:left="907"/>
      </w:pPr>
      <w:r>
        <w:t xml:space="preserve">Six-month Follow-up Survey </w:t>
      </w:r>
      <w:r w:rsidR="0040609D">
        <w:t>Pre</w:t>
      </w:r>
      <w:r w:rsidR="006B3329">
        <w:t>-</w:t>
      </w:r>
      <w:r w:rsidR="0040609D">
        <w:t>notification (</w:t>
      </w:r>
      <w:r>
        <w:t>Advance</w:t>
      </w:r>
      <w:r w:rsidR="0040609D">
        <w:t>)</w:t>
      </w:r>
      <w:r>
        <w:t xml:space="preserve"> Letter</w:t>
      </w:r>
    </w:p>
    <w:p w14:paraId="6B9339B7" w14:textId="2C2BB20F" w:rsidR="00DC05EE" w:rsidRPr="00DC43E7" w:rsidRDefault="00DC05EE" w:rsidP="00A93693">
      <w:pPr>
        <w:pStyle w:val="BodyText"/>
        <w:numPr>
          <w:ilvl w:val="0"/>
          <w:numId w:val="14"/>
        </w:numPr>
        <w:spacing w:after="0"/>
        <w:ind w:left="907"/>
      </w:pPr>
      <w:r>
        <w:t>OMB 60-Day Notice</w:t>
      </w:r>
      <w:r w:rsidR="00B57935">
        <w:t xml:space="preserve"> </w:t>
      </w:r>
    </w:p>
    <w:p w14:paraId="0A1A0C68" w14:textId="77777777" w:rsidR="00982F78" w:rsidRPr="00D26157" w:rsidRDefault="00982F78" w:rsidP="004B13EC">
      <w:pPr>
        <w:pStyle w:val="TOC2"/>
      </w:pPr>
    </w:p>
    <w:p w14:paraId="245AAD0D" w14:textId="77777777" w:rsidR="00982F78" w:rsidRDefault="00982F78" w:rsidP="00982F78">
      <w:pPr>
        <w:pStyle w:val="BodyText"/>
      </w:pPr>
    </w:p>
    <w:p w14:paraId="45AD9933" w14:textId="77777777"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14:paraId="2FDB0C53" w14:textId="77777777" w:rsidR="00982F78" w:rsidRPr="00982F78" w:rsidRDefault="00982F78" w:rsidP="00982F78">
      <w:pPr>
        <w:pStyle w:val="Heading1"/>
      </w:pPr>
      <w:bookmarkStart w:id="0" w:name="_Toc432765865"/>
      <w:r w:rsidRPr="00982F78">
        <w:lastRenderedPageBreak/>
        <w:t>Part A: Justification</w:t>
      </w:r>
      <w:bookmarkEnd w:id="0"/>
    </w:p>
    <w:p w14:paraId="01749AFB" w14:textId="3316B326" w:rsidR="0065617B" w:rsidRDefault="00B01599" w:rsidP="00CB241F">
      <w:pPr>
        <w:pStyle w:val="BodyText"/>
        <w:rPr>
          <w:iCs/>
        </w:rPr>
      </w:pPr>
      <w:r w:rsidRPr="009B57C0">
        <w:t xml:space="preserve">This </w:t>
      </w:r>
      <w:r>
        <w:t>document</w:t>
      </w:r>
      <w:r w:rsidRPr="009B57C0">
        <w:t xml:space="preserve"> provides supporting statements for the collection of information for </w:t>
      </w:r>
      <w:r>
        <w:t xml:space="preserve">the Job Search Assistance (JSA) Strategies Evaluation (hereafter, JSA Evaluation), funded by the </w:t>
      </w:r>
      <w:r w:rsidRPr="005D3F1A">
        <w:t>Office of Planning, Research and Evaluation (OPRE) in the Administration for Children and Families (ACF)</w:t>
      </w:r>
      <w:r w:rsidR="00AE5524">
        <w:t xml:space="preserve"> at the U.S Department of Health and Human Services</w:t>
      </w:r>
      <w:r>
        <w:t xml:space="preserve">.  </w:t>
      </w:r>
      <w:r w:rsidRPr="009B57C0">
        <w:t xml:space="preserve">The </w:t>
      </w:r>
      <w:r w:rsidR="0065617B">
        <w:t xml:space="preserve">goal </w:t>
      </w:r>
      <w:r w:rsidRPr="009B57C0">
        <w:t xml:space="preserve">of </w:t>
      </w:r>
      <w:r>
        <w:t>the JSA evaluation</w:t>
      </w:r>
      <w:r w:rsidRPr="009B57C0">
        <w:t xml:space="preserve"> is to</w:t>
      </w:r>
      <w:r w:rsidR="00AE5524">
        <w:t xml:space="preserve"> determine what type of job search assistance</w:t>
      </w:r>
      <w:r>
        <w:t xml:space="preserve"> strategies are most</w:t>
      </w:r>
      <w:r w:rsidR="00AE5524">
        <w:t xml:space="preserve"> effective in helping</w:t>
      </w:r>
      <w:r w:rsidR="00DF2F30">
        <w:t xml:space="preserve"> Temporary Assistance for Needy Families (TANF)</w:t>
      </w:r>
      <w:r w:rsidR="00AE5524">
        <w:t xml:space="preserve"> and other cash assistance</w:t>
      </w:r>
      <w:r>
        <w:t xml:space="preserve"> applicants and recipi</w:t>
      </w:r>
      <w:r w:rsidR="00AE5524">
        <w:t>ents find employment and increase their earnings</w:t>
      </w:r>
      <w:r>
        <w:t xml:space="preserve">.  </w:t>
      </w:r>
      <w:r w:rsidR="00364AE6">
        <w:t xml:space="preserve">The JSA Evaluation contains both an impact study and an implementation study.  </w:t>
      </w:r>
      <w:r>
        <w:t>The impact study will randomly assign individua</w:t>
      </w:r>
      <w:r w:rsidR="00AE5524">
        <w:t>ls to different approaches for providing job search assistance</w:t>
      </w:r>
      <w:r>
        <w:t xml:space="preserve"> and then </w:t>
      </w:r>
      <w:r w:rsidR="00AE5524">
        <w:t xml:space="preserve">will </w:t>
      </w:r>
      <w:r>
        <w:t>compare their employment and earnings to determine their relative effectiveness</w:t>
      </w:r>
      <w:r w:rsidR="00CC7D66">
        <w:t xml:space="preserve"> in moving TANF recipients to work and increasing their earnings</w:t>
      </w:r>
      <w:r>
        <w:t>.  The i</w:t>
      </w:r>
      <w:r w:rsidR="006D1A89">
        <w:t>mplementation study will document</w:t>
      </w:r>
      <w:r w:rsidRPr="00F65681">
        <w:t xml:space="preserve"> services</w:t>
      </w:r>
      <w:r w:rsidR="00AE5524">
        <w:t xml:space="preserve"> received under each</w:t>
      </w:r>
      <w:r>
        <w:t xml:space="preserve"> </w:t>
      </w:r>
      <w:r w:rsidRPr="00F65681">
        <w:t>approach</w:t>
      </w:r>
      <w:r w:rsidR="00606B24">
        <w:t xml:space="preserve"> for</w:t>
      </w:r>
      <w:r w:rsidR="00AE5524">
        <w:t xml:space="preserve"> providing job search assistance</w:t>
      </w:r>
      <w:r w:rsidRPr="00F65681">
        <w:t xml:space="preserve"> and provide operational lessons</w:t>
      </w:r>
      <w:r w:rsidR="008C71AD">
        <w:t>.</w:t>
      </w:r>
      <w:r w:rsidR="008C71AD" w:rsidRPr="00D12FDD">
        <w:t xml:space="preserve">  </w:t>
      </w:r>
      <w:r w:rsidR="002711CE">
        <w:t xml:space="preserve">Abt Associates and its partner Mathematica Policy Research are conducting the </w:t>
      </w:r>
      <w:r w:rsidR="0065617B">
        <w:t>evaluation</w:t>
      </w:r>
      <w:r w:rsidR="0065617B">
        <w:rPr>
          <w:iCs/>
        </w:rPr>
        <w:t xml:space="preserve">. </w:t>
      </w:r>
    </w:p>
    <w:p w14:paraId="716A45F4" w14:textId="0472D6D9" w:rsidR="00116679" w:rsidRDefault="00AE5524" w:rsidP="00CB241F">
      <w:pPr>
        <w:pStyle w:val="BodyText"/>
      </w:pPr>
      <w:r>
        <w:t>In October 2013, the JSA Evaluation received</w:t>
      </w:r>
      <w:r w:rsidR="00116679">
        <w:t xml:space="preserve"> approval </w:t>
      </w:r>
      <w:r>
        <w:t xml:space="preserve">from the Office of Management and Budget (OMB) for a first set of </w:t>
      </w:r>
      <w:r w:rsidR="00116679" w:rsidRPr="00116679">
        <w:t xml:space="preserve">data collection instruments </w:t>
      </w:r>
      <w:r>
        <w:t xml:space="preserve">for the JSA Evaluation, specifically for </w:t>
      </w:r>
      <w:r w:rsidR="00116679" w:rsidRPr="00116679">
        <w:t>the field assessment and site selection process</w:t>
      </w:r>
      <w:r w:rsidR="00116679">
        <w:t xml:space="preserve"> </w:t>
      </w:r>
      <w:r w:rsidR="00DA2CCC" w:rsidRPr="00DA2CCC">
        <w:t xml:space="preserve">(OMB No. </w:t>
      </w:r>
      <w:r w:rsidR="00116679">
        <w:t>0970-0440</w:t>
      </w:r>
      <w:r w:rsidR="00DA2CCC" w:rsidRPr="00DA2CCC">
        <w:t>)</w:t>
      </w:r>
      <w:r w:rsidR="008C71AD" w:rsidRPr="00DA2CCC">
        <w:t xml:space="preserve">.  </w:t>
      </w:r>
      <w:r w:rsidR="00DA2CCC" w:rsidRPr="00DA2CCC">
        <w:t xml:space="preserve">Instruments approved in that submission included </w:t>
      </w:r>
      <w:r w:rsidR="00116679">
        <w:t xml:space="preserve">the </w:t>
      </w:r>
      <w:r w:rsidR="00116679" w:rsidRPr="00C92E16">
        <w:rPr>
          <w:i/>
        </w:rPr>
        <w:t>Discussion Guide for Researchers and Policy Experts</w:t>
      </w:r>
      <w:r w:rsidR="00116679">
        <w:t xml:space="preserve">, the </w:t>
      </w:r>
      <w:r w:rsidR="00116679" w:rsidRPr="00C92E16">
        <w:rPr>
          <w:i/>
        </w:rPr>
        <w:t>Discussion Guide for State and Local TANF Administrators</w:t>
      </w:r>
      <w:r w:rsidR="00116679">
        <w:t xml:space="preserve">, and the </w:t>
      </w:r>
      <w:r w:rsidR="00116679" w:rsidRPr="00C92E16">
        <w:rPr>
          <w:i/>
        </w:rPr>
        <w:t>Discussion Guide for Program Staff</w:t>
      </w:r>
      <w:r w:rsidR="00DA2CCC" w:rsidRPr="00DA2CCC">
        <w:t xml:space="preserve">. </w:t>
      </w:r>
      <w:r w:rsidR="006774A6">
        <w:t xml:space="preserve"> OMB provided approval for </w:t>
      </w:r>
      <w:r w:rsidR="00513161">
        <w:t xml:space="preserve">the next set of data collection forms—the </w:t>
      </w:r>
      <w:r w:rsidR="00513161" w:rsidRPr="00644775">
        <w:rPr>
          <w:i/>
        </w:rPr>
        <w:t>Baseline Information Form, Staff Surveys, and Implementation Study Site Visit Guides</w:t>
      </w:r>
      <w:r w:rsidR="00513161">
        <w:t>—u</w:t>
      </w:r>
      <w:r w:rsidR="006774A6">
        <w:t>nder the same approval number in November</w:t>
      </w:r>
      <w:r w:rsidR="00513161">
        <w:t xml:space="preserve"> 2014.  </w:t>
      </w:r>
    </w:p>
    <w:p w14:paraId="150A9961" w14:textId="158373EF" w:rsidR="00291DEA" w:rsidRDefault="008C71AD" w:rsidP="00CB241F">
      <w:pPr>
        <w:pStyle w:val="BodyText"/>
      </w:pPr>
      <w:r>
        <w:t>This submission seeks OMB approval for three additional data collection ef</w:t>
      </w:r>
      <w:r w:rsidR="006774A6">
        <w:t xml:space="preserve">forts related to a </w:t>
      </w:r>
      <w:r>
        <w:t>f</w:t>
      </w:r>
      <w:r w:rsidR="006774A6">
        <w:t>ollow-up survey data administered to sample members:</w:t>
      </w:r>
    </w:p>
    <w:p w14:paraId="52AAE74B" w14:textId="2B4242A9" w:rsidR="00364AE6" w:rsidRDefault="00564BAB" w:rsidP="006774A6">
      <w:pPr>
        <w:pStyle w:val="Bullets"/>
        <w:numPr>
          <w:ilvl w:val="0"/>
          <w:numId w:val="3"/>
        </w:numPr>
        <w:ind w:left="360"/>
      </w:pPr>
      <w:r>
        <w:rPr>
          <w:b/>
        </w:rPr>
        <w:t>Contact update form</w:t>
      </w:r>
      <w:r w:rsidR="00364AE6">
        <w:t xml:space="preserve">.  </w:t>
      </w:r>
      <w:r w:rsidR="00251C2B">
        <w:t xml:space="preserve">A paper version of this form </w:t>
      </w:r>
      <w:r w:rsidR="00364AE6">
        <w:t xml:space="preserve">will be included in a “welcome packet” that is mailed </w:t>
      </w:r>
      <w:r w:rsidR="006774A6">
        <w:t xml:space="preserve">to sample members </w:t>
      </w:r>
      <w:r w:rsidR="00364AE6">
        <w:t>shortly after study induction</w:t>
      </w:r>
      <w:r w:rsidR="006774A6">
        <w:t xml:space="preserve"> to encourage them to complete the survey</w:t>
      </w:r>
      <w:r w:rsidR="00364AE6">
        <w:t>.</w:t>
      </w:r>
      <w:r w:rsidR="006B3329">
        <w:rPr>
          <w:rStyle w:val="FootnoteReference"/>
        </w:rPr>
        <w:footnoteReference w:id="2"/>
      </w:r>
      <w:r w:rsidR="006B3329">
        <w:t xml:space="preserve"> </w:t>
      </w:r>
      <w:r w:rsidR="00364AE6">
        <w:t xml:space="preserve">  The purpose of t</w:t>
      </w:r>
      <w:r w:rsidR="006774A6">
        <w:t>he form is to update sample member</w:t>
      </w:r>
      <w:r w:rsidR="00364AE6">
        <w:t>’s contact information, including contact information on alternate contacts</w:t>
      </w:r>
      <w:r w:rsidR="006774A6">
        <w:t>, for the study’s follow-up survey</w:t>
      </w:r>
      <w:r w:rsidR="00364AE6">
        <w:t>.</w:t>
      </w:r>
    </w:p>
    <w:p w14:paraId="017805E9" w14:textId="0CEBE873" w:rsidR="003621F9" w:rsidRDefault="00364AE6" w:rsidP="006774A6">
      <w:pPr>
        <w:pStyle w:val="Bullets"/>
        <w:numPr>
          <w:ilvl w:val="0"/>
          <w:numId w:val="3"/>
        </w:numPr>
        <w:ind w:left="360"/>
      </w:pPr>
      <w:r>
        <w:rPr>
          <w:b/>
        </w:rPr>
        <w:t>Interim tracking surveys</w:t>
      </w:r>
      <w:r>
        <w:t>.  This activity involves conducting a brief monthl</w:t>
      </w:r>
      <w:r w:rsidR="006774A6">
        <w:t>y survey with sample members</w:t>
      </w:r>
      <w:r>
        <w:t xml:space="preserve"> </w:t>
      </w:r>
      <w:r w:rsidR="003621F9">
        <w:t xml:space="preserve">during the first </w:t>
      </w:r>
      <w:r w:rsidR="006774A6">
        <w:t>five</w:t>
      </w:r>
      <w:r w:rsidR="003621F9">
        <w:t xml:space="preserve"> months</w:t>
      </w:r>
      <w:r w:rsidR="006774A6">
        <w:t xml:space="preserve"> after random assignment</w:t>
      </w:r>
      <w:r>
        <w:t>.  The primary purpose of these surveys is t</w:t>
      </w:r>
      <w:r w:rsidR="006774A6">
        <w:t>o keep contact information current and maintain the sample member</w:t>
      </w:r>
      <w:r>
        <w:t xml:space="preserve">’s </w:t>
      </w:r>
      <w:r w:rsidR="009F2450">
        <w:t>engagement with</w:t>
      </w:r>
      <w:r>
        <w:t xml:space="preserve"> the study.  </w:t>
      </w:r>
      <w:r w:rsidR="00D11068">
        <w:t xml:space="preserve">The contact information captured will be comparable to that collected with the </w:t>
      </w:r>
      <w:r w:rsidR="00564BAB">
        <w:t>contact update form</w:t>
      </w:r>
      <w:r w:rsidR="00D11068">
        <w:t xml:space="preserve">. </w:t>
      </w:r>
      <w:r w:rsidRPr="00985B81">
        <w:t xml:space="preserve">The interim surveys will also provide information on </w:t>
      </w:r>
      <w:r w:rsidR="00985B81" w:rsidRPr="00985B81">
        <w:t xml:space="preserve">employment and </w:t>
      </w:r>
      <w:r w:rsidRPr="00985B81">
        <w:t>participation in job</w:t>
      </w:r>
      <w:r w:rsidR="00E5694C" w:rsidRPr="00985B81">
        <w:t xml:space="preserve"> </w:t>
      </w:r>
      <w:r w:rsidRPr="00985B81">
        <w:t>search support services.</w:t>
      </w:r>
      <w:r>
        <w:t xml:space="preserve">  These surveys will be conducted via text messaging.</w:t>
      </w:r>
      <w:r w:rsidR="003621F9">
        <w:rPr>
          <w:rStyle w:val="FootnoteReference"/>
        </w:rPr>
        <w:footnoteReference w:id="3"/>
      </w:r>
    </w:p>
    <w:p w14:paraId="74877111" w14:textId="0DA4D746" w:rsidR="003621F9" w:rsidRDefault="00364AE6" w:rsidP="006774A6">
      <w:pPr>
        <w:pStyle w:val="Bullets"/>
        <w:numPr>
          <w:ilvl w:val="0"/>
          <w:numId w:val="3"/>
        </w:numPr>
        <w:spacing w:after="180"/>
        <w:ind w:left="360"/>
      </w:pPr>
      <w:r w:rsidRPr="003621F9">
        <w:rPr>
          <w:b/>
        </w:rPr>
        <w:t>JSA six-month follow-up survey</w:t>
      </w:r>
      <w:r w:rsidR="006774A6">
        <w:rPr>
          <w:b/>
        </w:rPr>
        <w:t xml:space="preserve"> instrument</w:t>
      </w:r>
      <w:r>
        <w:t>.  This survey, ad</w:t>
      </w:r>
      <w:r w:rsidR="00D70BDE">
        <w:t>ministered to sample members</w:t>
      </w:r>
      <w:r>
        <w:t xml:space="preserve"> by telephone, will be a key source for outcomes of interest in the JSA Strategies Evaluation.  </w:t>
      </w:r>
      <w:r w:rsidRPr="003621F9">
        <w:rPr>
          <w:rFonts w:cs="Arial"/>
        </w:rPr>
        <w:t xml:space="preserve">While the </w:t>
      </w:r>
      <w:r w:rsidRPr="003621F9">
        <w:rPr>
          <w:rFonts w:cs="Arial"/>
        </w:rPr>
        <w:lastRenderedPageBreak/>
        <w:t>principal sou</w:t>
      </w:r>
      <w:r w:rsidR="00D70BDE">
        <w:rPr>
          <w:rFonts w:cs="Arial"/>
        </w:rPr>
        <w:t xml:space="preserve">rce of </w:t>
      </w:r>
      <w:r w:rsidR="0039437B">
        <w:rPr>
          <w:rFonts w:cs="Arial"/>
        </w:rPr>
        <w:t xml:space="preserve">employment and earnings </w:t>
      </w:r>
      <w:r w:rsidR="00D70BDE">
        <w:rPr>
          <w:rFonts w:cs="Arial"/>
        </w:rPr>
        <w:t>data for the</w:t>
      </w:r>
      <w:r w:rsidRPr="003621F9">
        <w:rPr>
          <w:rFonts w:cs="Arial"/>
        </w:rPr>
        <w:t xml:space="preserve"> impact study</w:t>
      </w:r>
      <w:r w:rsidR="00D70BDE">
        <w:rPr>
          <w:rFonts w:cs="Arial"/>
        </w:rPr>
        <w:t xml:space="preserve"> is quarterly Unemployment Insurance</w:t>
      </w:r>
      <w:r w:rsidRPr="003621F9">
        <w:rPr>
          <w:rFonts w:cs="Arial"/>
        </w:rPr>
        <w:t xml:space="preserve"> records </w:t>
      </w:r>
      <w:r w:rsidR="00D70BDE">
        <w:rPr>
          <w:rFonts w:cs="Arial"/>
        </w:rPr>
        <w:t>from the National Directory of New Hires (NDNH) (maintained by the Office of Child Support Enforcement (OCSE) at HHS), this</w:t>
      </w:r>
      <w:r w:rsidRPr="003621F9">
        <w:rPr>
          <w:rFonts w:cs="Arial"/>
        </w:rPr>
        <w:t xml:space="preserve"> follow-up survey will provide critical information on additional </w:t>
      </w:r>
      <w:r w:rsidR="00D70BDE">
        <w:rPr>
          <w:rFonts w:cs="Arial"/>
        </w:rPr>
        <w:t xml:space="preserve">measures of interest.  </w:t>
      </w:r>
      <w:r w:rsidR="00D70BDE" w:rsidRPr="0039437B">
        <w:rPr>
          <w:rFonts w:cs="Arial"/>
        </w:rPr>
        <w:t xml:space="preserve">This includes </w:t>
      </w:r>
      <w:r w:rsidR="0039437B">
        <w:rPr>
          <w:rFonts w:cs="Arial"/>
        </w:rPr>
        <w:t>the content, mode,</w:t>
      </w:r>
      <w:r w:rsidR="0039437B" w:rsidRPr="0039437B">
        <w:rPr>
          <w:rFonts w:cs="Arial"/>
        </w:rPr>
        <w:t xml:space="preserve"> and </w:t>
      </w:r>
      <w:r w:rsidR="00985B81">
        <w:rPr>
          <w:rFonts w:cs="Arial"/>
        </w:rPr>
        <w:t>duration</w:t>
      </w:r>
      <w:r w:rsidR="0039437B" w:rsidRPr="0039437B">
        <w:rPr>
          <w:rFonts w:cs="Arial"/>
        </w:rPr>
        <w:t xml:space="preserve"> of job sear</w:t>
      </w:r>
      <w:r w:rsidR="0039437B">
        <w:rPr>
          <w:rFonts w:cs="Arial"/>
        </w:rPr>
        <w:t>ch assistance services received;</w:t>
      </w:r>
      <w:r w:rsidR="0039437B" w:rsidRPr="0039437B">
        <w:rPr>
          <w:rFonts w:cs="Arial"/>
        </w:rPr>
        <w:t xml:space="preserve"> job characteristics related to job quality (e.g.</w:t>
      </w:r>
      <w:r w:rsidR="0039437B">
        <w:rPr>
          <w:rFonts w:cs="Arial"/>
        </w:rPr>
        <w:t xml:space="preserve"> wage, benefits, and schedule); </w:t>
      </w:r>
      <w:r w:rsidR="00985B81">
        <w:rPr>
          <w:rFonts w:cs="Arial"/>
        </w:rPr>
        <w:t xml:space="preserve">factors affecting the ability to work; </w:t>
      </w:r>
      <w:r w:rsidR="00CC3FDE">
        <w:rPr>
          <w:rFonts w:cs="Arial"/>
        </w:rPr>
        <w:t>public benefit receipt beyond TANF</w:t>
      </w:r>
      <w:r w:rsidR="00985B81">
        <w:rPr>
          <w:rFonts w:cs="Arial"/>
        </w:rPr>
        <w:t>;</w:t>
      </w:r>
      <w:r w:rsidR="00CC3FDE">
        <w:rPr>
          <w:rFonts w:cs="Arial"/>
        </w:rPr>
        <w:t xml:space="preserve"> </w:t>
      </w:r>
      <w:r w:rsidR="0039437B" w:rsidRPr="0039437B">
        <w:rPr>
          <w:rFonts w:cs="Arial"/>
        </w:rPr>
        <w:t>and household</w:t>
      </w:r>
      <w:r w:rsidRPr="0039437B">
        <w:rPr>
          <w:rFonts w:cs="Arial"/>
        </w:rPr>
        <w:t xml:space="preserve"> income</w:t>
      </w:r>
      <w:r w:rsidRPr="0039437B">
        <w:t>.</w:t>
      </w:r>
      <w:r>
        <w:t xml:space="preserve">  Survey results wi</w:t>
      </w:r>
      <w:r w:rsidR="00D70BDE">
        <w:t>ll be</w:t>
      </w:r>
      <w:r>
        <w:t xml:space="preserve"> used in both the impact study</w:t>
      </w:r>
      <w:r w:rsidR="00D70BDE">
        <w:t>, to</w:t>
      </w:r>
      <w:r w:rsidR="005B3F42">
        <w:t xml:space="preserve"> collect data on key outcomes,</w:t>
      </w:r>
      <w:r>
        <w:t xml:space="preserve"> and the implementation study</w:t>
      </w:r>
      <w:r w:rsidR="00D70BDE">
        <w:t>, to document the JSA services received</w:t>
      </w:r>
      <w:r w:rsidR="003621F9">
        <w:t xml:space="preserve">.  </w:t>
      </w:r>
    </w:p>
    <w:p w14:paraId="0B098693" w14:textId="7439527B" w:rsidR="00CA7D7D" w:rsidRDefault="003621F9" w:rsidP="00D70BDE">
      <w:pPr>
        <w:pStyle w:val="Bullets"/>
        <w:spacing w:after="180"/>
      </w:pPr>
      <w:r>
        <w:t>The six-month follow-up survey is the primary</w:t>
      </w:r>
      <w:r w:rsidR="00CA7D7D">
        <w:t xml:space="preserve"> focus of this request.  The other two data collections are preparatory steps t</w:t>
      </w:r>
      <w:r w:rsidR="00D70BDE">
        <w:t>o facilitate a high response rate for the survey</w:t>
      </w:r>
      <w:r w:rsidR="00CA7D7D">
        <w:t xml:space="preserve">.  </w:t>
      </w:r>
    </w:p>
    <w:p w14:paraId="077C7BEA" w14:textId="77777777" w:rsidR="00982F78" w:rsidRDefault="00982F78" w:rsidP="00982F78">
      <w:pPr>
        <w:pStyle w:val="Heading2"/>
      </w:pPr>
      <w:bookmarkStart w:id="1" w:name="_Toc432765866"/>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1"/>
    </w:p>
    <w:p w14:paraId="4DAA7090" w14:textId="77777777" w:rsidR="00982F78" w:rsidRDefault="00982F78" w:rsidP="00ED5DD5">
      <w:pPr>
        <w:pStyle w:val="Heading3"/>
      </w:pPr>
      <w:bookmarkStart w:id="2" w:name="_Toc362600543"/>
      <w:r>
        <w:t>A</w:t>
      </w:r>
      <w:r w:rsidR="00E248FD">
        <w:t>.</w:t>
      </w:r>
      <w:r>
        <w:t>1.1</w:t>
      </w:r>
      <w:r>
        <w:tab/>
        <w:t xml:space="preserve">Study </w:t>
      </w:r>
      <w:bookmarkEnd w:id="2"/>
      <w:r w:rsidR="009D4DC0">
        <w:t>Overview</w:t>
      </w:r>
    </w:p>
    <w:p w14:paraId="1EAD12C4" w14:textId="5D88602B" w:rsidR="007E473D" w:rsidRDefault="00697F12" w:rsidP="005A2113">
      <w:pPr>
        <w:pStyle w:val="BodyText"/>
        <w:rPr>
          <w:rFonts w:cs="GillSansMT"/>
          <w:color w:val="000000"/>
        </w:rPr>
      </w:pPr>
      <w:bookmarkStart w:id="3" w:name="_Toc362600544"/>
      <w:r>
        <w:t xml:space="preserve">JSA programs are </w:t>
      </w:r>
      <w:r w:rsidR="00D70BDE">
        <w:t xml:space="preserve">typically </w:t>
      </w:r>
      <w:r>
        <w:t>short</w:t>
      </w:r>
      <w:r w:rsidR="00D70BDE">
        <w:t xml:space="preserve">-term, </w:t>
      </w:r>
      <w:r>
        <w:t xml:space="preserve">low-cost programs </w:t>
      </w:r>
      <w:r w:rsidR="00D70BDE">
        <w:t xml:space="preserve">designed </w:t>
      </w:r>
      <w:r>
        <w:t xml:space="preserve">to help job seekers find jobs.  </w:t>
      </w:r>
      <w:r w:rsidR="007E473D">
        <w:t xml:space="preserve">Some </w:t>
      </w:r>
      <w:r>
        <w:t>JSA programs focus on helping job seekers find jobs more quickly than they would on their own</w:t>
      </w:r>
      <w:r w:rsidR="005B3F42">
        <w:t>, others</w:t>
      </w:r>
      <w:r w:rsidR="007E473D">
        <w:t xml:space="preserve"> focus on </w:t>
      </w:r>
      <w:r>
        <w:t xml:space="preserve">helping </w:t>
      </w:r>
      <w:r w:rsidR="007E473D">
        <w:t>job seekers</w:t>
      </w:r>
      <w:r>
        <w:t xml:space="preserve"> find better jobs</w:t>
      </w:r>
      <w:r w:rsidR="005B3F42">
        <w:t>,</w:t>
      </w:r>
      <w:r w:rsidR="007E473D">
        <w:t xml:space="preserve"> and </w:t>
      </w:r>
      <w:r w:rsidR="005B3F42">
        <w:t xml:space="preserve">some </w:t>
      </w:r>
      <w:r w:rsidR="007E473D">
        <w:t>focus on</w:t>
      </w:r>
      <w:r>
        <w:t xml:space="preserve"> both</w:t>
      </w:r>
      <w:r w:rsidR="005B3F42">
        <w:t xml:space="preserve">. </w:t>
      </w:r>
      <w:r w:rsidR="008C71AD" w:rsidRPr="00C551B6">
        <w:rPr>
          <w:rFonts w:cs="GillSansMT"/>
          <w:color w:val="000000"/>
        </w:rPr>
        <w:t xml:space="preserve"> </w:t>
      </w:r>
      <w:r w:rsidR="00D70BDE">
        <w:rPr>
          <w:rFonts w:cs="GillSansMT"/>
          <w:color w:val="000000"/>
        </w:rPr>
        <w:t xml:space="preserve">TANF </w:t>
      </w:r>
      <w:r w:rsidR="008C71AD" w:rsidRPr="00C551B6">
        <w:rPr>
          <w:rFonts w:cs="GillSansMT"/>
          <w:color w:val="000000"/>
        </w:rPr>
        <w:t>programs</w:t>
      </w:r>
      <w:r w:rsidR="00D70BDE">
        <w:rPr>
          <w:rFonts w:cs="GillSansMT"/>
          <w:color w:val="000000"/>
        </w:rPr>
        <w:t xml:space="preserve"> typically require participation in</w:t>
      </w:r>
      <w:r w:rsidR="008C71AD">
        <w:rPr>
          <w:rFonts w:cs="GillSansMT"/>
          <w:color w:val="000000"/>
        </w:rPr>
        <w:t xml:space="preserve"> </w:t>
      </w:r>
      <w:r w:rsidR="008C71AD" w:rsidRPr="00C551B6">
        <w:rPr>
          <w:rFonts w:cs="GillSansMT"/>
          <w:color w:val="000000"/>
        </w:rPr>
        <w:t>job search assistance</w:t>
      </w:r>
      <w:r w:rsidR="005B3F42">
        <w:rPr>
          <w:rFonts w:cs="GillSansMT"/>
          <w:color w:val="000000"/>
        </w:rPr>
        <w:t xml:space="preserve"> activities</w:t>
      </w:r>
      <w:r w:rsidR="00D70BDE">
        <w:rPr>
          <w:rFonts w:cs="GillSansMT"/>
          <w:color w:val="000000"/>
        </w:rPr>
        <w:t xml:space="preserve"> as a condition of receiving cash assist</w:t>
      </w:r>
      <w:r w:rsidR="005B3F42">
        <w:rPr>
          <w:rFonts w:cs="GillSansMT"/>
          <w:color w:val="000000"/>
        </w:rPr>
        <w:t>ance</w:t>
      </w:r>
      <w:r w:rsidR="008C71AD" w:rsidRPr="00C551B6">
        <w:rPr>
          <w:rFonts w:cs="GillSansMT"/>
          <w:color w:val="000000"/>
        </w:rPr>
        <w:t xml:space="preserve">. </w:t>
      </w:r>
    </w:p>
    <w:p w14:paraId="70B5A37F" w14:textId="54D68B2F" w:rsidR="000F3556" w:rsidRDefault="00CC7D66" w:rsidP="005A2113">
      <w:pPr>
        <w:pStyle w:val="BodyText"/>
      </w:pPr>
      <w:r>
        <w:rPr>
          <w:rFonts w:cs="GillSansMT"/>
          <w:color w:val="000000"/>
        </w:rPr>
        <w:t>At a general level, there is evidence that JSA</w:t>
      </w:r>
      <w:r w:rsidR="006A33B4">
        <w:rPr>
          <w:rFonts w:cs="GillSansMT"/>
          <w:color w:val="000000"/>
        </w:rPr>
        <w:t xml:space="preserve"> strategies are</w:t>
      </w:r>
      <w:r>
        <w:rPr>
          <w:rFonts w:cs="GillSansMT"/>
          <w:color w:val="000000"/>
        </w:rPr>
        <w:t xml:space="preserve"> effective in increasing employment</w:t>
      </w:r>
      <w:r w:rsidR="006A33B4">
        <w:rPr>
          <w:rFonts w:cs="GillSansMT"/>
          <w:color w:val="000000"/>
        </w:rPr>
        <w:t>, but the impacts are modest</w:t>
      </w:r>
      <w:r w:rsidR="00944B00">
        <w:rPr>
          <w:rFonts w:cs="GillSansMT"/>
          <w:color w:val="000000"/>
        </w:rPr>
        <w:t xml:space="preserve"> </w:t>
      </w:r>
      <w:r w:rsidR="00A93693">
        <w:rPr>
          <w:rFonts w:cs="GillSansMT"/>
          <w:color w:val="000000"/>
        </w:rPr>
        <w:t>(</w:t>
      </w:r>
      <w:r w:rsidR="00944B00">
        <w:rPr>
          <w:rFonts w:cs="GillSansMT"/>
          <w:color w:val="000000"/>
        </w:rPr>
        <w:t>Klerman, et al.</w:t>
      </w:r>
      <w:r w:rsidR="00A93693">
        <w:rPr>
          <w:rFonts w:cs="GillSansMT"/>
          <w:color w:val="000000"/>
        </w:rPr>
        <w:t>, 2012)</w:t>
      </w:r>
      <w:r>
        <w:rPr>
          <w:rFonts w:cs="GillSansMT"/>
          <w:color w:val="000000"/>
        </w:rPr>
        <w:t xml:space="preserve">.  </w:t>
      </w:r>
      <w:r w:rsidR="005B3F42">
        <w:rPr>
          <w:rFonts w:cs="GillSansMT"/>
          <w:color w:val="000000"/>
        </w:rPr>
        <w:t>However, there are different approaches to providing job search assistance</w:t>
      </w:r>
      <w:r w:rsidR="0039437B">
        <w:rPr>
          <w:rFonts w:cs="GillSansMT"/>
          <w:color w:val="000000"/>
        </w:rPr>
        <w:t>, but</w:t>
      </w:r>
      <w:r w:rsidR="005B3F42">
        <w:rPr>
          <w:rFonts w:cs="GillSansMT"/>
          <w:color w:val="000000"/>
        </w:rPr>
        <w:t xml:space="preserve"> </w:t>
      </w:r>
      <w:r w:rsidR="008C71AD">
        <w:rPr>
          <w:rFonts w:cs="GillSansMT"/>
          <w:color w:val="000000"/>
        </w:rPr>
        <w:t>there is very little evidence regarding which strategies ar</w:t>
      </w:r>
      <w:r w:rsidR="005B3F42">
        <w:rPr>
          <w:rFonts w:cs="GillSansMT"/>
          <w:color w:val="000000"/>
        </w:rPr>
        <w:t>e more effective</w:t>
      </w:r>
      <w:r w:rsidR="008C71AD">
        <w:rPr>
          <w:rFonts w:cs="GillSansMT"/>
          <w:color w:val="000000"/>
        </w:rPr>
        <w:t xml:space="preserve">.  </w:t>
      </w:r>
      <w:r>
        <w:rPr>
          <w:rFonts w:cs="GillSansMT"/>
          <w:color w:val="000000"/>
        </w:rPr>
        <w:t xml:space="preserve">For example, </w:t>
      </w:r>
      <w:r w:rsidR="00697F12">
        <w:rPr>
          <w:rFonts w:cs="GillSansMT"/>
          <w:color w:val="000000"/>
        </w:rPr>
        <w:t>is</w:t>
      </w:r>
      <w:r>
        <w:rPr>
          <w:rFonts w:cs="GillSansMT"/>
          <w:color w:val="000000"/>
        </w:rPr>
        <w:t xml:space="preserve"> provid</w:t>
      </w:r>
      <w:r w:rsidR="006A33B4">
        <w:rPr>
          <w:rFonts w:cs="GillSansMT"/>
          <w:color w:val="000000"/>
        </w:rPr>
        <w:t>ing JSA</w:t>
      </w:r>
      <w:r>
        <w:rPr>
          <w:rFonts w:cs="GillSansMT"/>
          <w:color w:val="000000"/>
        </w:rPr>
        <w:t xml:space="preserve"> in a group setting with instruction on job search techniques more or less effective than when indiv</w:t>
      </w:r>
      <w:r w:rsidR="005B3F42">
        <w:rPr>
          <w:rFonts w:cs="GillSansMT"/>
          <w:color w:val="000000"/>
        </w:rPr>
        <w:t xml:space="preserve">iduals search for </w:t>
      </w:r>
      <w:r w:rsidR="0039437B">
        <w:rPr>
          <w:rFonts w:cs="GillSansMT"/>
          <w:color w:val="000000"/>
        </w:rPr>
        <w:t>work</w:t>
      </w:r>
      <w:r w:rsidR="005B3F42">
        <w:rPr>
          <w:rFonts w:cs="GillSansMT"/>
          <w:color w:val="000000"/>
        </w:rPr>
        <w:t xml:space="preserve"> one-on-one with a staff person</w:t>
      </w:r>
      <w:r>
        <w:rPr>
          <w:rFonts w:cs="GillSansMT"/>
          <w:color w:val="000000"/>
        </w:rPr>
        <w:t xml:space="preserve">?  Are longer </w:t>
      </w:r>
      <w:r w:rsidR="00697F12">
        <w:rPr>
          <w:rFonts w:cs="GillSansMT"/>
          <w:color w:val="000000"/>
        </w:rPr>
        <w:t>time commitments to search for a job</w:t>
      </w:r>
      <w:r>
        <w:rPr>
          <w:rFonts w:cs="GillSansMT"/>
          <w:color w:val="000000"/>
        </w:rPr>
        <w:t xml:space="preserve"> more effective than shorter?  </w:t>
      </w:r>
      <w:r w:rsidR="005B3F42">
        <w:rPr>
          <w:rFonts w:cs="GillSansMT"/>
          <w:color w:val="000000"/>
        </w:rPr>
        <w:t xml:space="preserve"> </w:t>
      </w:r>
      <w:r w:rsidR="00B01599">
        <w:t xml:space="preserve">Given that JSA </w:t>
      </w:r>
      <w:r w:rsidR="00697F12">
        <w:t xml:space="preserve">is an important </w:t>
      </w:r>
      <w:r w:rsidR="00B01599">
        <w:t>TANF work activity</w:t>
      </w:r>
      <w:r w:rsidR="005B3F42">
        <w:t xml:space="preserve"> in</w:t>
      </w:r>
      <w:r w:rsidR="00697F12">
        <w:t xml:space="preserve"> all states, </w:t>
      </w:r>
      <w:r w:rsidR="00B01599">
        <w:rPr>
          <w:iCs/>
        </w:rPr>
        <w:t>A</w:t>
      </w:r>
      <w:r w:rsidR="00B01599">
        <w:t xml:space="preserve">CF </w:t>
      </w:r>
      <w:r w:rsidR="00697F12">
        <w:t xml:space="preserve">sponsored </w:t>
      </w:r>
      <w:r w:rsidR="00E63253">
        <w:t>this</w:t>
      </w:r>
      <w:r w:rsidR="00697F12">
        <w:t xml:space="preserve"> evaluation to determine the</w:t>
      </w:r>
      <w:r w:rsidR="00B01599">
        <w:t xml:space="preserve"> relative effectiveness of various JSA approaches in a large-scale randomized trial across multiple site</w:t>
      </w:r>
      <w:r w:rsidR="00B01599">
        <w:rPr>
          <w:iCs/>
        </w:rPr>
        <w:t xml:space="preserve">s. </w:t>
      </w:r>
      <w:r w:rsidR="006D1A89">
        <w:rPr>
          <w:iCs/>
        </w:rPr>
        <w:t xml:space="preserve">  </w:t>
      </w:r>
    </w:p>
    <w:p w14:paraId="034E251E" w14:textId="764524B8" w:rsidR="00131840" w:rsidRPr="001A1213" w:rsidRDefault="00044B2D" w:rsidP="00FC7C2C">
      <w:pPr>
        <w:rPr>
          <w:i/>
          <w:szCs w:val="22"/>
        </w:rPr>
      </w:pPr>
      <w:bookmarkStart w:id="4" w:name="_Toc362600546"/>
      <w:bookmarkEnd w:id="3"/>
      <w:r w:rsidRPr="00044B2D">
        <w:rPr>
          <w:szCs w:val="22"/>
        </w:rPr>
        <w:t xml:space="preserve">The impact study component of the JSA evaluation will use an experimental design to determine the relative effectiveness of different JSA approaches.  The evaluation requires TANF applicants </w:t>
      </w:r>
      <w:r w:rsidR="00CC3FDE">
        <w:rPr>
          <w:szCs w:val="22"/>
        </w:rPr>
        <w:t xml:space="preserve">to </w:t>
      </w:r>
      <w:r w:rsidRPr="00044B2D">
        <w:rPr>
          <w:szCs w:val="22"/>
        </w:rPr>
        <w:t>be</w:t>
      </w:r>
      <w:r w:rsidR="00CC3FDE">
        <w:rPr>
          <w:szCs w:val="22"/>
        </w:rPr>
        <w:t xml:space="preserve"> </w:t>
      </w:r>
      <w:r w:rsidRPr="00044B2D">
        <w:rPr>
          <w:szCs w:val="22"/>
        </w:rPr>
        <w:t>randomly assigned to one of two JSA approaches, each of which provides a different set of JSA services.   This will allow us to measure the incremental benefits one approach compared to the other.  The evaluation will not include a “no services” control group.  In addition to the impact study, there will be an implementation study to document the o</w:t>
      </w:r>
      <w:r w:rsidR="00FC7C2C">
        <w:rPr>
          <w:szCs w:val="22"/>
        </w:rPr>
        <w:t>peration of the JSA approaches, including the context in which they operate; the service delivery structure; and the content, mode, intensity, and duration of services</w:t>
      </w:r>
      <w:r w:rsidRPr="00044B2D">
        <w:rPr>
          <w:szCs w:val="22"/>
        </w:rPr>
        <w:t xml:space="preserve">.  </w:t>
      </w:r>
      <w:r w:rsidR="00131840">
        <w:rPr>
          <w:szCs w:val="22"/>
        </w:rPr>
        <w:t xml:space="preserve">The evaluation will address the following </w:t>
      </w:r>
      <w:r w:rsidR="006A33B4">
        <w:rPr>
          <w:szCs w:val="22"/>
        </w:rPr>
        <w:t xml:space="preserve">principal </w:t>
      </w:r>
      <w:r w:rsidR="00131840" w:rsidRPr="001A1213">
        <w:rPr>
          <w:szCs w:val="22"/>
        </w:rPr>
        <w:t xml:space="preserve">research question: </w:t>
      </w:r>
    </w:p>
    <w:p w14:paraId="67F2AB9D" w14:textId="7EC91A4E" w:rsidR="00A43D6A" w:rsidRDefault="00131840" w:rsidP="00A93693">
      <w:pPr>
        <w:pStyle w:val="Bullets"/>
        <w:numPr>
          <w:ilvl w:val="0"/>
          <w:numId w:val="15"/>
        </w:numPr>
      </w:pPr>
      <w:r w:rsidRPr="00645C24">
        <w:t xml:space="preserve">What are the differential impacts of </w:t>
      </w:r>
      <w:r w:rsidR="0066109B">
        <w:t xml:space="preserve">alternative </w:t>
      </w:r>
      <w:r w:rsidRPr="00645C24">
        <w:t xml:space="preserve">TANF JSA </w:t>
      </w:r>
      <w:r w:rsidR="0039437B">
        <w:t>approaches</w:t>
      </w:r>
      <w:r w:rsidRPr="00645C24">
        <w:t xml:space="preserve"> on </w:t>
      </w:r>
      <w:r w:rsidR="0039437B">
        <w:t>short-term</w:t>
      </w:r>
      <w:r w:rsidRPr="00645C24">
        <w:t xml:space="preserve"> employment and earnings outcomes?</w:t>
      </w:r>
    </w:p>
    <w:p w14:paraId="63AE9D52" w14:textId="77777777" w:rsidR="0066109B" w:rsidRPr="00E916FC" w:rsidRDefault="00D652C1" w:rsidP="0066109B">
      <w:pPr>
        <w:spacing w:line="240" w:lineRule="auto"/>
        <w:rPr>
          <w:i/>
          <w:szCs w:val="22"/>
        </w:rPr>
      </w:pPr>
      <w:r>
        <w:rPr>
          <w:szCs w:val="22"/>
        </w:rPr>
        <w:t xml:space="preserve">In addition, </w:t>
      </w:r>
      <w:r w:rsidRPr="00E916FC">
        <w:rPr>
          <w:szCs w:val="22"/>
        </w:rPr>
        <w:t>t</w:t>
      </w:r>
      <w:r w:rsidR="0066109B" w:rsidRPr="00E916FC">
        <w:rPr>
          <w:szCs w:val="22"/>
        </w:rPr>
        <w:t xml:space="preserve">he evaluation will address the following secondary research questions: </w:t>
      </w:r>
    </w:p>
    <w:p w14:paraId="3CD64A3A" w14:textId="7A25CF4A" w:rsidR="00BE67EF" w:rsidRPr="00E916FC" w:rsidRDefault="00131840" w:rsidP="00A93693">
      <w:pPr>
        <w:pStyle w:val="Bullets"/>
        <w:numPr>
          <w:ilvl w:val="0"/>
          <w:numId w:val="15"/>
        </w:numPr>
      </w:pPr>
      <w:r w:rsidRPr="00E916FC">
        <w:t xml:space="preserve">What </w:t>
      </w:r>
      <w:r w:rsidR="0066109B" w:rsidRPr="00E916FC">
        <w:t>are the differential impacts of alternative TANF JSA models on</w:t>
      </w:r>
      <w:r w:rsidRPr="00E916FC">
        <w:t xml:space="preserve">: </w:t>
      </w:r>
      <w:r w:rsidR="00CC3FDE" w:rsidRPr="00E916FC">
        <w:t xml:space="preserve">(a) job quality (including wages, work-related benefits, consistency and predictability of hours); </w:t>
      </w:r>
      <w:r w:rsidRPr="00E916FC">
        <w:t>(</w:t>
      </w:r>
      <w:r w:rsidR="00CC3FDE" w:rsidRPr="00E916FC">
        <w:t>b</w:t>
      </w:r>
      <w:r w:rsidRPr="00E916FC">
        <w:t>) public benefits received; (</w:t>
      </w:r>
      <w:r w:rsidR="0066109B" w:rsidRPr="00E916FC">
        <w:t>c</w:t>
      </w:r>
      <w:r w:rsidRPr="00E916FC">
        <w:t>) family economic well-being; and</w:t>
      </w:r>
      <w:r w:rsidR="00070915" w:rsidRPr="00E916FC">
        <w:t xml:space="preserve"> (</w:t>
      </w:r>
      <w:r w:rsidR="0066109B" w:rsidRPr="00E916FC">
        <w:t>d</w:t>
      </w:r>
      <w:r w:rsidR="00070915" w:rsidRPr="00E916FC">
        <w:t>)</w:t>
      </w:r>
      <w:r w:rsidRPr="00E916FC">
        <w:t xml:space="preserve"> non-economic outcomes (including motivation to search for a job</w:t>
      </w:r>
      <w:r w:rsidR="005D6075" w:rsidRPr="00E916FC">
        <w:t xml:space="preserve"> and psycho-social skills such </w:t>
      </w:r>
      <w:r w:rsidR="0039437B" w:rsidRPr="00E916FC">
        <w:t xml:space="preserve">as </w:t>
      </w:r>
      <w:r w:rsidR="00CC3FDE" w:rsidRPr="00E916FC">
        <w:t>persev</w:t>
      </w:r>
      <w:r w:rsidR="00E916FC">
        <w:t>erance and self-efficacy</w:t>
      </w:r>
      <w:r w:rsidRPr="00E916FC">
        <w:t>)?</w:t>
      </w:r>
    </w:p>
    <w:p w14:paraId="03EA5B15" w14:textId="79E8299A" w:rsidR="0066109B" w:rsidRPr="00E916FC" w:rsidRDefault="0066109B" w:rsidP="00A93693">
      <w:pPr>
        <w:pStyle w:val="Bullets"/>
        <w:numPr>
          <w:ilvl w:val="0"/>
          <w:numId w:val="15"/>
        </w:numPr>
      </w:pPr>
      <w:r w:rsidRPr="00E916FC">
        <w:t xml:space="preserve">What </w:t>
      </w:r>
      <w:r w:rsidR="00044B2D" w:rsidRPr="00E916FC">
        <w:t>components of JSA</w:t>
      </w:r>
      <w:r w:rsidR="0039437B" w:rsidRPr="00E916FC">
        <w:t xml:space="preserve"> services are </w:t>
      </w:r>
      <w:r w:rsidR="00044B2D" w:rsidRPr="00E916FC">
        <w:t>linked to better employment outcomes</w:t>
      </w:r>
      <w:r w:rsidRPr="00E916FC">
        <w:t>?</w:t>
      </w:r>
    </w:p>
    <w:p w14:paraId="50B4D718" w14:textId="77777777" w:rsidR="005D6075" w:rsidRPr="00645C24" w:rsidRDefault="005D6075" w:rsidP="00A93693">
      <w:pPr>
        <w:pStyle w:val="Bullets"/>
        <w:numPr>
          <w:ilvl w:val="0"/>
          <w:numId w:val="15"/>
        </w:numPr>
      </w:pPr>
      <w:r>
        <w:lastRenderedPageBreak/>
        <w:t>What are the job search strategies used by successful job seekers?</w:t>
      </w:r>
    </w:p>
    <w:p w14:paraId="2840FD3C" w14:textId="2E26339C" w:rsidR="00E916FC" w:rsidRDefault="00CA7D7D" w:rsidP="00CA7E40">
      <w:pPr>
        <w:pStyle w:val="BodyText"/>
        <w:rPr>
          <w:iCs/>
        </w:rPr>
      </w:pPr>
      <w:r>
        <w:rPr>
          <w:iCs/>
        </w:rPr>
        <w:t xml:space="preserve">As of the time of this </w:t>
      </w:r>
      <w:r w:rsidR="005B3F42">
        <w:rPr>
          <w:iCs/>
        </w:rPr>
        <w:t>submission in October</w:t>
      </w:r>
      <w:r w:rsidRPr="0075046F">
        <w:rPr>
          <w:iCs/>
        </w:rPr>
        <w:t xml:space="preserve"> 201</w:t>
      </w:r>
      <w:r>
        <w:rPr>
          <w:iCs/>
        </w:rPr>
        <w:t>5</w:t>
      </w:r>
      <w:r w:rsidRPr="0075046F">
        <w:rPr>
          <w:iCs/>
        </w:rPr>
        <w:t>,</w:t>
      </w:r>
      <w:r>
        <w:rPr>
          <w:iCs/>
        </w:rPr>
        <w:t xml:space="preserve"> site selection </w:t>
      </w:r>
      <w:r w:rsidR="006411E6">
        <w:rPr>
          <w:iCs/>
        </w:rPr>
        <w:t>is still underway.  Thus far, one site</w:t>
      </w:r>
      <w:r w:rsidR="00044B2D">
        <w:rPr>
          <w:iCs/>
        </w:rPr>
        <w:t xml:space="preserve"> has started random assignment to the two job search assistance approaches: </w:t>
      </w:r>
      <w:r w:rsidR="006411E6">
        <w:rPr>
          <w:iCs/>
        </w:rPr>
        <w:t xml:space="preserve">the TANF program operated by </w:t>
      </w:r>
      <w:r>
        <w:rPr>
          <w:iCs/>
        </w:rPr>
        <w:t>the Human Resources Administratio</w:t>
      </w:r>
      <w:r w:rsidR="00044B2D">
        <w:rPr>
          <w:iCs/>
        </w:rPr>
        <w:t>n (HRA) in New York, NY</w:t>
      </w:r>
      <w:r w:rsidR="00E916FC">
        <w:rPr>
          <w:iCs/>
        </w:rPr>
        <w:t>.  T</w:t>
      </w:r>
      <w:r w:rsidR="00044B2D">
        <w:rPr>
          <w:iCs/>
        </w:rPr>
        <w:t>h</w:t>
      </w:r>
      <w:r w:rsidR="006411E6">
        <w:rPr>
          <w:iCs/>
        </w:rPr>
        <w:t xml:space="preserve">e study is being conducted in four TANF offices </w:t>
      </w:r>
      <w:r w:rsidR="00E916FC">
        <w:rPr>
          <w:iCs/>
        </w:rPr>
        <w:t xml:space="preserve">across </w:t>
      </w:r>
      <w:r w:rsidR="006411E6">
        <w:rPr>
          <w:iCs/>
        </w:rPr>
        <w:t>Brooklyn and Queens.</w:t>
      </w:r>
      <w:r>
        <w:rPr>
          <w:iCs/>
        </w:rPr>
        <w:t xml:space="preserve">  </w:t>
      </w:r>
      <w:r w:rsidR="00E916FC">
        <w:rPr>
          <w:iCs/>
        </w:rPr>
        <w:t>In this site, cash assistance applicants are randomly assigned to an approach that requires participation in job search classes and activities for 35 hours per week or to one that requires applicants to meet weekly with a staff person who supervises their job search.</w:t>
      </w:r>
    </w:p>
    <w:p w14:paraId="44ACA2D6" w14:textId="04D771CB" w:rsidR="00CA7D7D" w:rsidRDefault="00044B2D" w:rsidP="00CA7E40">
      <w:pPr>
        <w:pStyle w:val="BodyText"/>
        <w:rPr>
          <w:iCs/>
        </w:rPr>
      </w:pPr>
      <w:r>
        <w:rPr>
          <w:iCs/>
        </w:rPr>
        <w:t xml:space="preserve">The research team is </w:t>
      </w:r>
      <w:r w:rsidR="00CA7D7D">
        <w:rPr>
          <w:iCs/>
        </w:rPr>
        <w:t xml:space="preserve">currently </w:t>
      </w:r>
      <w:r w:rsidR="00CA7D7D" w:rsidRPr="00CC1838">
        <w:rPr>
          <w:iCs/>
        </w:rPr>
        <w:t xml:space="preserve">working with </w:t>
      </w:r>
      <w:r w:rsidR="00CA7D7D">
        <w:rPr>
          <w:iCs/>
        </w:rPr>
        <w:t>four</w:t>
      </w:r>
      <w:r w:rsidR="00CA7D7D" w:rsidRPr="00CC1838">
        <w:rPr>
          <w:iCs/>
        </w:rPr>
        <w:t xml:space="preserve"> </w:t>
      </w:r>
      <w:r w:rsidR="00CA7D7D">
        <w:rPr>
          <w:iCs/>
        </w:rPr>
        <w:t xml:space="preserve">other </w:t>
      </w:r>
      <w:r w:rsidR="00CA7D7D" w:rsidRPr="00CC1838">
        <w:rPr>
          <w:iCs/>
        </w:rPr>
        <w:t>localities</w:t>
      </w:r>
      <w:r w:rsidR="00CA7D7D">
        <w:rPr>
          <w:iCs/>
        </w:rPr>
        <w:t xml:space="preserve"> to </w:t>
      </w:r>
      <w:r w:rsidR="00CA7E40">
        <w:rPr>
          <w:iCs/>
        </w:rPr>
        <w:t>develop the evaluation</w:t>
      </w:r>
      <w:r w:rsidR="00CA7D7D" w:rsidRPr="00CC1838">
        <w:rPr>
          <w:iCs/>
        </w:rPr>
        <w:t xml:space="preserve"> </w:t>
      </w:r>
      <w:r>
        <w:rPr>
          <w:iCs/>
        </w:rPr>
        <w:t xml:space="preserve">design </w:t>
      </w:r>
      <w:r w:rsidR="00CA7D7D" w:rsidRPr="00CC1838">
        <w:rPr>
          <w:iCs/>
        </w:rPr>
        <w:t xml:space="preserve">including </w:t>
      </w:r>
      <w:r w:rsidR="00CA7E40">
        <w:rPr>
          <w:iCs/>
        </w:rPr>
        <w:t>Sacramento County,</w:t>
      </w:r>
      <w:r w:rsidR="006411E6" w:rsidRPr="00CC1838">
        <w:rPr>
          <w:iCs/>
        </w:rPr>
        <w:t xml:space="preserve"> CA</w:t>
      </w:r>
      <w:r w:rsidR="00CA7E40">
        <w:rPr>
          <w:iCs/>
        </w:rPr>
        <w:t>;</w:t>
      </w:r>
      <w:r w:rsidR="006411E6" w:rsidRPr="00CC1838">
        <w:rPr>
          <w:iCs/>
        </w:rPr>
        <w:t xml:space="preserve"> </w:t>
      </w:r>
      <w:r w:rsidR="00CA7D7D" w:rsidRPr="00CC1838">
        <w:rPr>
          <w:iCs/>
        </w:rPr>
        <w:t xml:space="preserve">Ramsey County, MN; </w:t>
      </w:r>
      <w:r w:rsidR="00CA7E40">
        <w:rPr>
          <w:iCs/>
        </w:rPr>
        <w:t>Genesee and Way</w:t>
      </w:r>
      <w:r>
        <w:rPr>
          <w:iCs/>
        </w:rPr>
        <w:t>ne</w:t>
      </w:r>
      <w:r w:rsidR="00CA7E40">
        <w:rPr>
          <w:iCs/>
        </w:rPr>
        <w:t xml:space="preserve"> Count</w:t>
      </w:r>
      <w:r w:rsidR="008E4289">
        <w:rPr>
          <w:iCs/>
        </w:rPr>
        <w:t>ies</w:t>
      </w:r>
      <w:r w:rsidR="00CA7E40">
        <w:rPr>
          <w:iCs/>
        </w:rPr>
        <w:t xml:space="preserve">, </w:t>
      </w:r>
      <w:r>
        <w:rPr>
          <w:iCs/>
        </w:rPr>
        <w:t>MI</w:t>
      </w:r>
      <w:r w:rsidR="00CA7E40" w:rsidRPr="00CC1838">
        <w:rPr>
          <w:iCs/>
        </w:rPr>
        <w:t xml:space="preserve">; </w:t>
      </w:r>
      <w:r w:rsidR="00CA7E40">
        <w:rPr>
          <w:iCs/>
        </w:rPr>
        <w:t xml:space="preserve">and </w:t>
      </w:r>
      <w:r w:rsidR="00CA7D7D" w:rsidRPr="00CC1838">
        <w:rPr>
          <w:iCs/>
        </w:rPr>
        <w:t xml:space="preserve">Westchester </w:t>
      </w:r>
      <w:r w:rsidR="006411E6">
        <w:rPr>
          <w:iCs/>
        </w:rPr>
        <w:t xml:space="preserve">County, NY.  </w:t>
      </w:r>
      <w:r w:rsidR="00FC7C2C">
        <w:rPr>
          <w:iCs/>
        </w:rPr>
        <w:t xml:space="preserve">We </w:t>
      </w:r>
      <w:r>
        <w:rPr>
          <w:iCs/>
        </w:rPr>
        <w:t xml:space="preserve">expect that </w:t>
      </w:r>
      <w:r w:rsidR="00E512B4">
        <w:rPr>
          <w:iCs/>
        </w:rPr>
        <w:t xml:space="preserve">most of </w:t>
      </w:r>
      <w:r>
        <w:rPr>
          <w:iCs/>
        </w:rPr>
        <w:t>these sites will st</w:t>
      </w:r>
      <w:r w:rsidR="00FC7C2C">
        <w:rPr>
          <w:iCs/>
        </w:rPr>
        <w:t xml:space="preserve">art random assignment in </w:t>
      </w:r>
      <w:r w:rsidR="00CC3FDE">
        <w:rPr>
          <w:iCs/>
        </w:rPr>
        <w:t xml:space="preserve">early </w:t>
      </w:r>
      <w:r w:rsidR="00FC7C2C">
        <w:rPr>
          <w:iCs/>
        </w:rPr>
        <w:t>2016</w:t>
      </w:r>
      <w:r w:rsidR="002E3BE3">
        <w:rPr>
          <w:iCs/>
        </w:rPr>
        <w:t>,</w:t>
      </w:r>
      <w:r w:rsidR="00FC7C2C">
        <w:rPr>
          <w:iCs/>
        </w:rPr>
        <w:t xml:space="preserve"> and that </w:t>
      </w:r>
      <w:r w:rsidR="00707C70">
        <w:rPr>
          <w:iCs/>
        </w:rPr>
        <w:t>random assignment will</w:t>
      </w:r>
      <w:r w:rsidR="006411E6">
        <w:rPr>
          <w:iCs/>
        </w:rPr>
        <w:t xml:space="preserve"> last for a period of 12 months in each site.</w:t>
      </w:r>
    </w:p>
    <w:p w14:paraId="33DF536A" w14:textId="58353403" w:rsidR="004B145A" w:rsidRPr="00A12F3B" w:rsidRDefault="00FC7C2C" w:rsidP="00247B12">
      <w:r>
        <w:t xml:space="preserve">The </w:t>
      </w:r>
      <w:r w:rsidR="00707C70">
        <w:t>follow-up survey is an important data source for</w:t>
      </w:r>
      <w:r>
        <w:t xml:space="preserve"> both the impact and the implementation study.  </w:t>
      </w:r>
      <w:r w:rsidR="00247B12">
        <w:t xml:space="preserve">For the impact study, the evaluation will also collect administrative data on employment and earnings from the NDNH and on TANF </w:t>
      </w:r>
      <w:r w:rsidR="000A493D">
        <w:t xml:space="preserve">and the Supplemental Nutrition Assistance Program (SNAP) </w:t>
      </w:r>
      <w:r w:rsidR="00247B12">
        <w:t xml:space="preserve">benefit receipt from the state and local TANF agencies that participate in the evaluation.  </w:t>
      </w:r>
      <w:r w:rsidR="005978D6">
        <w:t xml:space="preserve">The role of the </w:t>
      </w:r>
      <w:r w:rsidR="00A12F3B">
        <w:t xml:space="preserve">follow-up </w:t>
      </w:r>
      <w:r w:rsidR="005978D6">
        <w:t>survey in the impact study will b</w:t>
      </w:r>
      <w:r w:rsidR="00CA7E40">
        <w:t>e to measure outcomes</w:t>
      </w:r>
      <w:r w:rsidR="005978D6">
        <w:t xml:space="preserve"> that cannot</w:t>
      </w:r>
      <w:r>
        <w:t xml:space="preserve"> be</w:t>
      </w:r>
      <w:r w:rsidR="00CC3FDE">
        <w:t xml:space="preserve"> </w:t>
      </w:r>
      <w:r>
        <w:t xml:space="preserve">measured </w:t>
      </w:r>
      <w:r w:rsidR="00247B12">
        <w:t>with these data</w:t>
      </w:r>
      <w:r w:rsidR="00707C70">
        <w:t>.  This include</w:t>
      </w:r>
      <w:r w:rsidR="008E4289">
        <w:t>s</w:t>
      </w:r>
      <w:r w:rsidR="00707C70">
        <w:t xml:space="preserve">: </w:t>
      </w:r>
      <w:r>
        <w:t xml:space="preserve"> </w:t>
      </w:r>
      <w:r w:rsidR="00247B12">
        <w:t>(1) j</w:t>
      </w:r>
      <w:r w:rsidR="00CC3FDE">
        <w:t>ob characteristics including wages and benefits</w:t>
      </w:r>
      <w:r w:rsidR="00CC3FDE" w:rsidRPr="00A12F3B">
        <w:t xml:space="preserve"> (for those with current/recent employment)</w:t>
      </w:r>
      <w:r w:rsidR="00247B12">
        <w:t>; (2) p</w:t>
      </w:r>
      <w:r w:rsidR="00CC3FDE" w:rsidRPr="00CC3FDE">
        <w:t>ubli</w:t>
      </w:r>
      <w:r w:rsidR="00CC3FDE">
        <w:t>c benefit receipt beyond TANF</w:t>
      </w:r>
      <w:r w:rsidR="000A493D">
        <w:t xml:space="preserve"> and SNAP</w:t>
      </w:r>
      <w:r w:rsidR="00247B12">
        <w:t>; (3) j</w:t>
      </w:r>
      <w:r w:rsidR="00CC3FDE">
        <w:t>ob search</w:t>
      </w:r>
      <w:r w:rsidR="00247B12">
        <w:t>-related</w:t>
      </w:r>
      <w:r w:rsidR="00CC3FDE">
        <w:t xml:space="preserve"> skills</w:t>
      </w:r>
      <w:r w:rsidR="00247B12">
        <w:t xml:space="preserve"> such </w:t>
      </w:r>
      <w:r w:rsidR="00E512B4">
        <w:t xml:space="preserve">as </w:t>
      </w:r>
      <w:r w:rsidR="00247B12">
        <w:t>persever</w:t>
      </w:r>
      <w:r w:rsidR="000A493D">
        <w:t>a</w:t>
      </w:r>
      <w:r w:rsidR="00247B12">
        <w:t xml:space="preserve">nce and </w:t>
      </w:r>
      <w:r w:rsidR="000A493D">
        <w:t>self-efficacy</w:t>
      </w:r>
      <w:r w:rsidR="00247B12">
        <w:t>, (4) a</w:t>
      </w:r>
      <w:r>
        <w:t>ttitudes</w:t>
      </w:r>
      <w:r w:rsidR="00803703">
        <w:t xml:space="preserve"> </w:t>
      </w:r>
      <w:r w:rsidR="00247B12">
        <w:t xml:space="preserve">towards </w:t>
      </w:r>
      <w:r w:rsidR="00803703">
        <w:t>employment</w:t>
      </w:r>
      <w:r w:rsidR="00317B59" w:rsidRPr="00A12F3B">
        <w:t xml:space="preserve"> (including reservation wage and attitudes about job search)</w:t>
      </w:r>
      <w:r w:rsidR="00247B12">
        <w:t xml:space="preserve">; (5) </w:t>
      </w:r>
      <w:r w:rsidR="000A493D">
        <w:t>factors that affect the ability to work</w:t>
      </w:r>
      <w:r w:rsidR="00247B12">
        <w:t xml:space="preserve">; </w:t>
      </w:r>
      <w:r w:rsidR="000A493D">
        <w:t xml:space="preserve">and </w:t>
      </w:r>
      <w:r w:rsidR="00247B12">
        <w:t>(6) h</w:t>
      </w:r>
      <w:r w:rsidR="004B145A" w:rsidRPr="00A12F3B">
        <w:t>ousehold income</w:t>
      </w:r>
      <w:r w:rsidR="00247B12">
        <w:t>.</w:t>
      </w:r>
    </w:p>
    <w:p w14:paraId="4C88DC6C" w14:textId="55EE07A6" w:rsidR="00EF0D58" w:rsidRPr="00247B12" w:rsidRDefault="00803703" w:rsidP="00247B12">
      <w:r>
        <w:t>For the implementation study, the</w:t>
      </w:r>
      <w:r w:rsidR="00573122">
        <w:t xml:space="preserve"> </w:t>
      </w:r>
      <w:r w:rsidR="004B145A">
        <w:t xml:space="preserve">survey </w:t>
      </w:r>
      <w:r w:rsidR="00A12F3B">
        <w:t>will supplement qualitative data from site vis</w:t>
      </w:r>
      <w:r w:rsidR="00CA7E40">
        <w:t>its with</w:t>
      </w:r>
      <w:r w:rsidR="00A12F3B">
        <w:t xml:space="preserve"> data on receipt </w:t>
      </w:r>
      <w:r w:rsidR="00CA7E40">
        <w:t xml:space="preserve">and use </w:t>
      </w:r>
      <w:r w:rsidR="00A12F3B">
        <w:t>of JSA services</w:t>
      </w:r>
      <w:r w:rsidR="00CA7E40">
        <w:t xml:space="preserve"> as recalled by study sample members</w:t>
      </w:r>
      <w:r w:rsidR="004B145A">
        <w:t xml:space="preserve">.  In addition to allowing </w:t>
      </w:r>
      <w:r w:rsidR="00A12F3B">
        <w:t>researchers</w:t>
      </w:r>
      <w:r w:rsidR="004B145A">
        <w:t xml:space="preserve"> to measure the fidelity of th</w:t>
      </w:r>
      <w:r w:rsidR="00CA7E40">
        <w:t>e JSA services to the JSA approaches</w:t>
      </w:r>
      <w:r w:rsidR="004B145A">
        <w:t>, this wil</w:t>
      </w:r>
      <w:r w:rsidR="00FC7C2C">
        <w:t xml:space="preserve">l allow us </w:t>
      </w:r>
      <w:r w:rsidR="00DB3455">
        <w:t xml:space="preserve">to </w:t>
      </w:r>
      <w:r w:rsidR="00FC7C2C">
        <w:t xml:space="preserve">document the strategies that lead to a successful job search </w:t>
      </w:r>
      <w:r>
        <w:t xml:space="preserve">and </w:t>
      </w:r>
      <w:r w:rsidR="00247B12">
        <w:t>potentially identify</w:t>
      </w:r>
      <w:r w:rsidR="004B145A">
        <w:t xml:space="preserve"> services and activities</w:t>
      </w:r>
      <w:r w:rsidR="00247B12">
        <w:t xml:space="preserve"> that are linked to better outcomes</w:t>
      </w:r>
      <w:r w:rsidR="004B145A">
        <w:t xml:space="preserve">.  </w:t>
      </w:r>
      <w:r>
        <w:t>Survey-based measures for this analysis</w:t>
      </w:r>
      <w:r w:rsidR="004B145A">
        <w:t xml:space="preserve"> include:</w:t>
      </w:r>
      <w:r w:rsidR="00247B12">
        <w:t xml:space="preserve"> (</w:t>
      </w:r>
      <w:r w:rsidR="00247B12" w:rsidRPr="00247B12">
        <w:t>1) t</w:t>
      </w:r>
      <w:r w:rsidR="00CA7E40" w:rsidRPr="00247B12">
        <w:t>ypes and frequency</w:t>
      </w:r>
      <w:r w:rsidR="004B145A" w:rsidRPr="00247B12">
        <w:t xml:space="preserve"> of services received in group instruction on job search p</w:t>
      </w:r>
      <w:r w:rsidR="00CA7E40" w:rsidRPr="00247B12">
        <w:t>rovided by the TANF program</w:t>
      </w:r>
      <w:r w:rsidR="00247B12" w:rsidRPr="00247B12">
        <w:t>; (2) t</w:t>
      </w:r>
      <w:r w:rsidR="00CA7E40" w:rsidRPr="00247B12">
        <w:t>ypes and frequency</w:t>
      </w:r>
      <w:r w:rsidR="004B145A" w:rsidRPr="00247B12">
        <w:t xml:space="preserve"> of services received in one-on-one instruction on job search p</w:t>
      </w:r>
      <w:r w:rsidR="00CA7E40" w:rsidRPr="00247B12">
        <w:t>rovided by the TANF program</w:t>
      </w:r>
      <w:r w:rsidR="00247B12" w:rsidRPr="00247B12">
        <w:t>; (3) u</w:t>
      </w:r>
      <w:r w:rsidR="00EF0D58" w:rsidRPr="00247B12">
        <w:t>se of on-line job search tools</w:t>
      </w:r>
      <w:r w:rsidR="00247B12" w:rsidRPr="00247B12">
        <w:t>; (4) r</w:t>
      </w:r>
      <w:r w:rsidR="00EF0D58" w:rsidRPr="00247B12">
        <w:t>eceipt of</w:t>
      </w:r>
      <w:r w:rsidR="00247B12" w:rsidRPr="00247B12">
        <w:t xml:space="preserve"> support</w:t>
      </w:r>
      <w:r w:rsidR="00EF0D58" w:rsidRPr="00247B12">
        <w:t xml:space="preserve"> services to support job search such as child care</w:t>
      </w:r>
      <w:r w:rsidR="00247B12" w:rsidRPr="00247B12">
        <w:t>; and (5) job search activities undertaken</w:t>
      </w:r>
      <w:r w:rsidR="00EF0D58" w:rsidRPr="00247B12">
        <w:t xml:space="preserve"> in last successful job search</w:t>
      </w:r>
      <w:r w:rsidR="00247B12" w:rsidRPr="00247B12">
        <w:t>.</w:t>
      </w:r>
    </w:p>
    <w:p w14:paraId="5CA4BEA9" w14:textId="77777777" w:rsidR="00105B32" w:rsidRPr="00EC0454" w:rsidRDefault="00105B32" w:rsidP="00105B32">
      <w:pPr>
        <w:pStyle w:val="Heading3"/>
        <w:spacing w:before="120"/>
      </w:pPr>
      <w:r w:rsidRPr="00EC0454">
        <w:t>A.1.2</w:t>
      </w:r>
      <w:r w:rsidRPr="00EC0454">
        <w:tab/>
        <w:t>Legal or Administrative Requirements that Necessitate the Collection</w:t>
      </w:r>
    </w:p>
    <w:p w14:paraId="37334165" w14:textId="77777777" w:rsidR="00105B32" w:rsidRDefault="00105B32" w:rsidP="005A2113">
      <w:pPr>
        <w:pStyle w:val="BodyText"/>
      </w:pPr>
      <w:r>
        <w:t>There are no legal or administrative requirements that necessitate the collection.</w:t>
      </w:r>
    </w:p>
    <w:p w14:paraId="44609E07" w14:textId="77777777" w:rsidR="00A25320" w:rsidRDefault="00A25320" w:rsidP="00A25320">
      <w:pPr>
        <w:pStyle w:val="Heading3"/>
        <w:spacing w:before="120"/>
      </w:pPr>
      <w:r>
        <w:t xml:space="preserve">A.1.3 </w:t>
      </w:r>
      <w:r>
        <w:tab/>
        <w:t>Overview of Data Collection</w:t>
      </w:r>
    </w:p>
    <w:p w14:paraId="499B4051" w14:textId="68F5CC80" w:rsidR="0070291B" w:rsidRDefault="00DE3279" w:rsidP="005A2113">
      <w:pPr>
        <w:pStyle w:val="BodyText"/>
      </w:pPr>
      <w:r>
        <w:t xml:space="preserve">The success of the six-month follow-up survey is contingent upon strong respondent connection to the study and </w:t>
      </w:r>
      <w:r w:rsidR="002454BD">
        <w:t xml:space="preserve">accurate </w:t>
      </w:r>
      <w:r>
        <w:t xml:space="preserve">contact information.  </w:t>
      </w:r>
      <w:r w:rsidR="002454BD" w:rsidRPr="00FC7C2C">
        <w:t>These activities are particularly important given that cash assistance recipients have hi</w:t>
      </w:r>
      <w:r w:rsidR="00FC7C2C" w:rsidRPr="00FC7C2C">
        <w:t>storically been a hard-to-reach population in other similar survey efforts</w:t>
      </w:r>
      <w:r w:rsidR="002454BD" w:rsidRPr="00FC7C2C">
        <w:t>.</w:t>
      </w:r>
      <w:r w:rsidR="002454BD">
        <w:t xml:space="preserve"> To facilitate these outcomes, </w:t>
      </w:r>
      <w:r w:rsidR="00FC7C2C">
        <w:t>t</w:t>
      </w:r>
      <w:r>
        <w:t xml:space="preserve">he study </w:t>
      </w:r>
      <w:r w:rsidR="00001BEF">
        <w:t xml:space="preserve">includes </w:t>
      </w:r>
      <w:r w:rsidR="00955A8F">
        <w:t xml:space="preserve">a series of </w:t>
      </w:r>
      <w:r w:rsidR="009F2450">
        <w:t>monthly contacts with study participants that begin shortly after random assignment and continue until shortly before the six-month follow-up survey.  Accordingly, w</w:t>
      </w:r>
      <w:r w:rsidR="009F2450" w:rsidRPr="00A25320">
        <w:t xml:space="preserve">e </w:t>
      </w:r>
      <w:r w:rsidR="009F2450">
        <w:t xml:space="preserve">request </w:t>
      </w:r>
      <w:r w:rsidR="00A25320" w:rsidRPr="00A25320">
        <w:t xml:space="preserve">approval for </w:t>
      </w:r>
      <w:r w:rsidR="00A25320">
        <w:t>three</w:t>
      </w:r>
      <w:r w:rsidR="00A25320" w:rsidRPr="00A25320">
        <w:t xml:space="preserve"> data collection activities:  </w:t>
      </w:r>
    </w:p>
    <w:p w14:paraId="63FF5218" w14:textId="0194B2D6" w:rsidR="009B7FC2" w:rsidRDefault="00564BAB" w:rsidP="00A93693">
      <w:pPr>
        <w:pStyle w:val="Bullets"/>
        <w:numPr>
          <w:ilvl w:val="0"/>
          <w:numId w:val="16"/>
        </w:numPr>
      </w:pPr>
      <w:r>
        <w:rPr>
          <w:b/>
        </w:rPr>
        <w:t>Contact update form</w:t>
      </w:r>
      <w:r w:rsidR="0070291B" w:rsidRPr="00CB241F">
        <w:rPr>
          <w:b/>
        </w:rPr>
        <w:t xml:space="preserve"> </w:t>
      </w:r>
      <w:r w:rsidR="0070291B" w:rsidRPr="00A93693">
        <w:t>(</w:t>
      </w:r>
      <w:r w:rsidR="002273F4">
        <w:t>Attachment</w:t>
      </w:r>
      <w:r w:rsidR="002273F4" w:rsidRPr="00A93693">
        <w:t xml:space="preserve"> </w:t>
      </w:r>
      <w:r w:rsidR="009B7FC2" w:rsidRPr="00A93693">
        <w:t>A</w:t>
      </w:r>
      <w:r w:rsidR="0070291B" w:rsidRPr="00A93693">
        <w:t>)</w:t>
      </w:r>
      <w:r w:rsidR="0070291B" w:rsidRPr="00CB241F">
        <w:rPr>
          <w:b/>
        </w:rPr>
        <w:t xml:space="preserve">.  </w:t>
      </w:r>
      <w:r w:rsidR="0070291B">
        <w:t xml:space="preserve">The </w:t>
      </w:r>
      <w:r>
        <w:t>contact update form</w:t>
      </w:r>
      <w:r w:rsidR="005A4837">
        <w:t xml:space="preserve"> will </w:t>
      </w:r>
      <w:r w:rsidR="005A4837" w:rsidRPr="00771F77">
        <w:t>enable the</w:t>
      </w:r>
      <w:r w:rsidR="005A4837">
        <w:t xml:space="preserve"> research</w:t>
      </w:r>
      <w:r w:rsidR="005A4837" w:rsidRPr="00771F77">
        <w:t xml:space="preserve"> team to</w:t>
      </w:r>
      <w:r w:rsidR="005A4837">
        <w:t>:</w:t>
      </w:r>
      <w:r w:rsidR="005A4837" w:rsidRPr="00771F77">
        <w:t xml:space="preserve"> </w:t>
      </w:r>
      <w:r w:rsidR="005A4837">
        <w:t>(1) confirm or update</w:t>
      </w:r>
      <w:r w:rsidR="005A4837" w:rsidRPr="00771F77">
        <w:t xml:space="preserve"> </w:t>
      </w:r>
      <w:r w:rsidR="0045312E">
        <w:t>sample member</w:t>
      </w:r>
      <w:r w:rsidR="005A4837">
        <w:t xml:space="preserve"> </w:t>
      </w:r>
      <w:r w:rsidR="005A4837" w:rsidRPr="00771F77">
        <w:t>contact information</w:t>
      </w:r>
      <w:r w:rsidR="00001BEF">
        <w:t xml:space="preserve">; </w:t>
      </w:r>
      <w:r w:rsidR="002E3BE3">
        <w:t>(</w:t>
      </w:r>
      <w:r w:rsidR="00001BEF">
        <w:t xml:space="preserve">2) confirm existing contact information for alternative contact persons; and </w:t>
      </w:r>
      <w:r w:rsidR="002E3BE3">
        <w:t>(</w:t>
      </w:r>
      <w:r w:rsidR="00001BEF">
        <w:t xml:space="preserve">3) capture contact information for a new alternative contact person if </w:t>
      </w:r>
      <w:r w:rsidR="00001BEF">
        <w:lastRenderedPageBreak/>
        <w:t>needed</w:t>
      </w:r>
      <w:r w:rsidR="005765BF">
        <w:t>.</w:t>
      </w:r>
      <w:r w:rsidR="005765BF" w:rsidRPr="00771F77">
        <w:t xml:space="preserve">  </w:t>
      </w:r>
      <w:r w:rsidR="0070291B">
        <w:t>It</w:t>
      </w:r>
      <w:r w:rsidR="005A4837">
        <w:t xml:space="preserve"> is comparable to contact update forms used in prior ACF evaluations</w:t>
      </w:r>
      <w:r w:rsidR="00BF37E9">
        <w:t>, notably</w:t>
      </w:r>
      <w:r>
        <w:t xml:space="preserve"> the Pathways for Advancing Careers and Education (PACE) Evaluation</w:t>
      </w:r>
      <w:r w:rsidR="00891ACF">
        <w:t xml:space="preserve"> (OMB # 0970-0397)</w:t>
      </w:r>
      <w:r>
        <w:t>, the Health Professions Opportunity Grants (HPOG) Impact Evaluation</w:t>
      </w:r>
      <w:r w:rsidR="00891ACF">
        <w:t xml:space="preserve"> (OMB # 0970-0394)</w:t>
      </w:r>
      <w:r>
        <w:t xml:space="preserve">, and the Career Pathways Intermediate Outcomes </w:t>
      </w:r>
      <w:r w:rsidR="008E4289">
        <w:t>(</w:t>
      </w:r>
      <w:r w:rsidR="00BF37E9">
        <w:t>CPIO</w:t>
      </w:r>
      <w:r w:rsidR="008E4289">
        <w:t>)</w:t>
      </w:r>
      <w:r>
        <w:t xml:space="preserve"> study</w:t>
      </w:r>
      <w:r w:rsidR="006C684B">
        <w:t xml:space="preserve"> (OMB # 0970-0394 and 0970-0397)</w:t>
      </w:r>
      <w:r w:rsidR="00824791">
        <w:t xml:space="preserve">.  </w:t>
      </w:r>
      <w:r w:rsidR="005765BF">
        <w:t xml:space="preserve">The contact update form will be part of the welcome packet study participants receive after enrollment. </w:t>
      </w:r>
      <w:r w:rsidR="00001BEF">
        <w:t xml:space="preserve"> </w:t>
      </w:r>
      <w:r w:rsidR="005765BF">
        <w:t xml:space="preserve"> </w:t>
      </w:r>
    </w:p>
    <w:p w14:paraId="54FD476C" w14:textId="4C0D48C6" w:rsidR="0070291B" w:rsidRDefault="00DA56E5" w:rsidP="00A93693">
      <w:pPr>
        <w:pStyle w:val="Bullets"/>
        <w:numPr>
          <w:ilvl w:val="0"/>
          <w:numId w:val="16"/>
        </w:numPr>
      </w:pPr>
      <w:r>
        <w:rPr>
          <w:b/>
        </w:rPr>
        <w:t>Interim surveys</w:t>
      </w:r>
      <w:r w:rsidR="00CB241F" w:rsidRPr="00CB241F">
        <w:rPr>
          <w:b/>
        </w:rPr>
        <w:t xml:space="preserve"> </w:t>
      </w:r>
      <w:r w:rsidR="00CB241F" w:rsidRPr="00A93693">
        <w:t>(</w:t>
      </w:r>
      <w:r w:rsidR="002273F4">
        <w:t>Attachment</w:t>
      </w:r>
      <w:r w:rsidR="002273F4" w:rsidRPr="00A93693">
        <w:t xml:space="preserve"> </w:t>
      </w:r>
      <w:r w:rsidR="009856D1" w:rsidRPr="00A93693">
        <w:t>B)</w:t>
      </w:r>
      <w:r w:rsidR="0070291B" w:rsidRPr="0045312E">
        <w:rPr>
          <w:b/>
        </w:rPr>
        <w:t>.</w:t>
      </w:r>
      <w:r w:rsidR="0070291B" w:rsidRPr="0045312E">
        <w:t xml:space="preserve">  </w:t>
      </w:r>
      <w:r w:rsidR="0045312E" w:rsidRPr="0045312E">
        <w:t>As described below, sample members</w:t>
      </w:r>
      <w:r w:rsidR="00824791" w:rsidRPr="0045312E">
        <w:t xml:space="preserve"> will </w:t>
      </w:r>
      <w:r w:rsidR="00A60C9E" w:rsidRPr="0045312E">
        <w:t xml:space="preserve">receive an </w:t>
      </w:r>
      <w:r w:rsidR="00824791" w:rsidRPr="0045312E">
        <w:t>invit</w:t>
      </w:r>
      <w:r w:rsidR="00A60C9E" w:rsidRPr="0045312E">
        <w:t xml:space="preserve">ation to </w:t>
      </w:r>
      <w:r w:rsidR="00824791" w:rsidRPr="0045312E">
        <w:t>complete an interim survey on a monthly basis</w:t>
      </w:r>
      <w:r w:rsidR="005765BF" w:rsidRPr="0045312E">
        <w:t>.</w:t>
      </w:r>
      <w:r w:rsidR="005765BF">
        <w:t xml:space="preserve">  </w:t>
      </w:r>
      <w:r w:rsidR="00824791">
        <w:t xml:space="preserve">The interim surveys </w:t>
      </w:r>
      <w:r w:rsidR="001D695E">
        <w:t xml:space="preserve">will </w:t>
      </w:r>
      <w:r w:rsidR="00824791">
        <w:t>capture</w:t>
      </w:r>
      <w:r>
        <w:t xml:space="preserve"> important data </w:t>
      </w:r>
      <w:r w:rsidR="00824791">
        <w:t xml:space="preserve">about current employment and </w:t>
      </w:r>
      <w:r w:rsidR="00955A8F">
        <w:t>JSA service receipt</w:t>
      </w:r>
      <w:r>
        <w:t xml:space="preserve"> </w:t>
      </w:r>
      <w:r w:rsidR="00CA0DAA">
        <w:t xml:space="preserve">between the point of </w:t>
      </w:r>
      <w:r w:rsidR="008F26A5">
        <w:t>enrollment</w:t>
      </w:r>
      <w:r w:rsidR="00CA0DAA">
        <w:t xml:space="preserve"> and administration of </w:t>
      </w:r>
      <w:r w:rsidR="00824791">
        <w:t>the six</w:t>
      </w:r>
      <w:r w:rsidR="001D695E">
        <w:t>-</w:t>
      </w:r>
      <w:r w:rsidR="00824791">
        <w:t xml:space="preserve">month follow-up </w:t>
      </w:r>
      <w:r w:rsidR="00CA0DAA">
        <w:t>survey</w:t>
      </w:r>
      <w:r w:rsidR="00824791">
        <w:t>.</w:t>
      </w:r>
      <w:r w:rsidR="00A60C9E">
        <w:t xml:space="preserve"> </w:t>
      </w:r>
      <w:r w:rsidR="001D695E">
        <w:t xml:space="preserve"> </w:t>
      </w:r>
      <w:r w:rsidR="00A60C9E">
        <w:t xml:space="preserve">Interim survey </w:t>
      </w:r>
      <w:r w:rsidR="001D695E">
        <w:t xml:space="preserve">administration will </w:t>
      </w:r>
      <w:r w:rsidR="00761A8A">
        <w:t xml:space="preserve">be multi-modal.  For those who give consent to receive text messages from the study, the administration will </w:t>
      </w:r>
      <w:r w:rsidR="001D695E">
        <w:t>occur</w:t>
      </w:r>
      <w:r w:rsidR="00A60C9E">
        <w:t xml:space="preserve"> </w:t>
      </w:r>
      <w:r w:rsidR="0045312E">
        <w:t xml:space="preserve">on a monthly basis </w:t>
      </w:r>
      <w:r w:rsidR="00A60C9E">
        <w:t>via SMS text messaging.</w:t>
      </w:r>
      <w:r w:rsidR="00573122">
        <w:rPr>
          <w:rStyle w:val="FootnoteReference"/>
        </w:rPr>
        <w:footnoteReference w:id="4"/>
      </w:r>
      <w:r w:rsidR="00A60C9E">
        <w:t xml:space="preserve">  </w:t>
      </w:r>
      <w:r w:rsidR="00803703">
        <w:t>O</w:t>
      </w:r>
      <w:r w:rsidR="00761A8A">
        <w:t>thers</w:t>
      </w:r>
      <w:r w:rsidR="009C53E9">
        <w:t xml:space="preserve"> </w:t>
      </w:r>
      <w:r w:rsidR="0045312E">
        <w:t xml:space="preserve">will be </w:t>
      </w:r>
      <w:r w:rsidR="00761A8A">
        <w:t>invited by</w:t>
      </w:r>
      <w:r w:rsidR="00F66DD5">
        <w:t xml:space="preserve"> </w:t>
      </w:r>
      <w:r w:rsidR="00761A8A">
        <w:t>email</w:t>
      </w:r>
      <w:r w:rsidR="00803703">
        <w:t xml:space="preserve"> each month</w:t>
      </w:r>
      <w:r w:rsidR="009C53E9">
        <w:t xml:space="preserve"> </w:t>
      </w:r>
      <w:r w:rsidR="00803703">
        <w:t>to complete an on-line version of the survey</w:t>
      </w:r>
      <w:r w:rsidR="00761A8A">
        <w:t xml:space="preserve">.  </w:t>
      </w:r>
      <w:r w:rsidR="001D695E">
        <w:t xml:space="preserve">Participants will receive $2 as a token of appreciation for their time spent participating </w:t>
      </w:r>
      <w:r w:rsidR="00CA0DAA">
        <w:t xml:space="preserve">in </w:t>
      </w:r>
      <w:r w:rsidR="001D695E">
        <w:t>each wave of the interim survey.</w:t>
      </w:r>
    </w:p>
    <w:p w14:paraId="13A9D8DF" w14:textId="4CFC7159" w:rsidR="0067207F" w:rsidRDefault="004A2427" w:rsidP="00A93693">
      <w:pPr>
        <w:pStyle w:val="ListParagraph"/>
        <w:numPr>
          <w:ilvl w:val="0"/>
          <w:numId w:val="16"/>
        </w:numPr>
        <w:spacing w:after="0"/>
        <w:rPr>
          <w:rFonts w:ascii="Times New Roman" w:hAnsi="Times New Roman"/>
        </w:rPr>
      </w:pPr>
      <w:r>
        <w:rPr>
          <w:rFonts w:ascii="Times New Roman" w:hAnsi="Times New Roman"/>
          <w:b/>
        </w:rPr>
        <w:t>Six-month f</w:t>
      </w:r>
      <w:r w:rsidR="009960DE" w:rsidRPr="0067207F">
        <w:rPr>
          <w:rFonts w:ascii="Times New Roman" w:hAnsi="Times New Roman"/>
          <w:b/>
        </w:rPr>
        <w:t>ollow-up</w:t>
      </w:r>
      <w:r w:rsidR="009856D1" w:rsidRPr="0067207F">
        <w:rPr>
          <w:rFonts w:ascii="Times New Roman" w:hAnsi="Times New Roman"/>
          <w:b/>
        </w:rPr>
        <w:t xml:space="preserve"> survey </w:t>
      </w:r>
      <w:r w:rsidR="009856D1" w:rsidRPr="00A93693">
        <w:rPr>
          <w:rFonts w:ascii="Times New Roman" w:hAnsi="Times New Roman"/>
        </w:rPr>
        <w:t>(</w:t>
      </w:r>
      <w:r w:rsidR="002273F4">
        <w:rPr>
          <w:rFonts w:ascii="Times New Roman" w:hAnsi="Times New Roman"/>
        </w:rPr>
        <w:t>Attachment</w:t>
      </w:r>
      <w:r w:rsidR="002273F4" w:rsidRPr="00A93693">
        <w:rPr>
          <w:rFonts w:ascii="Times New Roman" w:hAnsi="Times New Roman"/>
        </w:rPr>
        <w:t xml:space="preserve"> </w:t>
      </w:r>
      <w:r w:rsidR="009856D1" w:rsidRPr="00A93693">
        <w:rPr>
          <w:rFonts w:ascii="Times New Roman" w:hAnsi="Times New Roman"/>
        </w:rPr>
        <w:t>C)</w:t>
      </w:r>
      <w:r w:rsidR="009856D1" w:rsidRPr="009B479C">
        <w:rPr>
          <w:rFonts w:ascii="Times New Roman" w:hAnsi="Times New Roman"/>
          <w:b/>
        </w:rPr>
        <w:t>.</w:t>
      </w:r>
      <w:r w:rsidR="009856D1" w:rsidRPr="009B479C">
        <w:rPr>
          <w:rFonts w:ascii="Times New Roman" w:hAnsi="Times New Roman"/>
        </w:rPr>
        <w:t xml:space="preserve">  </w:t>
      </w:r>
      <w:r w:rsidR="00A60C9E">
        <w:rPr>
          <w:rFonts w:ascii="Times New Roman" w:hAnsi="Times New Roman"/>
        </w:rPr>
        <w:t>Six months after en</w:t>
      </w:r>
      <w:r w:rsidR="0045312E">
        <w:rPr>
          <w:rFonts w:ascii="Times New Roman" w:hAnsi="Times New Roman"/>
        </w:rPr>
        <w:t>rollment, all sample members</w:t>
      </w:r>
      <w:r w:rsidR="00A60C9E">
        <w:rPr>
          <w:rFonts w:ascii="Times New Roman" w:hAnsi="Times New Roman"/>
        </w:rPr>
        <w:t xml:space="preserve"> will </w:t>
      </w:r>
      <w:r w:rsidR="005417ED">
        <w:rPr>
          <w:rFonts w:ascii="Times New Roman" w:hAnsi="Times New Roman"/>
        </w:rPr>
        <w:t xml:space="preserve">receive an advance letter </w:t>
      </w:r>
      <w:r w:rsidR="00031005">
        <w:rPr>
          <w:rFonts w:ascii="Times New Roman" w:hAnsi="Times New Roman"/>
        </w:rPr>
        <w:t xml:space="preserve">advising </w:t>
      </w:r>
      <w:r w:rsidR="005417ED">
        <w:rPr>
          <w:rFonts w:ascii="Times New Roman" w:hAnsi="Times New Roman"/>
        </w:rPr>
        <w:t xml:space="preserve">them </w:t>
      </w:r>
      <w:r w:rsidR="00031005">
        <w:rPr>
          <w:rFonts w:ascii="Times New Roman" w:hAnsi="Times New Roman"/>
        </w:rPr>
        <w:t xml:space="preserve">that interviewers will </w:t>
      </w:r>
      <w:r w:rsidR="00D11068">
        <w:rPr>
          <w:rFonts w:ascii="Times New Roman" w:hAnsi="Times New Roman"/>
        </w:rPr>
        <w:t>attempt to call</w:t>
      </w:r>
      <w:r w:rsidR="00031005">
        <w:rPr>
          <w:rFonts w:ascii="Times New Roman" w:hAnsi="Times New Roman"/>
        </w:rPr>
        <w:t xml:space="preserve"> to ask them to participate</w:t>
      </w:r>
      <w:r w:rsidR="005417ED">
        <w:rPr>
          <w:rFonts w:ascii="Times New Roman" w:hAnsi="Times New Roman"/>
        </w:rPr>
        <w:t xml:space="preserve"> in the JSA follow-up survey.  </w:t>
      </w:r>
      <w:r w:rsidR="009856D1" w:rsidRPr="009B479C">
        <w:rPr>
          <w:rFonts w:ascii="Times New Roman" w:hAnsi="Times New Roman"/>
        </w:rPr>
        <w:t xml:space="preserve">The </w:t>
      </w:r>
      <w:r w:rsidR="009960DE" w:rsidRPr="009B479C">
        <w:rPr>
          <w:rFonts w:ascii="Times New Roman" w:hAnsi="Times New Roman"/>
        </w:rPr>
        <w:t xml:space="preserve">follow-up survey will measure data on </w:t>
      </w:r>
      <w:r w:rsidR="00BD28A6">
        <w:rPr>
          <w:rFonts w:ascii="Times New Roman" w:hAnsi="Times New Roman"/>
        </w:rPr>
        <w:t>(</w:t>
      </w:r>
      <w:r w:rsidR="009960DE" w:rsidRPr="009B479C">
        <w:rPr>
          <w:rFonts w:ascii="Times New Roman" w:hAnsi="Times New Roman"/>
        </w:rPr>
        <w:t>1)</w:t>
      </w:r>
      <w:r w:rsidR="0067207F" w:rsidRPr="009B479C">
        <w:rPr>
          <w:rFonts w:ascii="Times New Roman" w:hAnsi="Times New Roman"/>
        </w:rPr>
        <w:t xml:space="preserve"> </w:t>
      </w:r>
      <w:r w:rsidR="0045312E">
        <w:rPr>
          <w:rFonts w:ascii="Times New Roman" w:hAnsi="Times New Roman"/>
        </w:rPr>
        <w:t xml:space="preserve">employment status; </w:t>
      </w:r>
      <w:r w:rsidR="00BD28A6">
        <w:rPr>
          <w:rFonts w:ascii="Times New Roman" w:hAnsi="Times New Roman"/>
        </w:rPr>
        <w:t>(</w:t>
      </w:r>
      <w:r w:rsidR="0045312E">
        <w:rPr>
          <w:rFonts w:ascii="Times New Roman" w:hAnsi="Times New Roman"/>
        </w:rPr>
        <w:t>2) p</w:t>
      </w:r>
      <w:r w:rsidR="0067207F" w:rsidRPr="009B479C">
        <w:rPr>
          <w:rFonts w:ascii="Times New Roman" w:hAnsi="Times New Roman"/>
        </w:rPr>
        <w:t>articipation in job se</w:t>
      </w:r>
      <w:r w:rsidR="0045312E">
        <w:rPr>
          <w:rFonts w:ascii="Times New Roman" w:hAnsi="Times New Roman"/>
        </w:rPr>
        <w:t xml:space="preserve">arch assistance activities; </w:t>
      </w:r>
      <w:r w:rsidR="00BD28A6">
        <w:rPr>
          <w:rFonts w:ascii="Times New Roman" w:hAnsi="Times New Roman"/>
        </w:rPr>
        <w:t>(</w:t>
      </w:r>
      <w:r w:rsidR="0045312E">
        <w:rPr>
          <w:rFonts w:ascii="Times New Roman" w:hAnsi="Times New Roman"/>
        </w:rPr>
        <w:t>3) h</w:t>
      </w:r>
      <w:r w:rsidR="0067207F" w:rsidRPr="009B479C">
        <w:rPr>
          <w:rFonts w:ascii="Times New Roman" w:hAnsi="Times New Roman"/>
        </w:rPr>
        <w:t>ow current or most recent job was found;</w:t>
      </w:r>
      <w:r w:rsidR="00BD28A6">
        <w:rPr>
          <w:rFonts w:ascii="Times New Roman" w:hAnsi="Times New Roman"/>
        </w:rPr>
        <w:t>(</w:t>
      </w:r>
      <w:r w:rsidR="0067207F" w:rsidRPr="009B479C">
        <w:rPr>
          <w:rFonts w:ascii="Times New Roman" w:hAnsi="Times New Roman"/>
        </w:rPr>
        <w:t xml:space="preserve"> 4</w:t>
      </w:r>
      <w:r w:rsidR="0045312E">
        <w:rPr>
          <w:rFonts w:ascii="Times New Roman" w:hAnsi="Times New Roman"/>
        </w:rPr>
        <w:t>) job search</w:t>
      </w:r>
      <w:r w:rsidR="00247B12">
        <w:rPr>
          <w:rFonts w:ascii="Times New Roman" w:hAnsi="Times New Roman"/>
        </w:rPr>
        <w:t xml:space="preserve">-related </w:t>
      </w:r>
      <w:r w:rsidR="0045312E">
        <w:rPr>
          <w:rFonts w:ascii="Times New Roman" w:hAnsi="Times New Roman"/>
        </w:rPr>
        <w:t xml:space="preserve">skills; </w:t>
      </w:r>
      <w:r w:rsidR="00BD28A6">
        <w:rPr>
          <w:rFonts w:ascii="Times New Roman" w:hAnsi="Times New Roman"/>
        </w:rPr>
        <w:t>(</w:t>
      </w:r>
      <w:r w:rsidR="0045312E">
        <w:rPr>
          <w:rFonts w:ascii="Times New Roman" w:hAnsi="Times New Roman"/>
        </w:rPr>
        <w:t>5) m</w:t>
      </w:r>
      <w:r w:rsidR="0067207F" w:rsidRPr="009B479C">
        <w:rPr>
          <w:rFonts w:ascii="Times New Roman" w:hAnsi="Times New Roman"/>
        </w:rPr>
        <w:t>otivation to work/a</w:t>
      </w:r>
      <w:r w:rsidR="0045312E">
        <w:rPr>
          <w:rFonts w:ascii="Times New Roman" w:hAnsi="Times New Roman"/>
        </w:rPr>
        <w:t xml:space="preserve">ttitudes toward job search; </w:t>
      </w:r>
      <w:r w:rsidR="00BD28A6">
        <w:rPr>
          <w:rFonts w:ascii="Times New Roman" w:hAnsi="Times New Roman"/>
        </w:rPr>
        <w:t>(</w:t>
      </w:r>
      <w:r w:rsidR="0045312E">
        <w:rPr>
          <w:rFonts w:ascii="Times New Roman" w:hAnsi="Times New Roman"/>
        </w:rPr>
        <w:t>6) b</w:t>
      </w:r>
      <w:r w:rsidR="0067207F" w:rsidRPr="009B479C">
        <w:rPr>
          <w:rFonts w:ascii="Times New Roman" w:hAnsi="Times New Roman"/>
        </w:rPr>
        <w:t xml:space="preserve">arriers to employment; </w:t>
      </w:r>
      <w:r w:rsidR="00BD28A6">
        <w:rPr>
          <w:rFonts w:ascii="Times New Roman" w:hAnsi="Times New Roman"/>
        </w:rPr>
        <w:t>(</w:t>
      </w:r>
      <w:r w:rsidR="005417ED">
        <w:rPr>
          <w:rFonts w:ascii="Times New Roman" w:hAnsi="Times New Roman"/>
        </w:rPr>
        <w:t xml:space="preserve">7) </w:t>
      </w:r>
      <w:r w:rsidR="0045312E">
        <w:rPr>
          <w:rFonts w:ascii="Times New Roman" w:hAnsi="Times New Roman"/>
        </w:rPr>
        <w:t>j</w:t>
      </w:r>
      <w:r w:rsidR="005417ED" w:rsidRPr="009B479C">
        <w:rPr>
          <w:rFonts w:ascii="Times New Roman" w:hAnsi="Times New Roman"/>
        </w:rPr>
        <w:t xml:space="preserve">ob characteristics </w:t>
      </w:r>
      <w:r w:rsidR="004956BA">
        <w:rPr>
          <w:rFonts w:ascii="Times New Roman" w:hAnsi="Times New Roman"/>
        </w:rPr>
        <w:t>and conditions</w:t>
      </w:r>
      <w:r w:rsidR="005417ED">
        <w:rPr>
          <w:rFonts w:ascii="Times New Roman" w:hAnsi="Times New Roman"/>
        </w:rPr>
        <w:t>;</w:t>
      </w:r>
      <w:r w:rsidR="0045312E">
        <w:rPr>
          <w:rFonts w:ascii="Times New Roman" w:hAnsi="Times New Roman"/>
        </w:rPr>
        <w:t xml:space="preserve"> </w:t>
      </w:r>
      <w:r w:rsidR="00BD28A6">
        <w:rPr>
          <w:rFonts w:ascii="Times New Roman" w:hAnsi="Times New Roman"/>
        </w:rPr>
        <w:t>(8</w:t>
      </w:r>
      <w:r w:rsidR="0045312E">
        <w:rPr>
          <w:rFonts w:ascii="Times New Roman" w:hAnsi="Times New Roman"/>
        </w:rPr>
        <w:t>) j</w:t>
      </w:r>
      <w:r w:rsidR="004956BA">
        <w:rPr>
          <w:rFonts w:ascii="Times New Roman" w:hAnsi="Times New Roman"/>
        </w:rPr>
        <w:t xml:space="preserve">ob search parameters; </w:t>
      </w:r>
      <w:r w:rsidR="0067207F" w:rsidRPr="009B479C">
        <w:rPr>
          <w:rFonts w:ascii="Times New Roman" w:hAnsi="Times New Roman"/>
        </w:rPr>
        <w:t xml:space="preserve">and </w:t>
      </w:r>
      <w:r w:rsidR="00BD28A6">
        <w:rPr>
          <w:rFonts w:ascii="Times New Roman" w:hAnsi="Times New Roman"/>
        </w:rPr>
        <w:t>(9</w:t>
      </w:r>
      <w:r w:rsidR="0067207F" w:rsidRPr="009B479C">
        <w:rPr>
          <w:rFonts w:ascii="Times New Roman" w:hAnsi="Times New Roman"/>
        </w:rPr>
        <w:t>)</w:t>
      </w:r>
      <w:r w:rsidR="004956BA">
        <w:rPr>
          <w:rFonts w:ascii="Times New Roman" w:hAnsi="Times New Roman"/>
        </w:rPr>
        <w:t xml:space="preserve"> </w:t>
      </w:r>
      <w:r w:rsidR="008E0AE5">
        <w:rPr>
          <w:rFonts w:ascii="Times New Roman" w:hAnsi="Times New Roman"/>
        </w:rPr>
        <w:t xml:space="preserve">household </w:t>
      </w:r>
      <w:r w:rsidR="005417ED">
        <w:rPr>
          <w:rFonts w:ascii="Times New Roman" w:hAnsi="Times New Roman"/>
        </w:rPr>
        <w:t xml:space="preserve">composition and income.  Interviewers will administer the six-month follow-up survey by telephone.  The </w:t>
      </w:r>
      <w:r w:rsidR="001D695E">
        <w:rPr>
          <w:rFonts w:ascii="Times New Roman" w:hAnsi="Times New Roman"/>
        </w:rPr>
        <w:t xml:space="preserve">expected </w:t>
      </w:r>
      <w:r w:rsidR="005417ED">
        <w:rPr>
          <w:rFonts w:ascii="Times New Roman" w:hAnsi="Times New Roman"/>
        </w:rPr>
        <w:t xml:space="preserve">interview </w:t>
      </w:r>
      <w:r w:rsidR="001D695E">
        <w:rPr>
          <w:rFonts w:ascii="Times New Roman" w:hAnsi="Times New Roman"/>
        </w:rPr>
        <w:t>length is</w:t>
      </w:r>
      <w:r w:rsidR="005417ED">
        <w:rPr>
          <w:rFonts w:ascii="Times New Roman" w:hAnsi="Times New Roman"/>
        </w:rPr>
        <w:t xml:space="preserve"> a</w:t>
      </w:r>
      <w:r w:rsidR="0045312E">
        <w:rPr>
          <w:rFonts w:ascii="Times New Roman" w:hAnsi="Times New Roman"/>
        </w:rPr>
        <w:t>bout 20 minutes and sample members</w:t>
      </w:r>
      <w:r w:rsidR="006C684B">
        <w:rPr>
          <w:rFonts w:ascii="Times New Roman" w:hAnsi="Times New Roman"/>
        </w:rPr>
        <w:t xml:space="preserve"> will receive a $25</w:t>
      </w:r>
      <w:r w:rsidR="0045312E">
        <w:rPr>
          <w:rFonts w:ascii="Times New Roman" w:hAnsi="Times New Roman"/>
        </w:rPr>
        <w:t xml:space="preserve"> token of appreciation </w:t>
      </w:r>
      <w:r w:rsidR="00F66DD5">
        <w:rPr>
          <w:rFonts w:ascii="Times New Roman" w:hAnsi="Times New Roman"/>
        </w:rPr>
        <w:t xml:space="preserve">(in the form of a check) </w:t>
      </w:r>
      <w:r w:rsidR="0045312E">
        <w:rPr>
          <w:rFonts w:ascii="Times New Roman" w:hAnsi="Times New Roman"/>
        </w:rPr>
        <w:t>for completing the</w:t>
      </w:r>
      <w:r w:rsidR="005417ED">
        <w:rPr>
          <w:rFonts w:ascii="Times New Roman" w:hAnsi="Times New Roman"/>
        </w:rPr>
        <w:t xml:space="preserve"> survey.</w:t>
      </w:r>
    </w:p>
    <w:p w14:paraId="75F1A64B" w14:textId="77777777" w:rsidR="005417ED" w:rsidRPr="0067207F" w:rsidRDefault="005417ED" w:rsidP="005417ED">
      <w:pPr>
        <w:pStyle w:val="ListParagraph"/>
        <w:spacing w:after="0"/>
        <w:rPr>
          <w:rFonts w:ascii="Times New Roman" w:hAnsi="Times New Roman"/>
        </w:rPr>
      </w:pPr>
    </w:p>
    <w:p w14:paraId="52858FCB" w14:textId="55E90218" w:rsidR="00A25320" w:rsidRPr="00A25320" w:rsidRDefault="0045312E" w:rsidP="005A2113">
      <w:pPr>
        <w:pStyle w:val="BodyText"/>
      </w:pPr>
      <w:r>
        <w:t>The</w:t>
      </w:r>
      <w:r w:rsidR="0070291B" w:rsidRPr="0070291B">
        <w:t xml:space="preserve"> data</w:t>
      </w:r>
      <w:r>
        <w:t xml:space="preserve"> provided by the JSA follow-up survey are not available through any other</w:t>
      </w:r>
      <w:r w:rsidR="0070291B" w:rsidRPr="0070291B">
        <w:t xml:space="preserve"> source</w:t>
      </w:r>
      <w:r w:rsidR="0070291B">
        <w:t>, as described further in section A.4</w:t>
      </w:r>
      <w:r w:rsidR="0070291B" w:rsidRPr="0070291B">
        <w:t>.</w:t>
      </w:r>
      <w:r w:rsidR="002E5262">
        <w:t xml:space="preserve">  </w:t>
      </w:r>
    </w:p>
    <w:p w14:paraId="68EA4505" w14:textId="77777777" w:rsidR="00982F78" w:rsidRDefault="00982F78" w:rsidP="00982F78">
      <w:pPr>
        <w:pStyle w:val="Heading2"/>
      </w:pPr>
      <w:bookmarkStart w:id="5" w:name="_Toc432765867"/>
      <w:bookmarkEnd w:id="4"/>
      <w:r w:rsidRPr="000E0FAC">
        <w:t>A</w:t>
      </w:r>
      <w:r>
        <w:t>.</w:t>
      </w:r>
      <w:r w:rsidRPr="000E0FAC">
        <w:t>2</w:t>
      </w:r>
      <w:r>
        <w:tab/>
      </w:r>
      <w:r w:rsidRPr="000E0FAC">
        <w:t xml:space="preserve">Purpose of the </w:t>
      </w:r>
      <w:r w:rsidR="00633C76">
        <w:t>Data Collection</w:t>
      </w:r>
      <w:bookmarkEnd w:id="5"/>
    </w:p>
    <w:p w14:paraId="7E66CEB1" w14:textId="77777777" w:rsidR="00982F78" w:rsidRPr="00923494" w:rsidRDefault="00982F78" w:rsidP="00ED5DD5">
      <w:pPr>
        <w:pStyle w:val="Heading3"/>
      </w:pPr>
      <w:bookmarkStart w:id="6" w:name="_Toc362600549"/>
      <w:r>
        <w:t xml:space="preserve">A.2.1 </w:t>
      </w:r>
      <w:r>
        <w:tab/>
        <w:t xml:space="preserve">Overview of </w:t>
      </w:r>
      <w:r w:rsidR="00633C76">
        <w:t>Data Collection Instruments</w:t>
      </w:r>
      <w:bookmarkEnd w:id="6"/>
    </w:p>
    <w:p w14:paraId="4914627F" w14:textId="5533680B" w:rsidR="00500DE7" w:rsidRDefault="00500DE7" w:rsidP="00500DE7">
      <w:pPr>
        <w:pStyle w:val="BodyText"/>
      </w:pPr>
      <w:r>
        <w:t xml:space="preserve">The JSA </w:t>
      </w:r>
      <w:r w:rsidR="002D5193">
        <w:t>Strategies E</w:t>
      </w:r>
      <w:r>
        <w:t>valuation include</w:t>
      </w:r>
      <w:r w:rsidR="002804DB">
        <w:t>s</w:t>
      </w:r>
      <w:r>
        <w:t xml:space="preserve"> </w:t>
      </w:r>
      <w:r w:rsidR="0013202F" w:rsidRPr="007D1BE3">
        <w:t>three</w:t>
      </w:r>
      <w:r w:rsidRPr="007D1BE3">
        <w:t xml:space="preserve"> </w:t>
      </w:r>
      <w:r w:rsidR="002804DB" w:rsidRPr="007D1BE3">
        <w:t xml:space="preserve">data collection </w:t>
      </w:r>
      <w:r w:rsidR="00633C76">
        <w:t>instruments</w:t>
      </w:r>
      <w:r w:rsidRPr="007D1BE3">
        <w:t xml:space="preserve"> </w:t>
      </w:r>
      <w:r w:rsidR="002026A1">
        <w:t>in</w:t>
      </w:r>
      <w:r w:rsidR="004A6A02">
        <w:t xml:space="preserve"> this OMB package </w:t>
      </w:r>
      <w:r w:rsidR="006D1A89">
        <w:t xml:space="preserve">– </w:t>
      </w:r>
      <w:r w:rsidR="001D695E">
        <w:t xml:space="preserve">a </w:t>
      </w:r>
      <w:r w:rsidR="00564BAB">
        <w:t>contact update form</w:t>
      </w:r>
      <w:r w:rsidR="006D1A89">
        <w:t>,</w:t>
      </w:r>
      <w:r w:rsidR="005A4837">
        <w:t xml:space="preserve"> </w:t>
      </w:r>
      <w:r w:rsidR="009C53E9">
        <w:t>the questionnaire for a series of</w:t>
      </w:r>
      <w:r w:rsidR="001D695E">
        <w:t xml:space="preserve"> </w:t>
      </w:r>
      <w:r w:rsidR="005A4837">
        <w:t xml:space="preserve">monthly interim </w:t>
      </w:r>
      <w:r w:rsidR="00313BBE">
        <w:t xml:space="preserve">tracking </w:t>
      </w:r>
      <w:r w:rsidR="005A4837">
        <w:t>survey</w:t>
      </w:r>
      <w:r w:rsidR="009C53E9">
        <w:t>s</w:t>
      </w:r>
      <w:r w:rsidR="001D695E">
        <w:t>,</w:t>
      </w:r>
      <w:r w:rsidR="006D1A89">
        <w:rPr>
          <w:i/>
        </w:rPr>
        <w:t xml:space="preserve"> </w:t>
      </w:r>
      <w:r w:rsidR="005A4837" w:rsidRPr="00824791">
        <w:t>and a six-month follow-up survey</w:t>
      </w:r>
      <w:r w:rsidR="009C53E9">
        <w:t xml:space="preserve"> question</w:t>
      </w:r>
      <w:r w:rsidR="00197D8A">
        <w:t>n</w:t>
      </w:r>
      <w:r w:rsidR="009C53E9">
        <w:t>aire</w:t>
      </w:r>
      <w:r w:rsidR="0013202F" w:rsidRPr="007D1BE3">
        <w:rPr>
          <w:i/>
        </w:rPr>
        <w:t>.</w:t>
      </w:r>
      <w:r w:rsidR="009856D1">
        <w:t xml:space="preserve"> </w:t>
      </w:r>
      <w:r w:rsidR="001D695E">
        <w:t xml:space="preserve"> A d</w:t>
      </w:r>
      <w:r w:rsidR="005A4837">
        <w:t xml:space="preserve">escription of each form </w:t>
      </w:r>
      <w:r w:rsidR="005765BF">
        <w:t>follows</w:t>
      </w:r>
      <w:r w:rsidR="00633C76">
        <w:t>.</w:t>
      </w:r>
    </w:p>
    <w:p w14:paraId="2E138844" w14:textId="30F5697A" w:rsidR="005A2113" w:rsidRDefault="00564BAB" w:rsidP="005A2113">
      <w:pPr>
        <w:pStyle w:val="Heading4"/>
      </w:pPr>
      <w:r>
        <w:t xml:space="preserve">Contact </w:t>
      </w:r>
      <w:r w:rsidR="00247B12">
        <w:t>Update F</w:t>
      </w:r>
      <w:r>
        <w:t>orm</w:t>
      </w:r>
      <w:r w:rsidR="001D695E">
        <w:t xml:space="preserve">  </w:t>
      </w:r>
    </w:p>
    <w:p w14:paraId="3E5F6248" w14:textId="7CD8EC42" w:rsidR="00D84732" w:rsidRDefault="00CA149A" w:rsidP="00B01599">
      <w:pPr>
        <w:pStyle w:val="BodyText"/>
        <w:spacing w:after="240"/>
      </w:pPr>
      <w:r>
        <w:t>A</w:t>
      </w:r>
      <w:r w:rsidR="000C397C">
        <w:t xml:space="preserve">t the time of enrollment, all study participants will provide contact information </w:t>
      </w:r>
      <w:r w:rsidR="002D5193">
        <w:t>on the</w:t>
      </w:r>
      <w:r w:rsidR="009C53E9">
        <w:t xml:space="preserve"> previously-approved</w:t>
      </w:r>
      <w:r w:rsidR="002D5193">
        <w:t xml:space="preserve"> baseline information form </w:t>
      </w:r>
      <w:r w:rsidR="000C397C">
        <w:t>for themselves</w:t>
      </w:r>
      <w:r w:rsidR="002026A1">
        <w:t>,</w:t>
      </w:r>
      <w:r w:rsidR="000C397C">
        <w:t xml:space="preserve"> as well as for up to three relatives or friends </w:t>
      </w:r>
      <w:r w:rsidR="00547A3F">
        <w:t xml:space="preserve">who </w:t>
      </w:r>
      <w:r w:rsidR="0045312E">
        <w:t xml:space="preserve">are likely to </w:t>
      </w:r>
      <w:r w:rsidR="000C397C">
        <w:t xml:space="preserve">know how to reach them.  </w:t>
      </w:r>
      <w:r w:rsidR="00000F50">
        <w:t>Program</w:t>
      </w:r>
      <w:r w:rsidR="00CB2D23">
        <w:t xml:space="preserve"> staff </w:t>
      </w:r>
      <w:r w:rsidR="00A3563F">
        <w:t>or the study team</w:t>
      </w:r>
      <w:r w:rsidR="007F4D5F">
        <w:rPr>
          <w:rStyle w:val="FootnoteReference"/>
        </w:rPr>
        <w:footnoteReference w:id="5"/>
      </w:r>
      <w:r w:rsidR="00A3563F">
        <w:t xml:space="preserve"> </w:t>
      </w:r>
      <w:r w:rsidR="00CB2D23">
        <w:t>will enter d</w:t>
      </w:r>
      <w:r w:rsidR="002E16B2">
        <w:t>ata from the baseline information form into a secured web-based system, known as the Participant Tracking System (PTS).</w:t>
      </w:r>
      <w:r w:rsidR="00547A3F">
        <w:t xml:space="preserve">  </w:t>
      </w:r>
    </w:p>
    <w:p w14:paraId="795B58BC" w14:textId="32F0E86A" w:rsidR="00EC60FE" w:rsidRDefault="0045312E" w:rsidP="00BD28A6">
      <w:pPr>
        <w:pStyle w:val="BodyText"/>
        <w:spacing w:after="240"/>
      </w:pPr>
      <w:r>
        <w:lastRenderedPageBreak/>
        <w:t>All sample members</w:t>
      </w:r>
      <w:r w:rsidR="009C53E9">
        <w:t xml:space="preserve"> will receive a welcome to the study packet </w:t>
      </w:r>
      <w:r>
        <w:t xml:space="preserve">by mail </w:t>
      </w:r>
      <w:r w:rsidR="009C53E9">
        <w:t xml:space="preserve">within one month of enrollment.  This packet will include a </w:t>
      </w:r>
      <w:r w:rsidR="00CA2E7A">
        <w:t xml:space="preserve">welcome letter, an overview of the study, and a </w:t>
      </w:r>
      <w:r w:rsidR="00564BAB">
        <w:rPr>
          <w:i/>
        </w:rPr>
        <w:t>contact update form</w:t>
      </w:r>
      <w:r w:rsidR="009C53E9">
        <w:t xml:space="preserve"> </w:t>
      </w:r>
      <w:r w:rsidR="00CA2E7A">
        <w:t xml:space="preserve">(with </w:t>
      </w:r>
      <w:r w:rsidR="009C53E9">
        <w:t>a business reply envelope</w:t>
      </w:r>
      <w:r w:rsidR="00CA2E7A">
        <w:t>)</w:t>
      </w:r>
      <w:r w:rsidR="009C53E9">
        <w:t>.</w:t>
      </w:r>
      <w:r w:rsidR="009C53E9">
        <w:rPr>
          <w:rStyle w:val="FootnoteReference"/>
        </w:rPr>
        <w:footnoteReference w:id="6"/>
      </w:r>
      <w:r w:rsidR="009C53E9">
        <w:t xml:space="preserve">  </w:t>
      </w:r>
      <w:r w:rsidR="00F03423">
        <w:t>T</w:t>
      </w:r>
      <w:r w:rsidR="000C397C">
        <w:t xml:space="preserve">he </w:t>
      </w:r>
      <w:r w:rsidR="00564BAB">
        <w:t>contact update form</w:t>
      </w:r>
      <w:r w:rsidR="000C397C">
        <w:t xml:space="preserve"> will </w:t>
      </w:r>
      <w:r w:rsidR="00A3563F">
        <w:t>include the sample member</w:t>
      </w:r>
      <w:r w:rsidR="00564BAB">
        <w:t>’s</w:t>
      </w:r>
      <w:r w:rsidR="000C397C">
        <w:t xml:space="preserve"> contact information</w:t>
      </w:r>
      <w:r w:rsidR="00D84732">
        <w:t xml:space="preserve"> from the </w:t>
      </w:r>
      <w:r w:rsidR="00CA2E7A">
        <w:t>participant tracking system (PTS)</w:t>
      </w:r>
      <w:r w:rsidR="00000F50">
        <w:t>.</w:t>
      </w:r>
      <w:r w:rsidR="00CA149A">
        <w:t xml:space="preserve">  </w:t>
      </w:r>
      <w:r w:rsidR="00B01599">
        <w:t xml:space="preserve">This </w:t>
      </w:r>
      <w:r w:rsidR="00F03423">
        <w:t xml:space="preserve">form will allow the study participants to </w:t>
      </w:r>
      <w:r w:rsidR="00564BAB">
        <w:t xml:space="preserve">review, </w:t>
      </w:r>
      <w:r w:rsidR="00F03423">
        <w:t xml:space="preserve">confirm, </w:t>
      </w:r>
      <w:r w:rsidR="00DF1757">
        <w:t xml:space="preserve">and </w:t>
      </w:r>
      <w:r w:rsidR="00F03423">
        <w:t>update or correct their contact information (</w:t>
      </w:r>
      <w:r w:rsidR="00B01599">
        <w:t>name, address, telephone number</w:t>
      </w:r>
      <w:r w:rsidR="001D695E">
        <w:t>(s)</w:t>
      </w:r>
      <w:r w:rsidR="00B01599">
        <w:t xml:space="preserve">, </w:t>
      </w:r>
      <w:r w:rsidR="001D695E">
        <w:t xml:space="preserve">and </w:t>
      </w:r>
      <w:r w:rsidR="00B01599">
        <w:t>email</w:t>
      </w:r>
      <w:r w:rsidR="001D695E">
        <w:t xml:space="preserve"> address(es)</w:t>
      </w:r>
      <w:r w:rsidR="00F03423">
        <w:t>)</w:t>
      </w:r>
      <w:r w:rsidR="000B6EE4">
        <w:t xml:space="preserve"> if needed</w:t>
      </w:r>
      <w:r w:rsidR="00B01599">
        <w:t>.</w:t>
      </w:r>
      <w:r w:rsidR="00EC60FE">
        <w:t xml:space="preserve"> </w:t>
      </w:r>
      <w:r w:rsidR="00D84732">
        <w:t>This</w:t>
      </w:r>
      <w:r w:rsidR="00EC60FE">
        <w:t xml:space="preserve"> form will also confirm</w:t>
      </w:r>
      <w:r w:rsidR="00D84732">
        <w:t xml:space="preserve"> or correct </w:t>
      </w:r>
      <w:r w:rsidR="00EC60FE">
        <w:t xml:space="preserve">the contact information for up to three relatives or friends that will always know how to reach the study participant. </w:t>
      </w:r>
      <w:r w:rsidR="000B6EE4">
        <w:t xml:space="preserve">(See </w:t>
      </w:r>
      <w:r w:rsidR="00456684">
        <w:t xml:space="preserve">Attachment </w:t>
      </w:r>
      <w:r w:rsidR="000B6EE4">
        <w:t xml:space="preserve">A for the contact update form.)  </w:t>
      </w:r>
      <w:r w:rsidR="00DF1757">
        <w:t>M</w:t>
      </w:r>
      <w:r w:rsidR="000B6EE4">
        <w:t>aintenance of up</w:t>
      </w:r>
      <w:r w:rsidR="002026A1">
        <w:t>-</w:t>
      </w:r>
      <w:r w:rsidR="000B6EE4">
        <w:t>to</w:t>
      </w:r>
      <w:r w:rsidR="002026A1">
        <w:t>-</w:t>
      </w:r>
      <w:r w:rsidR="000B6EE4">
        <w:t xml:space="preserve">date contact information is crucial to the tracking and locating of sample members leading up to the follow-up survey. </w:t>
      </w:r>
    </w:p>
    <w:p w14:paraId="7AA53CDC" w14:textId="77777777" w:rsidR="005A2113" w:rsidRDefault="004A2427" w:rsidP="003366A2">
      <w:pPr>
        <w:pStyle w:val="Heading4"/>
      </w:pPr>
      <w:r>
        <w:t xml:space="preserve">Interim </w:t>
      </w:r>
      <w:r w:rsidR="003366A2">
        <w:t xml:space="preserve">Tracking </w:t>
      </w:r>
      <w:r w:rsidR="00751FF5">
        <w:t>Survey</w:t>
      </w:r>
      <w:r w:rsidR="00F0463E">
        <w:t>s</w:t>
      </w:r>
    </w:p>
    <w:p w14:paraId="31391DD3" w14:textId="48E4BAEB" w:rsidR="00707C70" w:rsidRDefault="00CE178B" w:rsidP="00BD28A6">
      <w:pPr>
        <w:spacing w:after="0"/>
      </w:pPr>
      <w:r>
        <w:t xml:space="preserve">The interim tracking surveys provide an opportunity to remind participants that they are part of the </w:t>
      </w:r>
      <w:r w:rsidR="002D4F32">
        <w:t xml:space="preserve">evaluation </w:t>
      </w:r>
      <w:r>
        <w:t>study</w:t>
      </w:r>
      <w:r w:rsidR="002D4F32">
        <w:t xml:space="preserve"> and obtain</w:t>
      </w:r>
      <w:r w:rsidR="006B3329">
        <w:t xml:space="preserve"> </w:t>
      </w:r>
      <w:r w:rsidR="008A366D">
        <w:t>up-to-date contact information should enhance the ability of interviewers to both locate the participants and gain their cooperation during the six-month</w:t>
      </w:r>
      <w:r w:rsidR="002026A1">
        <w:t>,</w:t>
      </w:r>
      <w:r w:rsidR="008A366D">
        <w:t xml:space="preserve"> follow-up data collection.</w:t>
      </w:r>
      <w:r w:rsidR="00866700">
        <w:t xml:space="preserve"> </w:t>
      </w:r>
      <w:r w:rsidR="008A366D">
        <w:t xml:space="preserve"> </w:t>
      </w:r>
      <w:r w:rsidR="00925B8F">
        <w:t>The interim surveys are an important part of the participant tracking efforts</w:t>
      </w:r>
      <w:r w:rsidR="00434EBE">
        <w:t xml:space="preserve"> </w:t>
      </w:r>
      <w:r w:rsidR="00925B8F">
        <w:t>because each contact helps to strengthen the participant’s connection to the study</w:t>
      </w:r>
      <w:r w:rsidR="002026A1">
        <w:t xml:space="preserve"> and likelihood of continued participation in data collection acti</w:t>
      </w:r>
      <w:r w:rsidR="006B3329">
        <w:t>vities</w:t>
      </w:r>
      <w:r w:rsidR="00925B8F">
        <w:t>.  The interim survey</w:t>
      </w:r>
      <w:r w:rsidR="00F0463E">
        <w:t>s</w:t>
      </w:r>
      <w:r w:rsidR="008A366D">
        <w:t xml:space="preserve"> will capture data similar to that </w:t>
      </w:r>
      <w:r w:rsidR="00523E2E">
        <w:t>captured on th</w:t>
      </w:r>
      <w:r w:rsidR="008A366D">
        <w:t xml:space="preserve">e </w:t>
      </w:r>
      <w:r w:rsidR="00564BAB">
        <w:t>contact update form</w:t>
      </w:r>
      <w:r w:rsidR="00F034A0">
        <w:t xml:space="preserve"> (see </w:t>
      </w:r>
      <w:r w:rsidR="00456684">
        <w:t xml:space="preserve">Attachment </w:t>
      </w:r>
      <w:r w:rsidR="00F034A0">
        <w:t>B for the interim surveys)</w:t>
      </w:r>
      <w:r w:rsidR="008A366D">
        <w:t>.  It will a</w:t>
      </w:r>
      <w:r w:rsidR="00AF0967">
        <w:t>llow the respondent</w:t>
      </w:r>
      <w:r w:rsidR="008A366D">
        <w:t>s</w:t>
      </w:r>
      <w:r w:rsidR="00AF0967">
        <w:t xml:space="preserve"> to </w:t>
      </w:r>
      <w:r w:rsidR="008A366D">
        <w:t xml:space="preserve">either </w:t>
      </w:r>
      <w:r w:rsidR="00AF0967">
        <w:t xml:space="preserve">confirm </w:t>
      </w:r>
      <w:r w:rsidR="008A366D">
        <w:t>or update their own contact information.  It will also allow them to</w:t>
      </w:r>
      <w:r w:rsidR="00AF0967">
        <w:t xml:space="preserve"> update the phone and email information for</w:t>
      </w:r>
      <w:r w:rsidR="008A366D">
        <w:t xml:space="preserve"> any</w:t>
      </w:r>
      <w:r w:rsidR="00AF0967">
        <w:t xml:space="preserve"> alternat</w:t>
      </w:r>
      <w:r w:rsidR="00173BD6">
        <w:t>e</w:t>
      </w:r>
      <w:r w:rsidR="00AF0967">
        <w:t xml:space="preserve"> contact</w:t>
      </w:r>
      <w:r w:rsidR="008A366D">
        <w:t xml:space="preserve"> person</w:t>
      </w:r>
      <w:r w:rsidR="006B1183">
        <w:t xml:space="preserve"> already</w:t>
      </w:r>
      <w:r w:rsidR="008A366D">
        <w:t xml:space="preserve"> in the system</w:t>
      </w:r>
      <w:r w:rsidR="006B1183">
        <w:t>,</w:t>
      </w:r>
      <w:r w:rsidR="00424987">
        <w:t xml:space="preserve"> </w:t>
      </w:r>
      <w:r w:rsidR="008A366D">
        <w:t>or</w:t>
      </w:r>
      <w:r w:rsidR="00AF0967">
        <w:t xml:space="preserve"> add a</w:t>
      </w:r>
      <w:r w:rsidR="008A366D">
        <w:t xml:space="preserve"> new </w:t>
      </w:r>
      <w:r w:rsidR="00AF0967">
        <w:t>alte</w:t>
      </w:r>
      <w:r w:rsidR="00707C70">
        <w:t>rnate contact person if needed.</w:t>
      </w:r>
    </w:p>
    <w:p w14:paraId="06133F10" w14:textId="77777777" w:rsidR="00707C70" w:rsidRDefault="00707C70" w:rsidP="00BD28A6">
      <w:pPr>
        <w:spacing w:after="0"/>
      </w:pPr>
    </w:p>
    <w:p w14:paraId="301CB058" w14:textId="09E39A26" w:rsidR="00B95091" w:rsidRDefault="005765BF" w:rsidP="00BD28A6">
      <w:pPr>
        <w:spacing w:after="0"/>
      </w:pPr>
      <w:r>
        <w:t>In addition to the participant tracking functions, the</w:t>
      </w:r>
      <w:r w:rsidRPr="002C20D1">
        <w:t xml:space="preserve"> interim survey</w:t>
      </w:r>
      <w:r>
        <w:t xml:space="preserve"> provides the opportunity to build a time-series with </w:t>
      </w:r>
      <w:r w:rsidR="00F14793">
        <w:t xml:space="preserve">two </w:t>
      </w:r>
      <w:r>
        <w:t xml:space="preserve">key measures at up to five points in time.  The outcomes captured include: </w:t>
      </w:r>
      <w:r w:rsidR="002026A1">
        <w:t>(</w:t>
      </w:r>
      <w:r>
        <w:t>1) employment status,</w:t>
      </w:r>
      <w:r w:rsidR="00F034A0">
        <w:t xml:space="preserve"> and</w:t>
      </w:r>
      <w:r>
        <w:t xml:space="preserve"> </w:t>
      </w:r>
      <w:r w:rsidR="002026A1">
        <w:t>(</w:t>
      </w:r>
      <w:r>
        <w:t xml:space="preserve">2) </w:t>
      </w:r>
      <w:r w:rsidR="00882FF1">
        <w:t>participation in job search assistance activities</w:t>
      </w:r>
      <w:r>
        <w:t xml:space="preserve">.  </w:t>
      </w:r>
      <w:r w:rsidR="00882FF1">
        <w:t>T</w:t>
      </w:r>
      <w:r w:rsidR="00197D8A">
        <w:t>he employment data will allow us to perform methods research on the accuracy of first employment when recalled at six months</w:t>
      </w:r>
      <w:r w:rsidR="002026A1">
        <w:t xml:space="preserve"> in the follow-up survey described below</w:t>
      </w:r>
      <w:r w:rsidR="00197D8A">
        <w:t xml:space="preserve">.  </w:t>
      </w:r>
      <w:r w:rsidR="00882FF1">
        <w:t>T</w:t>
      </w:r>
      <w:r w:rsidR="00197D8A">
        <w:t>he</w:t>
      </w:r>
      <w:r w:rsidR="00882FF1">
        <w:t xml:space="preserve"> job search participation data will be used to document the services individuals receive and the service contrast between the two approaches. </w:t>
      </w:r>
    </w:p>
    <w:p w14:paraId="57A5F383" w14:textId="77777777" w:rsidR="008A366D" w:rsidRDefault="008A366D" w:rsidP="00BD28A6">
      <w:pPr>
        <w:spacing w:after="0"/>
      </w:pPr>
    </w:p>
    <w:p w14:paraId="147BD6BD" w14:textId="67641FFB" w:rsidR="005A2113" w:rsidRDefault="00BA5741" w:rsidP="00BD28A6">
      <w:pPr>
        <w:pStyle w:val="Heading4"/>
      </w:pPr>
      <w:r w:rsidRPr="00076F74">
        <w:t xml:space="preserve">JSA </w:t>
      </w:r>
      <w:r w:rsidR="0077000E">
        <w:t>Six-M</w:t>
      </w:r>
      <w:r w:rsidR="00D200FE">
        <w:t xml:space="preserve">onth Follow-up </w:t>
      </w:r>
      <w:r w:rsidRPr="00076F74">
        <w:t xml:space="preserve">Survey  </w:t>
      </w:r>
    </w:p>
    <w:p w14:paraId="3C27839C" w14:textId="1C4797BB" w:rsidR="00D230B9" w:rsidRDefault="002801D7" w:rsidP="00BD28A6">
      <w:pPr>
        <w:pStyle w:val="BodyText"/>
      </w:pPr>
      <w:r>
        <w:t xml:space="preserve">As part of the impact study, </w:t>
      </w:r>
      <w:r>
        <w:rPr>
          <w:rFonts w:cs="Arial"/>
        </w:rPr>
        <w:t>the follow-up survey will provide critical information on additional measures of interest</w:t>
      </w:r>
      <w:r w:rsidR="00F56652">
        <w:rPr>
          <w:rFonts w:cs="Arial"/>
        </w:rPr>
        <w:t>,</w:t>
      </w:r>
      <w:r>
        <w:rPr>
          <w:rFonts w:cs="Arial"/>
        </w:rPr>
        <w:t xml:space="preserve"> in terms of service receipt</w:t>
      </w:r>
      <w:r w:rsidR="009F5709">
        <w:rPr>
          <w:rFonts w:cs="Arial"/>
        </w:rPr>
        <w:t xml:space="preserve">, </w:t>
      </w:r>
      <w:r>
        <w:rPr>
          <w:rFonts w:cs="Arial"/>
        </w:rPr>
        <w:t>employment</w:t>
      </w:r>
      <w:r w:rsidR="009F5709">
        <w:rPr>
          <w:rFonts w:cs="Arial"/>
        </w:rPr>
        <w:t>,</w:t>
      </w:r>
      <w:r>
        <w:rPr>
          <w:rFonts w:cs="Arial"/>
        </w:rPr>
        <w:t xml:space="preserve"> and other outcomes</w:t>
      </w:r>
      <w:r>
        <w:t xml:space="preserve">.  The survey is </w:t>
      </w:r>
      <w:r w:rsidR="00811D5A">
        <w:t xml:space="preserve">an </w:t>
      </w:r>
      <w:r>
        <w:t>important</w:t>
      </w:r>
      <w:r w:rsidR="00F56652">
        <w:t xml:space="preserve"> source for</w:t>
      </w:r>
      <w:r>
        <w:t xml:space="preserve"> documenting the content</w:t>
      </w:r>
      <w:r w:rsidR="00707C70">
        <w:t>, duration</w:t>
      </w:r>
      <w:r>
        <w:t xml:space="preserve"> and intensity of job search services received</w:t>
      </w:r>
      <w:r w:rsidR="00882FF1">
        <w:t>;</w:t>
      </w:r>
      <w:r>
        <w:t xml:space="preserve"> </w:t>
      </w:r>
      <w:r w:rsidR="00812FDC">
        <w:t>the type of job search skills that sample members possess</w:t>
      </w:r>
      <w:r w:rsidR="00882FF1">
        <w:t>;</w:t>
      </w:r>
      <w:r w:rsidR="00812FDC">
        <w:t xml:space="preserve"> </w:t>
      </w:r>
      <w:r>
        <w:t>understanding how individuals found employment</w:t>
      </w:r>
      <w:r w:rsidR="00882FF1">
        <w:t>;</w:t>
      </w:r>
      <w:r>
        <w:t xml:space="preserve"> obtaining information on employment that is not</w:t>
      </w:r>
      <w:r w:rsidR="00A0287D">
        <w:t xml:space="preserve"> available from other sources</w:t>
      </w:r>
      <w:r w:rsidR="00882FF1">
        <w:t>; and obtaining information on income and public benefit receipt</w:t>
      </w:r>
      <w:r w:rsidR="005765BF">
        <w:t xml:space="preserve">.  </w:t>
      </w:r>
      <w:r w:rsidR="00D230B9">
        <w:t xml:space="preserve">Exhibit </w:t>
      </w:r>
      <w:r w:rsidR="002C20D1">
        <w:t>A</w:t>
      </w:r>
      <w:r w:rsidR="008A5CEB">
        <w:t>1</w:t>
      </w:r>
      <w:r w:rsidR="002C20D1">
        <w:t xml:space="preserve"> </w:t>
      </w:r>
      <w:r w:rsidR="00D230B9">
        <w:t xml:space="preserve">summarizes </w:t>
      </w:r>
      <w:r w:rsidR="00F0463E">
        <w:t xml:space="preserve">covered measures </w:t>
      </w:r>
      <w:r w:rsidR="00D230B9">
        <w:t xml:space="preserve">for each of the domains </w:t>
      </w:r>
      <w:r w:rsidR="00F0463E">
        <w:t xml:space="preserve">included in </w:t>
      </w:r>
      <w:r w:rsidR="00D230B9">
        <w:lastRenderedPageBreak/>
        <w:t xml:space="preserve">the six-month follow-up survey.  The follow-up survey </w:t>
      </w:r>
      <w:r w:rsidR="005765BF">
        <w:t>is in</w:t>
      </w:r>
      <w:r w:rsidR="00D230B9">
        <w:t xml:space="preserve"> </w:t>
      </w:r>
      <w:r w:rsidR="00456684">
        <w:t xml:space="preserve">Attachment </w:t>
      </w:r>
      <w:r w:rsidR="00D230B9">
        <w:t>C</w:t>
      </w:r>
      <w:r w:rsidR="00E2353F">
        <w:t xml:space="preserve"> and the advance letter is in </w:t>
      </w:r>
      <w:r w:rsidR="00456684">
        <w:t xml:space="preserve">Attachment </w:t>
      </w:r>
      <w:r w:rsidR="00E2353F">
        <w:t>D</w:t>
      </w:r>
      <w:r w:rsidR="00D230B9">
        <w:t>.</w:t>
      </w:r>
    </w:p>
    <w:p w14:paraId="52F0DEB3" w14:textId="5343B0E1" w:rsidR="00D230B9" w:rsidRPr="00D230B9" w:rsidRDefault="005765BF" w:rsidP="00BD28A6">
      <w:pPr>
        <w:pStyle w:val="BodyText"/>
        <w:keepNext/>
        <w:rPr>
          <w:rFonts w:ascii="Arial" w:hAnsi="Arial" w:cs="Arial"/>
          <w:b/>
          <w:sz w:val="18"/>
          <w:szCs w:val="18"/>
        </w:rPr>
      </w:pPr>
      <w:r w:rsidRPr="00D230B9">
        <w:rPr>
          <w:rFonts w:ascii="Arial" w:hAnsi="Arial" w:cs="Arial"/>
          <w:b/>
          <w:sz w:val="18"/>
          <w:szCs w:val="18"/>
        </w:rPr>
        <w:t>Exhibit</w:t>
      </w:r>
      <w:r w:rsidR="00D230B9" w:rsidRPr="00D230B9">
        <w:rPr>
          <w:rFonts w:ascii="Arial" w:hAnsi="Arial" w:cs="Arial"/>
          <w:b/>
          <w:sz w:val="18"/>
          <w:szCs w:val="18"/>
        </w:rPr>
        <w:t xml:space="preserve"> A1:  Key Domains for Job Search Assistance Strategies Evaluation </w:t>
      </w:r>
      <w:r w:rsidR="00FA7161">
        <w:rPr>
          <w:rFonts w:ascii="Arial" w:hAnsi="Arial" w:cs="Arial"/>
          <w:b/>
          <w:sz w:val="18"/>
          <w:szCs w:val="18"/>
        </w:rPr>
        <w:t xml:space="preserve">Six-Month </w:t>
      </w:r>
      <w:r w:rsidR="00D230B9" w:rsidRPr="00D230B9">
        <w:rPr>
          <w:rFonts w:ascii="Arial" w:hAnsi="Arial" w:cs="Arial"/>
          <w:b/>
          <w:sz w:val="18"/>
          <w:szCs w:val="18"/>
        </w:rPr>
        <w:t>Follow-up Survey</w:t>
      </w:r>
    </w:p>
    <w:tbl>
      <w:tblPr>
        <w:tblStyle w:val="TableGrid"/>
        <w:tblW w:w="5000" w:type="pct"/>
        <w:tblLook w:val="04A0" w:firstRow="1" w:lastRow="0" w:firstColumn="1" w:lastColumn="0" w:noHBand="0" w:noVBand="1"/>
      </w:tblPr>
      <w:tblGrid>
        <w:gridCol w:w="652"/>
        <w:gridCol w:w="3131"/>
        <w:gridCol w:w="5793"/>
      </w:tblGrid>
      <w:tr w:rsidR="00D230B9" w:rsidRPr="00D230B9" w14:paraId="03B2008A" w14:textId="77777777" w:rsidTr="00E63DFD">
        <w:trPr>
          <w:tblHeader/>
        </w:trPr>
        <w:tc>
          <w:tcPr>
            <w:tcW w:w="340" w:type="pct"/>
            <w:shd w:val="clear" w:color="auto" w:fill="DA291C"/>
          </w:tcPr>
          <w:p w14:paraId="7D9C497F" w14:textId="77777777" w:rsidR="00D230B9" w:rsidRPr="00D230B9" w:rsidRDefault="00D230B9" w:rsidP="00777B29">
            <w:pPr>
              <w:keepNext/>
              <w:rPr>
                <w:rFonts w:ascii="Arial" w:hAnsi="Arial" w:cs="Arial"/>
                <w:b/>
                <w:sz w:val="18"/>
                <w:szCs w:val="18"/>
              </w:rPr>
            </w:pPr>
          </w:p>
        </w:tc>
        <w:tc>
          <w:tcPr>
            <w:tcW w:w="1635" w:type="pct"/>
            <w:shd w:val="clear" w:color="auto" w:fill="DA291C"/>
          </w:tcPr>
          <w:p w14:paraId="6FBC907C" w14:textId="77777777" w:rsidR="00D230B9" w:rsidRPr="00E63DFD" w:rsidRDefault="00D230B9" w:rsidP="00FA7161">
            <w:pPr>
              <w:keepNext/>
              <w:jc w:val="center"/>
              <w:rPr>
                <w:rFonts w:ascii="Arial" w:hAnsi="Arial" w:cs="Arial"/>
                <w:b/>
                <w:color w:val="FFFFFF" w:themeColor="background1"/>
                <w:sz w:val="18"/>
                <w:szCs w:val="18"/>
              </w:rPr>
            </w:pPr>
            <w:r w:rsidRPr="00E63DFD">
              <w:rPr>
                <w:rFonts w:ascii="Arial" w:hAnsi="Arial" w:cs="Arial"/>
                <w:b/>
                <w:color w:val="FFFFFF" w:themeColor="background1"/>
                <w:sz w:val="18"/>
                <w:szCs w:val="18"/>
              </w:rPr>
              <w:t>Domain</w:t>
            </w:r>
          </w:p>
        </w:tc>
        <w:tc>
          <w:tcPr>
            <w:tcW w:w="3025" w:type="pct"/>
            <w:shd w:val="clear" w:color="auto" w:fill="DA291C"/>
          </w:tcPr>
          <w:p w14:paraId="2FFFCEEC" w14:textId="6113BDE3" w:rsidR="00D230B9" w:rsidRPr="00E63DFD" w:rsidRDefault="00FA7161" w:rsidP="00FA7161">
            <w:pPr>
              <w:keepNext/>
              <w:jc w:val="center"/>
              <w:rPr>
                <w:rFonts w:ascii="Arial" w:hAnsi="Arial" w:cs="Arial"/>
                <w:b/>
                <w:color w:val="FFFFFF" w:themeColor="background1"/>
                <w:sz w:val="18"/>
                <w:szCs w:val="18"/>
              </w:rPr>
            </w:pPr>
            <w:r w:rsidRPr="00E63DFD">
              <w:rPr>
                <w:rFonts w:ascii="Arial" w:hAnsi="Arial" w:cs="Arial"/>
                <w:b/>
                <w:color w:val="FFFFFF" w:themeColor="background1"/>
                <w:sz w:val="18"/>
                <w:szCs w:val="18"/>
              </w:rPr>
              <w:t>Topics Covered in Survey</w:t>
            </w:r>
          </w:p>
        </w:tc>
      </w:tr>
      <w:tr w:rsidR="00D230B9" w:rsidRPr="00D230B9" w14:paraId="0AB52682" w14:textId="77777777" w:rsidTr="00D230B9">
        <w:tc>
          <w:tcPr>
            <w:tcW w:w="340" w:type="pct"/>
            <w:shd w:val="clear" w:color="auto" w:fill="auto"/>
          </w:tcPr>
          <w:p w14:paraId="5ECB6893"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A</w:t>
            </w:r>
          </w:p>
        </w:tc>
        <w:tc>
          <w:tcPr>
            <w:tcW w:w="1635" w:type="pct"/>
            <w:shd w:val="clear" w:color="auto" w:fill="auto"/>
          </w:tcPr>
          <w:p w14:paraId="3C77C351"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Introduction and confirmation of identity </w:t>
            </w:r>
          </w:p>
        </w:tc>
        <w:tc>
          <w:tcPr>
            <w:tcW w:w="3025" w:type="pct"/>
            <w:shd w:val="clear" w:color="auto" w:fill="auto"/>
          </w:tcPr>
          <w:p w14:paraId="598CD430" w14:textId="77777777" w:rsidR="00D230B9" w:rsidRPr="00D230B9" w:rsidRDefault="00D230B9" w:rsidP="00777B29">
            <w:pPr>
              <w:keepNext/>
              <w:rPr>
                <w:rFonts w:ascii="Arial" w:hAnsi="Arial" w:cs="Arial"/>
                <w:sz w:val="18"/>
                <w:szCs w:val="18"/>
              </w:rPr>
            </w:pPr>
          </w:p>
        </w:tc>
      </w:tr>
      <w:tr w:rsidR="00D230B9" w:rsidRPr="00D230B9" w14:paraId="7270250C" w14:textId="77777777" w:rsidTr="00D230B9">
        <w:tc>
          <w:tcPr>
            <w:tcW w:w="340" w:type="pct"/>
            <w:shd w:val="clear" w:color="auto" w:fill="auto"/>
          </w:tcPr>
          <w:p w14:paraId="6293005F"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B</w:t>
            </w:r>
          </w:p>
        </w:tc>
        <w:tc>
          <w:tcPr>
            <w:tcW w:w="1635" w:type="pct"/>
            <w:shd w:val="clear" w:color="auto" w:fill="auto"/>
          </w:tcPr>
          <w:p w14:paraId="3C8230BA"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 Employment status</w:t>
            </w:r>
          </w:p>
        </w:tc>
        <w:tc>
          <w:tcPr>
            <w:tcW w:w="3025" w:type="pct"/>
            <w:shd w:val="clear" w:color="auto" w:fill="auto"/>
          </w:tcPr>
          <w:p w14:paraId="69941ED8" w14:textId="6F06944B" w:rsidR="00D230B9" w:rsidRPr="00D230B9" w:rsidRDefault="00D230B9" w:rsidP="006B1183">
            <w:pPr>
              <w:keepNext/>
              <w:rPr>
                <w:rFonts w:ascii="Arial" w:hAnsi="Arial" w:cs="Arial"/>
                <w:sz w:val="18"/>
                <w:szCs w:val="18"/>
              </w:rPr>
            </w:pPr>
            <w:r w:rsidRPr="00D230B9">
              <w:rPr>
                <w:rFonts w:ascii="Arial" w:hAnsi="Arial" w:cs="Arial"/>
                <w:sz w:val="18"/>
                <w:szCs w:val="18"/>
              </w:rPr>
              <w:t xml:space="preserve">This section captures information about </w:t>
            </w:r>
            <w:r w:rsidR="008A5CEB">
              <w:rPr>
                <w:rFonts w:ascii="Arial" w:hAnsi="Arial" w:cs="Arial"/>
                <w:sz w:val="18"/>
                <w:szCs w:val="18"/>
              </w:rPr>
              <w:t xml:space="preserve">employment and labor force participation. </w:t>
            </w:r>
            <w:r w:rsidR="005765BF" w:rsidRPr="00D230B9">
              <w:rPr>
                <w:rFonts w:ascii="Arial" w:hAnsi="Arial" w:cs="Arial"/>
                <w:sz w:val="18"/>
                <w:szCs w:val="18"/>
              </w:rPr>
              <w:t xml:space="preserve">  </w:t>
            </w:r>
          </w:p>
        </w:tc>
      </w:tr>
      <w:tr w:rsidR="00D230B9" w:rsidRPr="00D230B9" w14:paraId="57FA8D67" w14:textId="77777777" w:rsidTr="00D230B9">
        <w:tc>
          <w:tcPr>
            <w:tcW w:w="340" w:type="pct"/>
            <w:shd w:val="clear" w:color="auto" w:fill="auto"/>
          </w:tcPr>
          <w:p w14:paraId="534A42BB"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C</w:t>
            </w:r>
          </w:p>
        </w:tc>
        <w:tc>
          <w:tcPr>
            <w:tcW w:w="1635" w:type="pct"/>
            <w:shd w:val="clear" w:color="auto" w:fill="auto"/>
          </w:tcPr>
          <w:p w14:paraId="62EEE60F"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Job search assistance activities</w:t>
            </w:r>
            <w:r w:rsidR="008A5CEB">
              <w:rPr>
                <w:rFonts w:ascii="Arial" w:hAnsi="Arial" w:cs="Arial"/>
                <w:sz w:val="18"/>
                <w:szCs w:val="18"/>
              </w:rPr>
              <w:t xml:space="preserve"> under TANF</w:t>
            </w:r>
          </w:p>
        </w:tc>
        <w:tc>
          <w:tcPr>
            <w:tcW w:w="3025" w:type="pct"/>
            <w:shd w:val="clear" w:color="auto" w:fill="auto"/>
          </w:tcPr>
          <w:p w14:paraId="01FCBD65" w14:textId="252FB1AB" w:rsidR="00D230B9" w:rsidRPr="00D230B9" w:rsidRDefault="00D230B9" w:rsidP="001D6155">
            <w:pPr>
              <w:keepNext/>
              <w:rPr>
                <w:rFonts w:ascii="Arial" w:hAnsi="Arial" w:cs="Arial"/>
                <w:sz w:val="18"/>
                <w:szCs w:val="18"/>
              </w:rPr>
            </w:pPr>
            <w:r w:rsidRPr="00D230B9">
              <w:rPr>
                <w:rFonts w:ascii="Arial" w:hAnsi="Arial" w:cs="Arial"/>
                <w:sz w:val="18"/>
                <w:szCs w:val="18"/>
              </w:rPr>
              <w:t>This section captures information about the receipt of different job search assistance services to measure fidelity to the two intervention conditions tested</w:t>
            </w:r>
            <w:r w:rsidR="005765BF" w:rsidRPr="00D230B9">
              <w:rPr>
                <w:rFonts w:ascii="Arial" w:hAnsi="Arial" w:cs="Arial"/>
                <w:sz w:val="18"/>
                <w:szCs w:val="18"/>
              </w:rPr>
              <w:t xml:space="preserve">.  </w:t>
            </w:r>
            <w:r w:rsidRPr="00D230B9">
              <w:rPr>
                <w:rFonts w:ascii="Arial" w:hAnsi="Arial" w:cs="Arial"/>
                <w:sz w:val="18"/>
                <w:szCs w:val="18"/>
              </w:rPr>
              <w:t xml:space="preserve">The questions provide information on the content, intensity, and duration of service receipt (such as topics covered during group or one-on-one staff assisted job search.).  </w:t>
            </w:r>
          </w:p>
        </w:tc>
      </w:tr>
      <w:tr w:rsidR="00D230B9" w:rsidRPr="00D230B9" w14:paraId="69B14258" w14:textId="77777777" w:rsidTr="00D230B9">
        <w:tc>
          <w:tcPr>
            <w:tcW w:w="340" w:type="pct"/>
            <w:shd w:val="clear" w:color="auto" w:fill="auto"/>
          </w:tcPr>
          <w:p w14:paraId="420F8DB9"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D</w:t>
            </w:r>
          </w:p>
        </w:tc>
        <w:tc>
          <w:tcPr>
            <w:tcW w:w="1635" w:type="pct"/>
            <w:shd w:val="clear" w:color="auto" w:fill="auto"/>
          </w:tcPr>
          <w:p w14:paraId="69BCD2DD" w14:textId="77777777" w:rsidR="00D230B9" w:rsidRPr="00D230B9" w:rsidDel="00BE0AFB" w:rsidRDefault="008A5CEB" w:rsidP="00777B29">
            <w:pPr>
              <w:keepNext/>
              <w:rPr>
                <w:rFonts w:ascii="Arial" w:hAnsi="Arial" w:cs="Arial"/>
                <w:sz w:val="18"/>
                <w:szCs w:val="18"/>
              </w:rPr>
            </w:pPr>
            <w:r>
              <w:rPr>
                <w:rFonts w:ascii="Arial" w:hAnsi="Arial" w:cs="Arial"/>
                <w:sz w:val="18"/>
                <w:szCs w:val="18"/>
              </w:rPr>
              <w:t>Tools of last successful job search</w:t>
            </w:r>
          </w:p>
        </w:tc>
        <w:tc>
          <w:tcPr>
            <w:tcW w:w="3025" w:type="pct"/>
            <w:shd w:val="clear" w:color="auto" w:fill="auto"/>
          </w:tcPr>
          <w:p w14:paraId="0BF24E44" w14:textId="5DAB3D9D" w:rsidR="00D230B9" w:rsidRPr="00D230B9" w:rsidRDefault="00D230B9" w:rsidP="001D6155">
            <w:pPr>
              <w:keepNext/>
              <w:rPr>
                <w:rFonts w:ascii="Arial" w:hAnsi="Arial" w:cs="Arial"/>
                <w:sz w:val="18"/>
                <w:szCs w:val="18"/>
              </w:rPr>
            </w:pPr>
            <w:r w:rsidRPr="00D230B9">
              <w:rPr>
                <w:rFonts w:ascii="Arial" w:hAnsi="Arial" w:cs="Arial"/>
                <w:sz w:val="18"/>
                <w:szCs w:val="18"/>
              </w:rPr>
              <w:t>This section identifies the job search activities that helped i</w:t>
            </w:r>
            <w:r w:rsidR="00A3563F">
              <w:rPr>
                <w:rFonts w:ascii="Arial" w:hAnsi="Arial" w:cs="Arial"/>
                <w:sz w:val="18"/>
                <w:szCs w:val="18"/>
              </w:rPr>
              <w:t xml:space="preserve">ndividuals find a job (and applies </w:t>
            </w:r>
            <w:r w:rsidRPr="00D230B9">
              <w:rPr>
                <w:rFonts w:ascii="Arial" w:hAnsi="Arial" w:cs="Arial"/>
                <w:sz w:val="18"/>
                <w:szCs w:val="18"/>
              </w:rPr>
              <w:t>only to tho</w:t>
            </w:r>
            <w:r w:rsidR="00A3563F">
              <w:rPr>
                <w:rFonts w:ascii="Arial" w:hAnsi="Arial" w:cs="Arial"/>
                <w:sz w:val="18"/>
                <w:szCs w:val="18"/>
              </w:rPr>
              <w:t>se who found employment)</w:t>
            </w:r>
            <w:r w:rsidRPr="00D230B9">
              <w:rPr>
                <w:rFonts w:ascii="Arial" w:hAnsi="Arial" w:cs="Arial"/>
                <w:sz w:val="18"/>
                <w:szCs w:val="18"/>
              </w:rPr>
              <w:t xml:space="preserve">.  </w:t>
            </w:r>
          </w:p>
        </w:tc>
      </w:tr>
      <w:tr w:rsidR="00D230B9" w:rsidRPr="00D230B9" w14:paraId="37A9038C" w14:textId="77777777" w:rsidTr="00D230B9">
        <w:tc>
          <w:tcPr>
            <w:tcW w:w="340" w:type="pct"/>
            <w:shd w:val="clear" w:color="auto" w:fill="auto"/>
          </w:tcPr>
          <w:p w14:paraId="504B1A49"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E</w:t>
            </w:r>
          </w:p>
        </w:tc>
        <w:tc>
          <w:tcPr>
            <w:tcW w:w="1635" w:type="pct"/>
            <w:shd w:val="clear" w:color="auto" w:fill="auto"/>
          </w:tcPr>
          <w:p w14:paraId="6C3C4712" w14:textId="0D1AC2EE" w:rsidR="00D230B9" w:rsidRPr="00D230B9" w:rsidRDefault="00D230B9" w:rsidP="00777B29">
            <w:pPr>
              <w:keepNext/>
              <w:rPr>
                <w:rFonts w:ascii="Arial" w:hAnsi="Arial" w:cs="Arial"/>
                <w:sz w:val="18"/>
                <w:szCs w:val="18"/>
              </w:rPr>
            </w:pPr>
            <w:r w:rsidRPr="00D230B9">
              <w:rPr>
                <w:rFonts w:ascii="Arial" w:hAnsi="Arial" w:cs="Arial"/>
                <w:sz w:val="18"/>
                <w:szCs w:val="18"/>
              </w:rPr>
              <w:t>Job search skills</w:t>
            </w:r>
            <w:r w:rsidR="00882FF1">
              <w:rPr>
                <w:rFonts w:ascii="Arial" w:hAnsi="Arial" w:cs="Arial"/>
                <w:sz w:val="18"/>
                <w:szCs w:val="18"/>
              </w:rPr>
              <w:t xml:space="preserve"> </w:t>
            </w:r>
          </w:p>
        </w:tc>
        <w:tc>
          <w:tcPr>
            <w:tcW w:w="3025" w:type="pct"/>
            <w:shd w:val="clear" w:color="auto" w:fill="auto"/>
          </w:tcPr>
          <w:p w14:paraId="5F7F7499" w14:textId="0D67A7A0" w:rsidR="00D230B9" w:rsidRPr="00D230B9" w:rsidRDefault="00D230B9" w:rsidP="001D6155">
            <w:pPr>
              <w:keepNext/>
              <w:rPr>
                <w:rFonts w:ascii="Arial" w:hAnsi="Arial" w:cs="Arial"/>
                <w:sz w:val="18"/>
                <w:szCs w:val="18"/>
              </w:rPr>
            </w:pPr>
            <w:r w:rsidRPr="00D230B9">
              <w:rPr>
                <w:rFonts w:ascii="Arial" w:hAnsi="Arial" w:cs="Arial"/>
                <w:sz w:val="18"/>
                <w:szCs w:val="18"/>
              </w:rPr>
              <w:t>This section</w:t>
            </w:r>
            <w:r w:rsidR="00812FDC">
              <w:rPr>
                <w:rFonts w:ascii="Arial" w:hAnsi="Arial" w:cs="Arial"/>
                <w:sz w:val="18"/>
                <w:szCs w:val="18"/>
              </w:rPr>
              <w:t xml:space="preserve"> provides information on </w:t>
            </w:r>
            <w:r w:rsidRPr="00D230B9">
              <w:rPr>
                <w:rFonts w:ascii="Arial" w:hAnsi="Arial" w:cs="Arial"/>
                <w:sz w:val="18"/>
                <w:szCs w:val="18"/>
              </w:rPr>
              <w:t>job search</w:t>
            </w:r>
            <w:r w:rsidR="00882FF1">
              <w:rPr>
                <w:rFonts w:ascii="Arial" w:hAnsi="Arial" w:cs="Arial"/>
                <w:sz w:val="18"/>
                <w:szCs w:val="18"/>
              </w:rPr>
              <w:t xml:space="preserve">-related </w:t>
            </w:r>
            <w:r w:rsidRPr="00D230B9">
              <w:rPr>
                <w:rFonts w:ascii="Arial" w:hAnsi="Arial" w:cs="Arial"/>
                <w:sz w:val="18"/>
                <w:szCs w:val="18"/>
              </w:rPr>
              <w:t>skills</w:t>
            </w:r>
            <w:r w:rsidR="00882FF1">
              <w:rPr>
                <w:rFonts w:ascii="Arial" w:hAnsi="Arial" w:cs="Arial"/>
                <w:sz w:val="18"/>
                <w:szCs w:val="18"/>
              </w:rPr>
              <w:t xml:space="preserve"> such as perseverance</w:t>
            </w:r>
            <w:r w:rsidR="001D6155">
              <w:rPr>
                <w:rFonts w:ascii="Arial" w:hAnsi="Arial" w:cs="Arial"/>
                <w:sz w:val="18"/>
                <w:szCs w:val="18"/>
              </w:rPr>
              <w:t>, self-efficacy, and career planning skills.</w:t>
            </w:r>
            <w:r w:rsidRPr="00D230B9">
              <w:rPr>
                <w:rFonts w:ascii="Arial" w:hAnsi="Arial" w:cs="Arial"/>
                <w:sz w:val="18"/>
                <w:szCs w:val="18"/>
              </w:rPr>
              <w:t xml:space="preserve"> </w:t>
            </w:r>
          </w:p>
        </w:tc>
      </w:tr>
      <w:tr w:rsidR="00D230B9" w:rsidRPr="00D230B9" w14:paraId="21C3DAB0" w14:textId="77777777" w:rsidTr="00D230B9">
        <w:tc>
          <w:tcPr>
            <w:tcW w:w="340" w:type="pct"/>
            <w:shd w:val="clear" w:color="auto" w:fill="auto"/>
          </w:tcPr>
          <w:p w14:paraId="69F9F643"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F</w:t>
            </w:r>
          </w:p>
        </w:tc>
        <w:tc>
          <w:tcPr>
            <w:tcW w:w="1635" w:type="pct"/>
            <w:shd w:val="clear" w:color="auto" w:fill="auto"/>
          </w:tcPr>
          <w:p w14:paraId="35695177" w14:textId="1B0FA3F5" w:rsidR="00D230B9" w:rsidRPr="00D230B9" w:rsidDel="00BE0AFB" w:rsidRDefault="00882FF1" w:rsidP="00777B29">
            <w:pPr>
              <w:keepNext/>
              <w:rPr>
                <w:rFonts w:ascii="Arial" w:hAnsi="Arial" w:cs="Arial"/>
                <w:sz w:val="18"/>
                <w:szCs w:val="18"/>
              </w:rPr>
            </w:pPr>
            <w:r>
              <w:rPr>
                <w:rFonts w:ascii="Arial" w:hAnsi="Arial" w:cs="Arial"/>
                <w:sz w:val="18"/>
                <w:szCs w:val="18"/>
              </w:rPr>
              <w:t>Attitudes towards work and job search</w:t>
            </w:r>
          </w:p>
        </w:tc>
        <w:tc>
          <w:tcPr>
            <w:tcW w:w="3025" w:type="pct"/>
            <w:shd w:val="clear" w:color="auto" w:fill="auto"/>
          </w:tcPr>
          <w:p w14:paraId="24671601"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This section gathers data on motivation, measured for example by respondents’ reservation wage, and attitudes toward the job search process.</w:t>
            </w:r>
          </w:p>
        </w:tc>
      </w:tr>
      <w:tr w:rsidR="00D230B9" w:rsidRPr="00D230B9" w14:paraId="0751DE1F" w14:textId="77777777" w:rsidTr="00D230B9">
        <w:tc>
          <w:tcPr>
            <w:tcW w:w="340" w:type="pct"/>
            <w:shd w:val="clear" w:color="auto" w:fill="auto"/>
          </w:tcPr>
          <w:p w14:paraId="71A95FDC"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G</w:t>
            </w:r>
          </w:p>
        </w:tc>
        <w:tc>
          <w:tcPr>
            <w:tcW w:w="1635" w:type="pct"/>
            <w:shd w:val="clear" w:color="auto" w:fill="auto"/>
          </w:tcPr>
          <w:p w14:paraId="09CF7788" w14:textId="6ABAC7AB" w:rsidR="00D230B9" w:rsidRPr="00D230B9" w:rsidDel="00BE0AFB" w:rsidRDefault="00A3563F" w:rsidP="00777B29">
            <w:pPr>
              <w:keepNext/>
              <w:rPr>
                <w:rFonts w:ascii="Arial" w:hAnsi="Arial" w:cs="Arial"/>
                <w:sz w:val="18"/>
                <w:szCs w:val="18"/>
              </w:rPr>
            </w:pPr>
            <w:r>
              <w:rPr>
                <w:rFonts w:ascii="Arial" w:hAnsi="Arial" w:cs="Arial"/>
                <w:sz w:val="18"/>
                <w:szCs w:val="18"/>
              </w:rPr>
              <w:t>Factors that a</w:t>
            </w:r>
            <w:r w:rsidR="008A5CEB">
              <w:rPr>
                <w:rFonts w:ascii="Arial" w:hAnsi="Arial" w:cs="Arial"/>
                <w:sz w:val="18"/>
                <w:szCs w:val="18"/>
              </w:rPr>
              <w:t>ffect ability to work</w:t>
            </w:r>
          </w:p>
        </w:tc>
        <w:tc>
          <w:tcPr>
            <w:tcW w:w="3025" w:type="pct"/>
            <w:shd w:val="clear" w:color="auto" w:fill="auto"/>
          </w:tcPr>
          <w:p w14:paraId="77295294" w14:textId="5317D3C2" w:rsidR="00D230B9" w:rsidRPr="00D230B9" w:rsidRDefault="00D230B9" w:rsidP="00A93693">
            <w:pPr>
              <w:keepNext/>
              <w:rPr>
                <w:rFonts w:ascii="Arial" w:hAnsi="Arial" w:cs="Arial"/>
                <w:sz w:val="18"/>
                <w:szCs w:val="18"/>
              </w:rPr>
            </w:pPr>
            <w:r w:rsidRPr="00D230B9">
              <w:rPr>
                <w:rFonts w:ascii="Arial" w:hAnsi="Arial" w:cs="Arial"/>
                <w:sz w:val="18"/>
                <w:szCs w:val="18"/>
              </w:rPr>
              <w:t xml:space="preserve">This section collects information on barriers to employment to identify </w:t>
            </w:r>
            <w:r w:rsidR="005765BF" w:rsidRPr="00D230B9">
              <w:rPr>
                <w:rFonts w:ascii="Arial" w:hAnsi="Arial" w:cs="Arial"/>
                <w:sz w:val="18"/>
                <w:szCs w:val="18"/>
              </w:rPr>
              <w:t>factors that</w:t>
            </w:r>
            <w:r w:rsidRPr="00D230B9">
              <w:rPr>
                <w:rFonts w:ascii="Arial" w:hAnsi="Arial" w:cs="Arial"/>
                <w:sz w:val="18"/>
                <w:szCs w:val="18"/>
              </w:rPr>
              <w:t xml:space="preserve"> may limit the effectiveness of job search services.</w:t>
            </w:r>
          </w:p>
        </w:tc>
      </w:tr>
      <w:tr w:rsidR="00D230B9" w:rsidRPr="00D230B9" w14:paraId="67DAEA44" w14:textId="77777777" w:rsidTr="00D230B9">
        <w:tc>
          <w:tcPr>
            <w:tcW w:w="340" w:type="pct"/>
            <w:shd w:val="clear" w:color="auto" w:fill="auto"/>
          </w:tcPr>
          <w:p w14:paraId="6AC30388"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H</w:t>
            </w:r>
          </w:p>
        </w:tc>
        <w:tc>
          <w:tcPr>
            <w:tcW w:w="1635" w:type="pct"/>
            <w:shd w:val="clear" w:color="auto" w:fill="auto"/>
          </w:tcPr>
          <w:p w14:paraId="566B620E" w14:textId="42E7E376" w:rsidR="00D230B9" w:rsidRPr="00D230B9" w:rsidRDefault="00D230B9" w:rsidP="00777B29">
            <w:pPr>
              <w:keepNext/>
              <w:rPr>
                <w:rFonts w:ascii="Arial" w:hAnsi="Arial" w:cs="Arial"/>
                <w:sz w:val="18"/>
                <w:szCs w:val="18"/>
              </w:rPr>
            </w:pPr>
            <w:r w:rsidRPr="00D230B9">
              <w:rPr>
                <w:rFonts w:ascii="Arial" w:hAnsi="Arial" w:cs="Arial"/>
                <w:sz w:val="18"/>
                <w:szCs w:val="18"/>
              </w:rPr>
              <w:t xml:space="preserve">Job </w:t>
            </w:r>
            <w:r w:rsidR="00882FF1">
              <w:rPr>
                <w:rFonts w:ascii="Arial" w:hAnsi="Arial" w:cs="Arial"/>
                <w:sz w:val="18"/>
                <w:szCs w:val="18"/>
              </w:rPr>
              <w:t>characteristics</w:t>
            </w:r>
          </w:p>
        </w:tc>
        <w:tc>
          <w:tcPr>
            <w:tcW w:w="3025" w:type="pct"/>
            <w:shd w:val="clear" w:color="auto" w:fill="auto"/>
          </w:tcPr>
          <w:p w14:paraId="709D9145" w14:textId="59320263" w:rsidR="00D230B9" w:rsidRPr="00D230B9" w:rsidRDefault="001D6155" w:rsidP="001D6155">
            <w:pPr>
              <w:keepNext/>
              <w:rPr>
                <w:rFonts w:ascii="Arial" w:hAnsi="Arial" w:cs="Arial"/>
                <w:sz w:val="18"/>
                <w:szCs w:val="18"/>
              </w:rPr>
            </w:pPr>
            <w:r>
              <w:rPr>
                <w:rFonts w:ascii="Arial" w:hAnsi="Arial" w:cs="Arial"/>
                <w:sz w:val="18"/>
                <w:szCs w:val="18"/>
              </w:rPr>
              <w:t>T</w:t>
            </w:r>
            <w:r w:rsidR="00D230B9" w:rsidRPr="00D230B9">
              <w:rPr>
                <w:rFonts w:ascii="Arial" w:hAnsi="Arial" w:cs="Arial"/>
                <w:sz w:val="18"/>
                <w:szCs w:val="18"/>
              </w:rPr>
              <w:t xml:space="preserve">his section </w:t>
            </w:r>
            <w:r w:rsidR="00F0463E">
              <w:rPr>
                <w:rFonts w:ascii="Arial" w:hAnsi="Arial" w:cs="Arial"/>
                <w:sz w:val="18"/>
                <w:szCs w:val="18"/>
              </w:rPr>
              <w:t xml:space="preserve">asks </w:t>
            </w:r>
            <w:r w:rsidR="00D230B9" w:rsidRPr="00D230B9">
              <w:rPr>
                <w:rFonts w:ascii="Arial" w:hAnsi="Arial" w:cs="Arial"/>
                <w:sz w:val="18"/>
                <w:szCs w:val="18"/>
              </w:rPr>
              <w:t xml:space="preserve">about the </w:t>
            </w:r>
            <w:r>
              <w:rPr>
                <w:rFonts w:ascii="Arial" w:hAnsi="Arial" w:cs="Arial"/>
                <w:sz w:val="18"/>
                <w:szCs w:val="18"/>
              </w:rPr>
              <w:t>characteristics of</w:t>
            </w:r>
            <w:r w:rsidR="00D230B9" w:rsidRPr="00D230B9">
              <w:rPr>
                <w:rFonts w:ascii="Arial" w:hAnsi="Arial" w:cs="Arial"/>
                <w:sz w:val="18"/>
                <w:szCs w:val="18"/>
              </w:rPr>
              <w:t xml:space="preserve"> the current or most recent job for those who do find work</w:t>
            </w:r>
            <w:r>
              <w:rPr>
                <w:rFonts w:ascii="Arial" w:hAnsi="Arial" w:cs="Arial"/>
                <w:sz w:val="18"/>
                <w:szCs w:val="18"/>
              </w:rPr>
              <w:t>, particularly wages, benefits, and schedule.</w:t>
            </w:r>
            <w:r w:rsidR="00D230B9" w:rsidRPr="00D230B9">
              <w:rPr>
                <w:rFonts w:ascii="Arial" w:hAnsi="Arial" w:cs="Arial"/>
                <w:sz w:val="18"/>
                <w:szCs w:val="18"/>
              </w:rPr>
              <w:t xml:space="preserve">  </w:t>
            </w:r>
          </w:p>
        </w:tc>
      </w:tr>
      <w:tr w:rsidR="00D230B9" w:rsidRPr="00D230B9" w14:paraId="2FF6A0FD" w14:textId="77777777" w:rsidTr="00D230B9">
        <w:tc>
          <w:tcPr>
            <w:tcW w:w="340" w:type="pct"/>
            <w:shd w:val="clear" w:color="auto" w:fill="auto"/>
          </w:tcPr>
          <w:p w14:paraId="545A299D"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I</w:t>
            </w:r>
          </w:p>
        </w:tc>
        <w:tc>
          <w:tcPr>
            <w:tcW w:w="1635" w:type="pct"/>
            <w:shd w:val="clear" w:color="auto" w:fill="auto"/>
          </w:tcPr>
          <w:p w14:paraId="21FB4FFE"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Household </w:t>
            </w:r>
            <w:r w:rsidR="008A5CEB">
              <w:rPr>
                <w:rFonts w:ascii="Arial" w:hAnsi="Arial" w:cs="Arial"/>
                <w:sz w:val="18"/>
                <w:szCs w:val="18"/>
              </w:rPr>
              <w:t>structure and income</w:t>
            </w:r>
          </w:p>
        </w:tc>
        <w:tc>
          <w:tcPr>
            <w:tcW w:w="3025" w:type="pct"/>
            <w:shd w:val="clear" w:color="auto" w:fill="auto"/>
          </w:tcPr>
          <w:p w14:paraId="41388297" w14:textId="3FA0DC8A" w:rsidR="00D230B9" w:rsidRPr="00D230B9" w:rsidRDefault="00D230B9" w:rsidP="00777B29">
            <w:pPr>
              <w:keepNext/>
              <w:rPr>
                <w:rFonts w:ascii="Arial" w:hAnsi="Arial" w:cs="Arial"/>
                <w:sz w:val="18"/>
                <w:szCs w:val="18"/>
              </w:rPr>
            </w:pPr>
            <w:r w:rsidRPr="00D230B9">
              <w:rPr>
                <w:rFonts w:ascii="Arial" w:hAnsi="Arial" w:cs="Arial"/>
                <w:sz w:val="18"/>
                <w:szCs w:val="18"/>
              </w:rPr>
              <w:t xml:space="preserve">This section collects information </w:t>
            </w:r>
            <w:r w:rsidR="008A5CEB">
              <w:rPr>
                <w:rFonts w:ascii="Arial" w:hAnsi="Arial" w:cs="Arial"/>
                <w:sz w:val="18"/>
                <w:szCs w:val="18"/>
              </w:rPr>
              <w:t xml:space="preserve">required to determine household poverty </w:t>
            </w:r>
            <w:r w:rsidR="00882FF1">
              <w:rPr>
                <w:rFonts w:ascii="Arial" w:hAnsi="Arial" w:cs="Arial"/>
                <w:sz w:val="18"/>
                <w:szCs w:val="18"/>
              </w:rPr>
              <w:t>status and income</w:t>
            </w:r>
          </w:p>
        </w:tc>
      </w:tr>
    </w:tbl>
    <w:p w14:paraId="13613967" w14:textId="77777777" w:rsidR="00D230B9" w:rsidRDefault="00D230B9" w:rsidP="0071034B">
      <w:pPr>
        <w:pStyle w:val="BodyText"/>
      </w:pPr>
    </w:p>
    <w:p w14:paraId="13E3E502" w14:textId="0C5B1430" w:rsidR="00D230B9" w:rsidRDefault="00D230B9" w:rsidP="0071034B">
      <w:pPr>
        <w:pStyle w:val="BodyText"/>
      </w:pPr>
      <w:r>
        <w:t xml:space="preserve">The follow-up survey will </w:t>
      </w:r>
      <w:r w:rsidR="00F0463E">
        <w:t>attempt interviews with</w:t>
      </w:r>
      <w:r>
        <w:rPr>
          <w:rFonts w:cs="Arial"/>
        </w:rPr>
        <w:t xml:space="preserve"> all treatment and control group members by telephone.  The survey </w:t>
      </w:r>
      <w:r w:rsidR="00CD016F">
        <w:rPr>
          <w:rFonts w:cs="Arial"/>
        </w:rPr>
        <w:t xml:space="preserve">window </w:t>
      </w:r>
      <w:r>
        <w:rPr>
          <w:rFonts w:cs="Arial"/>
        </w:rPr>
        <w:t xml:space="preserve">will begin </w:t>
      </w:r>
      <w:r w:rsidR="0031497D">
        <w:rPr>
          <w:rFonts w:cs="Arial"/>
        </w:rPr>
        <w:t xml:space="preserve">on the first </w:t>
      </w:r>
      <w:r w:rsidR="00F0463E">
        <w:rPr>
          <w:rFonts w:cs="Arial"/>
        </w:rPr>
        <w:t xml:space="preserve">day </w:t>
      </w:r>
      <w:r w:rsidR="0031497D">
        <w:rPr>
          <w:rFonts w:cs="Arial"/>
        </w:rPr>
        <w:t xml:space="preserve">of the calendar month following the </w:t>
      </w:r>
      <w:r w:rsidR="009F5709">
        <w:rPr>
          <w:rFonts w:cs="Arial"/>
        </w:rPr>
        <w:t>six</w:t>
      </w:r>
      <w:r w:rsidR="0031497D">
        <w:rPr>
          <w:rFonts w:cs="Arial"/>
        </w:rPr>
        <w:t>-</w:t>
      </w:r>
      <w:r>
        <w:rPr>
          <w:rFonts w:cs="Arial"/>
        </w:rPr>
        <w:t>month</w:t>
      </w:r>
      <w:r w:rsidR="00A85308">
        <w:rPr>
          <w:rFonts w:cs="Arial"/>
        </w:rPr>
        <w:t xml:space="preserve"> anniversary of random assignment</w:t>
      </w:r>
      <w:r>
        <w:rPr>
          <w:rFonts w:cs="Arial"/>
        </w:rPr>
        <w:t xml:space="preserve"> and </w:t>
      </w:r>
      <w:r w:rsidR="000552D5">
        <w:rPr>
          <w:rFonts w:cs="Arial"/>
        </w:rPr>
        <w:t xml:space="preserve">close </w:t>
      </w:r>
      <w:r w:rsidR="009F5709">
        <w:rPr>
          <w:rFonts w:cs="Arial"/>
        </w:rPr>
        <w:t xml:space="preserve">eight </w:t>
      </w:r>
      <w:r w:rsidR="00CD016F">
        <w:rPr>
          <w:rFonts w:cs="Arial"/>
        </w:rPr>
        <w:t xml:space="preserve">weeks later. </w:t>
      </w:r>
      <w:r w:rsidR="00897D0A">
        <w:rPr>
          <w:rFonts w:cs="Arial"/>
        </w:rPr>
        <w:t xml:space="preserve"> </w:t>
      </w:r>
      <w:r w:rsidR="00F55D21">
        <w:rPr>
          <w:rFonts w:cs="Arial"/>
        </w:rPr>
        <w:t xml:space="preserve">The estimated interview length is </w:t>
      </w:r>
      <w:r>
        <w:rPr>
          <w:rFonts w:cs="Arial"/>
        </w:rPr>
        <w:t>20 minutes on average</w:t>
      </w:r>
      <w:r w:rsidR="005765BF">
        <w:rPr>
          <w:rFonts w:cs="Arial"/>
        </w:rPr>
        <w:t xml:space="preserve">.  </w:t>
      </w:r>
      <w:r w:rsidR="00DF1757">
        <w:rPr>
          <w:rFonts w:cs="Arial"/>
        </w:rPr>
        <w:t xml:space="preserve">If pretesting shows that the interviews last longer than 20 minutes, then some items will be cut from the instrument.  </w:t>
      </w:r>
      <w:r>
        <w:t xml:space="preserve">The research team expects to conduct the survey as a </w:t>
      </w:r>
      <w:r w:rsidR="00A85308">
        <w:t>census of the 8,000 sample members</w:t>
      </w:r>
      <w:r>
        <w:t xml:space="preserve"> enrolled across the five sites.  The research team has a target response rate of 80 percent</w:t>
      </w:r>
      <w:r w:rsidR="00F55D21">
        <w:t xml:space="preserve"> (</w:t>
      </w:r>
      <w:r>
        <w:t>6,400 completed interviews</w:t>
      </w:r>
      <w:r w:rsidR="00F55D21">
        <w:t>)</w:t>
      </w:r>
      <w:r>
        <w:t>.</w:t>
      </w:r>
      <w:r w:rsidR="004024B0">
        <w:t xml:space="preserve">  </w:t>
      </w:r>
      <w:r w:rsidR="001D6155">
        <w:t>W</w:t>
      </w:r>
      <w:r w:rsidR="004024B0">
        <w:t>e have also developed strong plans for nonresponse bias analysis and weighti</w:t>
      </w:r>
      <w:r w:rsidR="006B1F1D">
        <w:t>ng adjustments.  (See section B.</w:t>
      </w:r>
      <w:r w:rsidR="004024B0">
        <w:t>3.4 of part B of this supporting statement.)</w:t>
      </w:r>
    </w:p>
    <w:p w14:paraId="28D5473C" w14:textId="77777777" w:rsidR="00982F78" w:rsidRDefault="00982F78" w:rsidP="00ED5DD5">
      <w:pPr>
        <w:pStyle w:val="Heading3"/>
      </w:pPr>
      <w:bookmarkStart w:id="7" w:name="_Toc362600551"/>
      <w:r>
        <w:t>A</w:t>
      </w:r>
      <w:r w:rsidR="00ED5DD5">
        <w:t>.</w:t>
      </w:r>
      <w:r>
        <w:t>2.</w:t>
      </w:r>
      <w:r w:rsidR="00093CA1">
        <w:t>2</w:t>
      </w:r>
      <w:r>
        <w:t xml:space="preserve"> </w:t>
      </w:r>
      <w:r>
        <w:tab/>
        <w:t>Who Will Use the Information</w:t>
      </w:r>
      <w:bookmarkEnd w:id="7"/>
    </w:p>
    <w:p w14:paraId="191A838B" w14:textId="66ACED67" w:rsidR="00982F78" w:rsidRDefault="00982F78" w:rsidP="00982F78">
      <w:r>
        <w:t>The primary beneficiaries of this planned data collection effort will</w:t>
      </w:r>
      <w:r w:rsidR="00A85308">
        <w:t xml:space="preserve"> be ACF,</w:t>
      </w:r>
      <w:r>
        <w:t xml:space="preserve"> </w:t>
      </w:r>
      <w:r w:rsidR="00A85308">
        <w:t xml:space="preserve">state and local </w:t>
      </w:r>
      <w:r w:rsidR="00B700A7">
        <w:t xml:space="preserve">TANF </w:t>
      </w:r>
      <w:r w:rsidR="00A85308">
        <w:t>program admin</w:t>
      </w:r>
      <w:r w:rsidR="001D6155">
        <w:t>i</w:t>
      </w:r>
      <w:r w:rsidR="00A85308">
        <w:t>strato</w:t>
      </w:r>
      <w:r w:rsidR="001D6155">
        <w:t>rs</w:t>
      </w:r>
      <w:r>
        <w:t xml:space="preserve">, </w:t>
      </w:r>
      <w:r w:rsidR="001D6155">
        <w:t xml:space="preserve">other </w:t>
      </w:r>
      <w:r w:rsidR="00F8319C">
        <w:t xml:space="preserve">state and local policymakers, </w:t>
      </w:r>
      <w:r w:rsidR="004C7888">
        <w:t xml:space="preserve">and </w:t>
      </w:r>
      <w:r w:rsidR="001D6155">
        <w:t>other federal agencies and policy makers</w:t>
      </w:r>
      <w:r w:rsidR="005765BF">
        <w:t xml:space="preserve">.  </w:t>
      </w:r>
      <w:r>
        <w:t>ACF will u</w:t>
      </w:r>
      <w:r w:rsidR="00B700A7">
        <w:t xml:space="preserve">se the information to </w:t>
      </w:r>
      <w:r w:rsidR="001D6155">
        <w:t>understand</w:t>
      </w:r>
      <w:r w:rsidR="00B700A7">
        <w:t xml:space="preserve"> what</w:t>
      </w:r>
      <w:r w:rsidR="00D006DE">
        <w:t xml:space="preserve"> </w:t>
      </w:r>
      <w:r w:rsidR="00F55D21">
        <w:t xml:space="preserve">strategies for providing </w:t>
      </w:r>
      <w:r w:rsidR="00D006DE" w:rsidRPr="00D006DE">
        <w:t>job search assi</w:t>
      </w:r>
      <w:r w:rsidR="00B700A7">
        <w:t xml:space="preserve">stance are most effective in moving TANF </w:t>
      </w:r>
      <w:r w:rsidR="00A85308">
        <w:t xml:space="preserve">applicants </w:t>
      </w:r>
      <w:r w:rsidR="0077000E">
        <w:t xml:space="preserve">and </w:t>
      </w:r>
      <w:r w:rsidR="00B700A7">
        <w:t xml:space="preserve">recipients to work and increasing their earnings. </w:t>
      </w:r>
      <w:r w:rsidR="00D006DE" w:rsidRPr="00D006DE">
        <w:t xml:space="preserve"> </w:t>
      </w:r>
      <w:r w:rsidR="00B700A7">
        <w:t xml:space="preserve">This will be </w:t>
      </w:r>
      <w:r w:rsidR="00B700A7">
        <w:lastRenderedPageBreak/>
        <w:t>impor</w:t>
      </w:r>
      <w:r w:rsidR="00A85308">
        <w:t>tant information in guiding the</w:t>
      </w:r>
      <w:r w:rsidR="0077000E">
        <w:t xml:space="preserve"> </w:t>
      </w:r>
      <w:r w:rsidR="00B700A7">
        <w:t xml:space="preserve">operation of state and local TANF programs.  </w:t>
      </w:r>
      <w:r>
        <w:t>Secondary beneficiaries of this data collection will be those in public pol</w:t>
      </w:r>
      <w:r w:rsidR="001D6155">
        <w:t>icy and program administration</w:t>
      </w:r>
      <w:r>
        <w:t xml:space="preserve"> who are interested in understanding</w:t>
      </w:r>
      <w:r w:rsidR="00F55D21">
        <w:t xml:space="preserve"> </w:t>
      </w:r>
      <w:r w:rsidR="001D6155">
        <w:t>about effective job search strategies</w:t>
      </w:r>
      <w:bookmarkStart w:id="8" w:name="_Toc255223808"/>
      <w:bookmarkStart w:id="9" w:name="_Toc271096937"/>
      <w:bookmarkStart w:id="10" w:name="_Toc290302427"/>
      <w:bookmarkStart w:id="11" w:name="_Toc329344430"/>
      <w:bookmarkStart w:id="12" w:name="_Toc343683306"/>
      <w:r w:rsidR="009F5709">
        <w:t xml:space="preserve"> more broadly</w:t>
      </w:r>
      <w:r w:rsidR="00B700A7">
        <w:t>.</w:t>
      </w:r>
      <w:r w:rsidR="001D6155">
        <w:t xml:space="preserve">  Many agencies and program</w:t>
      </w:r>
      <w:r w:rsidR="009F12AB">
        <w:t>s</w:t>
      </w:r>
      <w:r w:rsidR="001D6155">
        <w:t xml:space="preserve"> also provide job search assistance to their clients (for example, the Department of Labor provides job search assistance to Unemployment Insurance (UI) claimants) so there is a broad interest in this topic.</w:t>
      </w:r>
      <w:r w:rsidR="00093CA1">
        <w:t xml:space="preserve"> </w:t>
      </w:r>
    </w:p>
    <w:p w14:paraId="29352E8F" w14:textId="77777777" w:rsidR="00982F78" w:rsidRDefault="00982F78" w:rsidP="003B0879">
      <w:pPr>
        <w:pStyle w:val="Heading2"/>
        <w:spacing w:before="240"/>
      </w:pPr>
      <w:bookmarkStart w:id="13" w:name="_Toc432765868"/>
      <w:bookmarkEnd w:id="8"/>
      <w:bookmarkEnd w:id="9"/>
      <w:bookmarkEnd w:id="10"/>
      <w:bookmarkEnd w:id="11"/>
      <w:bookmarkEnd w:id="12"/>
      <w:r w:rsidRPr="001034D3">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3"/>
    </w:p>
    <w:p w14:paraId="27CC7027" w14:textId="77777777" w:rsidR="00D702B6" w:rsidRDefault="00D702B6" w:rsidP="00D702B6">
      <w:r>
        <w:t>Respondent tracking utilizes both text-based surveys and email, allowing participants to answer questions or provide updated contact information at their convenience. These vehicles reduce burden by decreasing the number of times they are contacted by the research team and give participants flexibility in responding by mode and at a time most convenient to them.</w:t>
      </w:r>
    </w:p>
    <w:p w14:paraId="7847ED3A" w14:textId="77777777" w:rsidR="005B2F0E" w:rsidRDefault="005B2F0E" w:rsidP="005B2F0E">
      <w:r>
        <w:t xml:space="preserve">The follow-up survey </w:t>
      </w:r>
      <w:r w:rsidR="00897D0A">
        <w:t xml:space="preserve">administration </w:t>
      </w:r>
      <w:r>
        <w:t xml:space="preserve">will </w:t>
      </w:r>
      <w:r w:rsidR="00897D0A">
        <w:t>use</w:t>
      </w:r>
      <w:r>
        <w:t xml:space="preserve"> CATI (computer-assisted telephone interviewing) technology</w:t>
      </w:r>
      <w:r w:rsidR="005765BF">
        <w:t xml:space="preserve">.  </w:t>
      </w:r>
      <w:r>
        <w:t xml:space="preserve">CATI technology reduces </w:t>
      </w:r>
      <w:r w:rsidRPr="000C6A8D">
        <w:t>respondent</w:t>
      </w:r>
      <w:r>
        <w:t xml:space="preserve"> burden, as interviewers can proceed more quickly and accurately through the survey instruments, minimizing the interview length</w:t>
      </w:r>
      <w:r w:rsidR="005765BF">
        <w:t xml:space="preserve">.  </w:t>
      </w:r>
      <w:r>
        <w:t xml:space="preserve">Computerized questionnaires ensure that the skip patterns work properly, minimizing respondent burden by not asking inappropriate or non-applicable questions.  For example, unemployed respondents will skip out of the questions about current job characteristics.  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 </w:t>
      </w:r>
    </w:p>
    <w:p w14:paraId="05A588B8" w14:textId="77777777" w:rsidR="00982F78" w:rsidRDefault="00982F78" w:rsidP="00982F78">
      <w:pPr>
        <w:pStyle w:val="Heading2"/>
      </w:pPr>
      <w:bookmarkStart w:id="14" w:name="_Toc432765869"/>
      <w:r w:rsidRPr="006236E7">
        <w:t>A</w:t>
      </w:r>
      <w:r w:rsidR="00B52FE9">
        <w:t>.</w:t>
      </w:r>
      <w:r w:rsidRPr="006236E7">
        <w:t>4</w:t>
      </w:r>
      <w:r w:rsidR="00B52FE9">
        <w:tab/>
      </w:r>
      <w:r w:rsidRPr="006236E7">
        <w:t>Efforts to Identify Duplication</w:t>
      </w:r>
      <w:bookmarkEnd w:id="14"/>
    </w:p>
    <w:p w14:paraId="3A7AA3AE" w14:textId="38B345E8" w:rsidR="00D87849" w:rsidRDefault="001D6155" w:rsidP="00041508">
      <w:pPr>
        <w:pStyle w:val="BodyText"/>
      </w:pPr>
      <w:bookmarkStart w:id="15" w:name="_Toc323908713"/>
      <w:r>
        <w:t>There is minimal duplication of data collection in the evaluation</w:t>
      </w:r>
      <w:r w:rsidR="00D87849">
        <w:t xml:space="preserve">.  </w:t>
      </w:r>
      <w:r>
        <w:t>T</w:t>
      </w:r>
      <w:r w:rsidR="00D87849">
        <w:t xml:space="preserve">he </w:t>
      </w:r>
      <w:r>
        <w:t xml:space="preserve">six-month follow-up </w:t>
      </w:r>
      <w:r w:rsidR="00D87849">
        <w:t xml:space="preserve">survey will ask about employment </w:t>
      </w:r>
      <w:r>
        <w:t xml:space="preserve">status </w:t>
      </w:r>
      <w:r w:rsidR="00D87849">
        <w:t xml:space="preserve">despite the availability of </w:t>
      </w:r>
      <w:r>
        <w:t xml:space="preserve">some </w:t>
      </w:r>
      <w:r w:rsidR="00B93858">
        <w:t xml:space="preserve">information </w:t>
      </w:r>
      <w:r>
        <w:t xml:space="preserve">in this area </w:t>
      </w:r>
      <w:r w:rsidR="00B93858">
        <w:t xml:space="preserve">the </w:t>
      </w:r>
      <w:r w:rsidR="00D87849">
        <w:t>NDNH</w:t>
      </w:r>
      <w:r>
        <w:t>.</w:t>
      </w:r>
      <w:r w:rsidR="00D87849">
        <w:t xml:space="preserve"> This is necessary as a screener to asking about job conditions, information not available through </w:t>
      </w:r>
      <w:r w:rsidR="00B93858">
        <w:t xml:space="preserve">NDNH.  </w:t>
      </w:r>
      <w:r>
        <w:t>As part of question</w:t>
      </w:r>
      <w:r w:rsidR="00A93693">
        <w:t>s</w:t>
      </w:r>
      <w:r>
        <w:t xml:space="preserve"> to document all sources of income, t</w:t>
      </w:r>
      <w:r w:rsidR="00B93858">
        <w:t xml:space="preserve">he survey will also ask about receipt of TANF </w:t>
      </w:r>
      <w:r w:rsidR="00645983">
        <w:t xml:space="preserve">and SNAP </w:t>
      </w:r>
      <w:r w:rsidR="00B93858">
        <w:t xml:space="preserve">benefits despite the availability of this information from the local TANF office.  </w:t>
      </w:r>
      <w:r w:rsidR="005A41AA">
        <w:t>Reminding respondents of all income sources is part of our strategy of trying to get good measurements of total household income. Another</w:t>
      </w:r>
      <w:r w:rsidR="00B93858">
        <w:t xml:space="preserve"> reason for </w:t>
      </w:r>
      <w:r w:rsidR="005A41AA">
        <w:t xml:space="preserve">doing </w:t>
      </w:r>
      <w:r w:rsidR="00B93858">
        <w:t>this is that</w:t>
      </w:r>
      <w:r>
        <w:t xml:space="preserve"> it could create difficulties </w:t>
      </w:r>
      <w:r w:rsidR="009F5709">
        <w:t xml:space="preserve">in the interviewing process if the list of </w:t>
      </w:r>
      <w:r w:rsidR="00B93858">
        <w:t xml:space="preserve">income support sources </w:t>
      </w:r>
      <w:r w:rsidR="009F5709">
        <w:t xml:space="preserve">does </w:t>
      </w:r>
      <w:r w:rsidR="00B93858">
        <w:t xml:space="preserve">not include these two sources.   </w:t>
      </w:r>
      <w:r w:rsidR="009F5709">
        <w:t>More concretely, some respondents</w:t>
      </w:r>
      <w:r w:rsidR="00B93858">
        <w:t xml:space="preserve"> might </w:t>
      </w:r>
      <w:r w:rsidR="00B07EB4">
        <w:t xml:space="preserve">volunteer them and slow the interview process </w:t>
      </w:r>
      <w:r w:rsidR="00B93858">
        <w:t xml:space="preserve">if we did not ask about them explicitly.  </w:t>
      </w:r>
    </w:p>
    <w:p w14:paraId="0DE623D4" w14:textId="77777777" w:rsidR="00982F78" w:rsidRDefault="00982F78" w:rsidP="00982F78">
      <w:pPr>
        <w:pStyle w:val="Heading2"/>
      </w:pPr>
      <w:bookmarkStart w:id="16" w:name="_Toc432765870"/>
      <w:r w:rsidRPr="00B85F5D">
        <w:t>A</w:t>
      </w:r>
      <w:r w:rsidR="00B52FE9">
        <w:t>.</w:t>
      </w:r>
      <w:r w:rsidRPr="00B85F5D">
        <w:t>5</w:t>
      </w:r>
      <w:r w:rsidR="00B52FE9">
        <w:tab/>
      </w:r>
      <w:r w:rsidRPr="00B85F5D">
        <w:t>Involvement of Small Organizations</w:t>
      </w:r>
      <w:bookmarkEnd w:id="15"/>
      <w:bookmarkEnd w:id="16"/>
    </w:p>
    <w:p w14:paraId="50F938C8" w14:textId="77777777" w:rsidR="00385F97" w:rsidRDefault="00975379" w:rsidP="003B0879">
      <w:pPr>
        <w:pStyle w:val="BodyText"/>
      </w:pPr>
      <w:r>
        <w:t>The data collection does not involve small businesses or other small entities.</w:t>
      </w:r>
    </w:p>
    <w:p w14:paraId="0404366A" w14:textId="77777777" w:rsidR="00982F78" w:rsidRPr="0087138F" w:rsidRDefault="00982F78" w:rsidP="00982F78">
      <w:pPr>
        <w:pStyle w:val="Heading2"/>
      </w:pPr>
      <w:bookmarkStart w:id="17" w:name="_Toc432765871"/>
      <w:r w:rsidRPr="0087138F">
        <w:t>A</w:t>
      </w:r>
      <w:r w:rsidR="00B52FE9">
        <w:t>.</w:t>
      </w:r>
      <w:r w:rsidRPr="0087138F">
        <w:t>6</w:t>
      </w:r>
      <w:r w:rsidR="00B52FE9">
        <w:tab/>
      </w:r>
      <w:r w:rsidRPr="0087138F">
        <w:t>Consequences of Less Frequent Data Collection</w:t>
      </w:r>
      <w:bookmarkEnd w:id="17"/>
    </w:p>
    <w:p w14:paraId="30A8273F" w14:textId="24E264CB" w:rsidR="00A462C0" w:rsidRDefault="00F55D21" w:rsidP="00706065">
      <w:pPr>
        <w:pStyle w:val="BodyText"/>
      </w:pPr>
      <w:r>
        <w:t>Researchers designed t</w:t>
      </w:r>
      <w:r w:rsidR="00E171AB" w:rsidRPr="00E171AB">
        <w:t>he data collection effort described in th</w:t>
      </w:r>
      <w:r w:rsidR="00233D3C">
        <w:t xml:space="preserve">is document to </w:t>
      </w:r>
      <w:r w:rsidR="000E00A5">
        <w:t>help maintain updated contact information for study partic</w:t>
      </w:r>
      <w:r w:rsidR="00F9694F">
        <w:t>i</w:t>
      </w:r>
      <w:r w:rsidR="000E00A5">
        <w:t>pants during the follow-up period, strengthen the participant</w:t>
      </w:r>
      <w:r w:rsidR="00897D0A">
        <w:t>’</w:t>
      </w:r>
      <w:r w:rsidR="000E00A5">
        <w:t xml:space="preserve">s connection to the </w:t>
      </w:r>
      <w:r w:rsidR="00F9694F">
        <w:t>study and</w:t>
      </w:r>
      <w:r w:rsidR="000E00A5">
        <w:t xml:space="preserve"> provide information on key outcomes of interest </w:t>
      </w:r>
      <w:r w:rsidR="00F9694F">
        <w:t>over the six-month follow-up period</w:t>
      </w:r>
      <w:r w:rsidR="000E00A5">
        <w:t>.  All of these activities ultimately enhance the quality of the contact data available to interviewers to help maximize response rates to the follow-up survey</w:t>
      </w:r>
      <w:r w:rsidR="00F9694F">
        <w:t xml:space="preserve"> and obtain a complete picture of employment and job search activities of that time</w:t>
      </w:r>
      <w:r w:rsidR="000E00A5">
        <w:t xml:space="preserve">.  </w:t>
      </w:r>
      <w:r w:rsidR="00233D3C">
        <w:t xml:space="preserve">  </w:t>
      </w:r>
    </w:p>
    <w:p w14:paraId="3DF67234" w14:textId="772228D3" w:rsidR="004E5B39" w:rsidRDefault="00041508" w:rsidP="00F9694F">
      <w:pPr>
        <w:pStyle w:val="BodyText"/>
      </w:pPr>
      <w:r w:rsidRPr="00E77461">
        <w:lastRenderedPageBreak/>
        <w:t xml:space="preserve">Without collecting </w:t>
      </w:r>
      <w:r w:rsidR="000E00A5">
        <w:t xml:space="preserve">monthly contact </w:t>
      </w:r>
      <w:r w:rsidRPr="00E77461">
        <w:t xml:space="preserve">information on study participants, the </w:t>
      </w:r>
      <w:r w:rsidR="000E00A5">
        <w:t>quality of the contact information ava</w:t>
      </w:r>
      <w:r w:rsidR="0084082A">
        <w:t>ilable to interviewers for the six</w:t>
      </w:r>
      <w:r w:rsidR="000E00A5">
        <w:t xml:space="preserve">-month follow-up survey </w:t>
      </w:r>
      <w:r w:rsidR="00F0463E">
        <w:t>will</w:t>
      </w:r>
      <w:r w:rsidR="000E00A5">
        <w:t xml:space="preserve"> deteriorate.  </w:t>
      </w:r>
      <w:r w:rsidR="003A1606">
        <w:t>A lack</w:t>
      </w:r>
      <w:r w:rsidR="000E00A5">
        <w:t xml:space="preserve"> o</w:t>
      </w:r>
      <w:r w:rsidR="00F9694F">
        <w:t>f</w:t>
      </w:r>
      <w:r w:rsidR="000E00A5">
        <w:t xml:space="preserve">, or outdated, contact information </w:t>
      </w:r>
      <w:r w:rsidR="00F0463E">
        <w:t>would</w:t>
      </w:r>
      <w:r w:rsidR="00F9694F">
        <w:t xml:space="preserve"> </w:t>
      </w:r>
      <w:r w:rsidR="000E00A5">
        <w:t xml:space="preserve">make it difficult to achieve the target response rates.  It could also </w:t>
      </w:r>
      <w:r w:rsidR="003C50E7">
        <w:t>diminish the participant</w:t>
      </w:r>
      <w:r w:rsidR="00F9694F">
        <w:t>’</w:t>
      </w:r>
      <w:r w:rsidR="003C50E7">
        <w:t>s connection to the study, which could make it difficult for intervi</w:t>
      </w:r>
      <w:r w:rsidR="00F9694F">
        <w:t>e</w:t>
      </w:r>
      <w:r w:rsidR="003C50E7">
        <w:t>w</w:t>
      </w:r>
      <w:r w:rsidR="0084082A">
        <w:t>ers to gain cooperation at the six</w:t>
      </w:r>
      <w:r w:rsidR="00F9694F">
        <w:t>-</w:t>
      </w:r>
      <w:r w:rsidR="003C50E7">
        <w:t>mo</w:t>
      </w:r>
      <w:r w:rsidR="00F9694F">
        <w:t>n</w:t>
      </w:r>
      <w:r w:rsidR="003C50E7">
        <w:t>th follow-up even if they</w:t>
      </w:r>
      <w:r w:rsidR="00F0463E">
        <w:t xml:space="preserve"> are successful in locating respondents</w:t>
      </w:r>
      <w:r w:rsidR="00F9694F">
        <w:t xml:space="preserve">.  </w:t>
      </w:r>
    </w:p>
    <w:p w14:paraId="32881852" w14:textId="0E01E011" w:rsidR="00041508" w:rsidRDefault="004E5B39" w:rsidP="00F9694F">
      <w:pPr>
        <w:pStyle w:val="BodyText"/>
      </w:pPr>
      <w:r>
        <w:t>No follow</w:t>
      </w:r>
      <w:r w:rsidR="009F5709">
        <w:t xml:space="preserve"> </w:t>
      </w:r>
      <w:r>
        <w:t xml:space="preserve">up </w:t>
      </w:r>
      <w:r w:rsidR="00645983">
        <w:t xml:space="preserve">after the six-month </w:t>
      </w:r>
      <w:r w:rsidR="00A93693">
        <w:t>s</w:t>
      </w:r>
      <w:r w:rsidR="00645983">
        <w:t>urvey</w:t>
      </w:r>
      <w:r>
        <w:t xml:space="preserve"> is planned.</w:t>
      </w:r>
    </w:p>
    <w:p w14:paraId="2A19DD0E" w14:textId="77777777" w:rsidR="00982F78" w:rsidRDefault="00982F78" w:rsidP="00982F78">
      <w:pPr>
        <w:pStyle w:val="Heading2"/>
      </w:pPr>
      <w:bookmarkStart w:id="18" w:name="_Toc432765872"/>
      <w:r w:rsidRPr="001034D3">
        <w:t>A</w:t>
      </w:r>
      <w:r w:rsidR="00B52FE9">
        <w:t>.</w:t>
      </w:r>
      <w:r w:rsidRPr="001034D3">
        <w:t>7</w:t>
      </w:r>
      <w:r w:rsidR="00B52FE9">
        <w:tab/>
      </w:r>
      <w:r w:rsidRPr="001034D3">
        <w:t xml:space="preserve">Special </w:t>
      </w:r>
      <w:r>
        <w:t>C</w:t>
      </w:r>
      <w:r w:rsidRPr="001034D3">
        <w:t>ircumstances</w:t>
      </w:r>
      <w:bookmarkEnd w:id="18"/>
    </w:p>
    <w:p w14:paraId="3D421EB4" w14:textId="77777777" w:rsidR="00982F78" w:rsidRDefault="00982F78" w:rsidP="003B0879">
      <w:pPr>
        <w:pStyle w:val="BodyText"/>
      </w:pPr>
      <w:r>
        <w:t xml:space="preserve">There are no special circumstances for the proposed data collection. </w:t>
      </w:r>
    </w:p>
    <w:p w14:paraId="2CA0B735" w14:textId="77777777" w:rsidR="00982F78" w:rsidRDefault="00982F78" w:rsidP="00982F78">
      <w:pPr>
        <w:pStyle w:val="Heading2"/>
      </w:pPr>
      <w:bookmarkStart w:id="19" w:name="_Toc432765873"/>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19"/>
    </w:p>
    <w:p w14:paraId="2CA14199" w14:textId="77777777" w:rsidR="00982F78" w:rsidRPr="00762DD6" w:rsidRDefault="00B52FE9" w:rsidP="00ED5DD5">
      <w:pPr>
        <w:pStyle w:val="Heading3"/>
      </w:pPr>
      <w:r>
        <w:t>A.8.1</w:t>
      </w:r>
      <w:r>
        <w:tab/>
      </w:r>
      <w:r w:rsidR="00982F78">
        <w:t>Federal Register Notice and Comments</w:t>
      </w:r>
    </w:p>
    <w:p w14:paraId="415E6026" w14:textId="56AFB1F8" w:rsidR="000E091F" w:rsidRDefault="00982F78" w:rsidP="00A462C0">
      <w:pPr>
        <w:pStyle w:val="BodyText"/>
      </w:pPr>
      <w:r>
        <w:t>In accordance with the Paperwork Reduction Act of 1995 (Pub</w:t>
      </w:r>
      <w:r w:rsidR="005765BF">
        <w:t xml:space="preserve">.  </w:t>
      </w:r>
      <w:r>
        <w:t>L. 104-13 and Office of Management and Budget (OMB) regulations at 5 CFR Part 1320 (60 FR 44978, August 29, 1995)), ACF published a notice in the Federal Register announcing the agency’s intention to request an OMB review of this information col</w:t>
      </w:r>
      <w:r w:rsidR="009F19D5">
        <w:t>l</w:t>
      </w:r>
      <w:r>
        <w:t xml:space="preserve">ection activity. </w:t>
      </w:r>
      <w:r w:rsidR="00F9694F">
        <w:t xml:space="preserve"> </w:t>
      </w:r>
      <w:r>
        <w:t xml:space="preserve">This notice was published on </w:t>
      </w:r>
      <w:r w:rsidR="00F42AE1">
        <w:t>July 15, 2015</w:t>
      </w:r>
      <w:r w:rsidR="00C8510E">
        <w:t xml:space="preserve">, Volume </w:t>
      </w:r>
      <w:r w:rsidR="00844759">
        <w:t>80</w:t>
      </w:r>
      <w:r w:rsidR="00C8510E">
        <w:t>, Number 1</w:t>
      </w:r>
      <w:r w:rsidR="00844759">
        <w:t>35</w:t>
      </w:r>
      <w:r w:rsidR="00C8510E">
        <w:t xml:space="preserve"> page </w:t>
      </w:r>
      <w:r w:rsidR="00F42AE1">
        <w:t>41505-41506</w:t>
      </w:r>
      <w:r w:rsidRPr="00C8510E">
        <w:t xml:space="preserve">, and provided a 60-day period for public comment. A copy of this notice is included as </w:t>
      </w:r>
      <w:r w:rsidR="00456684">
        <w:t>Attachment</w:t>
      </w:r>
      <w:r w:rsidR="00456684" w:rsidRPr="00C8510E">
        <w:t xml:space="preserve"> </w:t>
      </w:r>
      <w:r w:rsidR="00E2353F">
        <w:t>E</w:t>
      </w:r>
      <w:r w:rsidR="005765BF" w:rsidRPr="00C8510E">
        <w:t xml:space="preserve">.  </w:t>
      </w:r>
      <w:r w:rsidRPr="00C8510E">
        <w:t>During the notice and comment period, the government received</w:t>
      </w:r>
      <w:r w:rsidR="00F67885" w:rsidRPr="00C8510E">
        <w:t xml:space="preserve"> </w:t>
      </w:r>
      <w:r w:rsidR="00C8510E" w:rsidRPr="008C384C">
        <w:t xml:space="preserve">one request for materials and no </w:t>
      </w:r>
      <w:r w:rsidR="00F67885" w:rsidRPr="008C384C">
        <w:t>comments</w:t>
      </w:r>
      <w:r w:rsidR="00C8510E" w:rsidRPr="00C8510E">
        <w:t>.</w:t>
      </w:r>
    </w:p>
    <w:p w14:paraId="5C9B7C47" w14:textId="77777777" w:rsidR="00DC7E15" w:rsidRPr="00762DD6" w:rsidRDefault="00DC7E15" w:rsidP="00DC7E15">
      <w:pPr>
        <w:pStyle w:val="Heading4"/>
      </w:pPr>
      <w:r>
        <w:t>A.8.2</w:t>
      </w:r>
      <w:r>
        <w:tab/>
      </w:r>
      <w:r w:rsidRPr="00762DD6">
        <w:t xml:space="preserve">Consultation with Experts Outside of the </w:t>
      </w:r>
      <w:r w:rsidR="001F07BF">
        <w:t>Agency</w:t>
      </w:r>
    </w:p>
    <w:p w14:paraId="77B2916C" w14:textId="5E3F1CA5" w:rsidR="00DB2712" w:rsidRDefault="00DC7E15" w:rsidP="00DC7E15">
      <w:pPr>
        <w:pStyle w:val="BodyText"/>
      </w:pPr>
      <w:r>
        <w:t>Most of the</w:t>
      </w:r>
      <w:r w:rsidRPr="00762DD6">
        <w:t xml:space="preserve"> items in the </w:t>
      </w:r>
      <w:r>
        <w:t>survey</w:t>
      </w:r>
      <w:r w:rsidRPr="00762DD6">
        <w:t xml:space="preserve"> are from previously approved data collection instruments.  </w:t>
      </w:r>
      <w:r w:rsidR="00DB2712">
        <w:t>Experts in their respective disciplines (statistics, policy analysis, economics, and survey operations) from ACF, Abt, and Mathematica Policy Research were consulted in developing the survey instruments (6-month follow-up survey, interim survey) and other materials for which clearance is requested.  A list of key contributors is listed below.</w:t>
      </w:r>
    </w:p>
    <w:p w14:paraId="030F3D13" w14:textId="77777777" w:rsidR="004C53F7" w:rsidRDefault="004C53F7" w:rsidP="004C53F7">
      <w:pPr>
        <w:pStyle w:val="Heading4"/>
      </w:pPr>
      <w:r>
        <w:t>ACF</w:t>
      </w:r>
    </w:p>
    <w:p w14:paraId="7AA6C33D" w14:textId="363AD25D" w:rsidR="004C53F7" w:rsidRDefault="004C53F7" w:rsidP="004C53F7">
      <w:pPr>
        <w:pStyle w:val="BodyText"/>
        <w:spacing w:after="0" w:line="240" w:lineRule="auto"/>
      </w:pPr>
      <w:r>
        <w:t xml:space="preserve">Ms. Erica </w:t>
      </w:r>
      <w:r w:rsidRPr="008C384C">
        <w:t>Zielewski</w:t>
      </w:r>
      <w:r>
        <w:tab/>
      </w:r>
      <w:r>
        <w:tab/>
        <w:t>Contract Officer’s Representative</w:t>
      </w:r>
    </w:p>
    <w:p w14:paraId="6A9CE3FC" w14:textId="09A50D42" w:rsidR="004C53F7" w:rsidRDefault="004C53F7" w:rsidP="004C53F7">
      <w:pPr>
        <w:pStyle w:val="BodyText"/>
        <w:spacing w:after="0" w:line="240" w:lineRule="auto"/>
      </w:pPr>
      <w:r>
        <w:t>Ms. Carli Wuff</w:t>
      </w:r>
      <w:r>
        <w:tab/>
      </w:r>
      <w:r>
        <w:tab/>
      </w:r>
      <w:r>
        <w:tab/>
        <w:t>Contract Officer’s Representative</w:t>
      </w:r>
    </w:p>
    <w:p w14:paraId="1FE32FD0" w14:textId="3CCAF963" w:rsidR="004C53F7" w:rsidRDefault="004C53F7" w:rsidP="004C53F7">
      <w:pPr>
        <w:pStyle w:val="BodyText"/>
        <w:spacing w:after="0" w:line="240" w:lineRule="auto"/>
      </w:pPr>
      <w:r>
        <w:t>Mr. Mark Fucello</w:t>
      </w:r>
      <w:r w:rsidR="00C84EB3">
        <w:tab/>
      </w:r>
      <w:r w:rsidR="00C84EB3">
        <w:tab/>
        <w:t>Division Director</w:t>
      </w:r>
      <w:r>
        <w:t xml:space="preserve"> </w:t>
      </w:r>
    </w:p>
    <w:p w14:paraId="69ADFC4D" w14:textId="7745EDD0" w:rsidR="004C53F7" w:rsidRDefault="004C53F7" w:rsidP="004C53F7">
      <w:pPr>
        <w:pStyle w:val="BodyText"/>
        <w:spacing w:after="0" w:line="240" w:lineRule="auto"/>
      </w:pPr>
      <w:r>
        <w:t>Ms. Naomi Goldstein</w:t>
      </w:r>
      <w:r w:rsidR="00C84EB3">
        <w:tab/>
      </w:r>
      <w:r w:rsidR="00C84EB3" w:rsidRPr="00C84EB3">
        <w:t>Deputy Assistant Secretary for Planning, Research and Evaluation</w:t>
      </w:r>
    </w:p>
    <w:p w14:paraId="52B50996" w14:textId="77777777" w:rsidR="004C53F7" w:rsidRDefault="004C53F7" w:rsidP="004C53F7">
      <w:pPr>
        <w:pStyle w:val="Heading4"/>
      </w:pPr>
    </w:p>
    <w:p w14:paraId="063DA3C0" w14:textId="77777777" w:rsidR="004C53F7" w:rsidRPr="00076FE1" w:rsidRDefault="004C53F7" w:rsidP="004C53F7">
      <w:pPr>
        <w:pStyle w:val="Heading4"/>
      </w:pPr>
      <w:r w:rsidRPr="00076FE1">
        <w:t>Abt Associates</w:t>
      </w:r>
    </w:p>
    <w:p w14:paraId="05BFB194" w14:textId="77777777" w:rsidR="004C53F7" w:rsidRDefault="004C53F7" w:rsidP="004C53F7">
      <w:pPr>
        <w:pStyle w:val="BodyText"/>
        <w:spacing w:after="0" w:line="240" w:lineRule="auto"/>
      </w:pPr>
      <w:r>
        <w:t xml:space="preserve">Ms. Karin Martinson </w:t>
      </w:r>
      <w:r>
        <w:tab/>
      </w:r>
      <w:r>
        <w:tab/>
        <w:t xml:space="preserve">Project Director </w:t>
      </w:r>
      <w:r>
        <w:tab/>
      </w:r>
      <w:r>
        <w:tab/>
        <w:t>(301) 347-5726</w:t>
      </w:r>
    </w:p>
    <w:p w14:paraId="260C306B" w14:textId="77777777" w:rsidR="004C53F7" w:rsidRDefault="004C53F7" w:rsidP="004C53F7">
      <w:pPr>
        <w:pStyle w:val="BodyText"/>
        <w:spacing w:after="0" w:line="240" w:lineRule="auto"/>
      </w:pPr>
      <w:r>
        <w:t xml:space="preserve">Dr. Stephen Bell </w:t>
      </w:r>
      <w:r>
        <w:tab/>
      </w:r>
      <w:r>
        <w:tab/>
      </w:r>
      <w:r>
        <w:tab/>
        <w:t xml:space="preserve">Principal Investigator </w:t>
      </w:r>
      <w:r>
        <w:tab/>
        <w:t>(301) 634-1721</w:t>
      </w:r>
    </w:p>
    <w:p w14:paraId="3CAA2E72" w14:textId="77777777" w:rsidR="004C53F7" w:rsidRDefault="004C53F7" w:rsidP="004C53F7">
      <w:pPr>
        <w:pStyle w:val="BodyText"/>
        <w:spacing w:after="0" w:line="240" w:lineRule="auto"/>
      </w:pPr>
      <w:r>
        <w:t>Mr. David Judkins</w:t>
      </w:r>
      <w:r>
        <w:tab/>
      </w:r>
      <w:r>
        <w:tab/>
      </w:r>
      <w:r>
        <w:tab/>
        <w:t>Statistician</w:t>
      </w:r>
      <w:r>
        <w:tab/>
      </w:r>
      <w:r>
        <w:tab/>
      </w:r>
      <w:r>
        <w:tab/>
      </w:r>
      <w:r>
        <w:tab/>
        <w:t>(301) 347-5952</w:t>
      </w:r>
    </w:p>
    <w:p w14:paraId="67C4A061" w14:textId="77777777" w:rsidR="004C53F7" w:rsidRDefault="004C53F7" w:rsidP="004C53F7">
      <w:pPr>
        <w:pStyle w:val="BodyText"/>
        <w:spacing w:after="0" w:line="240" w:lineRule="auto"/>
      </w:pPr>
      <w:r>
        <w:t xml:space="preserve">Dr. Alison Comfort </w:t>
      </w:r>
      <w:r>
        <w:tab/>
      </w:r>
      <w:r>
        <w:tab/>
      </w:r>
      <w:r>
        <w:tab/>
        <w:t xml:space="preserve">Analyst </w:t>
      </w:r>
      <w:r>
        <w:tab/>
      </w:r>
      <w:r>
        <w:tab/>
      </w:r>
      <w:r>
        <w:tab/>
      </w:r>
      <w:r>
        <w:tab/>
        <w:t>(617) 520-2937</w:t>
      </w:r>
    </w:p>
    <w:p w14:paraId="7D49A8B0" w14:textId="77777777" w:rsidR="004C53F7" w:rsidRDefault="004C53F7" w:rsidP="004C53F7">
      <w:pPr>
        <w:pStyle w:val="BodyText"/>
        <w:spacing w:after="0" w:line="240" w:lineRule="auto"/>
      </w:pPr>
      <w:r>
        <w:t>Ms. Debi McInnis</w:t>
      </w:r>
      <w:r>
        <w:tab/>
      </w:r>
      <w:r>
        <w:tab/>
      </w:r>
      <w:r>
        <w:tab/>
        <w:t xml:space="preserve">Survey Operations </w:t>
      </w:r>
      <w:r>
        <w:tab/>
      </w:r>
      <w:r>
        <w:tab/>
        <w:t>(617) 349-2627</w:t>
      </w:r>
    </w:p>
    <w:p w14:paraId="53FB8DE7" w14:textId="1881E522" w:rsidR="00DC7E15" w:rsidRDefault="00DC7E15" w:rsidP="00DC7E15">
      <w:pPr>
        <w:pStyle w:val="BodyText"/>
      </w:pPr>
      <w:r>
        <w:t xml:space="preserve">  </w:t>
      </w:r>
    </w:p>
    <w:p w14:paraId="42215779" w14:textId="36DE78DC" w:rsidR="00982F78" w:rsidRDefault="00982F78" w:rsidP="00982F78">
      <w:pPr>
        <w:pStyle w:val="Heading2"/>
      </w:pPr>
      <w:bookmarkStart w:id="20" w:name="_Toc432765874"/>
      <w:r>
        <w:t>A</w:t>
      </w:r>
      <w:r w:rsidR="00B52FE9">
        <w:t>.</w:t>
      </w:r>
      <w:r w:rsidRPr="001034D3">
        <w:t>9</w:t>
      </w:r>
      <w:r w:rsidR="00B52FE9">
        <w:tab/>
      </w:r>
      <w:r w:rsidR="006B3329">
        <w:t>Tokens of Appreciation for</w:t>
      </w:r>
      <w:r w:rsidRPr="001034D3">
        <w:t xml:space="preserve"> </w:t>
      </w:r>
      <w:r>
        <w:t>R</w:t>
      </w:r>
      <w:r w:rsidRPr="001034D3">
        <w:t>espondents</w:t>
      </w:r>
      <w:bookmarkEnd w:id="20"/>
    </w:p>
    <w:p w14:paraId="07F9A39C" w14:textId="17F64E06" w:rsidR="00290951" w:rsidRPr="00632344" w:rsidRDefault="006B3329" w:rsidP="00290951">
      <w:r>
        <w:t xml:space="preserve">Tokens of appreciation </w:t>
      </w:r>
      <w:r w:rsidR="00290951" w:rsidRPr="0043080C">
        <w:t>are a powerful tool for maintaining low attrition rates in longitudinal studies</w:t>
      </w:r>
      <w:r w:rsidR="00290951">
        <w:t xml:space="preserve">. </w:t>
      </w:r>
      <w:r w:rsidR="00290951" w:rsidRPr="00B9658D">
        <w:t>The use</w:t>
      </w:r>
      <w:r w:rsidR="00290951" w:rsidRPr="00632344">
        <w:t xml:space="preserve"> of </w:t>
      </w:r>
      <w:r>
        <w:t>tokens of appreciation</w:t>
      </w:r>
      <w:r w:rsidR="00290951" w:rsidRPr="00632344">
        <w:t xml:space="preserve"> for the </w:t>
      </w:r>
      <w:r w:rsidR="00290951">
        <w:t xml:space="preserve">JSA Strategies Evaluation, </w:t>
      </w:r>
      <w:r w:rsidR="00290951" w:rsidRPr="00632344">
        <w:t xml:space="preserve">can help </w:t>
      </w:r>
      <w:r w:rsidR="00290951">
        <w:t xml:space="preserve">maximize </w:t>
      </w:r>
      <w:r w:rsidR="00290951" w:rsidRPr="00632344">
        <w:rPr>
          <w:bCs/>
          <w:iCs/>
        </w:rPr>
        <w:t>response rate</w:t>
      </w:r>
      <w:r w:rsidR="00290951">
        <w:rPr>
          <w:bCs/>
          <w:iCs/>
        </w:rPr>
        <w:t>s</w:t>
      </w:r>
      <w:r w:rsidR="00290951" w:rsidRPr="00632344">
        <w:rPr>
          <w:bCs/>
          <w:iCs/>
        </w:rPr>
        <w:t>, which is necessary to ensure unbiased impact estimates</w:t>
      </w:r>
      <w:r w:rsidR="00290951">
        <w:rPr>
          <w:bCs/>
          <w:iCs/>
        </w:rPr>
        <w:t xml:space="preserve">.  </w:t>
      </w:r>
      <w:r w:rsidR="00290951">
        <w:t xml:space="preserve"> </w:t>
      </w:r>
    </w:p>
    <w:p w14:paraId="0F0645C2" w14:textId="5F1C0575" w:rsidR="00290951" w:rsidRDefault="00290951" w:rsidP="006B3329">
      <w:pPr>
        <w:spacing w:after="0" w:line="240" w:lineRule="auto"/>
      </w:pPr>
      <w:r w:rsidRPr="00632344">
        <w:lastRenderedPageBreak/>
        <w:t>Three factors helped to determine the amounts for each survey:</w:t>
      </w:r>
    </w:p>
    <w:p w14:paraId="12CCD396"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 xml:space="preserve">Respondent burden, both at the time of the interview and over the life of the </w:t>
      </w:r>
      <w:r>
        <w:t>study</w:t>
      </w:r>
      <w:r w:rsidRPr="005F36F7">
        <w:t>;</w:t>
      </w:r>
    </w:p>
    <w:p w14:paraId="56DDD4D1"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 xml:space="preserve">Costs associated with participating in the interview at that time; and </w:t>
      </w:r>
    </w:p>
    <w:p w14:paraId="173A4007"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Other studies of comparable populations and burden.</w:t>
      </w:r>
    </w:p>
    <w:p w14:paraId="30B707D0" w14:textId="77777777" w:rsidR="00290951" w:rsidRDefault="00290951" w:rsidP="006B3329">
      <w:pPr>
        <w:tabs>
          <w:tab w:val="left" w:pos="0"/>
          <w:tab w:val="left" w:pos="720"/>
          <w:tab w:val="left" w:pos="1094"/>
          <w:tab w:val="left" w:pos="1440"/>
          <w:tab w:val="left" w:pos="1800"/>
          <w:tab w:val="left" w:pos="8985"/>
        </w:tabs>
        <w:spacing w:after="0" w:line="240" w:lineRule="auto"/>
      </w:pPr>
    </w:p>
    <w:p w14:paraId="58E3B8DC" w14:textId="15645F3C" w:rsidR="00290951" w:rsidRPr="002A68F2" w:rsidRDefault="00290951" w:rsidP="00290951">
      <w:r>
        <w:t>Our experience with this</w:t>
      </w:r>
      <w:r w:rsidRPr="002A68F2">
        <w:t xml:space="preserve"> study population </w:t>
      </w:r>
      <w:r>
        <w:t xml:space="preserve">shows that it is more </w:t>
      </w:r>
      <w:r w:rsidRPr="002A68F2">
        <w:t xml:space="preserve">likely to respond positively to </w:t>
      </w:r>
      <w:r w:rsidR="006B3329">
        <w:t>tokens of appreciation</w:t>
      </w:r>
      <w:r w:rsidRPr="002A68F2">
        <w:t xml:space="preserve"> payments</w:t>
      </w:r>
      <w:r>
        <w:t xml:space="preserve">. </w:t>
      </w:r>
      <w:r w:rsidRPr="002A68F2">
        <w:t xml:space="preserve">Previous research has shown that sample members with certain socio-economic characteristics are significantly more likely to become survey respondents when </w:t>
      </w:r>
      <w:r w:rsidR="006B3329">
        <w:t>tokens</w:t>
      </w:r>
      <w:r w:rsidRPr="002A68F2">
        <w:t xml:space="preserve"> are offered</w:t>
      </w:r>
      <w:r>
        <w:t xml:space="preserve">. </w:t>
      </w:r>
      <w:r w:rsidRPr="002A68F2">
        <w:t>In particular, sample members with low incomes and/or low educational attainment have proven responsive to incentives, as have minority group members</w:t>
      </w:r>
      <w:r>
        <w:t xml:space="preserve">. </w:t>
      </w:r>
      <w:r w:rsidRPr="002A68F2">
        <w:t>These characteristics are expected to be heavily represented in this study panel (Duffer et al. 1994); Educational Testing Service (1991).</w:t>
      </w:r>
    </w:p>
    <w:p w14:paraId="7B023DCA" w14:textId="6D0C5581" w:rsidR="00290951" w:rsidRPr="002A68F2" w:rsidRDefault="002E1170" w:rsidP="00290951">
      <w:r>
        <w:t xml:space="preserve">The </w:t>
      </w:r>
      <w:r w:rsidR="006B3329">
        <w:t xml:space="preserve">token of appreciation paid for each of </w:t>
      </w:r>
      <w:r>
        <w:t>the interim tracking surveys</w:t>
      </w:r>
      <w:r w:rsidR="00E85513">
        <w:t xml:space="preserve"> </w:t>
      </w:r>
      <w:r w:rsidR="006C684B">
        <w:t xml:space="preserve">($2) </w:t>
      </w:r>
      <w:r>
        <w:t>is comparable to that used in the participant contact mailings for the Career Pathways Intermediate Outcomes (CPIO) study</w:t>
      </w:r>
      <w:r w:rsidR="006A7892">
        <w:t xml:space="preserve"> (OMB # 0970-0394 and 0970-0397)</w:t>
      </w:r>
      <w:r>
        <w:t>.  The follow-up survey incentive among is comparable to other studies of similar populations, including the</w:t>
      </w:r>
      <w:r w:rsidR="00336454">
        <w:t xml:space="preserve"> survey conducted for the </w:t>
      </w:r>
      <w:r>
        <w:t>Health Professionals Opportunity Grant (HPOG)</w:t>
      </w:r>
      <w:r w:rsidR="00336454">
        <w:t xml:space="preserve"> Evaluation</w:t>
      </w:r>
      <w:r w:rsidR="006A7892">
        <w:t xml:space="preserve"> (0970-0394)</w:t>
      </w:r>
      <w:r>
        <w:t xml:space="preserve">. </w:t>
      </w:r>
    </w:p>
    <w:p w14:paraId="3C4F7FF0" w14:textId="77777777" w:rsidR="00782855" w:rsidRDefault="00F9694F" w:rsidP="00F9694F">
      <w:r>
        <w:t xml:space="preserve">Study participants will receive small tokens of appreciation during the six- month follow-up period between enrollment and the follow-up survey data collection.  </w:t>
      </w:r>
    </w:p>
    <w:p w14:paraId="743467DC" w14:textId="601B2730" w:rsidR="00336454" w:rsidRDefault="00F9694F" w:rsidP="006B3329">
      <w:pPr>
        <w:pStyle w:val="ListParagraph"/>
        <w:numPr>
          <w:ilvl w:val="0"/>
          <w:numId w:val="64"/>
        </w:numPr>
        <w:ind w:left="360"/>
        <w:rPr>
          <w:rFonts w:ascii="Times New Roman" w:hAnsi="Times New Roman"/>
        </w:rPr>
      </w:pPr>
      <w:r w:rsidRPr="00D55D6D">
        <w:rPr>
          <w:rFonts w:ascii="Times New Roman" w:hAnsi="Times New Roman"/>
        </w:rPr>
        <w:t xml:space="preserve">Participants will receive $2 initially, as part of their welcome packet.  Each month, those that complete the interim </w:t>
      </w:r>
      <w:r w:rsidR="003A1606" w:rsidRPr="00D55D6D">
        <w:rPr>
          <w:rFonts w:ascii="Times New Roman" w:hAnsi="Times New Roman"/>
        </w:rPr>
        <w:t xml:space="preserve">tracking </w:t>
      </w:r>
      <w:r w:rsidRPr="00D55D6D">
        <w:rPr>
          <w:rFonts w:ascii="Times New Roman" w:hAnsi="Times New Roman"/>
        </w:rPr>
        <w:t xml:space="preserve">survey will </w:t>
      </w:r>
      <w:r w:rsidR="003A1606" w:rsidRPr="00D55D6D">
        <w:rPr>
          <w:rFonts w:ascii="Times New Roman" w:hAnsi="Times New Roman"/>
        </w:rPr>
        <w:t>earn</w:t>
      </w:r>
      <w:r w:rsidRPr="00D55D6D">
        <w:rPr>
          <w:rFonts w:ascii="Times New Roman" w:hAnsi="Times New Roman"/>
        </w:rPr>
        <w:t xml:space="preserve"> an additional $2 for each completed interim survey</w:t>
      </w:r>
      <w:r w:rsidR="00F0463E" w:rsidRPr="00D55D6D">
        <w:rPr>
          <w:rFonts w:ascii="Times New Roman" w:hAnsi="Times New Roman"/>
        </w:rPr>
        <w:t xml:space="preserve"> interview</w:t>
      </w:r>
      <w:r w:rsidRPr="00D55D6D">
        <w:rPr>
          <w:rFonts w:ascii="Times New Roman" w:hAnsi="Times New Roman"/>
        </w:rPr>
        <w:t xml:space="preserve">. </w:t>
      </w:r>
      <w:r w:rsidR="003A1606" w:rsidRPr="00D55D6D">
        <w:rPr>
          <w:rFonts w:ascii="Times New Roman" w:hAnsi="Times New Roman"/>
        </w:rPr>
        <w:t xml:space="preserve"> This money will be </w:t>
      </w:r>
      <w:r w:rsidR="00336454">
        <w:rPr>
          <w:rFonts w:ascii="Times New Roman" w:hAnsi="Times New Roman"/>
        </w:rPr>
        <w:t>a</w:t>
      </w:r>
      <w:r w:rsidR="00D702B6">
        <w:rPr>
          <w:rFonts w:ascii="Times New Roman" w:hAnsi="Times New Roman"/>
        </w:rPr>
        <w:t>ccrued</w:t>
      </w:r>
      <w:r w:rsidR="003A1606" w:rsidRPr="00D55D6D">
        <w:rPr>
          <w:rFonts w:ascii="Times New Roman" w:hAnsi="Times New Roman"/>
        </w:rPr>
        <w:t xml:space="preserve"> and paid out prior to the start of the six-month follow-up survey.</w:t>
      </w:r>
      <w:r w:rsidRPr="00D55D6D">
        <w:rPr>
          <w:rFonts w:ascii="Times New Roman" w:hAnsi="Times New Roman"/>
        </w:rPr>
        <w:t xml:space="preserve"> </w:t>
      </w:r>
      <w:r w:rsidR="00424987" w:rsidRPr="00D55D6D">
        <w:rPr>
          <w:rFonts w:ascii="Times New Roman" w:hAnsi="Times New Roman"/>
        </w:rPr>
        <w:t xml:space="preserve">At the end of </w:t>
      </w:r>
      <w:r w:rsidR="00F0463E" w:rsidRPr="00D55D6D">
        <w:rPr>
          <w:rFonts w:ascii="Times New Roman" w:hAnsi="Times New Roman"/>
        </w:rPr>
        <w:t>each completed</w:t>
      </w:r>
      <w:r w:rsidR="00424987" w:rsidRPr="00D55D6D">
        <w:rPr>
          <w:rFonts w:ascii="Times New Roman" w:hAnsi="Times New Roman"/>
        </w:rPr>
        <w:t xml:space="preserve"> interim tracking survey, a than</w:t>
      </w:r>
      <w:r w:rsidR="00F0463E" w:rsidRPr="00D55D6D">
        <w:rPr>
          <w:rFonts w:ascii="Times New Roman" w:hAnsi="Times New Roman"/>
        </w:rPr>
        <w:t>k</w:t>
      </w:r>
      <w:r w:rsidR="00424987" w:rsidRPr="00D55D6D">
        <w:rPr>
          <w:rFonts w:ascii="Times New Roman" w:hAnsi="Times New Roman"/>
        </w:rPr>
        <w:t xml:space="preserve"> you message will display indicating how much money the respondent has ‘banked’ </w:t>
      </w:r>
      <w:r w:rsidR="00F0463E" w:rsidRPr="00D55D6D">
        <w:rPr>
          <w:rFonts w:ascii="Times New Roman" w:hAnsi="Times New Roman"/>
        </w:rPr>
        <w:t xml:space="preserve">cumulatively to that point </w:t>
      </w:r>
      <w:r w:rsidR="00424987" w:rsidRPr="00D55D6D">
        <w:rPr>
          <w:rFonts w:ascii="Times New Roman" w:hAnsi="Times New Roman"/>
        </w:rPr>
        <w:t xml:space="preserve"> and explaining when they will receive  payment. </w:t>
      </w:r>
      <w:r w:rsidR="00D702B6" w:rsidRPr="002E1170">
        <w:rPr>
          <w:rFonts w:ascii="Times New Roman" w:hAnsi="Times New Roman"/>
        </w:rPr>
        <w:t>The accrual system is based on consumer “reward” models that follow a similar accrual. The initial payment demonstrates the study commitment and appreciation for the respondents’ time. Text-based surveys are a rapidly developing data collection methodology. They have been commonly used in consumer research but emerging rapidly in public health research (CDC, 2012). Preliminary studies show promise for reaching and engaging low-come populations (Chang, 2014; Vervloet et al, 2012).</w:t>
      </w:r>
    </w:p>
    <w:p w14:paraId="056E6DF9" w14:textId="77777777" w:rsidR="00336454" w:rsidRPr="002E1170" w:rsidRDefault="00336454" w:rsidP="006B3329">
      <w:pPr>
        <w:pStyle w:val="ListParagraph"/>
        <w:ind w:left="360"/>
        <w:rPr>
          <w:rFonts w:ascii="Times New Roman" w:hAnsi="Times New Roman"/>
        </w:rPr>
      </w:pPr>
    </w:p>
    <w:p w14:paraId="29D4AC78" w14:textId="625906F6" w:rsidR="00782855" w:rsidRPr="006B3329" w:rsidRDefault="00424987" w:rsidP="00336454">
      <w:pPr>
        <w:pStyle w:val="ListParagraph"/>
        <w:numPr>
          <w:ilvl w:val="0"/>
          <w:numId w:val="17"/>
        </w:numPr>
      </w:pPr>
      <w:r w:rsidRPr="00D702B6">
        <w:t xml:space="preserve"> </w:t>
      </w:r>
      <w:r w:rsidR="00F9694F" w:rsidRPr="00782855">
        <w:rPr>
          <w:rFonts w:ascii="Times New Roman" w:hAnsi="Times New Roman"/>
        </w:rPr>
        <w:t xml:space="preserve">Prior to </w:t>
      </w:r>
      <w:r w:rsidR="0085563C">
        <w:rPr>
          <w:rFonts w:ascii="Times New Roman" w:hAnsi="Times New Roman"/>
        </w:rPr>
        <w:t>attempting</w:t>
      </w:r>
      <w:r w:rsidR="00F9694F" w:rsidRPr="00782855">
        <w:rPr>
          <w:rFonts w:ascii="Times New Roman" w:hAnsi="Times New Roman"/>
        </w:rPr>
        <w:t xml:space="preserve"> six-month follow-up survey</w:t>
      </w:r>
      <w:r w:rsidR="0085563C">
        <w:rPr>
          <w:rFonts w:ascii="Times New Roman" w:hAnsi="Times New Roman"/>
        </w:rPr>
        <w:t xml:space="preserve"> interviews in the first study site, New York City</w:t>
      </w:r>
      <w:r w:rsidR="00F9694F" w:rsidRPr="00782855">
        <w:rPr>
          <w:rFonts w:ascii="Times New Roman" w:hAnsi="Times New Roman"/>
        </w:rPr>
        <w:t xml:space="preserve">, the team </w:t>
      </w:r>
      <w:r w:rsidR="0085563C">
        <w:rPr>
          <w:rFonts w:ascii="Times New Roman" w:hAnsi="Times New Roman"/>
        </w:rPr>
        <w:t>is</w:t>
      </w:r>
      <w:r w:rsidR="0085563C" w:rsidRPr="00782855">
        <w:rPr>
          <w:rFonts w:ascii="Times New Roman" w:hAnsi="Times New Roman"/>
        </w:rPr>
        <w:t xml:space="preserve"> </w:t>
      </w:r>
      <w:r w:rsidR="00F9694F" w:rsidRPr="00782855">
        <w:rPr>
          <w:rFonts w:ascii="Times New Roman" w:hAnsi="Times New Roman"/>
        </w:rPr>
        <w:t>send</w:t>
      </w:r>
      <w:r w:rsidR="0085563C">
        <w:rPr>
          <w:rFonts w:ascii="Times New Roman" w:hAnsi="Times New Roman"/>
        </w:rPr>
        <w:t>ing</w:t>
      </w:r>
      <w:r w:rsidR="00F9694F" w:rsidRPr="00782855">
        <w:rPr>
          <w:rFonts w:ascii="Times New Roman" w:hAnsi="Times New Roman"/>
        </w:rPr>
        <w:t xml:space="preserve"> an advance letter explaining the purpose of the survey, the expectations of </w:t>
      </w:r>
      <w:r w:rsidR="00782855" w:rsidRPr="00782855">
        <w:rPr>
          <w:rFonts w:ascii="Times New Roman" w:hAnsi="Times New Roman"/>
        </w:rPr>
        <w:t>sample members</w:t>
      </w:r>
      <w:r w:rsidR="00F9694F" w:rsidRPr="00782855">
        <w:rPr>
          <w:rFonts w:ascii="Times New Roman" w:hAnsi="Times New Roman"/>
        </w:rPr>
        <w:t xml:space="preserve"> </w:t>
      </w:r>
      <w:r w:rsidR="009B1DD8" w:rsidRPr="00782855">
        <w:rPr>
          <w:rFonts w:ascii="Times New Roman" w:hAnsi="Times New Roman"/>
        </w:rPr>
        <w:t>who</w:t>
      </w:r>
      <w:r w:rsidR="00F9694F" w:rsidRPr="00782855">
        <w:rPr>
          <w:rFonts w:ascii="Times New Roman" w:hAnsi="Times New Roman"/>
        </w:rPr>
        <w:t xml:space="preserve"> agree to complete th</w:t>
      </w:r>
      <w:r w:rsidR="009B1DD8" w:rsidRPr="00782855">
        <w:rPr>
          <w:rFonts w:ascii="Times New Roman" w:hAnsi="Times New Roman"/>
        </w:rPr>
        <w:t>at</w:t>
      </w:r>
      <w:r w:rsidR="00F9694F" w:rsidRPr="00782855">
        <w:rPr>
          <w:rFonts w:ascii="Times New Roman" w:hAnsi="Times New Roman"/>
        </w:rPr>
        <w:t xml:space="preserve"> survey</w:t>
      </w:r>
      <w:r w:rsidR="009B1DD8" w:rsidRPr="00782855">
        <w:rPr>
          <w:rFonts w:ascii="Times New Roman" w:hAnsi="Times New Roman"/>
        </w:rPr>
        <w:t>,</w:t>
      </w:r>
      <w:r w:rsidR="00F9694F" w:rsidRPr="00782855">
        <w:rPr>
          <w:rFonts w:ascii="Times New Roman" w:hAnsi="Times New Roman"/>
        </w:rPr>
        <w:t xml:space="preserve"> and the promise of an additional $25 as a token of appreciation for their participation in the survey.</w:t>
      </w:r>
      <w:r w:rsidR="004B5C35">
        <w:rPr>
          <w:rFonts w:ascii="Times New Roman" w:hAnsi="Times New Roman"/>
        </w:rPr>
        <w:t xml:space="preserve">  Sample members in </w:t>
      </w:r>
      <w:r w:rsidR="0085563C">
        <w:rPr>
          <w:rFonts w:ascii="Times New Roman" w:hAnsi="Times New Roman"/>
        </w:rPr>
        <w:t xml:space="preserve">other study </w:t>
      </w:r>
      <w:r w:rsidR="004B5C35">
        <w:rPr>
          <w:rFonts w:ascii="Times New Roman" w:hAnsi="Times New Roman"/>
        </w:rPr>
        <w:t>site</w:t>
      </w:r>
      <w:r w:rsidR="0085563C">
        <w:rPr>
          <w:rFonts w:ascii="Times New Roman" w:hAnsi="Times New Roman"/>
        </w:rPr>
        <w:t>s, where the follow-up survey will be initiated at a future date,</w:t>
      </w:r>
      <w:r w:rsidR="004B5C35">
        <w:rPr>
          <w:rFonts w:ascii="Times New Roman" w:hAnsi="Times New Roman"/>
        </w:rPr>
        <w:t xml:space="preserve"> will receive the same letter with the promise of a $20 token of appreciation (rather than $25) for their participation in the survey</w:t>
      </w:r>
      <w:r w:rsidR="0085563C">
        <w:rPr>
          <w:rFonts w:ascii="Times New Roman" w:hAnsi="Times New Roman"/>
        </w:rPr>
        <w:t xml:space="preserve">, for reasons </w:t>
      </w:r>
      <w:r w:rsidR="004B5C35">
        <w:rPr>
          <w:rFonts w:ascii="Times New Roman" w:hAnsi="Times New Roman"/>
        </w:rPr>
        <w:t>detail</w:t>
      </w:r>
      <w:r w:rsidR="0085563C">
        <w:rPr>
          <w:rFonts w:ascii="Times New Roman" w:hAnsi="Times New Roman"/>
        </w:rPr>
        <w:t>ed</w:t>
      </w:r>
      <w:r w:rsidR="004B5C35">
        <w:rPr>
          <w:rFonts w:ascii="Times New Roman" w:hAnsi="Times New Roman"/>
        </w:rPr>
        <w:t xml:space="preserve"> below.</w:t>
      </w:r>
      <w:r w:rsidR="00F9694F" w:rsidRPr="00782855">
        <w:rPr>
          <w:rFonts w:ascii="Times New Roman" w:hAnsi="Times New Roman"/>
        </w:rPr>
        <w:t xml:space="preserve">  The advance letter </w:t>
      </w:r>
      <w:r w:rsidR="009B1DD8" w:rsidRPr="00782855">
        <w:rPr>
          <w:rFonts w:ascii="Times New Roman" w:hAnsi="Times New Roman"/>
        </w:rPr>
        <w:t xml:space="preserve">will also </w:t>
      </w:r>
      <w:r w:rsidR="00F9694F" w:rsidRPr="00782855">
        <w:rPr>
          <w:rFonts w:ascii="Times New Roman" w:hAnsi="Times New Roman"/>
        </w:rPr>
        <w:t xml:space="preserve">include </w:t>
      </w:r>
      <w:r w:rsidR="009B1DD8" w:rsidRPr="00782855">
        <w:rPr>
          <w:rFonts w:ascii="Times New Roman" w:hAnsi="Times New Roman"/>
        </w:rPr>
        <w:t xml:space="preserve">a check issuing </w:t>
      </w:r>
      <w:r w:rsidR="00F9694F" w:rsidRPr="00782855">
        <w:rPr>
          <w:rFonts w:ascii="Times New Roman" w:hAnsi="Times New Roman"/>
        </w:rPr>
        <w:t>the cumulative amount</w:t>
      </w:r>
      <w:r w:rsidR="009B1DD8" w:rsidRPr="00782855">
        <w:rPr>
          <w:rFonts w:ascii="Times New Roman" w:hAnsi="Times New Roman"/>
        </w:rPr>
        <w:t xml:space="preserve"> </w:t>
      </w:r>
      <w:r w:rsidR="005878E8">
        <w:rPr>
          <w:rFonts w:ascii="Times New Roman" w:hAnsi="Times New Roman"/>
        </w:rPr>
        <w:t>the participant</w:t>
      </w:r>
      <w:r w:rsidR="009B1DD8" w:rsidRPr="00782855">
        <w:rPr>
          <w:rFonts w:ascii="Times New Roman" w:hAnsi="Times New Roman"/>
        </w:rPr>
        <w:t xml:space="preserve"> has</w:t>
      </w:r>
      <w:r w:rsidR="00F9694F" w:rsidRPr="00782855">
        <w:rPr>
          <w:rFonts w:ascii="Times New Roman" w:hAnsi="Times New Roman"/>
        </w:rPr>
        <w:t xml:space="preserve"> ‘</w:t>
      </w:r>
      <w:r w:rsidR="00290951">
        <w:rPr>
          <w:rFonts w:ascii="Times New Roman" w:hAnsi="Times New Roman"/>
        </w:rPr>
        <w:t>accrued</w:t>
      </w:r>
      <w:r w:rsidR="00290951" w:rsidRPr="00782855">
        <w:rPr>
          <w:rFonts w:ascii="Times New Roman" w:hAnsi="Times New Roman"/>
        </w:rPr>
        <w:t xml:space="preserve">’ </w:t>
      </w:r>
      <w:r w:rsidR="009B1DD8" w:rsidRPr="00782855">
        <w:rPr>
          <w:rFonts w:ascii="Times New Roman" w:hAnsi="Times New Roman"/>
        </w:rPr>
        <w:t>in</w:t>
      </w:r>
      <w:r w:rsidR="00F9694F" w:rsidRPr="00782855">
        <w:rPr>
          <w:rFonts w:ascii="Times New Roman" w:hAnsi="Times New Roman"/>
        </w:rPr>
        <w:t xml:space="preserve"> completing interim surveys—</w:t>
      </w:r>
      <w:r w:rsidR="009B1DD8" w:rsidRPr="00782855">
        <w:rPr>
          <w:rFonts w:ascii="Times New Roman" w:hAnsi="Times New Roman"/>
        </w:rPr>
        <w:t>for example</w:t>
      </w:r>
      <w:r w:rsidR="00F9694F" w:rsidRPr="00782855">
        <w:rPr>
          <w:rFonts w:ascii="Times New Roman" w:hAnsi="Times New Roman"/>
        </w:rPr>
        <w:t xml:space="preserve">, a participant </w:t>
      </w:r>
      <w:r w:rsidR="009B1DD8" w:rsidRPr="00782855">
        <w:rPr>
          <w:rFonts w:ascii="Times New Roman" w:hAnsi="Times New Roman"/>
        </w:rPr>
        <w:t>who</w:t>
      </w:r>
      <w:r w:rsidR="00F9694F" w:rsidRPr="00782855">
        <w:rPr>
          <w:rFonts w:ascii="Times New Roman" w:hAnsi="Times New Roman"/>
        </w:rPr>
        <w:t xml:space="preserve"> responds to three of the five interim surveys will receive $6 and someone </w:t>
      </w:r>
      <w:r w:rsidR="009B1DD8" w:rsidRPr="00782855">
        <w:rPr>
          <w:rFonts w:ascii="Times New Roman" w:hAnsi="Times New Roman"/>
        </w:rPr>
        <w:t>who</w:t>
      </w:r>
      <w:r w:rsidR="00F9694F" w:rsidRPr="00782855">
        <w:rPr>
          <w:rFonts w:ascii="Times New Roman" w:hAnsi="Times New Roman"/>
        </w:rPr>
        <w:t xml:space="preserve"> responds to all five interim surveys will receive $10.   </w:t>
      </w:r>
    </w:p>
    <w:p w14:paraId="0FF15B23" w14:textId="77777777" w:rsidR="006B3329" w:rsidRPr="00782855" w:rsidRDefault="006B3329" w:rsidP="006B3329">
      <w:pPr>
        <w:pStyle w:val="ListParagraph"/>
        <w:ind w:left="360"/>
      </w:pPr>
    </w:p>
    <w:p w14:paraId="7FBB116D" w14:textId="6E8443E8" w:rsidR="00F9694F" w:rsidRPr="00D55D6D" w:rsidRDefault="00782855" w:rsidP="00EE79D0">
      <w:pPr>
        <w:pStyle w:val="ListParagraph"/>
        <w:numPr>
          <w:ilvl w:val="0"/>
          <w:numId w:val="17"/>
        </w:numPr>
        <w:rPr>
          <w:rFonts w:ascii="Times New Roman" w:hAnsi="Times New Roman"/>
        </w:rPr>
      </w:pPr>
      <w:r w:rsidRPr="00D55D6D">
        <w:rPr>
          <w:rFonts w:ascii="Times New Roman" w:hAnsi="Times New Roman"/>
        </w:rPr>
        <w:t xml:space="preserve">Sample members </w:t>
      </w:r>
      <w:r w:rsidR="0085563C">
        <w:rPr>
          <w:rFonts w:ascii="Times New Roman" w:hAnsi="Times New Roman"/>
        </w:rPr>
        <w:t xml:space="preserve">from the New York site </w:t>
      </w:r>
      <w:r w:rsidR="00F9694F" w:rsidRPr="00D55D6D">
        <w:rPr>
          <w:rFonts w:ascii="Times New Roman" w:hAnsi="Times New Roman"/>
        </w:rPr>
        <w:t xml:space="preserve">that complete the six-month follow-up </w:t>
      </w:r>
      <w:r w:rsidR="009B1DD8" w:rsidRPr="00D55D6D">
        <w:rPr>
          <w:rFonts w:ascii="Times New Roman" w:hAnsi="Times New Roman"/>
        </w:rPr>
        <w:t>interview</w:t>
      </w:r>
      <w:r w:rsidR="00F9694F" w:rsidRPr="00D55D6D">
        <w:rPr>
          <w:rFonts w:ascii="Times New Roman" w:hAnsi="Times New Roman"/>
        </w:rPr>
        <w:t xml:space="preserve"> will</w:t>
      </w:r>
      <w:r w:rsidR="0085563C">
        <w:rPr>
          <w:rFonts w:ascii="Times New Roman" w:hAnsi="Times New Roman"/>
        </w:rPr>
        <w:t xml:space="preserve"> continue to</w:t>
      </w:r>
      <w:r w:rsidR="00F9694F" w:rsidRPr="00D55D6D">
        <w:rPr>
          <w:rFonts w:ascii="Times New Roman" w:hAnsi="Times New Roman"/>
        </w:rPr>
        <w:t xml:space="preserve"> receive a check for $25 as a token of appreciation for their participati</w:t>
      </w:r>
      <w:r w:rsidR="006A7892">
        <w:rPr>
          <w:rFonts w:ascii="Times New Roman" w:hAnsi="Times New Roman"/>
        </w:rPr>
        <w:t>on</w:t>
      </w:r>
      <w:r w:rsidR="0085563C">
        <w:rPr>
          <w:rFonts w:ascii="Times New Roman" w:hAnsi="Times New Roman"/>
        </w:rPr>
        <w:t xml:space="preserve">, so as not to </w:t>
      </w:r>
      <w:r w:rsidR="0085563C">
        <w:rPr>
          <w:rFonts w:ascii="Times New Roman" w:hAnsi="Times New Roman"/>
        </w:rPr>
        <w:lastRenderedPageBreak/>
        <w:t xml:space="preserve">disrupt procedures already in place in the offices where the study is being implemented in that city.  </w:t>
      </w:r>
      <w:r w:rsidR="00C027A6">
        <w:rPr>
          <w:rFonts w:ascii="Times New Roman" w:hAnsi="Times New Roman"/>
        </w:rPr>
        <w:t xml:space="preserve">Sample members in </w:t>
      </w:r>
      <w:r w:rsidR="0085563C">
        <w:rPr>
          <w:rFonts w:ascii="Times New Roman" w:hAnsi="Times New Roman"/>
        </w:rPr>
        <w:t>all other</w:t>
      </w:r>
      <w:r w:rsidR="00C027A6">
        <w:rPr>
          <w:rFonts w:ascii="Times New Roman" w:hAnsi="Times New Roman"/>
        </w:rPr>
        <w:t xml:space="preserve"> site</w:t>
      </w:r>
      <w:r w:rsidR="0085563C">
        <w:rPr>
          <w:rFonts w:ascii="Times New Roman" w:hAnsi="Times New Roman"/>
        </w:rPr>
        <w:t>s—once the six-month follow-up survey begins in those locations—</w:t>
      </w:r>
      <w:r w:rsidR="00C027A6">
        <w:rPr>
          <w:rFonts w:ascii="Times New Roman" w:hAnsi="Times New Roman"/>
        </w:rPr>
        <w:t>will</w:t>
      </w:r>
      <w:r w:rsidR="0085563C">
        <w:rPr>
          <w:rFonts w:ascii="Times New Roman" w:hAnsi="Times New Roman"/>
        </w:rPr>
        <w:t xml:space="preserve"> </w:t>
      </w:r>
      <w:r w:rsidR="00C027A6">
        <w:rPr>
          <w:rFonts w:ascii="Times New Roman" w:hAnsi="Times New Roman"/>
        </w:rPr>
        <w:t>receive the $25 in two installments</w:t>
      </w:r>
      <w:r w:rsidR="00840737">
        <w:rPr>
          <w:rFonts w:ascii="Times New Roman" w:hAnsi="Times New Roman"/>
        </w:rPr>
        <w:t>.  The first installment will</w:t>
      </w:r>
      <w:r w:rsidR="00C027A6" w:rsidRPr="00C027A6">
        <w:rPr>
          <w:rFonts w:ascii="Times New Roman" w:hAnsi="Times New Roman"/>
        </w:rPr>
        <w:t xml:space="preserve"> be a $5 gift card, distributed after completion of the baseline information form and random assignm</w:t>
      </w:r>
      <w:r w:rsidR="0019244B">
        <w:rPr>
          <w:rFonts w:ascii="Times New Roman" w:hAnsi="Times New Roman"/>
        </w:rPr>
        <w:t>ent</w:t>
      </w:r>
      <w:r w:rsidR="0085563C">
        <w:rPr>
          <w:rFonts w:ascii="Times New Roman" w:hAnsi="Times New Roman"/>
        </w:rPr>
        <w:t>, in appreciation for completing that form</w:t>
      </w:r>
      <w:r w:rsidR="0019244B">
        <w:rPr>
          <w:rFonts w:ascii="Times New Roman" w:hAnsi="Times New Roman"/>
        </w:rPr>
        <w:t xml:space="preserve">.  The remaining $20 </w:t>
      </w:r>
      <w:r w:rsidR="004B5C35">
        <w:rPr>
          <w:rFonts w:ascii="Times New Roman" w:hAnsi="Times New Roman"/>
        </w:rPr>
        <w:t>will</w:t>
      </w:r>
      <w:r w:rsidR="0019244B">
        <w:rPr>
          <w:rFonts w:ascii="Times New Roman" w:hAnsi="Times New Roman"/>
        </w:rPr>
        <w:t xml:space="preserve"> be</w:t>
      </w:r>
      <w:r w:rsidR="00C027A6" w:rsidRPr="00C027A6">
        <w:rPr>
          <w:rFonts w:ascii="Times New Roman" w:hAnsi="Times New Roman"/>
        </w:rPr>
        <w:t xml:space="preserve"> provided </w:t>
      </w:r>
      <w:r w:rsidR="004B5C35">
        <w:rPr>
          <w:rFonts w:ascii="Times New Roman" w:hAnsi="Times New Roman"/>
        </w:rPr>
        <w:t xml:space="preserve">by check </w:t>
      </w:r>
      <w:r w:rsidR="00C027A6" w:rsidRPr="00C027A6">
        <w:rPr>
          <w:rFonts w:ascii="Times New Roman" w:hAnsi="Times New Roman"/>
        </w:rPr>
        <w:t>upon completion of the six-month follow-up survey</w:t>
      </w:r>
      <w:r w:rsidR="0085563C">
        <w:rPr>
          <w:rFonts w:ascii="Times New Roman" w:hAnsi="Times New Roman"/>
        </w:rPr>
        <w:t xml:space="preserve">, a balance of appreciation tokens more in keeping with where respondent effort is invested.  </w:t>
      </w:r>
      <w:r w:rsidR="00C027A6">
        <w:rPr>
          <w:rFonts w:ascii="Times New Roman" w:hAnsi="Times New Roman"/>
        </w:rPr>
        <w:t xml:space="preserve">.  </w:t>
      </w:r>
      <w:bookmarkStart w:id="21" w:name="_GoBack"/>
      <w:bookmarkEnd w:id="21"/>
      <w:r w:rsidR="00F9694F" w:rsidRPr="00D55D6D">
        <w:rPr>
          <w:rFonts w:ascii="Times New Roman" w:hAnsi="Times New Roman"/>
        </w:rPr>
        <w:t xml:space="preserve">In total, enrolled participants can receive between $2 and $37 dollars depending on how many rounds of data collection they complete.  </w:t>
      </w:r>
    </w:p>
    <w:p w14:paraId="46988246" w14:textId="77777777" w:rsidR="00982F78" w:rsidRDefault="00982F78" w:rsidP="00982F78">
      <w:pPr>
        <w:pStyle w:val="Heading2"/>
      </w:pPr>
      <w:bookmarkStart w:id="22" w:name="_Toc432765875"/>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2"/>
    </w:p>
    <w:p w14:paraId="63CAA50C" w14:textId="71CE8348" w:rsidR="00041508" w:rsidRDefault="00041508" w:rsidP="00041508">
      <w:pPr>
        <w:pStyle w:val="BulletsLast"/>
      </w:pPr>
      <w:r w:rsidRPr="00264162">
        <w:t>Abt</w:t>
      </w:r>
      <w:r w:rsidR="002F385B">
        <w:t xml:space="preserve"> Associates</w:t>
      </w:r>
      <w:r w:rsidR="00F012FA">
        <w:t>, Abt SRBI</w:t>
      </w:r>
      <w:r w:rsidR="00657441">
        <w:t>,</w:t>
      </w:r>
      <w:r w:rsidRPr="00264162">
        <w:t xml:space="preserve"> and Mathematica are very cognizant of </w:t>
      </w:r>
      <w:r w:rsidR="002F385B">
        <w:t xml:space="preserve">and committed to maintaining </w:t>
      </w:r>
      <w:r w:rsidRPr="00264162">
        <w:t xml:space="preserve">federal, state, and </w:t>
      </w:r>
      <w:r w:rsidR="003C390C">
        <w:t>ACF</w:t>
      </w:r>
      <w:r w:rsidRPr="00264162">
        <w:t xml:space="preserve"> data security requirements</w:t>
      </w:r>
      <w:r w:rsidR="005765BF" w:rsidRPr="00264162">
        <w:t xml:space="preserve">.  </w:t>
      </w:r>
      <w:r w:rsidRPr="00264162">
        <w:t xml:space="preserve">All Abt </w:t>
      </w:r>
      <w:r w:rsidR="002F385B">
        <w:t xml:space="preserve">Associates </w:t>
      </w:r>
      <w:r w:rsidRPr="00264162">
        <w:t xml:space="preserve">and Mathematica study staff will comply with relevant policies related to secure data collection, data storage and access, and data dissemination and analysis. </w:t>
      </w:r>
    </w:p>
    <w:p w14:paraId="702AB398" w14:textId="30AF8629" w:rsidR="004464A4" w:rsidRPr="008E061D" w:rsidRDefault="002F385B" w:rsidP="00264162">
      <w:pPr>
        <w:pStyle w:val="BulletsLast"/>
      </w:pPr>
      <w:r>
        <w:t>The JSA research team</w:t>
      </w:r>
      <w:r w:rsidR="00897D0A">
        <w:t xml:space="preserve"> developed strong protocols to help</w:t>
      </w:r>
      <w:r w:rsidR="00264162" w:rsidRPr="00E11EEB">
        <w:t xml:space="preserve"> maintain the privacy of respondents to the</w:t>
      </w:r>
      <w:r w:rsidR="00264162">
        <w:t xml:space="preserve"> extent permitted by law</w:t>
      </w:r>
      <w:r w:rsidR="005765BF">
        <w:t xml:space="preserve">.  </w:t>
      </w:r>
      <w:r w:rsidR="00E11EEB" w:rsidRPr="00E11EEB">
        <w:t xml:space="preserve">All research staff working </w:t>
      </w:r>
      <w:r w:rsidR="00C53ED1">
        <w:t xml:space="preserve">with personally identifiable information (PII) will </w:t>
      </w:r>
      <w:r w:rsidR="00897D0A">
        <w:t>follow strict procedures</w:t>
      </w:r>
      <w:r w:rsidR="00E11EEB" w:rsidRPr="00E11EEB">
        <w:t xml:space="preserve"> to protect private information </w:t>
      </w:r>
      <w:r w:rsidR="00B8739C">
        <w:t>and</w:t>
      </w:r>
      <w:r w:rsidR="00897D0A">
        <w:t xml:space="preserve"> they</w:t>
      </w:r>
      <w:r w:rsidR="00B8739C">
        <w:t xml:space="preserve"> </w:t>
      </w:r>
      <w:r w:rsidR="00C53ED1">
        <w:t>will</w:t>
      </w:r>
      <w:r w:rsidR="00E11EEB" w:rsidRPr="00E11EEB">
        <w:t xml:space="preserve"> sign a pledge stating that they will keep all information gathered private to the extent permissible by law</w:t>
      </w:r>
      <w:r w:rsidR="005765BF" w:rsidRPr="00E11EEB">
        <w:t xml:space="preserve">.  </w:t>
      </w:r>
      <w:r w:rsidR="00E11EEB" w:rsidRPr="00E11EEB">
        <w:t xml:space="preserve">All papers that contain participant names or other identifying information will </w:t>
      </w:r>
      <w:r w:rsidR="00E44790">
        <w:t>reside</w:t>
      </w:r>
      <w:r w:rsidR="00E11EEB" w:rsidRPr="00E11EEB">
        <w:t xml:space="preserve"> in locked areas and</w:t>
      </w:r>
      <w:r w:rsidR="00E44790">
        <w:t xml:space="preserve"> passwords will protect</w:t>
      </w:r>
      <w:r w:rsidR="00E11EEB" w:rsidRPr="00E11EEB">
        <w:t xml:space="preserve"> any </w:t>
      </w:r>
      <w:r w:rsidR="00E11EEB" w:rsidRPr="008E061D">
        <w:t xml:space="preserve">computer documents containing identifying information.  </w:t>
      </w:r>
    </w:p>
    <w:p w14:paraId="6931AF8D" w14:textId="0EDFD1F3" w:rsidR="00451408" w:rsidRDefault="00EA43E2" w:rsidP="002F385B">
      <w:pPr>
        <w:pStyle w:val="BodyText"/>
        <w:rPr>
          <w:szCs w:val="22"/>
        </w:rPr>
      </w:pPr>
      <w:r w:rsidRPr="008E061D">
        <w:t xml:space="preserve">The </w:t>
      </w:r>
      <w:r w:rsidR="00943B5C">
        <w:t>JSA interim surveys and six-month follow-up survey</w:t>
      </w:r>
      <w:r w:rsidR="00987359">
        <w:t xml:space="preserve"> </w:t>
      </w:r>
      <w:r>
        <w:t xml:space="preserve">are purely voluntary.  </w:t>
      </w:r>
      <w:r w:rsidR="00FD4B7B">
        <w:t xml:space="preserve">Prior to the start of each survey, researchers will inform </w:t>
      </w:r>
      <w:r w:rsidR="002F385B">
        <w:t>sample members</w:t>
      </w:r>
      <w:r w:rsidR="00FD4B7B">
        <w:t xml:space="preserve"> </w:t>
      </w:r>
      <w:r w:rsidR="003A1AAE">
        <w:t>that all of their</w:t>
      </w:r>
      <w:r w:rsidR="003A1AAE" w:rsidRPr="003A1AAE">
        <w:t xml:space="preserve"> responses </w:t>
      </w:r>
      <w:r w:rsidR="00D76C30">
        <w:t>will be kept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C53ED1">
        <w:t>voluntary</w:t>
      </w:r>
      <w:r w:rsidR="003A1AAE" w:rsidRPr="003A1AAE">
        <w:t xml:space="preserve">. </w:t>
      </w:r>
      <w:r w:rsidR="002F385B">
        <w:t xml:space="preserve"> Specifically, t</w:t>
      </w:r>
      <w:r w:rsidR="00451408" w:rsidRPr="00451408">
        <w:rPr>
          <w:szCs w:val="22"/>
        </w:rPr>
        <w:t xml:space="preserve">he </w:t>
      </w:r>
      <w:r w:rsidR="00C53ED1">
        <w:rPr>
          <w:szCs w:val="22"/>
        </w:rPr>
        <w:t>research team</w:t>
      </w:r>
      <w:r w:rsidR="00451408" w:rsidRPr="00451408">
        <w:rPr>
          <w:szCs w:val="22"/>
        </w:rPr>
        <w:t xml:space="preserve"> will take the following specific measures to protect respondents’ privacy:</w:t>
      </w:r>
    </w:p>
    <w:p w14:paraId="3228A451" w14:textId="3B861492" w:rsidR="001458B0" w:rsidRPr="001458B0" w:rsidRDefault="00602268" w:rsidP="00FA7161">
      <w:pPr>
        <w:pStyle w:val="BodyText"/>
        <w:numPr>
          <w:ilvl w:val="0"/>
          <w:numId w:val="18"/>
        </w:numPr>
        <w:rPr>
          <w:szCs w:val="22"/>
        </w:rPr>
      </w:pPr>
      <w:r w:rsidRPr="00FD7951">
        <w:rPr>
          <w:b/>
        </w:rPr>
        <w:t>Using rigorous s</w:t>
      </w:r>
      <w:r w:rsidR="00757C0E" w:rsidRPr="00FD7951">
        <w:rPr>
          <w:b/>
        </w:rPr>
        <w:t xml:space="preserve">ecurity measures for </w:t>
      </w:r>
      <w:r w:rsidR="00943B5C">
        <w:rPr>
          <w:b/>
        </w:rPr>
        <w:t>survey</w:t>
      </w:r>
      <w:r w:rsidR="00757C0E" w:rsidRPr="00FD7951">
        <w:rPr>
          <w:b/>
        </w:rPr>
        <w:t xml:space="preserve"> data.  </w:t>
      </w:r>
      <w:r w:rsidR="00757C0E">
        <w:t xml:space="preserve">Abt </w:t>
      </w:r>
      <w:r w:rsidR="002F385B">
        <w:t xml:space="preserve">Associates </w:t>
      </w:r>
      <w:r w:rsidR="00757C0E">
        <w:t xml:space="preserve">and </w:t>
      </w:r>
      <w:r w:rsidR="003E6E0A">
        <w:t xml:space="preserve">Abt SRBI </w:t>
      </w:r>
      <w:r w:rsidR="00757C0E">
        <w:t>have established safeguards that provide for the confidentiality of data and the protection of the privacy of the sampled individuals on all of its studies</w:t>
      </w:r>
      <w:r w:rsidR="001458B0">
        <w:t xml:space="preserve">.  </w:t>
      </w:r>
      <w:r w:rsidR="003E6E0A" w:rsidRPr="001458B0">
        <w:rPr>
          <w:szCs w:val="22"/>
        </w:rPr>
        <w:t xml:space="preserve">All data users are aware of and trained on their responsibilities to protect participants’ personal information, including the limitations on uses and disclosures of data. </w:t>
      </w:r>
      <w:r w:rsidR="001458B0">
        <w:rPr>
          <w:szCs w:val="22"/>
        </w:rPr>
        <w:t xml:space="preserve"> </w:t>
      </w:r>
      <w:r w:rsidR="003E6E0A" w:rsidRPr="001458B0">
        <w:rPr>
          <w:szCs w:val="22"/>
        </w:rPr>
        <w:t xml:space="preserve">Signed data confidentiality agreements are also required. </w:t>
      </w:r>
      <w:r w:rsidR="003E6E0A">
        <w:rPr>
          <w:sz w:val="20"/>
        </w:rPr>
        <w:t xml:space="preserve"> </w:t>
      </w:r>
      <w:r w:rsidR="003E6E0A" w:rsidRPr="001458B0">
        <w:rPr>
          <w:szCs w:val="22"/>
        </w:rPr>
        <w:t xml:space="preserve">All personal data (identifiable and de-identified data analyses files) will </w:t>
      </w:r>
      <w:r w:rsidR="00E44790">
        <w:rPr>
          <w:szCs w:val="22"/>
        </w:rPr>
        <w:t>reside</w:t>
      </w:r>
      <w:r w:rsidR="003E6E0A" w:rsidRPr="001458B0">
        <w:rPr>
          <w:szCs w:val="22"/>
        </w:rPr>
        <w:t xml:space="preserve"> on a secure workstation or server that is protected by a firewall and complex passwords, in a directory that can only be accessed by the network administrators and the analysts actively working on the data.  Survey data collected are stored in secure CATI servers</w:t>
      </w:r>
      <w:r w:rsidR="001458B0">
        <w:rPr>
          <w:szCs w:val="22"/>
        </w:rPr>
        <w:t xml:space="preserve">. </w:t>
      </w:r>
      <w:r w:rsidR="003E6E0A" w:rsidRPr="001458B0">
        <w:rPr>
          <w:szCs w:val="22"/>
        </w:rPr>
        <w:t xml:space="preserve"> Data transfer to and from Abt and Abt SRBI will </w:t>
      </w:r>
      <w:r w:rsidR="001458B0">
        <w:rPr>
          <w:szCs w:val="22"/>
        </w:rPr>
        <w:t>occur</w:t>
      </w:r>
      <w:r w:rsidR="003E6E0A" w:rsidRPr="001458B0">
        <w:rPr>
          <w:szCs w:val="22"/>
        </w:rPr>
        <w:t xml:space="preserve"> through Abt’s secure online file transfer platform that utilizes FIPS 140-2 validated cryptographic modules.  </w:t>
      </w:r>
      <w:r w:rsidR="001458B0">
        <w:rPr>
          <w:szCs w:val="22"/>
        </w:rPr>
        <w:t>Researcher assign g</w:t>
      </w:r>
      <w:r w:rsidR="003E6E0A" w:rsidRPr="001458B0">
        <w:rPr>
          <w:szCs w:val="22"/>
        </w:rPr>
        <w:t xml:space="preserve">eneric study identifiers – not based on PII –  for each study participant to link participant data.  </w:t>
      </w:r>
      <w:r w:rsidR="001458B0">
        <w:rPr>
          <w:szCs w:val="22"/>
        </w:rPr>
        <w:t>PII is removed from a</w:t>
      </w:r>
      <w:r w:rsidR="003E6E0A" w:rsidRPr="001458B0">
        <w:rPr>
          <w:szCs w:val="22"/>
        </w:rPr>
        <w:t>ll electronic files prior to analysis</w:t>
      </w:r>
      <w:r w:rsidR="001458B0">
        <w:rPr>
          <w:szCs w:val="22"/>
        </w:rPr>
        <w:t>.</w:t>
      </w:r>
    </w:p>
    <w:p w14:paraId="54C15C16" w14:textId="77777777" w:rsidR="002F385B" w:rsidRDefault="002F385B" w:rsidP="00FA7161">
      <w:pPr>
        <w:pStyle w:val="BodyText"/>
        <w:numPr>
          <w:ilvl w:val="0"/>
          <w:numId w:val="18"/>
        </w:numPr>
        <w:rPr>
          <w:szCs w:val="22"/>
        </w:rPr>
      </w:pPr>
      <w:r w:rsidRPr="002F385B">
        <w:rPr>
          <w:b/>
          <w:szCs w:val="22"/>
        </w:rPr>
        <w:t xml:space="preserve">Notification of data security breaches.  </w:t>
      </w:r>
      <w:r w:rsidR="003E6E0A" w:rsidRPr="002F385B">
        <w:rPr>
          <w:szCs w:val="22"/>
        </w:rPr>
        <w:t>All study partners</w:t>
      </w:r>
      <w:r w:rsidRPr="002F385B">
        <w:rPr>
          <w:szCs w:val="22"/>
        </w:rPr>
        <w:t xml:space="preserve">, including the sites that are participating in the evaluation, </w:t>
      </w:r>
      <w:r w:rsidR="003E6E0A" w:rsidRPr="002F385B">
        <w:rPr>
          <w:szCs w:val="22"/>
        </w:rPr>
        <w:t xml:space="preserve">are aware that they must notify Abt </w:t>
      </w:r>
      <w:r w:rsidRPr="002F385B">
        <w:rPr>
          <w:szCs w:val="22"/>
        </w:rPr>
        <w:t xml:space="preserve">Associates </w:t>
      </w:r>
      <w:r w:rsidR="003E6E0A" w:rsidRPr="002F385B">
        <w:rPr>
          <w:szCs w:val="22"/>
        </w:rPr>
        <w:t>within one hour of a breach of PII confidentiality per OMB rules.  Study partners are also aware that they must notify Abt within 24 hours from the time any study partner knows of a breach/deviation from the data security plan</w:t>
      </w:r>
      <w:r w:rsidR="003E6E0A" w:rsidRPr="002F385B">
        <w:rPr>
          <w:b/>
          <w:szCs w:val="22"/>
        </w:rPr>
        <w:t xml:space="preserve">. </w:t>
      </w:r>
      <w:r w:rsidR="00E44790" w:rsidRPr="002F385B">
        <w:rPr>
          <w:b/>
          <w:szCs w:val="22"/>
        </w:rPr>
        <w:t xml:space="preserve"> </w:t>
      </w:r>
      <w:r w:rsidR="00E44790" w:rsidRPr="002F385B">
        <w:rPr>
          <w:szCs w:val="22"/>
        </w:rPr>
        <w:t>Researchers will notify ACF of a</w:t>
      </w:r>
      <w:r w:rsidR="003E6E0A" w:rsidRPr="002F385B">
        <w:rPr>
          <w:szCs w:val="22"/>
        </w:rPr>
        <w:t>ny data security breaches, including breaches of protocol no later than 24 hours after Abt staff is made aware of the breach.</w:t>
      </w:r>
      <w:r w:rsidRPr="002F385B">
        <w:rPr>
          <w:szCs w:val="22"/>
        </w:rPr>
        <w:t xml:space="preserve">  </w:t>
      </w:r>
    </w:p>
    <w:p w14:paraId="662EC0F6" w14:textId="18F6AD55" w:rsidR="00451408" w:rsidRPr="002F385B" w:rsidRDefault="00451408" w:rsidP="00FA7161">
      <w:pPr>
        <w:pStyle w:val="BodyText"/>
        <w:numPr>
          <w:ilvl w:val="0"/>
          <w:numId w:val="18"/>
        </w:numPr>
        <w:rPr>
          <w:szCs w:val="22"/>
        </w:rPr>
      </w:pPr>
      <w:r w:rsidRPr="002F385B">
        <w:rPr>
          <w:b/>
          <w:szCs w:val="22"/>
        </w:rPr>
        <w:lastRenderedPageBreak/>
        <w:t xml:space="preserve">Restricting access to the study </w:t>
      </w:r>
      <w:r w:rsidR="00400BC4" w:rsidRPr="002F385B">
        <w:rPr>
          <w:b/>
          <w:szCs w:val="22"/>
        </w:rPr>
        <w:t>network folder</w:t>
      </w:r>
      <w:r w:rsidRPr="002F385B">
        <w:rPr>
          <w:b/>
          <w:szCs w:val="22"/>
        </w:rPr>
        <w:t>.</w:t>
      </w:r>
      <w:r w:rsidR="00E44790" w:rsidRPr="002F385B">
        <w:rPr>
          <w:b/>
          <w:szCs w:val="22"/>
        </w:rPr>
        <w:t xml:space="preserve"> </w:t>
      </w:r>
      <w:r w:rsidRPr="002F385B">
        <w:rPr>
          <w:szCs w:val="22"/>
        </w:rPr>
        <w:t xml:space="preserve"> </w:t>
      </w:r>
      <w:r w:rsidR="00FD4B7B" w:rsidRPr="002F385B">
        <w:rPr>
          <w:szCs w:val="22"/>
        </w:rPr>
        <w:t>Secure servers will store all</w:t>
      </w:r>
      <w:r w:rsidR="00400BC4" w:rsidRPr="002F385B">
        <w:rPr>
          <w:szCs w:val="22"/>
        </w:rPr>
        <w:t xml:space="preserve"> d</w:t>
      </w:r>
      <w:r w:rsidRPr="002F385B">
        <w:rPr>
          <w:szCs w:val="22"/>
        </w:rPr>
        <w:t xml:space="preserve">ata collected </w:t>
      </w:r>
      <w:r w:rsidR="00FF088A" w:rsidRPr="002F385B">
        <w:rPr>
          <w:szCs w:val="22"/>
        </w:rPr>
        <w:t xml:space="preserve">that contains PII for the JSA evaluation. </w:t>
      </w:r>
      <w:r w:rsidR="00FD4B7B" w:rsidRPr="002F385B">
        <w:rPr>
          <w:szCs w:val="22"/>
        </w:rPr>
        <w:t xml:space="preserve"> </w:t>
      </w:r>
      <w:r w:rsidRPr="002F385B">
        <w:rPr>
          <w:szCs w:val="22"/>
        </w:rPr>
        <w:t xml:space="preserve">Access to the </w:t>
      </w:r>
      <w:r w:rsidR="00FF088A" w:rsidRPr="002F385B">
        <w:rPr>
          <w:szCs w:val="22"/>
        </w:rPr>
        <w:t xml:space="preserve">study </w:t>
      </w:r>
      <w:r w:rsidR="00400BC4" w:rsidRPr="002F385B">
        <w:rPr>
          <w:szCs w:val="22"/>
        </w:rPr>
        <w:t>network</w:t>
      </w:r>
      <w:r w:rsidRPr="002F385B">
        <w:rPr>
          <w:szCs w:val="22"/>
        </w:rPr>
        <w:t xml:space="preserve"> will be restricted by assigning a password to each relevant staff member.</w:t>
      </w:r>
    </w:p>
    <w:p w14:paraId="2AAD8E23" w14:textId="77777777" w:rsidR="00451408" w:rsidRPr="00451408" w:rsidRDefault="00451408" w:rsidP="00706065">
      <w:pPr>
        <w:pStyle w:val="NormalSS"/>
        <w:spacing w:after="180" w:line="264" w:lineRule="auto"/>
        <w:ind w:firstLine="0"/>
        <w:jc w:val="left"/>
        <w:rPr>
          <w:rFonts w:ascii="Times New Roman" w:hAnsi="Times New Roman"/>
          <w:sz w:val="22"/>
          <w:szCs w:val="22"/>
        </w:rPr>
      </w:pPr>
      <w:r w:rsidRPr="00451408">
        <w:rPr>
          <w:rFonts w:ascii="Times New Roman" w:hAnsi="Times New Roman"/>
          <w:sz w:val="22"/>
          <w:szCs w:val="22"/>
        </w:rPr>
        <w:t>In addition to these study-specific procedures, the evaluator has extensive corporate administrative and security systems to prevent the unauthorized release of personal records</w:t>
      </w:r>
      <w:r w:rsidR="005765BF">
        <w:rPr>
          <w:rFonts w:ascii="Times New Roman" w:hAnsi="Times New Roman"/>
          <w:sz w:val="22"/>
          <w:szCs w:val="22"/>
        </w:rPr>
        <w:t>.  These systems include</w:t>
      </w:r>
      <w:r w:rsidRPr="00451408">
        <w:rPr>
          <w:rFonts w:ascii="Times New Roman" w:hAnsi="Times New Roman"/>
          <w:sz w:val="22"/>
          <w:szCs w:val="22"/>
        </w:rPr>
        <w:t xml:space="preserve"> state-of-the-art hardware and software for encryption that meets federal standards and other methods of data protection (e.g., requirements for regular password updating), as well as physical security that includes limited key card access and locked data storage areas.</w:t>
      </w:r>
    </w:p>
    <w:p w14:paraId="5F32965A" w14:textId="77777777" w:rsidR="00982F78" w:rsidRPr="004205E1" w:rsidRDefault="00982F78" w:rsidP="00982F78">
      <w:pPr>
        <w:pStyle w:val="Heading2"/>
      </w:pPr>
      <w:bookmarkStart w:id="23" w:name="_Toc432765876"/>
      <w:r w:rsidRPr="000E091F">
        <w:t>A</w:t>
      </w:r>
      <w:r w:rsidR="00B52FE9" w:rsidRPr="000E091F">
        <w:t>.</w:t>
      </w:r>
      <w:r w:rsidRPr="000E091F">
        <w:t>11</w:t>
      </w:r>
      <w:r w:rsidR="00B52FE9">
        <w:tab/>
      </w:r>
      <w:r w:rsidRPr="004205E1">
        <w:t xml:space="preserve">Sensitive </w:t>
      </w:r>
      <w:r>
        <w:t>Q</w:t>
      </w:r>
      <w:r w:rsidRPr="004205E1">
        <w:t>uestions</w:t>
      </w:r>
      <w:bookmarkEnd w:id="23"/>
    </w:p>
    <w:p w14:paraId="5E98D5AE" w14:textId="52115451" w:rsidR="00264162" w:rsidRDefault="004222C1" w:rsidP="0077000E">
      <w:r>
        <w:t xml:space="preserve">None of the survey questions </w:t>
      </w:r>
      <w:r w:rsidR="002F385B">
        <w:t xml:space="preserve">for the JSA Evaluation </w:t>
      </w:r>
      <w:r>
        <w:t xml:space="preserve">are </w:t>
      </w:r>
      <w:r w:rsidR="00E637A7">
        <w:t>sensitive in nature</w:t>
      </w:r>
      <w:r>
        <w:t>.  The most sen</w:t>
      </w:r>
      <w:r w:rsidR="00380CC6">
        <w:t>si</w:t>
      </w:r>
      <w:r>
        <w:t>tive questions</w:t>
      </w:r>
      <w:r w:rsidR="002F385B">
        <w:t xml:space="preserve"> relate to </w:t>
      </w:r>
      <w:r>
        <w:t>income</w:t>
      </w:r>
      <w:r w:rsidR="002F385B">
        <w:t>, public benefit receipt, factors that affect their ability to work, and perceptions of one’s own skills (e.g. perseverance, self-efficacy).  Since job search assistance services</w:t>
      </w:r>
      <w:r>
        <w:t xml:space="preserve"> should result </w:t>
      </w:r>
      <w:r w:rsidR="002F385B">
        <w:t xml:space="preserve">in increased </w:t>
      </w:r>
      <w:r>
        <w:t>income</w:t>
      </w:r>
      <w:r w:rsidR="002F385B">
        <w:t xml:space="preserve"> and reduced public benefit receipt</w:t>
      </w:r>
      <w:r>
        <w:t xml:space="preserve">, these are important domains to measure.  </w:t>
      </w:r>
      <w:r w:rsidR="002F385B">
        <w:t>The other items are</w:t>
      </w:r>
      <w:r w:rsidR="008E36E2" w:rsidRPr="002542A7">
        <w:t xml:space="preserve"> necessary to</w:t>
      </w:r>
      <w:r w:rsidR="008E36E2">
        <w:t xml:space="preserve"> </w:t>
      </w:r>
      <w:r w:rsidR="008E36E2" w:rsidRPr="002542A7">
        <w:t xml:space="preserve">evaluate </w:t>
      </w:r>
      <w:r w:rsidR="0013725D">
        <w:t>the mediating role of these factors in the impact</w:t>
      </w:r>
      <w:r w:rsidR="008E36E2">
        <w:t xml:space="preserve"> </w:t>
      </w:r>
      <w:r w:rsidR="002F385B">
        <w:t>of the contrasting</w:t>
      </w:r>
      <w:r w:rsidR="0013725D">
        <w:t xml:space="preserve"> JSA services </w:t>
      </w:r>
      <w:r w:rsidR="008E36E2">
        <w:t xml:space="preserve">on </w:t>
      </w:r>
      <w:r w:rsidR="0013725D">
        <w:t>economic outcomes</w:t>
      </w:r>
      <w:r w:rsidR="008E36E2">
        <w:t xml:space="preserve">. </w:t>
      </w:r>
      <w:r w:rsidR="003E6E0A">
        <w:t xml:space="preserve"> Interviewers </w:t>
      </w:r>
      <w:r w:rsidR="008E36E2">
        <w:t xml:space="preserve">will remind study </w:t>
      </w:r>
      <w:r w:rsidR="003E6E0A">
        <w:t xml:space="preserve">participants </w:t>
      </w:r>
      <w:r w:rsidR="008E36E2" w:rsidRPr="002542A7">
        <w:t xml:space="preserve">during the </w:t>
      </w:r>
      <w:r w:rsidR="008E36E2">
        <w:t>interviewing process</w:t>
      </w:r>
      <w:r w:rsidR="008E36E2" w:rsidRPr="002542A7">
        <w:t xml:space="preserve"> that </w:t>
      </w:r>
      <w:r w:rsidR="008E36E2">
        <w:t xml:space="preserve">they may refuse to answer individual items. </w:t>
      </w:r>
      <w:r w:rsidR="003E6E0A">
        <w:t>Interviewers will also provide assurances to participants that their</w:t>
      </w:r>
      <w:r w:rsidR="008E36E2" w:rsidRPr="002542A7">
        <w:t xml:space="preserve"> responses will be kept </w:t>
      </w:r>
      <w:r w:rsidR="008E36E2">
        <w:t>private</w:t>
      </w:r>
      <w:r w:rsidR="008E36E2" w:rsidRPr="002542A7">
        <w:t xml:space="preserve"> to enc</w:t>
      </w:r>
      <w:r w:rsidR="008E36E2">
        <w:t xml:space="preserve">ourage candid responses. </w:t>
      </w:r>
    </w:p>
    <w:p w14:paraId="284A62E2" w14:textId="77777777" w:rsidR="00982F78" w:rsidRDefault="00982F78" w:rsidP="00982F78">
      <w:pPr>
        <w:pStyle w:val="Heading2"/>
      </w:pPr>
      <w:bookmarkStart w:id="24" w:name="_Toc432765877"/>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24"/>
    </w:p>
    <w:p w14:paraId="75F6610E" w14:textId="3E49284C" w:rsidR="00E2395F" w:rsidRDefault="00041508" w:rsidP="00613984">
      <w:pPr>
        <w:pStyle w:val="BodyText"/>
        <w:tabs>
          <w:tab w:val="left" w:pos="3780"/>
        </w:tabs>
      </w:pPr>
      <w:r>
        <w:t>T</w:t>
      </w:r>
      <w:r w:rsidRPr="008C0071">
        <w:t>he</w:t>
      </w:r>
      <w:r w:rsidR="00FD4B7B">
        <w:t xml:space="preserve"> estimated</w:t>
      </w:r>
      <w:r w:rsidRPr="008C0071">
        <w:t xml:space="preserve"> time burden for </w:t>
      </w:r>
      <w:r w:rsidR="00737138">
        <w:t>completing the</w:t>
      </w:r>
      <w:r w:rsidR="009B1DD8">
        <w:t xml:space="preserve"> </w:t>
      </w:r>
      <w:r w:rsidR="00E2395F">
        <w:t xml:space="preserve">data collection instruments discussed in this package are as follows: </w:t>
      </w:r>
    </w:p>
    <w:p w14:paraId="617BF435" w14:textId="22F44959" w:rsidR="00E2395F" w:rsidRDefault="00E2395F" w:rsidP="00FA7161">
      <w:pPr>
        <w:pStyle w:val="BodyText"/>
        <w:numPr>
          <w:ilvl w:val="0"/>
          <w:numId w:val="19"/>
        </w:numPr>
        <w:tabs>
          <w:tab w:val="left" w:pos="3780"/>
        </w:tabs>
      </w:pPr>
      <w:r>
        <w:t>Five minutes for the contact form.</w:t>
      </w:r>
    </w:p>
    <w:p w14:paraId="1AA73937" w14:textId="75BC0BCA" w:rsidR="00E2395F" w:rsidRDefault="00E2395F" w:rsidP="00FA7161">
      <w:pPr>
        <w:pStyle w:val="BodyText"/>
        <w:numPr>
          <w:ilvl w:val="0"/>
          <w:numId w:val="19"/>
        </w:numPr>
        <w:tabs>
          <w:tab w:val="left" w:pos="3780"/>
        </w:tabs>
      </w:pPr>
      <w:r>
        <w:t xml:space="preserve">Ten minutes for each </w:t>
      </w:r>
      <w:r w:rsidR="0093255B">
        <w:t>interim</w:t>
      </w:r>
      <w:r>
        <w:t xml:space="preserve"> tra</w:t>
      </w:r>
      <w:r w:rsidR="0077000E">
        <w:t xml:space="preserve">cking survey </w:t>
      </w:r>
      <w:r>
        <w:t>(</w:t>
      </w:r>
      <w:r w:rsidR="0077000E">
        <w:t>including five</w:t>
      </w:r>
      <w:r w:rsidR="00257323">
        <w:t xml:space="preserve"> minutes for</w:t>
      </w:r>
      <w:r w:rsidR="0077000E">
        <w:t xml:space="preserve"> the substantive questions and five</w:t>
      </w:r>
      <w:r w:rsidR="00257323">
        <w:t xml:space="preserve"> minutes for the linked contact updating</w:t>
      </w:r>
      <w:r>
        <w:t>).</w:t>
      </w:r>
    </w:p>
    <w:p w14:paraId="48C03671" w14:textId="1102B0C0" w:rsidR="00041508" w:rsidRDefault="00E2395F" w:rsidP="00FA7161">
      <w:pPr>
        <w:pStyle w:val="BodyText"/>
        <w:numPr>
          <w:ilvl w:val="0"/>
          <w:numId w:val="19"/>
        </w:numPr>
        <w:tabs>
          <w:tab w:val="left" w:pos="3780"/>
        </w:tabs>
      </w:pPr>
      <w:r>
        <w:t>Twenty</w:t>
      </w:r>
      <w:r w:rsidR="00AB28C9">
        <w:t xml:space="preserve"> minutes</w:t>
      </w:r>
      <w:r>
        <w:t xml:space="preserve"> for the six-month follow-up survey (a</w:t>
      </w:r>
      <w:r w:rsidR="00257323">
        <w:t>s noted previously, if</w:t>
      </w:r>
      <w:r w:rsidR="0077000E">
        <w:t xml:space="preserve"> </w:t>
      </w:r>
      <w:r>
        <w:t xml:space="preserve">a formal </w:t>
      </w:r>
      <w:r w:rsidR="0077000E">
        <w:t>pretesting indicates that the six</w:t>
      </w:r>
      <w:r w:rsidR="00257323">
        <w:t>-month survey will take longer than 20 minutes, then we will cut some items</w:t>
      </w:r>
      <w:r>
        <w:t>)</w:t>
      </w:r>
      <w:r w:rsidR="00257323">
        <w:t xml:space="preserve">.  To </w:t>
      </w:r>
      <w:r>
        <w:t xml:space="preserve">estimate the length of the survey, we conducted initial mock </w:t>
      </w:r>
      <w:r w:rsidR="00FD4B7B">
        <w:t xml:space="preserve">interviews </w:t>
      </w:r>
      <w:r>
        <w:t xml:space="preserve">with research team members </w:t>
      </w:r>
      <w:r w:rsidR="00FD4B7B">
        <w:t xml:space="preserve">and </w:t>
      </w:r>
      <w:r>
        <w:t xml:space="preserve">drew on </w:t>
      </w:r>
      <w:r w:rsidR="00FD4B7B" w:rsidRPr="008C0071">
        <w:t xml:space="preserve">previous experience </w:t>
      </w:r>
      <w:r w:rsidR="00FD4B7B">
        <w:t>on numerous other studies conducted by Abt Associates using similar items and forms.</w:t>
      </w:r>
      <w:r w:rsidR="005765BF">
        <w:t xml:space="preserve">  </w:t>
      </w:r>
      <w:r w:rsidR="00854CCF">
        <w:t>Other studies using similar items and forms upon which th</w:t>
      </w:r>
      <w:r w:rsidR="009B1DD8">
        <w:t>ese</w:t>
      </w:r>
      <w:r w:rsidR="00854CCF">
        <w:t xml:space="preserve"> time estimate</w:t>
      </w:r>
      <w:r w:rsidR="009B1DD8">
        <w:t>s are</w:t>
      </w:r>
      <w:r w:rsidR="00B8739C">
        <w:t xml:space="preserve"> </w:t>
      </w:r>
      <w:r w:rsidR="00E56863">
        <w:t>based include</w:t>
      </w:r>
      <w:r w:rsidR="00854CCF">
        <w:t xml:space="preserve"> the </w:t>
      </w:r>
      <w:r w:rsidR="00E05BCD">
        <w:t>Pathways for Advancing Careers and Education (PACE) Evaluation</w:t>
      </w:r>
      <w:r w:rsidR="00854CCF">
        <w:t xml:space="preserve"> </w:t>
      </w:r>
      <w:r w:rsidR="006A7892">
        <w:t xml:space="preserve">(0970-0397) </w:t>
      </w:r>
      <w:r w:rsidR="00854CCF">
        <w:t>and the Health Professions Opportunity Grant</w:t>
      </w:r>
      <w:r w:rsidR="00846A25">
        <w:t>s</w:t>
      </w:r>
      <w:r w:rsidR="00854CCF">
        <w:t xml:space="preserve"> </w:t>
      </w:r>
      <w:r w:rsidR="00E05BCD">
        <w:t xml:space="preserve">(HPOG) </w:t>
      </w:r>
      <w:r w:rsidR="00854CCF">
        <w:t>Impact Evaluation</w:t>
      </w:r>
      <w:r w:rsidR="00B8739C">
        <w:t xml:space="preserve"> </w:t>
      </w:r>
      <w:r w:rsidR="006A7892">
        <w:t xml:space="preserve">(OMB # 0970-0394) </w:t>
      </w:r>
      <w:r w:rsidR="00B8739C">
        <w:t>both</w:t>
      </w:r>
      <w:r w:rsidR="00854CCF">
        <w:t xml:space="preserve"> conducted for ACF and the Green Jobs and Health Care Impact Evaluation</w:t>
      </w:r>
      <w:r w:rsidR="00324653">
        <w:t xml:space="preserve"> (OMB # 1205-0481)</w:t>
      </w:r>
      <w:r w:rsidR="00854CCF">
        <w:t xml:space="preserve"> conducted for the U.S. Department of Labor.</w:t>
      </w:r>
    </w:p>
    <w:p w14:paraId="10F56BB0" w14:textId="6A47A955" w:rsidR="00982F78" w:rsidRDefault="00982F78" w:rsidP="003B0879">
      <w:pPr>
        <w:pStyle w:val="BodyText"/>
      </w:pPr>
      <w:r>
        <w:t>Exhibit A-</w:t>
      </w:r>
      <w:r w:rsidR="00FA7161">
        <w:t>2</w:t>
      </w:r>
      <w:r w:rsidR="00530537">
        <w:t xml:space="preserve"> </w:t>
      </w:r>
      <w:r>
        <w:t xml:space="preserve">presents the </w:t>
      </w:r>
      <w:r w:rsidR="00B45189">
        <w:t xml:space="preserve">estimated </w:t>
      </w:r>
      <w:r>
        <w:t xml:space="preserve">reporting burden on study </w:t>
      </w:r>
      <w:r w:rsidR="00660FE2">
        <w:t>respondents</w:t>
      </w:r>
      <w:r>
        <w:t xml:space="preserve"> completing </w:t>
      </w:r>
      <w:r w:rsidR="00B45189">
        <w:t>all</w:t>
      </w:r>
      <w:r>
        <w:t xml:space="preserve"> instruments</w:t>
      </w:r>
      <w:r w:rsidR="000A484D">
        <w:t>—those previously approved by OMB as well as those</w:t>
      </w:r>
      <w:r>
        <w:t xml:space="preserve"> included in this data collection request and their total cost.</w:t>
      </w:r>
      <w:r w:rsidR="005073E4">
        <w:t xml:space="preserve">  </w:t>
      </w:r>
      <w:r w:rsidR="00D22859">
        <w:t xml:space="preserve">We note that the burden estimates for the previously approved instruments </w:t>
      </w:r>
      <w:r w:rsidR="00FB50FF">
        <w:t>(</w:t>
      </w:r>
      <w:r w:rsidR="007A3925">
        <w:t xml:space="preserve">the Baseline Information Form, </w:t>
      </w:r>
      <w:r w:rsidR="00FB50FF">
        <w:t>the</w:t>
      </w:r>
      <w:r w:rsidR="00B92A04">
        <w:t xml:space="preserve"> implementation study site visit and interviews</w:t>
      </w:r>
      <w:r w:rsidR="007A3925">
        <w:t>,</w:t>
      </w:r>
      <w:r w:rsidR="00FB50FF">
        <w:t xml:space="preserve"> and the JSA staff survey) </w:t>
      </w:r>
      <w:r w:rsidR="00D22859">
        <w:t>have been revised</w:t>
      </w:r>
      <w:r w:rsidR="00FA7161">
        <w:t xml:space="preserve"> due </w:t>
      </w:r>
      <w:r w:rsidR="00FD738B">
        <w:t xml:space="preserve">to </w:t>
      </w:r>
      <w:r w:rsidR="00FA7161">
        <w:t>reductions in the number</w:t>
      </w:r>
      <w:r w:rsidR="00B92A04">
        <w:t xml:space="preserve"> of sites in the evaluation, and thus a reduction in </w:t>
      </w:r>
      <w:r w:rsidR="007A3925">
        <w:t>sample size projections</w:t>
      </w:r>
      <w:r w:rsidR="00D22859">
        <w:t>.</w:t>
      </w:r>
      <w:r w:rsidR="00327D6A">
        <w:t xml:space="preserve">  The burden estimates for the baseline forms assumed a total sample of 25,000 across 10 sites.  At the time of this submission, we project a total sample of 8,000 participants across </w:t>
      </w:r>
      <w:r w:rsidR="00FD738B">
        <w:t xml:space="preserve">five </w:t>
      </w:r>
      <w:r w:rsidR="00327D6A">
        <w:t xml:space="preserve">sites. </w:t>
      </w:r>
      <w:r w:rsidR="00D22859">
        <w:t xml:space="preserve">  </w:t>
      </w:r>
    </w:p>
    <w:p w14:paraId="32310239" w14:textId="77777777" w:rsidR="00982F78" w:rsidRDefault="00B45189" w:rsidP="003B0879">
      <w:pPr>
        <w:pStyle w:val="BodyText"/>
        <w:rPr>
          <w:szCs w:val="22"/>
        </w:rPr>
      </w:pPr>
      <w:r>
        <w:rPr>
          <w:szCs w:val="22"/>
        </w:rPr>
        <w:lastRenderedPageBreak/>
        <w:t>To place a value on respondents’ time, w</w:t>
      </w:r>
      <w:r w:rsidR="00A219DF" w:rsidRPr="00B75AF8">
        <w:rPr>
          <w:szCs w:val="22"/>
        </w:rPr>
        <w:t>e calculated</w:t>
      </w:r>
      <w:r w:rsidR="00982F78" w:rsidRPr="00B75AF8">
        <w:rPr>
          <w:szCs w:val="22"/>
        </w:rPr>
        <w:t xml:space="preserve"> average hourly wage</w:t>
      </w:r>
      <w:r>
        <w:rPr>
          <w:szCs w:val="22"/>
        </w:rPr>
        <w:t xml:space="preserve"> rates</w:t>
      </w:r>
      <w:r>
        <w:rPr>
          <w:rStyle w:val="FootnoteReference"/>
          <w:szCs w:val="22"/>
        </w:rPr>
        <w:footnoteReference w:id="7"/>
      </w:r>
      <w:r>
        <w:rPr>
          <w:szCs w:val="22"/>
        </w:rPr>
        <w:t xml:space="preserve"> for various categories of </w:t>
      </w:r>
      <w:r w:rsidR="00982F78" w:rsidRPr="00B75AF8">
        <w:rPr>
          <w:szCs w:val="22"/>
        </w:rPr>
        <w:t>respondent</w:t>
      </w:r>
      <w:r>
        <w:rPr>
          <w:szCs w:val="22"/>
        </w:rPr>
        <w:t>s</w:t>
      </w:r>
      <w:r w:rsidR="00982F78" w:rsidRPr="00B75AF8">
        <w:rPr>
          <w:szCs w:val="22"/>
        </w:rPr>
        <w:t xml:space="preserve"> based on information from the Bureau of Labor Statistics</w:t>
      </w:r>
      <w:r w:rsidR="00982F78" w:rsidRPr="00B75AF8">
        <w:rPr>
          <w:rStyle w:val="FootnoteReference"/>
          <w:szCs w:val="22"/>
        </w:rPr>
        <w:footnoteReference w:id="8"/>
      </w:r>
      <w:r w:rsidR="00982F78" w:rsidRPr="00B75AF8">
        <w:rPr>
          <w:szCs w:val="22"/>
        </w:rPr>
        <w:t xml:space="preserve"> </w:t>
      </w:r>
      <w:r>
        <w:rPr>
          <w:szCs w:val="22"/>
        </w:rPr>
        <w:t>and</w:t>
      </w:r>
      <w:r w:rsidR="00982F78" w:rsidRPr="00B75AF8">
        <w:rPr>
          <w:szCs w:val="22"/>
        </w:rPr>
        <w:t xml:space="preserve"> the federal minimum wage</w:t>
      </w:r>
      <w:r w:rsidR="00982F78" w:rsidRPr="00A27F94">
        <w:rPr>
          <w:szCs w:val="22"/>
        </w:rPr>
        <w:t>:</w:t>
      </w:r>
      <w:r w:rsidR="00982F78">
        <w:rPr>
          <w:szCs w:val="22"/>
        </w:rPr>
        <w:t xml:space="preserve"> </w:t>
      </w:r>
    </w:p>
    <w:p w14:paraId="5A40B8B7" w14:textId="77777777" w:rsidR="00CF3DEF" w:rsidRDefault="00CF3DEF" w:rsidP="00FA7161">
      <w:pPr>
        <w:pStyle w:val="Bullets"/>
        <w:numPr>
          <w:ilvl w:val="0"/>
          <w:numId w:val="20"/>
        </w:numPr>
      </w:pPr>
      <w:r>
        <w:t>Sample members</w:t>
      </w:r>
      <w:r w:rsidR="00982F78" w:rsidRPr="00A27F94">
        <w:t xml:space="preserve">: </w:t>
      </w:r>
      <w:r w:rsidR="00413582" w:rsidRPr="00413582">
        <w:t xml:space="preserve">The average hourly wage for respondents is based on the average </w:t>
      </w:r>
      <w:r w:rsidR="001B4BD7">
        <w:t xml:space="preserve">minimum wage rates in the </w:t>
      </w:r>
      <w:r w:rsidR="00413582" w:rsidRPr="00413582">
        <w:t>JSA evaluation site states</w:t>
      </w:r>
      <w:r w:rsidR="001B4BD7">
        <w:t xml:space="preserve"> (at the time of submission)</w:t>
      </w:r>
      <w:r w:rsidR="00413582" w:rsidRPr="00413582">
        <w:t xml:space="preserve"> and was calculated by multiplying the average minimum hourly wage ($8.41) by 1.4 to account for the value of fringe benefits when working (equal to 40 percent of the hourly wage).  </w:t>
      </w:r>
    </w:p>
    <w:p w14:paraId="6A7011CF" w14:textId="77777777" w:rsidR="00CF3DEF" w:rsidRDefault="000A484D" w:rsidP="00FA7161">
      <w:pPr>
        <w:pStyle w:val="Bullets"/>
        <w:numPr>
          <w:ilvl w:val="0"/>
          <w:numId w:val="20"/>
        </w:numPr>
      </w:pPr>
      <w:r>
        <w:t>Implementation Study Site Visit Respondents</w:t>
      </w:r>
      <w:r w:rsidR="00B45189">
        <w:t>:  Based on</w:t>
      </w:r>
      <w:r>
        <w:t xml:space="preserve"> a blended rate of using the </w:t>
      </w:r>
      <w:r w:rsidR="00B45189">
        <w:t xml:space="preserve"> </w:t>
      </w:r>
      <w:r w:rsidR="00982F78" w:rsidRPr="00676553">
        <w:t>Community and Social Service Occupations (SOC 21-0000)</w:t>
      </w:r>
      <w:r w:rsidR="00B45189">
        <w:t>, using a</w:t>
      </w:r>
      <w:r w:rsidR="00982F78" w:rsidRPr="00676553">
        <w:t xml:space="preserve"> wage rate of $21.</w:t>
      </w:r>
      <w:r w:rsidR="00BA4882">
        <w:t>50</w:t>
      </w:r>
      <w:r w:rsidR="00982F78" w:rsidRPr="00676553">
        <w:t xml:space="preserve"> plus a 40 percent adjustment for benefits, or $</w:t>
      </w:r>
      <w:r w:rsidR="00BA4882">
        <w:t>30</w:t>
      </w:r>
      <w:r w:rsidR="00982F78" w:rsidRPr="00676553">
        <w:t>.</w:t>
      </w:r>
      <w:r w:rsidR="00BA4882">
        <w:t>01</w:t>
      </w:r>
      <w:r>
        <w:t xml:space="preserve"> and </w:t>
      </w:r>
      <w:r w:rsidRPr="00676553">
        <w:t>Social and Community Service Manager Occupations (SOC 11-9</w:t>
      </w:r>
      <w:r>
        <w:t>1</w:t>
      </w:r>
      <w:r w:rsidRPr="00676553">
        <w:t>51)</w:t>
      </w:r>
      <w:r>
        <w:t>, using a</w:t>
      </w:r>
      <w:r w:rsidRPr="00676553">
        <w:t xml:space="preserve"> wage rate of $3</w:t>
      </w:r>
      <w:r>
        <w:t>1</w:t>
      </w:r>
      <w:r w:rsidRPr="00676553">
        <w:t>.</w:t>
      </w:r>
      <w:r>
        <w:t>61</w:t>
      </w:r>
      <w:r w:rsidRPr="00676553">
        <w:t>, plus a 40 percent adjustment for benefits, or $4</w:t>
      </w:r>
      <w:r>
        <w:t>4</w:t>
      </w:r>
      <w:r w:rsidRPr="00676553">
        <w:t>.</w:t>
      </w:r>
      <w:r>
        <w:t>25</w:t>
      </w:r>
      <w:r w:rsidRPr="00676553">
        <w:t xml:space="preserve">.  </w:t>
      </w:r>
      <w:r>
        <w:t>The average rate is thus $37.31</w:t>
      </w:r>
      <w:r w:rsidR="00982F78" w:rsidRPr="00676553">
        <w:t xml:space="preserve">.  </w:t>
      </w:r>
    </w:p>
    <w:p w14:paraId="5E56420E" w14:textId="68682942" w:rsidR="000A484D" w:rsidRDefault="000A484D" w:rsidP="00FA7161">
      <w:pPr>
        <w:pStyle w:val="Bullets"/>
        <w:numPr>
          <w:ilvl w:val="0"/>
          <w:numId w:val="20"/>
        </w:numPr>
      </w:pPr>
      <w:r>
        <w:t xml:space="preserve">JSA Staff Survey Respondents:  Based on a blended rate of using the  </w:t>
      </w:r>
      <w:r w:rsidRPr="00676553">
        <w:t>Community and Social Service Occupations (SOC 21-0000)</w:t>
      </w:r>
      <w:r>
        <w:t>, using a</w:t>
      </w:r>
      <w:r w:rsidRPr="00676553">
        <w:t xml:space="preserve"> wage rate of $21.</w:t>
      </w:r>
      <w:r>
        <w:t>50</w:t>
      </w:r>
      <w:r w:rsidRPr="00676553">
        <w:t xml:space="preserve"> plus a 40 percent adjustment for benefits, or $</w:t>
      </w:r>
      <w:r>
        <w:t>30</w:t>
      </w:r>
      <w:r w:rsidRPr="00676553">
        <w:t>.</w:t>
      </w:r>
      <w:r>
        <w:t xml:space="preserve">01 and </w:t>
      </w:r>
      <w:r w:rsidRPr="00676553">
        <w:t>Social and Community Service Manager Occupations (SOC 11-9</w:t>
      </w:r>
      <w:r>
        <w:t>1</w:t>
      </w:r>
      <w:r w:rsidRPr="00676553">
        <w:t>51)</w:t>
      </w:r>
      <w:r>
        <w:t>, using a</w:t>
      </w:r>
      <w:r w:rsidRPr="00676553">
        <w:t xml:space="preserve"> wage rate of $3</w:t>
      </w:r>
      <w:r>
        <w:t>1</w:t>
      </w:r>
      <w:r w:rsidRPr="00676553">
        <w:t>.</w:t>
      </w:r>
      <w:r>
        <w:t>61</w:t>
      </w:r>
      <w:r w:rsidRPr="00676553">
        <w:t>, plus a 40 percent adjustment for benefits, or $4</w:t>
      </w:r>
      <w:r>
        <w:t>4</w:t>
      </w:r>
      <w:r w:rsidRPr="00676553">
        <w:t>.</w:t>
      </w:r>
      <w:r>
        <w:t>25</w:t>
      </w:r>
      <w:r w:rsidRPr="00676553">
        <w:t xml:space="preserve">.  </w:t>
      </w:r>
      <w:r>
        <w:t>The average rate is thus $37.31</w:t>
      </w:r>
      <w:r w:rsidRPr="00676553">
        <w:t xml:space="preserve">.  </w:t>
      </w:r>
    </w:p>
    <w:p w14:paraId="34A46019" w14:textId="77777777"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14:paraId="21075E66" w14:textId="6DDC5609" w:rsidR="00982F78" w:rsidRDefault="00982F78" w:rsidP="0075046F">
      <w:pPr>
        <w:pStyle w:val="ExhibitTitle0"/>
      </w:pPr>
      <w:r w:rsidRPr="00346F17">
        <w:t>Exhibit A</w:t>
      </w:r>
      <w:r w:rsidR="008A2B09">
        <w:t>-</w:t>
      </w:r>
      <w:r w:rsidR="00B92A04">
        <w:t>2</w:t>
      </w:r>
      <w:r w:rsidRPr="00346F17">
        <w:t xml:space="preserve"> Annual Information Collection Activities and Cost</w:t>
      </w:r>
    </w:p>
    <w:tbl>
      <w:tblPr>
        <w:tblW w:w="10513"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88"/>
        <w:gridCol w:w="1260"/>
        <w:gridCol w:w="1260"/>
        <w:gridCol w:w="1260"/>
        <w:gridCol w:w="1315"/>
        <w:gridCol w:w="1080"/>
        <w:gridCol w:w="990"/>
        <w:gridCol w:w="1260"/>
      </w:tblGrid>
      <w:tr w:rsidR="00AF4115" w:rsidRPr="008D6F06" w14:paraId="08C6BF2D" w14:textId="77777777" w:rsidTr="00AF4115">
        <w:trPr>
          <w:cantSplit/>
          <w:tblHeader/>
        </w:trPr>
        <w:tc>
          <w:tcPr>
            <w:tcW w:w="2088"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32BD3530" w14:textId="77777777" w:rsidR="00AF4115" w:rsidRPr="00E63DFD" w:rsidRDefault="00AF4115" w:rsidP="0075046F">
            <w:pPr>
              <w:pStyle w:val="Exhibit"/>
              <w:rPr>
                <w:b/>
                <w:color w:val="FFFFFF" w:themeColor="background1"/>
              </w:rPr>
            </w:pPr>
            <w:r w:rsidRPr="00E63DFD">
              <w:rPr>
                <w:b/>
                <w:color w:val="FFFFFF" w:themeColor="background1"/>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FAE4CE1" w14:textId="77777777" w:rsidR="00AF4115" w:rsidRPr="00E63DFD" w:rsidRDefault="00AF4115" w:rsidP="0075046F">
            <w:pPr>
              <w:pStyle w:val="Exhibit"/>
              <w:jc w:val="center"/>
              <w:rPr>
                <w:b/>
                <w:color w:val="FFFFFF" w:themeColor="background1"/>
              </w:rPr>
            </w:pPr>
            <w:r w:rsidRPr="00E63DFD">
              <w:rPr>
                <w:b/>
                <w:color w:val="FFFFFF" w:themeColor="background1"/>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tcPr>
          <w:p w14:paraId="7CC8106D" w14:textId="77777777" w:rsidR="00AF4115" w:rsidRPr="00E63DFD" w:rsidRDefault="00AF4115" w:rsidP="00793AE0">
            <w:pPr>
              <w:pStyle w:val="Exhibit"/>
              <w:jc w:val="center"/>
              <w:rPr>
                <w:b/>
                <w:color w:val="FFFFFF" w:themeColor="background1"/>
              </w:rPr>
            </w:pPr>
          </w:p>
          <w:p w14:paraId="222B2ABF" w14:textId="77777777" w:rsidR="00AF4115" w:rsidRPr="00E63DFD" w:rsidRDefault="00AF4115" w:rsidP="00793AE0">
            <w:pPr>
              <w:pStyle w:val="Exhibit"/>
              <w:jc w:val="center"/>
              <w:rPr>
                <w:b/>
                <w:color w:val="FFFFFF" w:themeColor="background1"/>
              </w:rPr>
            </w:pPr>
            <w:r w:rsidRPr="00E63DFD">
              <w:rPr>
                <w:b/>
                <w:color w:val="FFFFFF" w:themeColor="background1"/>
              </w:rPr>
              <w:t>Annual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6D13B2AE" w14:textId="77777777" w:rsidR="00AF4115" w:rsidRPr="00E63DFD" w:rsidRDefault="00AF4115" w:rsidP="0075046F">
            <w:pPr>
              <w:pStyle w:val="Exhibit"/>
              <w:jc w:val="center"/>
              <w:rPr>
                <w:b/>
                <w:color w:val="FFFFFF" w:themeColor="background1"/>
              </w:rPr>
            </w:pPr>
            <w:r w:rsidRPr="00E63DFD">
              <w:rPr>
                <w:b/>
                <w:color w:val="FFFFFF" w:themeColor="background1"/>
              </w:rPr>
              <w:t>Number of Responses Per Respondent</w:t>
            </w:r>
          </w:p>
        </w:tc>
        <w:tc>
          <w:tcPr>
            <w:tcW w:w="1315"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427737E1" w14:textId="3C6ED854" w:rsidR="00AF4115" w:rsidRPr="00E63DFD" w:rsidRDefault="00AF4115" w:rsidP="0075046F">
            <w:pPr>
              <w:pStyle w:val="Exhibit"/>
              <w:jc w:val="center"/>
              <w:rPr>
                <w:b/>
                <w:color w:val="FFFFFF" w:themeColor="background1"/>
              </w:rPr>
            </w:pPr>
            <w:r w:rsidRPr="00E63DFD">
              <w:rPr>
                <w:b/>
                <w:color w:val="FFFFFF" w:themeColor="background1"/>
              </w:rPr>
              <w:t>Average Burden Hours Per Response</w:t>
            </w:r>
          </w:p>
        </w:tc>
        <w:tc>
          <w:tcPr>
            <w:tcW w:w="108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72A77C9D" w14:textId="77777777" w:rsidR="00AF4115" w:rsidRPr="00E63DFD" w:rsidRDefault="00AF4115" w:rsidP="0075046F">
            <w:pPr>
              <w:pStyle w:val="Exhibit"/>
              <w:jc w:val="center"/>
              <w:rPr>
                <w:b/>
                <w:bCs/>
                <w:color w:val="FFFFFF" w:themeColor="background1"/>
              </w:rPr>
            </w:pPr>
            <w:r w:rsidRPr="00E63DFD">
              <w:rPr>
                <w:b/>
                <w:bCs/>
                <w:color w:val="FFFFFF" w:themeColor="background1"/>
              </w:rPr>
              <w:t>Annual Burden Hours</w:t>
            </w:r>
          </w:p>
        </w:tc>
        <w:tc>
          <w:tcPr>
            <w:tcW w:w="99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E6496FC" w14:textId="77777777" w:rsidR="00AF4115" w:rsidRPr="00E63DFD" w:rsidRDefault="00AF4115" w:rsidP="0075046F">
            <w:pPr>
              <w:pStyle w:val="Exhibit"/>
              <w:jc w:val="center"/>
              <w:rPr>
                <w:b/>
                <w:bCs/>
                <w:color w:val="FFFFFF" w:themeColor="background1"/>
              </w:rPr>
            </w:pPr>
            <w:r w:rsidRPr="00E63DFD">
              <w:rPr>
                <w:b/>
                <w:bCs/>
                <w:color w:val="FFFFFF" w:themeColor="background1"/>
              </w:rPr>
              <w:t>Average Hourly Wage</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4011672" w14:textId="77777777" w:rsidR="00AF4115" w:rsidRPr="00E63DFD" w:rsidRDefault="00AF4115" w:rsidP="0075046F">
            <w:pPr>
              <w:pStyle w:val="Exhibit"/>
              <w:jc w:val="center"/>
              <w:rPr>
                <w:b/>
                <w:bCs/>
                <w:color w:val="FFFFFF" w:themeColor="background1"/>
              </w:rPr>
            </w:pPr>
            <w:r w:rsidRPr="00E63DFD">
              <w:rPr>
                <w:b/>
                <w:bCs/>
                <w:color w:val="FFFFFF" w:themeColor="background1"/>
              </w:rPr>
              <w:t>Total Annual Cost</w:t>
            </w:r>
          </w:p>
        </w:tc>
      </w:tr>
      <w:tr w:rsidR="00C66CD4" w:rsidRPr="00BD4CFB" w14:paraId="74846F26" w14:textId="77777777" w:rsidTr="00AF4115">
        <w:trPr>
          <w:cantSplit/>
        </w:trPr>
        <w:tc>
          <w:tcPr>
            <w:tcW w:w="10513" w:type="dxa"/>
            <w:gridSpan w:val="8"/>
            <w:shd w:val="clear" w:color="auto" w:fill="C7C7C7" w:themeFill="accent1" w:themeFillShade="E6"/>
            <w:vAlign w:val="bottom"/>
          </w:tcPr>
          <w:p w14:paraId="4BA0D7D2" w14:textId="2316D387" w:rsidR="00C66CD4" w:rsidRPr="000A484D" w:rsidRDefault="00C66CD4" w:rsidP="00AF4115">
            <w:pPr>
              <w:pStyle w:val="Exhibit"/>
              <w:jc w:val="center"/>
              <w:rPr>
                <w:rFonts w:cs="Arial"/>
                <w:b/>
              </w:rPr>
            </w:pPr>
            <w:r w:rsidRPr="000A484D">
              <w:rPr>
                <w:rFonts w:cs="Arial"/>
                <w:b/>
              </w:rPr>
              <w:t xml:space="preserve">Previously </w:t>
            </w:r>
            <w:r w:rsidR="00AF4115">
              <w:rPr>
                <w:rFonts w:cs="Arial"/>
                <w:b/>
              </w:rPr>
              <w:t>A</w:t>
            </w:r>
            <w:r w:rsidRPr="000A484D">
              <w:rPr>
                <w:rFonts w:cs="Arial"/>
                <w:b/>
              </w:rPr>
              <w:t xml:space="preserve">pproved </w:t>
            </w:r>
            <w:r w:rsidR="00AF4115">
              <w:rPr>
                <w:rFonts w:cs="Arial"/>
                <w:b/>
              </w:rPr>
              <w:t>I</w:t>
            </w:r>
            <w:r w:rsidRPr="000A484D">
              <w:rPr>
                <w:rFonts w:cs="Arial"/>
                <w:b/>
              </w:rPr>
              <w:t>nstruments</w:t>
            </w:r>
            <w:r w:rsidR="00AF4115">
              <w:rPr>
                <w:rFonts w:cs="Arial"/>
                <w:b/>
              </w:rPr>
              <w:t xml:space="preserve"> Still in Use</w:t>
            </w:r>
          </w:p>
        </w:tc>
      </w:tr>
      <w:tr w:rsidR="00AF4115" w:rsidRPr="00BD4CFB" w14:paraId="052B5814" w14:textId="77777777" w:rsidTr="00AF4115">
        <w:trPr>
          <w:cantSplit/>
        </w:trPr>
        <w:tc>
          <w:tcPr>
            <w:tcW w:w="2088" w:type="dxa"/>
            <w:vAlign w:val="center"/>
          </w:tcPr>
          <w:p w14:paraId="17A8F92C" w14:textId="77777777" w:rsidR="00AF4115" w:rsidRDefault="00AF4115" w:rsidP="00F012D4">
            <w:pPr>
              <w:pStyle w:val="Exhibit"/>
              <w:rPr>
                <w:rFonts w:cs="Arial"/>
                <w:iCs/>
              </w:rPr>
            </w:pPr>
            <w:r>
              <w:rPr>
                <w:rFonts w:cs="Arial"/>
                <w:iCs/>
              </w:rPr>
              <w:t xml:space="preserve">Baseline Information Form </w:t>
            </w:r>
          </w:p>
        </w:tc>
        <w:tc>
          <w:tcPr>
            <w:tcW w:w="1260" w:type="dxa"/>
            <w:vAlign w:val="center"/>
          </w:tcPr>
          <w:p w14:paraId="486BC3E8" w14:textId="1620EA9A" w:rsidR="00AF4115" w:rsidRDefault="00AF4115" w:rsidP="00C66CD4">
            <w:pPr>
              <w:pStyle w:val="Exhibit"/>
              <w:ind w:right="262"/>
              <w:jc w:val="right"/>
            </w:pPr>
            <w:r>
              <w:t>8,000</w:t>
            </w:r>
          </w:p>
        </w:tc>
        <w:tc>
          <w:tcPr>
            <w:tcW w:w="1260" w:type="dxa"/>
            <w:vAlign w:val="center"/>
          </w:tcPr>
          <w:p w14:paraId="69477A96" w14:textId="2614E003" w:rsidR="00AF4115" w:rsidRDefault="00AF4115" w:rsidP="00C66CD4">
            <w:pPr>
              <w:pStyle w:val="Exhibit"/>
              <w:ind w:right="262"/>
              <w:jc w:val="right"/>
            </w:pPr>
            <w:r>
              <w:t>4,000</w:t>
            </w:r>
          </w:p>
        </w:tc>
        <w:tc>
          <w:tcPr>
            <w:tcW w:w="1260" w:type="dxa"/>
            <w:vAlign w:val="center"/>
          </w:tcPr>
          <w:p w14:paraId="7636CE7D" w14:textId="77777777" w:rsidR="00AF4115" w:rsidRPr="001845EE" w:rsidRDefault="00AF4115" w:rsidP="00C66CD4">
            <w:pPr>
              <w:pStyle w:val="Exhibit"/>
              <w:ind w:right="262"/>
              <w:jc w:val="right"/>
            </w:pPr>
            <w:r>
              <w:t>1</w:t>
            </w:r>
          </w:p>
        </w:tc>
        <w:tc>
          <w:tcPr>
            <w:tcW w:w="1315" w:type="dxa"/>
            <w:vAlign w:val="center"/>
          </w:tcPr>
          <w:p w14:paraId="25629C29" w14:textId="7ED95FA6" w:rsidR="00AF4115" w:rsidRDefault="00AF4115" w:rsidP="00C66CD4">
            <w:pPr>
              <w:pStyle w:val="Exhibit"/>
              <w:ind w:right="262"/>
              <w:jc w:val="right"/>
              <w:rPr>
                <w:rFonts w:cs="Arial"/>
              </w:rPr>
            </w:pPr>
            <w:r>
              <w:t>0.2</w:t>
            </w:r>
          </w:p>
        </w:tc>
        <w:tc>
          <w:tcPr>
            <w:tcW w:w="1080" w:type="dxa"/>
            <w:vAlign w:val="center"/>
          </w:tcPr>
          <w:p w14:paraId="530D8FAF" w14:textId="60387943" w:rsidR="00AF4115" w:rsidRDefault="00AF4115" w:rsidP="00C66CD4">
            <w:pPr>
              <w:pStyle w:val="Exhibit"/>
              <w:ind w:right="262"/>
              <w:jc w:val="right"/>
              <w:rPr>
                <w:rFonts w:cs="Arial"/>
              </w:rPr>
            </w:pPr>
            <w:r>
              <w:rPr>
                <w:rFonts w:cs="Arial"/>
              </w:rPr>
              <w:t>800</w:t>
            </w:r>
          </w:p>
        </w:tc>
        <w:tc>
          <w:tcPr>
            <w:tcW w:w="990" w:type="dxa"/>
            <w:vAlign w:val="center"/>
          </w:tcPr>
          <w:p w14:paraId="4A4E0EA8" w14:textId="77777777" w:rsidR="00AF4115" w:rsidRPr="001845EE" w:rsidRDefault="00AF4115" w:rsidP="00C66CD4">
            <w:pPr>
              <w:pStyle w:val="Exhibit"/>
              <w:ind w:right="32"/>
              <w:jc w:val="right"/>
            </w:pPr>
            <w:r>
              <w:t>$11.77</w:t>
            </w:r>
          </w:p>
        </w:tc>
        <w:tc>
          <w:tcPr>
            <w:tcW w:w="1260" w:type="dxa"/>
            <w:vAlign w:val="center"/>
          </w:tcPr>
          <w:p w14:paraId="2F9513F5" w14:textId="0370FED4" w:rsidR="00AF4115" w:rsidRDefault="00AF4115" w:rsidP="00C66CD4">
            <w:pPr>
              <w:pStyle w:val="Exhibit"/>
              <w:ind w:right="32"/>
              <w:jc w:val="right"/>
              <w:rPr>
                <w:rFonts w:cs="Arial"/>
              </w:rPr>
            </w:pPr>
            <w:r>
              <w:rPr>
                <w:rFonts w:cs="Arial"/>
              </w:rPr>
              <w:t>$9,416.00</w:t>
            </w:r>
          </w:p>
        </w:tc>
      </w:tr>
      <w:tr w:rsidR="00AF4115" w:rsidRPr="00BD4CFB" w14:paraId="0A5FF4EB" w14:textId="77777777" w:rsidTr="00AF4115">
        <w:trPr>
          <w:cantSplit/>
        </w:trPr>
        <w:tc>
          <w:tcPr>
            <w:tcW w:w="2088" w:type="dxa"/>
            <w:vAlign w:val="center"/>
          </w:tcPr>
          <w:p w14:paraId="6ADEA1F9" w14:textId="313340EC" w:rsidR="00AF4115" w:rsidRPr="00F37B35" w:rsidRDefault="00AF4115" w:rsidP="00FB50FF">
            <w:pPr>
              <w:pStyle w:val="Exhibit"/>
              <w:rPr>
                <w:rFonts w:eastAsia="Calibri" w:cs="Arial"/>
                <w:i/>
              </w:rPr>
            </w:pPr>
            <w:r>
              <w:rPr>
                <w:rFonts w:cs="Arial"/>
                <w:iCs/>
              </w:rPr>
              <w:t>Implementation study site visits</w:t>
            </w:r>
          </w:p>
        </w:tc>
        <w:tc>
          <w:tcPr>
            <w:tcW w:w="1260" w:type="dxa"/>
            <w:vAlign w:val="center"/>
          </w:tcPr>
          <w:p w14:paraId="79F8BBD3" w14:textId="1067DA45" w:rsidR="00AF4115" w:rsidRPr="001845EE" w:rsidRDefault="00AF4115" w:rsidP="00C66CD4">
            <w:pPr>
              <w:pStyle w:val="Exhibit"/>
              <w:ind w:right="262"/>
              <w:jc w:val="right"/>
              <w:rPr>
                <w:rFonts w:cs="Arial"/>
              </w:rPr>
            </w:pPr>
            <w:r>
              <w:t>150</w:t>
            </w:r>
          </w:p>
        </w:tc>
        <w:tc>
          <w:tcPr>
            <w:tcW w:w="1260" w:type="dxa"/>
            <w:vAlign w:val="center"/>
          </w:tcPr>
          <w:p w14:paraId="564A7CEB" w14:textId="2B66D2D2" w:rsidR="00AF4115" w:rsidRPr="001845EE" w:rsidRDefault="00AF4115" w:rsidP="00C66CD4">
            <w:pPr>
              <w:pStyle w:val="Exhibit"/>
              <w:ind w:right="262"/>
              <w:jc w:val="right"/>
            </w:pPr>
            <w:r>
              <w:t>75</w:t>
            </w:r>
          </w:p>
        </w:tc>
        <w:tc>
          <w:tcPr>
            <w:tcW w:w="1260" w:type="dxa"/>
            <w:vAlign w:val="center"/>
          </w:tcPr>
          <w:p w14:paraId="02A73989" w14:textId="77777777" w:rsidR="00AF4115" w:rsidRPr="001845EE" w:rsidRDefault="00AF4115" w:rsidP="00C66CD4">
            <w:pPr>
              <w:pStyle w:val="Exhibit"/>
              <w:ind w:right="262"/>
              <w:jc w:val="right"/>
              <w:rPr>
                <w:rFonts w:cs="Arial"/>
              </w:rPr>
            </w:pPr>
            <w:r w:rsidRPr="001845EE">
              <w:t>1</w:t>
            </w:r>
          </w:p>
        </w:tc>
        <w:tc>
          <w:tcPr>
            <w:tcW w:w="1315" w:type="dxa"/>
            <w:vAlign w:val="center"/>
          </w:tcPr>
          <w:p w14:paraId="78DDB4F1" w14:textId="78323620" w:rsidR="00AF4115" w:rsidRPr="001845EE" w:rsidRDefault="00AF4115" w:rsidP="00C66CD4">
            <w:pPr>
              <w:pStyle w:val="Exhibit"/>
              <w:ind w:right="262"/>
              <w:jc w:val="right"/>
              <w:rPr>
                <w:rFonts w:cs="Arial"/>
              </w:rPr>
            </w:pPr>
            <w:r>
              <w:t>1</w:t>
            </w:r>
          </w:p>
        </w:tc>
        <w:tc>
          <w:tcPr>
            <w:tcW w:w="1080" w:type="dxa"/>
            <w:vAlign w:val="center"/>
          </w:tcPr>
          <w:p w14:paraId="6C73814D" w14:textId="0160FEF7" w:rsidR="00AF4115" w:rsidRPr="001845EE" w:rsidRDefault="00AF4115" w:rsidP="00C66CD4">
            <w:pPr>
              <w:pStyle w:val="Exhibit"/>
              <w:ind w:right="262"/>
              <w:jc w:val="right"/>
              <w:rPr>
                <w:rFonts w:cs="Arial"/>
              </w:rPr>
            </w:pPr>
            <w:r>
              <w:rPr>
                <w:rFonts w:cs="Arial"/>
              </w:rPr>
              <w:t>75</w:t>
            </w:r>
          </w:p>
        </w:tc>
        <w:tc>
          <w:tcPr>
            <w:tcW w:w="990" w:type="dxa"/>
            <w:vAlign w:val="center"/>
          </w:tcPr>
          <w:p w14:paraId="26345BA3" w14:textId="77777777" w:rsidR="00AF4115" w:rsidRPr="001845EE" w:rsidRDefault="00AF4115" w:rsidP="00C66CD4">
            <w:pPr>
              <w:pStyle w:val="Exhibit"/>
              <w:ind w:right="32"/>
              <w:jc w:val="right"/>
              <w:rPr>
                <w:rFonts w:cs="Arial"/>
              </w:rPr>
            </w:pPr>
            <w:r w:rsidRPr="001845EE">
              <w:t>$</w:t>
            </w:r>
            <w:r>
              <w:t>37</w:t>
            </w:r>
            <w:r w:rsidRPr="001845EE">
              <w:t>.</w:t>
            </w:r>
            <w:r>
              <w:t>13</w:t>
            </w:r>
            <w:r>
              <w:rPr>
                <w:vertAlign w:val="superscript"/>
              </w:rPr>
              <w:t>6</w:t>
            </w:r>
          </w:p>
        </w:tc>
        <w:tc>
          <w:tcPr>
            <w:tcW w:w="1260" w:type="dxa"/>
            <w:vAlign w:val="center"/>
          </w:tcPr>
          <w:p w14:paraId="41AC4F03" w14:textId="3E9E8121" w:rsidR="00AF4115" w:rsidRPr="001845EE" w:rsidRDefault="00AF4115" w:rsidP="00C66CD4">
            <w:pPr>
              <w:pStyle w:val="Exhibit"/>
              <w:ind w:right="32"/>
              <w:jc w:val="right"/>
              <w:rPr>
                <w:rFonts w:cs="Arial"/>
              </w:rPr>
            </w:pPr>
            <w:r>
              <w:rPr>
                <w:rFonts w:cs="Arial"/>
              </w:rPr>
              <w:t>$2,784.75</w:t>
            </w:r>
          </w:p>
        </w:tc>
      </w:tr>
      <w:tr w:rsidR="00AF4115" w:rsidRPr="00BD4CFB" w14:paraId="00CD0601" w14:textId="77777777" w:rsidTr="00AF4115">
        <w:trPr>
          <w:cantSplit/>
        </w:trPr>
        <w:tc>
          <w:tcPr>
            <w:tcW w:w="2088" w:type="dxa"/>
            <w:vAlign w:val="center"/>
          </w:tcPr>
          <w:p w14:paraId="1C5CFAA2" w14:textId="1B98909B" w:rsidR="00AF4115" w:rsidRPr="00034075" w:rsidRDefault="00AF4115" w:rsidP="005B3F42">
            <w:pPr>
              <w:pStyle w:val="Exhibit"/>
              <w:rPr>
                <w:rFonts w:eastAsia="Calibri"/>
              </w:rPr>
            </w:pPr>
            <w:r>
              <w:rPr>
                <w:rFonts w:eastAsia="Calibri"/>
              </w:rPr>
              <w:t>JSA staff survey</w:t>
            </w:r>
          </w:p>
        </w:tc>
        <w:tc>
          <w:tcPr>
            <w:tcW w:w="1260" w:type="dxa"/>
            <w:vAlign w:val="center"/>
          </w:tcPr>
          <w:p w14:paraId="3607E9B3" w14:textId="77777777" w:rsidR="00AF4115" w:rsidRPr="00034075" w:rsidRDefault="00AF4115" w:rsidP="005B3F42">
            <w:pPr>
              <w:pStyle w:val="Exhibit"/>
              <w:ind w:right="262"/>
              <w:jc w:val="right"/>
              <w:rPr>
                <w:rFonts w:cs="Arial"/>
              </w:rPr>
            </w:pPr>
            <w:r>
              <w:rPr>
                <w:rFonts w:cs="Arial"/>
              </w:rPr>
              <w:t>440</w:t>
            </w:r>
          </w:p>
        </w:tc>
        <w:tc>
          <w:tcPr>
            <w:tcW w:w="1260" w:type="dxa"/>
            <w:vAlign w:val="center"/>
          </w:tcPr>
          <w:p w14:paraId="689D517D" w14:textId="77777777" w:rsidR="00AF4115" w:rsidRDefault="00AF4115" w:rsidP="005B3F42">
            <w:pPr>
              <w:pStyle w:val="Exhibit"/>
              <w:ind w:right="262"/>
              <w:jc w:val="right"/>
            </w:pPr>
            <w:r>
              <w:t>220</w:t>
            </w:r>
          </w:p>
        </w:tc>
        <w:tc>
          <w:tcPr>
            <w:tcW w:w="1260" w:type="dxa"/>
            <w:vAlign w:val="center"/>
          </w:tcPr>
          <w:p w14:paraId="764C23F7" w14:textId="77777777" w:rsidR="00AF4115" w:rsidRPr="00034075" w:rsidRDefault="00AF4115" w:rsidP="005B3F42">
            <w:pPr>
              <w:pStyle w:val="Exhibit"/>
              <w:ind w:right="262"/>
              <w:jc w:val="right"/>
              <w:rPr>
                <w:rFonts w:cs="Arial"/>
              </w:rPr>
            </w:pPr>
            <w:r>
              <w:t>1</w:t>
            </w:r>
          </w:p>
        </w:tc>
        <w:tc>
          <w:tcPr>
            <w:tcW w:w="1315" w:type="dxa"/>
            <w:vAlign w:val="center"/>
          </w:tcPr>
          <w:p w14:paraId="1AB1B3ED" w14:textId="68DABC8C" w:rsidR="00AF4115" w:rsidRPr="00034075" w:rsidRDefault="00AF4115" w:rsidP="005B3F42">
            <w:pPr>
              <w:pStyle w:val="Exhibit"/>
              <w:ind w:right="262"/>
              <w:jc w:val="right"/>
              <w:rPr>
                <w:rFonts w:cs="Arial"/>
              </w:rPr>
            </w:pPr>
            <w:r>
              <w:t>0.33</w:t>
            </w:r>
          </w:p>
        </w:tc>
        <w:tc>
          <w:tcPr>
            <w:tcW w:w="1080" w:type="dxa"/>
            <w:vAlign w:val="center"/>
          </w:tcPr>
          <w:p w14:paraId="2E504219" w14:textId="77777777" w:rsidR="00AF4115" w:rsidRPr="00034075" w:rsidRDefault="00AF4115" w:rsidP="005B3F42">
            <w:pPr>
              <w:pStyle w:val="Exhibit"/>
              <w:ind w:right="262"/>
              <w:jc w:val="right"/>
              <w:rPr>
                <w:rFonts w:cs="Arial"/>
              </w:rPr>
            </w:pPr>
            <w:r>
              <w:rPr>
                <w:rFonts w:cs="Arial"/>
              </w:rPr>
              <w:t>73</w:t>
            </w:r>
          </w:p>
        </w:tc>
        <w:tc>
          <w:tcPr>
            <w:tcW w:w="990" w:type="dxa"/>
            <w:vAlign w:val="center"/>
          </w:tcPr>
          <w:p w14:paraId="580478FF" w14:textId="77777777" w:rsidR="00AF4115" w:rsidRPr="00034075" w:rsidRDefault="00AF4115" w:rsidP="005B3F42">
            <w:pPr>
              <w:pStyle w:val="Exhibit"/>
              <w:ind w:right="32"/>
              <w:jc w:val="right"/>
              <w:rPr>
                <w:rFonts w:cs="Arial"/>
              </w:rPr>
            </w:pPr>
            <w:r w:rsidRPr="00034075">
              <w:t>$</w:t>
            </w:r>
            <w:r>
              <w:t>37</w:t>
            </w:r>
            <w:r w:rsidRPr="00034075">
              <w:t>.</w:t>
            </w:r>
            <w:r>
              <w:t>13</w:t>
            </w:r>
            <w:r w:rsidRPr="001845EE">
              <w:rPr>
                <w:rStyle w:val="FootnoteReference"/>
                <w:rFonts w:cs="Arial"/>
                <w:szCs w:val="18"/>
              </w:rPr>
              <w:footnoteReference w:id="9"/>
            </w:r>
          </w:p>
        </w:tc>
        <w:tc>
          <w:tcPr>
            <w:tcW w:w="1260" w:type="dxa"/>
            <w:vAlign w:val="center"/>
          </w:tcPr>
          <w:p w14:paraId="3EA2A627" w14:textId="77777777" w:rsidR="00AF4115" w:rsidRPr="00034075" w:rsidRDefault="00AF4115" w:rsidP="005B3F42">
            <w:pPr>
              <w:pStyle w:val="Exhibit"/>
              <w:ind w:right="32"/>
              <w:jc w:val="right"/>
              <w:rPr>
                <w:rFonts w:cs="Arial"/>
              </w:rPr>
            </w:pPr>
            <w:r>
              <w:rPr>
                <w:rFonts w:cs="Arial"/>
              </w:rPr>
              <w:t>$2,710.49</w:t>
            </w:r>
          </w:p>
        </w:tc>
      </w:tr>
      <w:tr w:rsidR="00C66CD4" w:rsidRPr="00BD4CFB" w14:paraId="214A66D1" w14:textId="77777777" w:rsidTr="00AF4115">
        <w:trPr>
          <w:cantSplit/>
        </w:trPr>
        <w:tc>
          <w:tcPr>
            <w:tcW w:w="10513" w:type="dxa"/>
            <w:gridSpan w:val="8"/>
            <w:shd w:val="clear" w:color="auto" w:fill="C7C7C7" w:themeFill="accent1" w:themeFillShade="E6"/>
            <w:vAlign w:val="center"/>
          </w:tcPr>
          <w:p w14:paraId="1E439225" w14:textId="763D8463" w:rsidR="00C66CD4" w:rsidRPr="000A484D" w:rsidRDefault="00AF4115" w:rsidP="000A484D">
            <w:pPr>
              <w:pStyle w:val="Exhibit"/>
              <w:ind w:right="32"/>
              <w:jc w:val="center"/>
              <w:rPr>
                <w:rFonts w:cs="Arial"/>
                <w:b/>
              </w:rPr>
            </w:pPr>
            <w:r>
              <w:rPr>
                <w:rFonts w:cs="Arial"/>
                <w:b/>
              </w:rPr>
              <w:t>Current Request for A</w:t>
            </w:r>
            <w:r w:rsidR="00C66CD4" w:rsidRPr="000A484D">
              <w:rPr>
                <w:rFonts w:cs="Arial"/>
                <w:b/>
              </w:rPr>
              <w:t>pproval</w:t>
            </w:r>
          </w:p>
        </w:tc>
      </w:tr>
      <w:tr w:rsidR="00AF4115" w:rsidRPr="00C66CD4" w14:paraId="7F639778" w14:textId="77777777" w:rsidTr="00AF4115">
        <w:trPr>
          <w:cantSplit/>
        </w:trPr>
        <w:tc>
          <w:tcPr>
            <w:tcW w:w="2088" w:type="dxa"/>
            <w:vAlign w:val="center"/>
          </w:tcPr>
          <w:p w14:paraId="40CD9BE8" w14:textId="3B8B8A81" w:rsidR="00AF4115" w:rsidRPr="00C66CD4" w:rsidRDefault="00AF4115" w:rsidP="0000288A">
            <w:pPr>
              <w:pStyle w:val="Exhibit"/>
              <w:rPr>
                <w:rFonts w:eastAsia="Calibri"/>
              </w:rPr>
            </w:pPr>
            <w:r>
              <w:rPr>
                <w:rFonts w:eastAsia="Calibri"/>
              </w:rPr>
              <w:t>Contact update form</w:t>
            </w:r>
          </w:p>
        </w:tc>
        <w:tc>
          <w:tcPr>
            <w:tcW w:w="1260" w:type="dxa"/>
            <w:vAlign w:val="center"/>
          </w:tcPr>
          <w:p w14:paraId="2AE2E6C1" w14:textId="5204E8D7" w:rsidR="00AF4115" w:rsidRPr="00C66CD4" w:rsidRDefault="00AF4115" w:rsidP="00C66CD4">
            <w:pPr>
              <w:pStyle w:val="Exhibit"/>
              <w:ind w:right="262"/>
              <w:jc w:val="right"/>
              <w:rPr>
                <w:rFonts w:cs="Arial"/>
              </w:rPr>
            </w:pPr>
            <w:r>
              <w:t>1,200</w:t>
            </w:r>
          </w:p>
        </w:tc>
        <w:tc>
          <w:tcPr>
            <w:tcW w:w="1260" w:type="dxa"/>
            <w:vAlign w:val="center"/>
          </w:tcPr>
          <w:p w14:paraId="5DBB3AED" w14:textId="50FC3A3B" w:rsidR="00AF4115" w:rsidRPr="00C66CD4" w:rsidRDefault="00B7436D" w:rsidP="000A484D">
            <w:pPr>
              <w:pStyle w:val="Exhibit"/>
              <w:ind w:right="262"/>
              <w:jc w:val="right"/>
            </w:pPr>
            <w:r>
              <w:t>600</w:t>
            </w:r>
          </w:p>
        </w:tc>
        <w:tc>
          <w:tcPr>
            <w:tcW w:w="1260" w:type="dxa"/>
            <w:vAlign w:val="center"/>
          </w:tcPr>
          <w:p w14:paraId="72D07481" w14:textId="2CB0D183" w:rsidR="00AF4115" w:rsidRPr="00C66CD4" w:rsidRDefault="00AF4115" w:rsidP="00C66CD4">
            <w:pPr>
              <w:pStyle w:val="Exhibit"/>
              <w:ind w:right="262"/>
              <w:jc w:val="right"/>
            </w:pPr>
            <w:r>
              <w:t>1</w:t>
            </w:r>
          </w:p>
        </w:tc>
        <w:tc>
          <w:tcPr>
            <w:tcW w:w="1315" w:type="dxa"/>
            <w:vAlign w:val="center"/>
          </w:tcPr>
          <w:p w14:paraId="58F7DBB7" w14:textId="27B983F7" w:rsidR="00AF4115" w:rsidRPr="00C66CD4" w:rsidRDefault="00AF4115" w:rsidP="00C66CD4">
            <w:pPr>
              <w:pStyle w:val="Exhibit"/>
              <w:ind w:right="262"/>
              <w:jc w:val="right"/>
              <w:rPr>
                <w:rFonts w:cs="Arial"/>
              </w:rPr>
            </w:pPr>
            <w:r w:rsidRPr="00C66CD4">
              <w:t>0.0</w:t>
            </w:r>
            <w:r>
              <w:t>8</w:t>
            </w:r>
            <w:r w:rsidRPr="00C66CD4">
              <w:t>3</w:t>
            </w:r>
          </w:p>
        </w:tc>
        <w:tc>
          <w:tcPr>
            <w:tcW w:w="1080" w:type="dxa"/>
            <w:vAlign w:val="center"/>
          </w:tcPr>
          <w:p w14:paraId="37B4E787" w14:textId="3E64CE46" w:rsidR="00AF4115" w:rsidRPr="00C66CD4" w:rsidRDefault="000B6C88" w:rsidP="000A484D">
            <w:pPr>
              <w:pStyle w:val="Exhibit"/>
              <w:ind w:right="262"/>
              <w:jc w:val="right"/>
              <w:rPr>
                <w:rFonts w:cs="Arial"/>
              </w:rPr>
            </w:pPr>
            <w:r>
              <w:t>50</w:t>
            </w:r>
          </w:p>
        </w:tc>
        <w:tc>
          <w:tcPr>
            <w:tcW w:w="990" w:type="dxa"/>
            <w:vAlign w:val="center"/>
          </w:tcPr>
          <w:p w14:paraId="3222FD09" w14:textId="77777777" w:rsidR="00AF4115" w:rsidRPr="00C66CD4" w:rsidRDefault="00AF4115" w:rsidP="00C66CD4">
            <w:pPr>
              <w:pStyle w:val="Exhibit"/>
              <w:ind w:right="32"/>
              <w:jc w:val="right"/>
            </w:pPr>
            <w:r w:rsidRPr="00C66CD4">
              <w:t>$11.77</w:t>
            </w:r>
          </w:p>
        </w:tc>
        <w:tc>
          <w:tcPr>
            <w:tcW w:w="1260" w:type="dxa"/>
            <w:vAlign w:val="center"/>
          </w:tcPr>
          <w:p w14:paraId="035217B1" w14:textId="044766C9" w:rsidR="00AF4115" w:rsidRPr="00C66CD4" w:rsidRDefault="00AF4115" w:rsidP="000B6C88">
            <w:pPr>
              <w:pStyle w:val="Exhibit"/>
              <w:ind w:right="32"/>
              <w:jc w:val="right"/>
              <w:rPr>
                <w:rFonts w:cs="Arial"/>
              </w:rPr>
            </w:pPr>
            <w:r>
              <w:rPr>
                <w:rFonts w:cs="Arial"/>
              </w:rPr>
              <w:t>$</w:t>
            </w:r>
            <w:r w:rsidR="000B6C88">
              <w:rPr>
                <w:rFonts w:cs="Arial"/>
              </w:rPr>
              <w:t>588.50</w:t>
            </w:r>
          </w:p>
        </w:tc>
      </w:tr>
      <w:tr w:rsidR="00AF4115" w:rsidRPr="00C66CD4" w14:paraId="7E0C023E" w14:textId="77777777" w:rsidTr="00AF4115">
        <w:trPr>
          <w:cantSplit/>
        </w:trPr>
        <w:tc>
          <w:tcPr>
            <w:tcW w:w="2088" w:type="dxa"/>
            <w:vAlign w:val="center"/>
          </w:tcPr>
          <w:p w14:paraId="66429A17" w14:textId="5B4B05B5" w:rsidR="00AF4115" w:rsidRDefault="00AF4115" w:rsidP="0075046F">
            <w:pPr>
              <w:pStyle w:val="Exhibit"/>
              <w:rPr>
                <w:rFonts w:eastAsia="Calibri"/>
              </w:rPr>
            </w:pPr>
            <w:r>
              <w:rPr>
                <w:rFonts w:eastAsia="Calibri"/>
              </w:rPr>
              <w:t>Interim tracking surveys</w:t>
            </w:r>
          </w:p>
        </w:tc>
        <w:tc>
          <w:tcPr>
            <w:tcW w:w="1260" w:type="dxa"/>
            <w:vAlign w:val="center"/>
          </w:tcPr>
          <w:p w14:paraId="241E4CE2" w14:textId="7E7E1B94" w:rsidR="00AF4115" w:rsidRDefault="00AF4115" w:rsidP="00C66CD4">
            <w:pPr>
              <w:pStyle w:val="Exhibit"/>
              <w:ind w:right="262"/>
              <w:jc w:val="right"/>
            </w:pPr>
            <w:r>
              <w:t>2,800</w:t>
            </w:r>
          </w:p>
        </w:tc>
        <w:tc>
          <w:tcPr>
            <w:tcW w:w="1260" w:type="dxa"/>
            <w:vAlign w:val="center"/>
          </w:tcPr>
          <w:p w14:paraId="39783C7D" w14:textId="5916A691" w:rsidR="00AF4115" w:rsidRDefault="00AF4115" w:rsidP="000A484D">
            <w:pPr>
              <w:pStyle w:val="Exhibit"/>
              <w:ind w:right="262"/>
              <w:jc w:val="right"/>
            </w:pPr>
            <w:r>
              <w:t>1,400</w:t>
            </w:r>
          </w:p>
        </w:tc>
        <w:tc>
          <w:tcPr>
            <w:tcW w:w="1260" w:type="dxa"/>
            <w:vAlign w:val="center"/>
          </w:tcPr>
          <w:p w14:paraId="54B55EB3" w14:textId="6826DE72" w:rsidR="00AF4115" w:rsidRDefault="00AF4115" w:rsidP="00C66CD4">
            <w:pPr>
              <w:pStyle w:val="Exhibit"/>
              <w:ind w:right="262"/>
              <w:jc w:val="right"/>
            </w:pPr>
            <w:r>
              <w:t>5</w:t>
            </w:r>
          </w:p>
        </w:tc>
        <w:tc>
          <w:tcPr>
            <w:tcW w:w="1315" w:type="dxa"/>
            <w:vAlign w:val="center"/>
          </w:tcPr>
          <w:p w14:paraId="6A7017D7" w14:textId="093D5393" w:rsidR="00AF4115" w:rsidRDefault="00AF4115" w:rsidP="00AF4115">
            <w:pPr>
              <w:pStyle w:val="Exhibit"/>
              <w:ind w:right="262"/>
              <w:jc w:val="right"/>
            </w:pPr>
            <w:r>
              <w:t>0.167</w:t>
            </w:r>
          </w:p>
        </w:tc>
        <w:tc>
          <w:tcPr>
            <w:tcW w:w="1080" w:type="dxa"/>
            <w:vAlign w:val="center"/>
          </w:tcPr>
          <w:p w14:paraId="694F7AF4" w14:textId="6EA50464" w:rsidR="00AF4115" w:rsidRDefault="00AF4115" w:rsidP="000A484D">
            <w:pPr>
              <w:pStyle w:val="Exhibit"/>
              <w:ind w:right="262"/>
              <w:jc w:val="right"/>
            </w:pPr>
            <w:r>
              <w:t>1,169</w:t>
            </w:r>
          </w:p>
        </w:tc>
        <w:tc>
          <w:tcPr>
            <w:tcW w:w="990" w:type="dxa"/>
            <w:vAlign w:val="center"/>
          </w:tcPr>
          <w:p w14:paraId="292CD967" w14:textId="6A5751ED" w:rsidR="00AF4115" w:rsidRPr="00C66CD4" w:rsidRDefault="00AF4115" w:rsidP="00C66CD4">
            <w:pPr>
              <w:pStyle w:val="Exhibit"/>
              <w:ind w:right="32"/>
              <w:jc w:val="right"/>
            </w:pPr>
            <w:r>
              <w:t>$11.77</w:t>
            </w:r>
          </w:p>
        </w:tc>
        <w:tc>
          <w:tcPr>
            <w:tcW w:w="1260" w:type="dxa"/>
            <w:vAlign w:val="center"/>
          </w:tcPr>
          <w:p w14:paraId="389D1A70" w14:textId="46DF7521" w:rsidR="00AF4115" w:rsidRDefault="00AF4115" w:rsidP="00C66CD4">
            <w:pPr>
              <w:pStyle w:val="Exhibit"/>
              <w:ind w:right="32"/>
              <w:jc w:val="right"/>
              <w:rPr>
                <w:rFonts w:cs="Arial"/>
              </w:rPr>
            </w:pPr>
            <w:r>
              <w:rPr>
                <w:rFonts w:cs="Arial"/>
              </w:rPr>
              <w:t>$13,759.13</w:t>
            </w:r>
          </w:p>
        </w:tc>
      </w:tr>
      <w:tr w:rsidR="00AF4115" w:rsidRPr="00C66CD4" w14:paraId="52EAA18D" w14:textId="77777777" w:rsidTr="00AF4115">
        <w:trPr>
          <w:cantSplit/>
        </w:trPr>
        <w:tc>
          <w:tcPr>
            <w:tcW w:w="2088" w:type="dxa"/>
            <w:vAlign w:val="center"/>
          </w:tcPr>
          <w:p w14:paraId="43691078" w14:textId="77777777" w:rsidR="00AF4115" w:rsidRPr="00C66CD4" w:rsidRDefault="00AF4115" w:rsidP="005B3F42">
            <w:pPr>
              <w:pStyle w:val="Exhibit"/>
              <w:rPr>
                <w:rFonts w:eastAsia="Calibri"/>
              </w:rPr>
            </w:pPr>
            <w:r w:rsidRPr="00C66CD4">
              <w:rPr>
                <w:rFonts w:eastAsia="Calibri"/>
              </w:rPr>
              <w:t>Participant 6-month Follow-up Survey</w:t>
            </w:r>
          </w:p>
        </w:tc>
        <w:tc>
          <w:tcPr>
            <w:tcW w:w="1260" w:type="dxa"/>
            <w:vAlign w:val="center"/>
          </w:tcPr>
          <w:p w14:paraId="30A99F71" w14:textId="77777777" w:rsidR="00AF4115" w:rsidRPr="00C66CD4" w:rsidRDefault="00AF4115" w:rsidP="005B3F42">
            <w:pPr>
              <w:pStyle w:val="Exhibit"/>
              <w:ind w:right="262"/>
              <w:jc w:val="right"/>
              <w:rPr>
                <w:rFonts w:cs="Arial"/>
              </w:rPr>
            </w:pPr>
            <w:r w:rsidRPr="00C66CD4">
              <w:t>6,400</w:t>
            </w:r>
          </w:p>
        </w:tc>
        <w:tc>
          <w:tcPr>
            <w:tcW w:w="1260" w:type="dxa"/>
            <w:vAlign w:val="center"/>
          </w:tcPr>
          <w:p w14:paraId="76566F57" w14:textId="77777777" w:rsidR="00AF4115" w:rsidRPr="00C66CD4" w:rsidRDefault="00AF4115" w:rsidP="005B3F42">
            <w:pPr>
              <w:pStyle w:val="Exhibit"/>
              <w:ind w:right="262"/>
              <w:jc w:val="right"/>
            </w:pPr>
            <w:r w:rsidRPr="00C66CD4">
              <w:t>3,200</w:t>
            </w:r>
          </w:p>
        </w:tc>
        <w:tc>
          <w:tcPr>
            <w:tcW w:w="1260" w:type="dxa"/>
            <w:vAlign w:val="center"/>
          </w:tcPr>
          <w:p w14:paraId="6CFA4CC5" w14:textId="77777777" w:rsidR="00AF4115" w:rsidRPr="00C66CD4" w:rsidRDefault="00AF4115" w:rsidP="005B3F42">
            <w:pPr>
              <w:pStyle w:val="Exhibit"/>
              <w:ind w:right="262"/>
              <w:jc w:val="right"/>
            </w:pPr>
            <w:r w:rsidRPr="00C66CD4">
              <w:t>1</w:t>
            </w:r>
          </w:p>
        </w:tc>
        <w:tc>
          <w:tcPr>
            <w:tcW w:w="1315" w:type="dxa"/>
            <w:vAlign w:val="center"/>
          </w:tcPr>
          <w:p w14:paraId="578399BE" w14:textId="7BF362C8" w:rsidR="00AF4115" w:rsidRPr="00C66CD4" w:rsidRDefault="00AF4115" w:rsidP="005B3F42">
            <w:pPr>
              <w:pStyle w:val="Exhibit"/>
              <w:ind w:right="262"/>
              <w:jc w:val="right"/>
              <w:rPr>
                <w:rFonts w:cs="Arial"/>
              </w:rPr>
            </w:pPr>
            <w:r w:rsidRPr="00C66CD4">
              <w:t>0.333</w:t>
            </w:r>
          </w:p>
        </w:tc>
        <w:tc>
          <w:tcPr>
            <w:tcW w:w="1080" w:type="dxa"/>
            <w:vAlign w:val="center"/>
          </w:tcPr>
          <w:p w14:paraId="6EAE0203" w14:textId="77777777" w:rsidR="00AF4115" w:rsidRPr="00C66CD4" w:rsidRDefault="00AF4115" w:rsidP="005B3F42">
            <w:pPr>
              <w:pStyle w:val="Exhibit"/>
              <w:ind w:right="262"/>
              <w:jc w:val="right"/>
              <w:rPr>
                <w:rFonts w:cs="Arial"/>
              </w:rPr>
            </w:pPr>
            <w:r w:rsidRPr="00C66CD4">
              <w:t>1,066</w:t>
            </w:r>
          </w:p>
        </w:tc>
        <w:tc>
          <w:tcPr>
            <w:tcW w:w="990" w:type="dxa"/>
            <w:vAlign w:val="center"/>
          </w:tcPr>
          <w:p w14:paraId="24900DD3" w14:textId="77777777" w:rsidR="00AF4115" w:rsidRPr="00C66CD4" w:rsidRDefault="00AF4115" w:rsidP="005B3F42">
            <w:pPr>
              <w:pStyle w:val="Exhibit"/>
              <w:ind w:right="32"/>
              <w:jc w:val="right"/>
            </w:pPr>
            <w:r w:rsidRPr="00C66CD4">
              <w:t>$11.77</w:t>
            </w:r>
          </w:p>
        </w:tc>
        <w:tc>
          <w:tcPr>
            <w:tcW w:w="1260" w:type="dxa"/>
            <w:vAlign w:val="center"/>
          </w:tcPr>
          <w:p w14:paraId="456F1E4F" w14:textId="77777777" w:rsidR="00AF4115" w:rsidRPr="00C66CD4" w:rsidRDefault="00AF4115" w:rsidP="005B3F42">
            <w:pPr>
              <w:pStyle w:val="Exhibit"/>
              <w:ind w:right="32"/>
              <w:jc w:val="right"/>
              <w:rPr>
                <w:rFonts w:cs="Arial"/>
              </w:rPr>
            </w:pPr>
            <w:r w:rsidRPr="00C66CD4">
              <w:rPr>
                <w:rFonts w:cs="Arial"/>
              </w:rPr>
              <w:t>$12,546.82</w:t>
            </w:r>
          </w:p>
        </w:tc>
      </w:tr>
      <w:tr w:rsidR="00AF4115" w:rsidRPr="00C66CD4" w14:paraId="1A1DC205" w14:textId="77777777" w:rsidTr="00AF4115">
        <w:trPr>
          <w:cantSplit/>
        </w:trPr>
        <w:tc>
          <w:tcPr>
            <w:tcW w:w="7183" w:type="dxa"/>
            <w:gridSpan w:val="5"/>
            <w:vAlign w:val="bottom"/>
          </w:tcPr>
          <w:p w14:paraId="2D3F630B" w14:textId="540D966C" w:rsidR="00AF4115" w:rsidRPr="00C66CD4" w:rsidRDefault="00AF4115" w:rsidP="00AF4115">
            <w:pPr>
              <w:pStyle w:val="Exhibit"/>
              <w:ind w:right="262"/>
              <w:rPr>
                <w:rFonts w:cs="Arial"/>
              </w:rPr>
            </w:pPr>
            <w:r>
              <w:rPr>
                <w:rFonts w:eastAsia="Calibri"/>
              </w:rPr>
              <w:t>Total Burden</w:t>
            </w:r>
          </w:p>
        </w:tc>
        <w:tc>
          <w:tcPr>
            <w:tcW w:w="1080" w:type="dxa"/>
            <w:vAlign w:val="center"/>
          </w:tcPr>
          <w:p w14:paraId="73C75AE2" w14:textId="292A5AFA" w:rsidR="00AF4115" w:rsidRPr="00C66CD4" w:rsidRDefault="000B6C88" w:rsidP="00C66CD4">
            <w:pPr>
              <w:pStyle w:val="Exhibit"/>
              <w:ind w:right="262"/>
              <w:jc w:val="right"/>
              <w:rPr>
                <w:rFonts w:cs="Arial"/>
              </w:rPr>
            </w:pPr>
            <w:r>
              <w:t>3,23</w:t>
            </w:r>
            <w:r w:rsidR="00AF4115">
              <w:t>3</w:t>
            </w:r>
          </w:p>
        </w:tc>
        <w:tc>
          <w:tcPr>
            <w:tcW w:w="990" w:type="dxa"/>
            <w:vAlign w:val="center"/>
          </w:tcPr>
          <w:p w14:paraId="41F691A7" w14:textId="1140E380" w:rsidR="00AF4115" w:rsidRPr="00C66CD4" w:rsidRDefault="00AF4115" w:rsidP="00C66CD4">
            <w:pPr>
              <w:pStyle w:val="Exhibit"/>
              <w:ind w:right="32"/>
              <w:jc w:val="right"/>
            </w:pPr>
          </w:p>
        </w:tc>
        <w:tc>
          <w:tcPr>
            <w:tcW w:w="1260" w:type="dxa"/>
            <w:vAlign w:val="center"/>
          </w:tcPr>
          <w:p w14:paraId="2B3E8FC2" w14:textId="27DCB01F" w:rsidR="00AF4115" w:rsidRPr="00C66CD4" w:rsidRDefault="00AF4115" w:rsidP="000B6C88">
            <w:pPr>
              <w:pStyle w:val="Exhibit"/>
              <w:ind w:right="32"/>
              <w:jc w:val="right"/>
              <w:rPr>
                <w:rFonts w:cs="Arial"/>
              </w:rPr>
            </w:pPr>
            <w:r w:rsidRPr="00C66CD4">
              <w:rPr>
                <w:rFonts w:cs="Arial"/>
              </w:rPr>
              <w:t>$</w:t>
            </w:r>
            <w:r>
              <w:rPr>
                <w:rFonts w:cs="Arial"/>
              </w:rPr>
              <w:t>4</w:t>
            </w:r>
            <w:r w:rsidR="000B6C88">
              <w:rPr>
                <w:rFonts w:cs="Arial"/>
              </w:rPr>
              <w:t>1,805</w:t>
            </w:r>
            <w:r>
              <w:rPr>
                <w:rFonts w:cs="Arial"/>
              </w:rPr>
              <w:t>.</w:t>
            </w:r>
            <w:r w:rsidR="000B6C88">
              <w:rPr>
                <w:rFonts w:cs="Arial"/>
              </w:rPr>
              <w:t>6</w:t>
            </w:r>
            <w:r>
              <w:rPr>
                <w:rFonts w:cs="Arial"/>
              </w:rPr>
              <w:t>9</w:t>
            </w:r>
          </w:p>
        </w:tc>
      </w:tr>
    </w:tbl>
    <w:p w14:paraId="5A304F8D" w14:textId="77777777" w:rsidR="00982F78" w:rsidRDefault="00982F78" w:rsidP="00737138">
      <w:pPr>
        <w:pStyle w:val="Heading2"/>
        <w:pBdr>
          <w:top w:val="single" w:sz="6" w:space="2" w:color="D0D3D4"/>
        </w:pBdr>
        <w:spacing w:before="480"/>
      </w:pPr>
      <w:bookmarkStart w:id="25" w:name="_Toc432765878"/>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25"/>
    </w:p>
    <w:p w14:paraId="0A68B542" w14:textId="3E5B071D"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B92A04">
        <w:t>2</w:t>
      </w:r>
      <w:r w:rsidR="00530537" w:rsidRPr="00164C38">
        <w:t xml:space="preserve"> </w:t>
      </w:r>
      <w:r w:rsidRPr="00164C38">
        <w:t xml:space="preserve">above. </w:t>
      </w:r>
    </w:p>
    <w:p w14:paraId="6DFE6111" w14:textId="77777777" w:rsidR="00982F78" w:rsidRPr="001034D3" w:rsidRDefault="00982F78" w:rsidP="00982F78">
      <w:pPr>
        <w:pStyle w:val="Heading2"/>
      </w:pPr>
      <w:bookmarkStart w:id="26" w:name="_Toc432765879"/>
      <w:r w:rsidRPr="001034D3">
        <w:lastRenderedPageBreak/>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26"/>
    </w:p>
    <w:p w14:paraId="52DEBCF0" w14:textId="43BABC7C" w:rsidR="0013145C" w:rsidRDefault="0013145C" w:rsidP="0013145C">
      <w:pPr>
        <w:pStyle w:val="BodyText"/>
      </w:pPr>
      <w:r>
        <w:t>The total cost for th</w:t>
      </w:r>
      <w:r w:rsidR="001C4C92">
        <w:t>e previously approved</w:t>
      </w:r>
      <w:r>
        <w:t xml:space="preserve"> data collection activities</w:t>
      </w:r>
      <w:r w:rsidR="001C4C92">
        <w:t xml:space="preserve"> and the current information collection request</w:t>
      </w:r>
      <w:r>
        <w:t xml:space="preserve"> will </w:t>
      </w:r>
      <w:r w:rsidRPr="00041508">
        <w:t xml:space="preserve">be </w:t>
      </w:r>
      <w:r w:rsidRPr="00571D6C">
        <w:t>$</w:t>
      </w:r>
      <w:r w:rsidRPr="00CF3DEF">
        <w:t>1,517,138</w:t>
      </w:r>
      <w:r w:rsidR="005765BF" w:rsidRPr="00CF3DEF">
        <w:t>.</w:t>
      </w:r>
      <w:r w:rsidR="005765BF">
        <w:t xml:space="preserve">  </w:t>
      </w:r>
      <w:r>
        <w:t xml:space="preserve">This includes the cost of initial information collection from the field, developing and pretesting data collection instruments and tools, administering the surveys and interviews, and analyzing </w:t>
      </w:r>
      <w:r w:rsidR="000B0107">
        <w:t>the follow-up survey</w:t>
      </w:r>
      <w:r>
        <w:t xml:space="preserve"> data</w:t>
      </w:r>
      <w:r w:rsidR="005765BF">
        <w:t xml:space="preserve">.  </w:t>
      </w:r>
      <w:r w:rsidR="00B7436D">
        <w:t xml:space="preserve">Annual costs to the Federal government will </w:t>
      </w:r>
      <w:r w:rsidR="00B7436D" w:rsidRPr="00041508">
        <w:t xml:space="preserve">be </w:t>
      </w:r>
      <w:r w:rsidR="00B7436D" w:rsidRPr="00571D6C">
        <w:t>$</w:t>
      </w:r>
      <w:r w:rsidR="00B7436D" w:rsidRPr="00CF3DEF">
        <w:t xml:space="preserve">379,285 </w:t>
      </w:r>
      <w:r w:rsidR="00B7436D">
        <w:t xml:space="preserve">for the proposed data collection.  </w:t>
      </w:r>
    </w:p>
    <w:p w14:paraId="46033574" w14:textId="77777777" w:rsidR="00982F78" w:rsidRDefault="00982F78" w:rsidP="00982F78">
      <w:pPr>
        <w:pStyle w:val="Heading2"/>
      </w:pPr>
      <w:bookmarkStart w:id="27" w:name="_Toc432765880"/>
      <w:r w:rsidRPr="00297B36">
        <w:t>A</w:t>
      </w:r>
      <w:r w:rsidR="008A2B09">
        <w:t>.</w:t>
      </w:r>
      <w:r w:rsidRPr="00297B36">
        <w:t>15</w:t>
      </w:r>
      <w:r w:rsidR="008A2B09">
        <w:tab/>
      </w:r>
      <w:r w:rsidRPr="00297B36">
        <w:t xml:space="preserve">Change in </w:t>
      </w:r>
      <w:r>
        <w:t>B</w:t>
      </w:r>
      <w:r w:rsidRPr="001034D3">
        <w:t>urden</w:t>
      </w:r>
      <w:bookmarkEnd w:id="27"/>
    </w:p>
    <w:p w14:paraId="04267D0F" w14:textId="77777777" w:rsidR="00982F78" w:rsidRDefault="00331DDC" w:rsidP="003B0879">
      <w:pPr>
        <w:pStyle w:val="BodyText"/>
      </w:pPr>
      <w:r w:rsidRPr="005B37E8">
        <w:t>This evaluation involves new data collection that increases the public reporting burden under this OMB number</w:t>
      </w:r>
      <w:r w:rsidR="005765BF" w:rsidRPr="005B37E8">
        <w:t xml:space="preserve">.  </w:t>
      </w:r>
      <w:r w:rsidRPr="005B37E8">
        <w:t xml:space="preserve">Section A.12 </w:t>
      </w:r>
      <w:r w:rsidR="000622B7">
        <w:t xml:space="preserve">provides </w:t>
      </w:r>
      <w:r w:rsidRPr="005B37E8">
        <w:t>d</w:t>
      </w:r>
      <w:r w:rsidR="00854CCF">
        <w:t>ocument</w:t>
      </w:r>
      <w:r w:rsidR="000622B7">
        <w:t>ation of</w:t>
      </w:r>
      <w:r w:rsidR="00854CCF">
        <w:t xml:space="preserve"> the increase in </w:t>
      </w:r>
      <w:r w:rsidRPr="005B37E8">
        <w:t>burden figures.</w:t>
      </w:r>
      <w:r w:rsidRPr="005B37E8" w:rsidDel="005B37E8">
        <w:t xml:space="preserve"> </w:t>
      </w:r>
    </w:p>
    <w:p w14:paraId="53985ABA" w14:textId="77777777" w:rsidR="00982F78" w:rsidRPr="00B34B48" w:rsidRDefault="00982F78" w:rsidP="00602268">
      <w:pPr>
        <w:pStyle w:val="Heading2"/>
        <w:pBdr>
          <w:top w:val="single" w:sz="6" w:space="0" w:color="D0D3D4"/>
        </w:pBdr>
        <w:ind w:left="720" w:hanging="720"/>
      </w:pPr>
      <w:bookmarkStart w:id="28" w:name="_Toc432765881"/>
      <w:r w:rsidRPr="00B34B48">
        <w:t>A</w:t>
      </w:r>
      <w:r w:rsidR="008A2B09">
        <w:t>.</w:t>
      </w:r>
      <w:r w:rsidRPr="00B34B48">
        <w:t>16</w:t>
      </w:r>
      <w:r w:rsidR="008A2B09">
        <w:tab/>
      </w:r>
      <w:r w:rsidR="00041508">
        <w:t>Publication Plans and Project Schedule</w:t>
      </w:r>
      <w:bookmarkEnd w:id="28"/>
      <w:r w:rsidR="00041508">
        <w:t xml:space="preserve"> </w:t>
      </w:r>
    </w:p>
    <w:p w14:paraId="16DD66D7" w14:textId="5EF70E3A" w:rsidR="00982F78" w:rsidRDefault="00982F78" w:rsidP="008A2B09">
      <w:pPr>
        <w:pStyle w:val="BodyText"/>
      </w:pPr>
      <w:r w:rsidRPr="00137474">
        <w:t xml:space="preserve">Exhibit </w:t>
      </w:r>
      <w:r>
        <w:t>A-</w:t>
      </w:r>
      <w:r w:rsidR="00B92A04">
        <w:t>3</w:t>
      </w:r>
      <w:r w:rsidR="00530537">
        <w:t xml:space="preserve"> </w:t>
      </w:r>
      <w:r w:rsidRPr="00137474">
        <w:t>presents an overview of the project schedule for information collection</w:t>
      </w:r>
      <w:r w:rsidR="005765BF" w:rsidRPr="00137474">
        <w:t>.</w:t>
      </w:r>
      <w:r w:rsidR="005765BF">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p>
    <w:p w14:paraId="46BF14B5" w14:textId="10AB8452" w:rsidR="00982F78" w:rsidRPr="0098277E" w:rsidRDefault="00982F78" w:rsidP="0075046F">
      <w:pPr>
        <w:pStyle w:val="ExhibitTitle0"/>
      </w:pPr>
      <w:r w:rsidRPr="0098277E">
        <w:t xml:space="preserve">Exhibit </w:t>
      </w:r>
      <w:r>
        <w:t>A-</w:t>
      </w:r>
      <w:r w:rsidR="00B92A04">
        <w:t>3</w:t>
      </w:r>
      <w:r>
        <w:t xml:space="preserve">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D6F06" w14:paraId="0D399012" w14:textId="77777777" w:rsidTr="00E63DFD">
        <w:trPr>
          <w:cantSplit/>
          <w:trHeight w:val="269"/>
          <w:tblHeader/>
        </w:trPr>
        <w:tc>
          <w:tcPr>
            <w:tcW w:w="2966" w:type="dxa"/>
            <w:shd w:val="clear" w:color="auto" w:fill="DA291C"/>
            <w:vAlign w:val="center"/>
          </w:tcPr>
          <w:p w14:paraId="2B8A2BFD" w14:textId="77777777" w:rsidR="00982F78" w:rsidRPr="00E63DFD" w:rsidRDefault="00982F78" w:rsidP="00BC3C4E">
            <w:pPr>
              <w:pStyle w:val="Exhibit"/>
              <w:keepNext/>
              <w:rPr>
                <w:b/>
                <w:color w:val="FFFFFF" w:themeColor="background1"/>
              </w:rPr>
            </w:pPr>
            <w:r w:rsidRPr="00E63DFD">
              <w:rPr>
                <w:b/>
                <w:color w:val="FFFFFF" w:themeColor="background1"/>
              </w:rPr>
              <w:t>Data Collection Activity</w:t>
            </w:r>
          </w:p>
        </w:tc>
        <w:tc>
          <w:tcPr>
            <w:tcW w:w="2780" w:type="dxa"/>
            <w:shd w:val="clear" w:color="auto" w:fill="DA291C"/>
            <w:vAlign w:val="center"/>
          </w:tcPr>
          <w:p w14:paraId="6EC64048" w14:textId="77777777" w:rsidR="00982F78" w:rsidRPr="00E63DFD" w:rsidRDefault="00982F78" w:rsidP="00BC3C4E">
            <w:pPr>
              <w:pStyle w:val="Exhibit"/>
              <w:keepNext/>
              <w:rPr>
                <w:b/>
                <w:color w:val="FFFFFF" w:themeColor="background1"/>
              </w:rPr>
            </w:pPr>
            <w:r w:rsidRPr="00E63DFD">
              <w:rPr>
                <w:b/>
                <w:color w:val="FFFFFF" w:themeColor="background1"/>
              </w:rPr>
              <w:t>Timing</w:t>
            </w:r>
          </w:p>
        </w:tc>
        <w:tc>
          <w:tcPr>
            <w:tcW w:w="3614" w:type="dxa"/>
            <w:shd w:val="clear" w:color="auto" w:fill="DA291C"/>
            <w:vAlign w:val="center"/>
          </w:tcPr>
          <w:p w14:paraId="469CECE9" w14:textId="77777777" w:rsidR="00982F78" w:rsidRPr="00E63DFD" w:rsidRDefault="00982F78" w:rsidP="00BC3C4E">
            <w:pPr>
              <w:pStyle w:val="Exhibit"/>
              <w:keepNext/>
              <w:rPr>
                <w:b/>
                <w:color w:val="FFFFFF" w:themeColor="background1"/>
              </w:rPr>
            </w:pPr>
            <w:r w:rsidRPr="00E63DFD">
              <w:rPr>
                <w:b/>
                <w:color w:val="FFFFFF" w:themeColor="background1"/>
              </w:rPr>
              <w:t>Associated Publications</w:t>
            </w:r>
          </w:p>
        </w:tc>
      </w:tr>
      <w:tr w:rsidR="00571D6C" w:rsidRPr="00C72D50" w14:paraId="5F29F48D" w14:textId="77777777" w:rsidTr="0075046F">
        <w:trPr>
          <w:cantSplit/>
        </w:trPr>
        <w:tc>
          <w:tcPr>
            <w:tcW w:w="2966" w:type="dxa"/>
            <w:shd w:val="clear" w:color="auto" w:fill="auto"/>
            <w:vAlign w:val="center"/>
          </w:tcPr>
          <w:p w14:paraId="7458CBD1" w14:textId="77777777" w:rsidR="00571D6C" w:rsidRPr="00C72D50" w:rsidRDefault="00602268" w:rsidP="00BC3C4E">
            <w:pPr>
              <w:pStyle w:val="Exhibit"/>
              <w:keepNext/>
            </w:pPr>
            <w:r>
              <w:t>Baseline information form</w:t>
            </w:r>
          </w:p>
        </w:tc>
        <w:tc>
          <w:tcPr>
            <w:tcW w:w="2780" w:type="dxa"/>
            <w:shd w:val="clear" w:color="auto" w:fill="auto"/>
            <w:vAlign w:val="center"/>
          </w:tcPr>
          <w:p w14:paraId="0D90037F" w14:textId="4DF6DE9E" w:rsidR="00571D6C" w:rsidRPr="00C72D50" w:rsidRDefault="00A85308" w:rsidP="00BC3C4E">
            <w:pPr>
              <w:pStyle w:val="Exhibit"/>
              <w:keepNext/>
            </w:pPr>
            <w:r>
              <w:t>October</w:t>
            </w:r>
            <w:r w:rsidR="001F339B">
              <w:t xml:space="preserve">  </w:t>
            </w:r>
            <w:r w:rsidR="00041508">
              <w:t xml:space="preserve">2015 – </w:t>
            </w:r>
            <w:r>
              <w:t>January 2017</w:t>
            </w:r>
          </w:p>
        </w:tc>
        <w:tc>
          <w:tcPr>
            <w:tcW w:w="3614" w:type="dxa"/>
            <w:shd w:val="clear" w:color="auto" w:fill="auto"/>
            <w:vAlign w:val="center"/>
          </w:tcPr>
          <w:p w14:paraId="68E2C845" w14:textId="01287764" w:rsidR="00571D6C" w:rsidRPr="00C72D50" w:rsidRDefault="00E2395F" w:rsidP="00BC3C4E">
            <w:pPr>
              <w:pStyle w:val="Exhibit"/>
              <w:keepNext/>
            </w:pPr>
            <w:r>
              <w:t>Job Search Assistance Study Final Report (September 2017)</w:t>
            </w:r>
          </w:p>
        </w:tc>
      </w:tr>
      <w:tr w:rsidR="00E63617" w:rsidRPr="00C72D50" w14:paraId="069A2B44" w14:textId="77777777" w:rsidTr="0075046F">
        <w:trPr>
          <w:cantSplit/>
        </w:trPr>
        <w:tc>
          <w:tcPr>
            <w:tcW w:w="2966" w:type="dxa"/>
            <w:shd w:val="clear" w:color="auto" w:fill="auto"/>
            <w:vAlign w:val="center"/>
          </w:tcPr>
          <w:p w14:paraId="6797BE3B" w14:textId="568468B5" w:rsidR="00E63617" w:rsidRPr="00C72D50" w:rsidRDefault="00A85308" w:rsidP="00BC3C4E">
            <w:pPr>
              <w:pStyle w:val="Exhibit"/>
              <w:keepNext/>
            </w:pPr>
            <w:r>
              <w:t>Site vi</w:t>
            </w:r>
            <w:r w:rsidR="00E63617">
              <w:t xml:space="preserve">sits and semi-structured interviews with TANF </w:t>
            </w:r>
            <w:r w:rsidR="00CF0C87">
              <w:t xml:space="preserve">program </w:t>
            </w:r>
            <w:r w:rsidR="00E63617">
              <w:t>staff</w:t>
            </w:r>
          </w:p>
        </w:tc>
        <w:tc>
          <w:tcPr>
            <w:tcW w:w="2780" w:type="dxa"/>
            <w:shd w:val="clear" w:color="auto" w:fill="auto"/>
            <w:vAlign w:val="center"/>
          </w:tcPr>
          <w:p w14:paraId="4369C4AF" w14:textId="1BBCAE7C" w:rsidR="00E63617" w:rsidRPr="00C72D50" w:rsidRDefault="00E2395F" w:rsidP="00E2395F">
            <w:pPr>
              <w:pStyle w:val="Exhibit"/>
              <w:keepNext/>
            </w:pPr>
            <w:r>
              <w:t xml:space="preserve">March </w:t>
            </w:r>
            <w:r w:rsidR="00FF5440">
              <w:t>20</w:t>
            </w:r>
            <w:r>
              <w:t>16</w:t>
            </w:r>
            <w:r w:rsidR="00FF5440">
              <w:t xml:space="preserve"> – </w:t>
            </w:r>
            <w:r>
              <w:t>September</w:t>
            </w:r>
            <w:r w:rsidR="00FF5440">
              <w:t xml:space="preserve"> 2016</w:t>
            </w:r>
          </w:p>
        </w:tc>
        <w:tc>
          <w:tcPr>
            <w:tcW w:w="3614" w:type="dxa"/>
            <w:shd w:val="clear" w:color="auto" w:fill="auto"/>
            <w:vAlign w:val="center"/>
          </w:tcPr>
          <w:p w14:paraId="4BAB52F4" w14:textId="0878EBDB" w:rsidR="00E63617" w:rsidRPr="00C72D50" w:rsidRDefault="00E2395F" w:rsidP="00BC3C4E">
            <w:pPr>
              <w:pStyle w:val="Exhibit"/>
              <w:keepNext/>
            </w:pPr>
            <w:r>
              <w:t>Job Search Assistance Study Final Report (September 2017)</w:t>
            </w:r>
          </w:p>
        </w:tc>
      </w:tr>
      <w:tr w:rsidR="00CF0C87" w:rsidRPr="00C72D50" w14:paraId="34EF29CE" w14:textId="77777777" w:rsidTr="001F339B">
        <w:trPr>
          <w:cantSplit/>
        </w:trPr>
        <w:tc>
          <w:tcPr>
            <w:tcW w:w="2966" w:type="dxa"/>
            <w:shd w:val="clear" w:color="auto" w:fill="auto"/>
            <w:vAlign w:val="center"/>
          </w:tcPr>
          <w:p w14:paraId="637A9443" w14:textId="77777777" w:rsidR="00CF0C87" w:rsidRPr="00C72D50" w:rsidRDefault="00CF0C87" w:rsidP="00BC3C4E">
            <w:pPr>
              <w:pStyle w:val="Exhibit"/>
              <w:keepNext/>
            </w:pPr>
            <w:r>
              <w:t>JSA staff survey</w:t>
            </w:r>
          </w:p>
        </w:tc>
        <w:tc>
          <w:tcPr>
            <w:tcW w:w="2780" w:type="dxa"/>
            <w:shd w:val="clear" w:color="auto" w:fill="auto"/>
            <w:vAlign w:val="center"/>
          </w:tcPr>
          <w:p w14:paraId="7096AFE5" w14:textId="16E0FEF9" w:rsidR="00CF0C87" w:rsidRPr="00C72D50" w:rsidRDefault="00E2395F" w:rsidP="00E2395F">
            <w:pPr>
              <w:pStyle w:val="Exhibit"/>
              <w:keepNext/>
            </w:pPr>
            <w:r>
              <w:t>March 2016</w:t>
            </w:r>
            <w:r w:rsidR="00CF0C87">
              <w:t xml:space="preserve"> – </w:t>
            </w:r>
            <w:r>
              <w:t>September</w:t>
            </w:r>
            <w:r w:rsidR="00CF0C87">
              <w:t xml:space="preserve"> 2016</w:t>
            </w:r>
          </w:p>
        </w:tc>
        <w:tc>
          <w:tcPr>
            <w:tcW w:w="3614" w:type="dxa"/>
            <w:shd w:val="clear" w:color="auto" w:fill="auto"/>
            <w:vAlign w:val="center"/>
          </w:tcPr>
          <w:p w14:paraId="5FE6D110" w14:textId="21FCF0B3" w:rsidR="00CF0C87" w:rsidRPr="00C72D50" w:rsidRDefault="00E2395F" w:rsidP="00BC3C4E">
            <w:pPr>
              <w:pStyle w:val="Exhibit"/>
              <w:keepNext/>
            </w:pPr>
            <w:r>
              <w:t>Job Search Assistance Study Final Report (September 2017)</w:t>
            </w:r>
          </w:p>
        </w:tc>
      </w:tr>
      <w:tr w:rsidR="001F339B" w:rsidRPr="00C72D50" w14:paraId="270EFC05" w14:textId="77777777" w:rsidTr="001F339B">
        <w:trPr>
          <w:cantSplit/>
        </w:trPr>
        <w:tc>
          <w:tcPr>
            <w:tcW w:w="2966" w:type="dxa"/>
            <w:shd w:val="clear" w:color="auto" w:fill="auto"/>
            <w:vAlign w:val="center"/>
          </w:tcPr>
          <w:p w14:paraId="56239941" w14:textId="77777777" w:rsidR="001F339B" w:rsidRDefault="001F339B" w:rsidP="00BC3C4E">
            <w:pPr>
              <w:pStyle w:val="Exhibit"/>
              <w:keepNext/>
            </w:pPr>
            <w:r>
              <w:t xml:space="preserve">Follow-up Survey </w:t>
            </w:r>
          </w:p>
        </w:tc>
        <w:tc>
          <w:tcPr>
            <w:tcW w:w="2780" w:type="dxa"/>
            <w:shd w:val="clear" w:color="auto" w:fill="auto"/>
            <w:vAlign w:val="center"/>
          </w:tcPr>
          <w:p w14:paraId="2EBB2F27" w14:textId="77777777" w:rsidR="001F339B" w:rsidRDefault="001F339B" w:rsidP="00BC3C4E">
            <w:pPr>
              <w:pStyle w:val="Exhibit"/>
              <w:keepNext/>
            </w:pPr>
            <w:r>
              <w:t>March 2016-January 2017</w:t>
            </w:r>
          </w:p>
        </w:tc>
        <w:tc>
          <w:tcPr>
            <w:tcW w:w="3614" w:type="dxa"/>
            <w:shd w:val="clear" w:color="auto" w:fill="auto"/>
            <w:vAlign w:val="center"/>
          </w:tcPr>
          <w:p w14:paraId="5E0CAB28" w14:textId="77777777" w:rsidR="001F339B" w:rsidRDefault="001F339B" w:rsidP="00BC3C4E">
            <w:pPr>
              <w:pStyle w:val="Exhibit"/>
              <w:keepNext/>
            </w:pPr>
            <w:r>
              <w:t xml:space="preserve">Job Search Assistance Study Final Report (September 2017) </w:t>
            </w:r>
          </w:p>
        </w:tc>
      </w:tr>
      <w:tr w:rsidR="001F339B" w:rsidRPr="00C72D50" w14:paraId="2767A523" w14:textId="77777777" w:rsidTr="001F339B">
        <w:trPr>
          <w:cantSplit/>
        </w:trPr>
        <w:tc>
          <w:tcPr>
            <w:tcW w:w="2966" w:type="dxa"/>
            <w:shd w:val="clear" w:color="auto" w:fill="auto"/>
            <w:vAlign w:val="center"/>
          </w:tcPr>
          <w:p w14:paraId="04E7012B" w14:textId="77777777" w:rsidR="001F339B" w:rsidRDefault="00BB7125" w:rsidP="00BC3C4E">
            <w:pPr>
              <w:pStyle w:val="Exhibit"/>
              <w:keepNext/>
            </w:pPr>
            <w:r>
              <w:t>Participant interim surveys</w:t>
            </w:r>
          </w:p>
        </w:tc>
        <w:tc>
          <w:tcPr>
            <w:tcW w:w="2780" w:type="dxa"/>
            <w:shd w:val="clear" w:color="auto" w:fill="auto"/>
            <w:vAlign w:val="center"/>
          </w:tcPr>
          <w:p w14:paraId="2D248EB0" w14:textId="77777777" w:rsidR="001F339B" w:rsidRDefault="00613984" w:rsidP="00BC3C4E">
            <w:pPr>
              <w:pStyle w:val="Exhibit"/>
              <w:keepNext/>
            </w:pPr>
            <w:r>
              <w:t>March 2016</w:t>
            </w:r>
            <w:r w:rsidR="00BB7125">
              <w:t>-</w:t>
            </w:r>
            <w:r>
              <w:t xml:space="preserve">December </w:t>
            </w:r>
            <w:r w:rsidR="00BB7125">
              <w:t xml:space="preserve"> 2016</w:t>
            </w:r>
            <w:r>
              <w:rPr>
                <w:rStyle w:val="FootnoteReference"/>
              </w:rPr>
              <w:footnoteReference w:id="10"/>
            </w:r>
          </w:p>
        </w:tc>
        <w:tc>
          <w:tcPr>
            <w:tcW w:w="3614" w:type="dxa"/>
            <w:shd w:val="clear" w:color="auto" w:fill="auto"/>
            <w:vAlign w:val="center"/>
          </w:tcPr>
          <w:p w14:paraId="6E82B506" w14:textId="7FAAD495" w:rsidR="001F339B" w:rsidRDefault="00E2395F" w:rsidP="00BC3C4E">
            <w:pPr>
              <w:pStyle w:val="Exhibit"/>
              <w:keepNext/>
            </w:pPr>
            <w:r>
              <w:t>Job Search Assistance Study Final Report (September 2017)</w:t>
            </w:r>
          </w:p>
        </w:tc>
      </w:tr>
    </w:tbl>
    <w:p w14:paraId="4E36F03A" w14:textId="77777777" w:rsidR="00982F78" w:rsidRPr="004F1FB4" w:rsidRDefault="00982F78" w:rsidP="003B0879">
      <w:pPr>
        <w:pStyle w:val="Heading2"/>
        <w:spacing w:before="240"/>
      </w:pPr>
      <w:bookmarkStart w:id="29" w:name="_Toc432765882"/>
      <w:r w:rsidRPr="004F1FB4">
        <w:t>A</w:t>
      </w:r>
      <w:r w:rsidR="008A2B09">
        <w:t>.</w:t>
      </w:r>
      <w:r w:rsidRPr="004F1FB4">
        <w:t>17</w:t>
      </w:r>
      <w:r w:rsidR="008A2B09">
        <w:tab/>
      </w:r>
      <w:r w:rsidRPr="004F1FB4">
        <w:t xml:space="preserve">Reasons not to </w:t>
      </w:r>
      <w:r>
        <w:t>D</w:t>
      </w:r>
      <w:r w:rsidRPr="004F1FB4">
        <w:t>isplay OMB Expiration Date</w:t>
      </w:r>
      <w:bookmarkEnd w:id="29"/>
    </w:p>
    <w:p w14:paraId="2CAAC9F9" w14:textId="77777777" w:rsidR="00982F78" w:rsidRDefault="00982F78" w:rsidP="00982F78">
      <w:pPr>
        <w:pStyle w:val="BodyText"/>
      </w:pPr>
      <w:r w:rsidRPr="004F1FB4">
        <w:t xml:space="preserve">All instruments created for </w:t>
      </w:r>
      <w:r w:rsidR="00C66C80">
        <w:t>the JSA Evaluation</w:t>
      </w:r>
      <w:r w:rsidRPr="004F1FB4">
        <w:t xml:space="preserve"> will display the OMB approval number</w:t>
      </w:r>
      <w:r>
        <w:t xml:space="preserve"> and the expiration date for OMB approval</w:t>
      </w:r>
      <w:r w:rsidRPr="004F1FB4">
        <w:t>.</w:t>
      </w:r>
    </w:p>
    <w:p w14:paraId="2F131453" w14:textId="77777777" w:rsidR="00982F78" w:rsidRPr="004F1FB4" w:rsidRDefault="00982F78" w:rsidP="00982F78">
      <w:pPr>
        <w:pStyle w:val="Heading2"/>
      </w:pPr>
      <w:bookmarkStart w:id="30" w:name="_Toc432765883"/>
      <w:r w:rsidRPr="004F1FB4">
        <w:t>A</w:t>
      </w:r>
      <w:r w:rsidR="008A2B09">
        <w:t>.</w:t>
      </w:r>
      <w:r w:rsidRPr="004F1FB4">
        <w:t>18</w:t>
      </w:r>
      <w:r w:rsidR="008A2B09">
        <w:tab/>
      </w:r>
      <w:r w:rsidRPr="004F1FB4">
        <w:t>Exceptions to Certification for Paperwork Reduction Act Submissions</w:t>
      </w:r>
      <w:bookmarkEnd w:id="30"/>
    </w:p>
    <w:p w14:paraId="09FF76D8" w14:textId="77777777" w:rsidR="002312C8" w:rsidRDefault="00982F78" w:rsidP="00710A5C">
      <w:pPr>
        <w:pStyle w:val="BodyText"/>
      </w:pPr>
      <w:r w:rsidRPr="004F1FB4">
        <w:t>No exceptions are necessary for this information collection.</w:t>
      </w:r>
    </w:p>
    <w:p w14:paraId="287EE2E9" w14:textId="77777777" w:rsidR="00E63617" w:rsidRPr="00710A5C" w:rsidRDefault="00E63617" w:rsidP="00710A5C">
      <w:pPr>
        <w:pStyle w:val="BodyText"/>
      </w:pPr>
    </w:p>
    <w:p w14:paraId="26D3BF17" w14:textId="77777777" w:rsidR="00E63617" w:rsidRDefault="00E63617">
      <w:pPr>
        <w:spacing w:after="0" w:line="240" w:lineRule="auto"/>
        <w:rPr>
          <w:szCs w:val="22"/>
        </w:rPr>
        <w:sectPr w:rsidR="00E63617" w:rsidSect="003B0879">
          <w:footerReference w:type="default" r:id="rId15"/>
          <w:pgSz w:w="12240" w:h="15840" w:code="1"/>
          <w:pgMar w:top="1440" w:right="1440" w:bottom="1440" w:left="1440" w:header="1080" w:footer="720" w:gutter="0"/>
          <w:pgNumType w:start="1" w:chapStyle="1"/>
          <w:cols w:space="720"/>
          <w:docGrid w:linePitch="299"/>
        </w:sectPr>
      </w:pPr>
    </w:p>
    <w:p w14:paraId="2456A2E9" w14:textId="77777777" w:rsidR="00C800C5" w:rsidRDefault="00C800C5" w:rsidP="00C800C5">
      <w:pPr>
        <w:pStyle w:val="Heading2"/>
        <w:rPr>
          <w:color w:val="000000"/>
        </w:rPr>
      </w:pPr>
      <w:bookmarkStart w:id="31" w:name="_Toc393802354"/>
      <w:bookmarkStart w:id="32" w:name="_Toc432765884"/>
      <w:r>
        <w:rPr>
          <w:color w:val="000000"/>
        </w:rPr>
        <w:lastRenderedPageBreak/>
        <w:t>References</w:t>
      </w:r>
      <w:bookmarkEnd w:id="31"/>
      <w:bookmarkEnd w:id="32"/>
    </w:p>
    <w:p w14:paraId="0AED1797" w14:textId="767D76F2" w:rsidR="00CA2006" w:rsidRDefault="00CA2006" w:rsidP="00CA2006">
      <w:pPr>
        <w:autoSpaceDE w:val="0"/>
        <w:autoSpaceDN w:val="0"/>
        <w:rPr>
          <w:sz w:val="24"/>
          <w:szCs w:val="24"/>
        </w:rPr>
      </w:pPr>
      <w:r>
        <w:rPr>
          <w:sz w:val="24"/>
          <w:szCs w:val="24"/>
        </w:rPr>
        <w:t xml:space="preserve">Duffer, A., J. Lessler, M. Weeks, &amp; M. Mosher (1994). </w:t>
      </w:r>
      <w:r>
        <w:rPr>
          <w:i/>
          <w:iCs/>
          <w:sz w:val="24"/>
          <w:szCs w:val="24"/>
        </w:rPr>
        <w:t>Effects of Incentive Payments on Response Rates and Field Costs in a Pretest of a National CAPI Survey</w:t>
      </w:r>
      <w:r>
        <w:rPr>
          <w:sz w:val="24"/>
          <w:szCs w:val="24"/>
        </w:rPr>
        <w:t>. Proceedings of the Survey Research Methods Section of the American Statistical Assoc</w:t>
      </w:r>
      <w:r w:rsidR="005859CD">
        <w:rPr>
          <w:sz w:val="24"/>
          <w:szCs w:val="24"/>
        </w:rPr>
        <w:t>iation, Vol. 2, pp. 1386-1391.</w:t>
      </w:r>
    </w:p>
    <w:p w14:paraId="64D5299E" w14:textId="4340D51B" w:rsidR="00C601EE" w:rsidRDefault="00C601EE" w:rsidP="00A663EE">
      <w:pPr>
        <w:autoSpaceDE w:val="0"/>
        <w:autoSpaceDN w:val="0"/>
        <w:adjustRightInd w:val="0"/>
        <w:spacing w:after="0" w:line="240" w:lineRule="auto"/>
        <w:rPr>
          <w:sz w:val="24"/>
          <w:szCs w:val="24"/>
        </w:rPr>
      </w:pPr>
      <w:r w:rsidRPr="00C601EE">
        <w:rPr>
          <w:sz w:val="24"/>
          <w:szCs w:val="24"/>
        </w:rPr>
        <w:t xml:space="preserve">Gurol-Urganci, de Jongh T, Vodopivec-Jamsek V, Car J, Atun R: </w:t>
      </w:r>
      <w:r w:rsidRPr="0002689D">
        <w:rPr>
          <w:i/>
          <w:sz w:val="24"/>
          <w:szCs w:val="24"/>
        </w:rPr>
        <w:t>Mobile phone messaging for communicating results of medical investigations</w:t>
      </w:r>
      <w:r>
        <w:rPr>
          <w:sz w:val="24"/>
          <w:szCs w:val="24"/>
        </w:rPr>
        <w:t>.</w:t>
      </w:r>
    </w:p>
    <w:p w14:paraId="60AA7F91" w14:textId="77777777" w:rsidR="00C601EE" w:rsidRDefault="00C601EE" w:rsidP="00A663EE">
      <w:pPr>
        <w:autoSpaceDE w:val="0"/>
        <w:autoSpaceDN w:val="0"/>
        <w:adjustRightInd w:val="0"/>
        <w:spacing w:after="0" w:line="240" w:lineRule="auto"/>
        <w:rPr>
          <w:sz w:val="24"/>
          <w:szCs w:val="24"/>
        </w:rPr>
      </w:pPr>
    </w:p>
    <w:p w14:paraId="2AB4780C" w14:textId="77777777" w:rsidR="001458B0" w:rsidRDefault="00944B00" w:rsidP="00A663EE">
      <w:pPr>
        <w:autoSpaceDE w:val="0"/>
        <w:autoSpaceDN w:val="0"/>
        <w:adjustRightInd w:val="0"/>
        <w:spacing w:after="0" w:line="240" w:lineRule="auto"/>
        <w:rPr>
          <w:sz w:val="24"/>
          <w:szCs w:val="24"/>
        </w:rPr>
      </w:pPr>
      <w:r>
        <w:rPr>
          <w:sz w:val="24"/>
          <w:szCs w:val="24"/>
        </w:rPr>
        <w:t xml:space="preserve">Klerman, J., R. Koralek, A. Miller, &amp; K. Wen (2012). </w:t>
      </w:r>
      <w:r>
        <w:rPr>
          <w:i/>
          <w:iCs/>
          <w:sz w:val="24"/>
          <w:szCs w:val="24"/>
        </w:rPr>
        <w:t xml:space="preserve">Job Search Assistance Programs: A Review of the Literature </w:t>
      </w:r>
      <w:r>
        <w:rPr>
          <w:sz w:val="24"/>
          <w:szCs w:val="24"/>
        </w:rPr>
        <w:t>(OPRE Report # 2012-39). Washington, DC: Office of Planning, Research and Evaluation, Administration for Children and Families, U.S. Department of Health and Human Services.</w:t>
      </w:r>
    </w:p>
    <w:p w14:paraId="6E9160A6" w14:textId="77777777" w:rsidR="00CA2006" w:rsidRDefault="00CA2006" w:rsidP="00A663EE">
      <w:pPr>
        <w:autoSpaceDE w:val="0"/>
        <w:autoSpaceDN w:val="0"/>
        <w:adjustRightInd w:val="0"/>
        <w:spacing w:after="0" w:line="240" w:lineRule="auto"/>
        <w:rPr>
          <w:sz w:val="24"/>
          <w:szCs w:val="24"/>
        </w:rPr>
      </w:pPr>
    </w:p>
    <w:p w14:paraId="5A35A9F4" w14:textId="2852C438" w:rsidR="00CA2006" w:rsidRDefault="00CA2006" w:rsidP="00CA2006">
      <w:pPr>
        <w:pStyle w:val="BodyText"/>
        <w:spacing w:after="0" w:line="240" w:lineRule="auto"/>
        <w:rPr>
          <w:sz w:val="24"/>
          <w:szCs w:val="24"/>
        </w:rPr>
      </w:pPr>
      <w:r>
        <w:rPr>
          <w:sz w:val="24"/>
          <w:szCs w:val="24"/>
        </w:rPr>
        <w:t>"National Adult Literacy Survey Addendum to Clearance Package, Volume II: Analyses of the NALS Field Test" (Educational Testing Service, September 1991), pp. 2-3</w:t>
      </w:r>
    </w:p>
    <w:p w14:paraId="262229D8" w14:textId="77777777" w:rsidR="00C601EE" w:rsidRPr="00C601EE" w:rsidRDefault="00C601EE" w:rsidP="00C601EE">
      <w:pPr>
        <w:autoSpaceDE w:val="0"/>
        <w:autoSpaceDN w:val="0"/>
        <w:adjustRightInd w:val="0"/>
        <w:spacing w:after="0" w:line="240" w:lineRule="auto"/>
        <w:rPr>
          <w:sz w:val="24"/>
          <w:szCs w:val="24"/>
        </w:rPr>
      </w:pPr>
    </w:p>
    <w:p w14:paraId="07AC1345" w14:textId="77777777" w:rsidR="00C601EE" w:rsidRPr="00C601EE" w:rsidRDefault="00C601EE" w:rsidP="00C601EE">
      <w:pPr>
        <w:autoSpaceDE w:val="0"/>
        <w:autoSpaceDN w:val="0"/>
        <w:adjustRightInd w:val="0"/>
        <w:spacing w:after="0" w:line="240" w:lineRule="auto"/>
        <w:rPr>
          <w:sz w:val="24"/>
          <w:szCs w:val="24"/>
        </w:rPr>
      </w:pPr>
      <w:r w:rsidRPr="00C601EE">
        <w:rPr>
          <w:sz w:val="24"/>
          <w:szCs w:val="24"/>
        </w:rPr>
        <w:t xml:space="preserve">Vervloet M, Linn AJ, van Weert JC, de Bakker DH, Bouvy ML, van Dijk L: </w:t>
      </w:r>
      <w:r w:rsidRPr="0002689D">
        <w:rPr>
          <w:i/>
          <w:sz w:val="24"/>
          <w:szCs w:val="24"/>
        </w:rPr>
        <w:t>The effectiveness of interventions using electronic reminders to improve adherence to chronic medication: a systematic review of the literature</w:t>
      </w:r>
      <w:r w:rsidRPr="00C601EE">
        <w:rPr>
          <w:sz w:val="24"/>
          <w:szCs w:val="24"/>
        </w:rPr>
        <w:t>.</w:t>
      </w:r>
    </w:p>
    <w:p w14:paraId="014E6833" w14:textId="6F6C02B3" w:rsidR="00C601EE" w:rsidRDefault="00C601EE" w:rsidP="00C601EE">
      <w:pPr>
        <w:autoSpaceDE w:val="0"/>
        <w:autoSpaceDN w:val="0"/>
        <w:adjustRightInd w:val="0"/>
        <w:spacing w:after="0" w:line="240" w:lineRule="auto"/>
        <w:rPr>
          <w:sz w:val="24"/>
          <w:szCs w:val="24"/>
        </w:rPr>
      </w:pPr>
      <w:r w:rsidRPr="00C601EE">
        <w:rPr>
          <w:sz w:val="24"/>
          <w:szCs w:val="24"/>
        </w:rPr>
        <w:t>J Am Med Inform Assoc 2012, 19(5):696-704.</w:t>
      </w:r>
    </w:p>
    <w:p w14:paraId="686E2F10" w14:textId="77777777" w:rsidR="001458B0" w:rsidRDefault="001458B0" w:rsidP="000D7766">
      <w:pPr>
        <w:pStyle w:val="BodyText"/>
        <w:rPr>
          <w:sz w:val="24"/>
          <w:szCs w:val="24"/>
        </w:rPr>
      </w:pPr>
    </w:p>
    <w:p w14:paraId="0C2120F3" w14:textId="77777777" w:rsidR="00837555" w:rsidRDefault="00837555" w:rsidP="000D7766">
      <w:pPr>
        <w:pStyle w:val="BodyText"/>
        <w:rPr>
          <w:sz w:val="24"/>
          <w:szCs w:val="24"/>
        </w:rPr>
      </w:pPr>
    </w:p>
    <w:p w14:paraId="6DF9B98E" w14:textId="77777777" w:rsidR="00837555" w:rsidRDefault="00837555" w:rsidP="000D7766">
      <w:pPr>
        <w:pStyle w:val="BodyText"/>
        <w:rPr>
          <w:sz w:val="24"/>
          <w:szCs w:val="24"/>
        </w:rPr>
      </w:pPr>
    </w:p>
    <w:p w14:paraId="20506E08" w14:textId="77777777" w:rsidR="00837555" w:rsidRDefault="00837555" w:rsidP="000D7766">
      <w:pPr>
        <w:pStyle w:val="BodyText"/>
        <w:rPr>
          <w:sz w:val="24"/>
          <w:szCs w:val="24"/>
        </w:rPr>
      </w:pPr>
    </w:p>
    <w:p w14:paraId="4899DCAE" w14:textId="77777777" w:rsidR="00837555" w:rsidRDefault="00837555" w:rsidP="000D7766">
      <w:pPr>
        <w:pStyle w:val="BodyText"/>
        <w:rPr>
          <w:sz w:val="24"/>
          <w:szCs w:val="24"/>
        </w:rPr>
      </w:pPr>
    </w:p>
    <w:p w14:paraId="51B3ECC1" w14:textId="77777777" w:rsidR="00837555" w:rsidRDefault="00837555" w:rsidP="000D7766">
      <w:pPr>
        <w:pStyle w:val="BodyText"/>
        <w:rPr>
          <w:sz w:val="24"/>
          <w:szCs w:val="24"/>
        </w:rPr>
      </w:pPr>
    </w:p>
    <w:p w14:paraId="3E84CA49" w14:textId="25C737C8" w:rsidR="002141C8" w:rsidRDefault="0015016C" w:rsidP="00D917EF">
      <w:pPr>
        <w:pStyle w:val="BodyText"/>
        <w:rPr>
          <w:sz w:val="24"/>
          <w:szCs w:val="24"/>
        </w:rPr>
      </w:pPr>
      <w:r w:rsidRPr="00804319">
        <w:rPr>
          <w:rFonts w:ascii="Arial" w:hAnsi="Arial" w:cs="Arial"/>
          <w:sz w:val="20"/>
          <w:szCs w:val="22"/>
        </w:rPr>
        <w:t xml:space="preserve"> </w:t>
      </w:r>
    </w:p>
    <w:sectPr w:rsidR="002141C8" w:rsidSect="00D917EF">
      <w:footerReference w:type="default" r:id="rId16"/>
      <w:type w:val="continuous"/>
      <w:pgSz w:w="12240" w:h="15840"/>
      <w:pgMar w:top="180" w:right="760" w:bottom="280" w:left="760" w:header="720" w:footer="720" w:gutter="0"/>
      <w:cols w:space="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B867F" w14:textId="77777777" w:rsidR="006B3329" w:rsidRDefault="006B3329" w:rsidP="00D979EA">
      <w:r>
        <w:separator/>
      </w:r>
    </w:p>
  </w:endnote>
  <w:endnote w:type="continuationSeparator" w:id="0">
    <w:p w14:paraId="0A88B4F5" w14:textId="77777777" w:rsidR="006B3329" w:rsidRDefault="006B3329" w:rsidP="00D979EA">
      <w:r>
        <w:continuationSeparator/>
      </w:r>
    </w:p>
  </w:endnote>
  <w:endnote w:type="continuationNotice" w:id="1">
    <w:p w14:paraId="5304B3F4" w14:textId="77777777" w:rsidR="006B3329" w:rsidRDefault="006B3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9559" w14:textId="77777777" w:rsidR="006B3329" w:rsidRDefault="006B332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FBF1" w14:textId="76C73F2B" w:rsidR="006B3329" w:rsidRPr="0066134E" w:rsidRDefault="006B3329" w:rsidP="0025388F">
    <w:pPr>
      <w:pStyle w:val="Footer"/>
      <w:tabs>
        <w:tab w:val="clear" w:pos="4507"/>
        <w:tab w:val="clear" w:pos="9000"/>
        <w:tab w:val="right" w:pos="9360"/>
      </w:tabs>
    </w:pPr>
    <w:r w:rsidRPr="0066134E">
      <w:rPr>
        <w:rStyle w:val="PageNumber"/>
        <w:b/>
      </w:rPr>
      <w:tab/>
    </w:r>
    <w:r w:rsidRPr="003F6E89">
      <w:rPr>
        <w:rStyle w:val="PageNumber"/>
        <w:b/>
      </w:rPr>
      <w:t>Supporting Statement for OMB Clearance Request</w:t>
    </w:r>
    <w:r>
      <w:rPr>
        <w:rStyle w:val="PageNumber"/>
        <w:b/>
      </w:rPr>
      <w:t xml:space="preserve"> Part A</w:t>
    </w:r>
    <w:r w:rsidRPr="003F6E89">
      <w:rPr>
        <w:rStyle w:val="PageNumber"/>
        <w:b/>
      </w:rPr>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87B8B" w:rsidRPr="00487B8B">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92BD9" w14:textId="77777777" w:rsidR="006B3329" w:rsidRPr="0066134E" w:rsidRDefault="006B3329"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87B8B" w:rsidRPr="00487B8B">
      <w:rPr>
        <w:rStyle w:val="PageNumber"/>
        <w:b/>
        <w:noProof/>
        <w:color w:val="DA291C"/>
      </w:rPr>
      <w:t>10</w:t>
    </w:r>
    <w:r>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6E89" w14:textId="3CCD807E" w:rsidR="006B3329" w:rsidRPr="0066134E" w:rsidRDefault="006B3329" w:rsidP="00D917EF">
    <w:pPr>
      <w:pStyle w:val="Footer"/>
      <w:tabs>
        <w:tab w:val="clear" w:pos="4507"/>
        <w:tab w:val="clear" w:pos="900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BE328" w14:textId="77777777" w:rsidR="006B3329" w:rsidRDefault="006B3329" w:rsidP="00D979EA">
      <w:r>
        <w:separator/>
      </w:r>
    </w:p>
  </w:footnote>
  <w:footnote w:type="continuationSeparator" w:id="0">
    <w:p w14:paraId="194F7678" w14:textId="77777777" w:rsidR="006B3329" w:rsidRDefault="006B3329" w:rsidP="00D979EA">
      <w:r>
        <w:continuationSeparator/>
      </w:r>
    </w:p>
  </w:footnote>
  <w:footnote w:type="continuationNotice" w:id="1">
    <w:p w14:paraId="181AECEB" w14:textId="77777777" w:rsidR="006B3329" w:rsidRDefault="006B3329">
      <w:pPr>
        <w:spacing w:after="0" w:line="240" w:lineRule="auto"/>
      </w:pPr>
    </w:p>
  </w:footnote>
  <w:footnote w:id="2">
    <w:p w14:paraId="22F61AD6" w14:textId="77777777" w:rsidR="006B3329" w:rsidRDefault="006B3329" w:rsidP="006B3329">
      <w:pPr>
        <w:pStyle w:val="FootnoteText"/>
      </w:pPr>
      <w:r>
        <w:rPr>
          <w:rStyle w:val="FootnoteReference"/>
        </w:rPr>
        <w:footnoteRef/>
      </w:r>
      <w:r>
        <w:t xml:space="preserve"> The welcome packet (Attachment A) will include a welcome letter, an overview of the study, and a </w:t>
      </w:r>
      <w:r w:rsidRPr="00573954">
        <w:t>contact update form</w:t>
      </w:r>
      <w:r>
        <w:t xml:space="preserve"> (with a business reply envelope).  </w:t>
      </w:r>
    </w:p>
  </w:footnote>
  <w:footnote w:id="3">
    <w:p w14:paraId="1B0C2987" w14:textId="514133BB" w:rsidR="006B3329" w:rsidRDefault="006B3329">
      <w:pPr>
        <w:pStyle w:val="FootnoteText"/>
      </w:pPr>
      <w:r>
        <w:rPr>
          <w:rStyle w:val="FootnoteReference"/>
        </w:rPr>
        <w:footnoteRef/>
      </w:r>
      <w:r>
        <w:t xml:space="preserve"> Participants can choose not to give their consent to contact via text message.  Those that do not consent to text messaging or do not have cell phones </w:t>
      </w:r>
      <w:r w:rsidRPr="00CF3DEF">
        <w:t>will receive a</w:t>
      </w:r>
      <w:r>
        <w:t>n</w:t>
      </w:r>
      <w:r w:rsidRPr="00CF3DEF">
        <w:t xml:space="preserve"> </w:t>
      </w:r>
      <w:r>
        <w:t>e</w:t>
      </w:r>
      <w:r w:rsidRPr="00CF3DEF">
        <w:t>mail invitation to participate in the interim tracking surveys online</w:t>
      </w:r>
      <w:r>
        <w:t xml:space="preserve"> (see discussion below)</w:t>
      </w:r>
      <w:r w:rsidRPr="00CF3DEF">
        <w:t>.</w:t>
      </w:r>
    </w:p>
  </w:footnote>
  <w:footnote w:id="4">
    <w:p w14:paraId="3CA1F23D" w14:textId="1695EB05" w:rsidR="006B3329" w:rsidRDefault="006B3329">
      <w:pPr>
        <w:pStyle w:val="FootnoteText"/>
      </w:pPr>
      <w:r>
        <w:rPr>
          <w:rStyle w:val="FootnoteReference"/>
        </w:rPr>
        <w:footnoteRef/>
      </w:r>
      <w:r>
        <w:t xml:space="preserve"> SMS stands for “short message service.” This type of texting does not require a smart phone. It allows for an exchange of short messages to be threaded together, a critical feature for the administration of a short survey.  </w:t>
      </w:r>
    </w:p>
  </w:footnote>
  <w:footnote w:id="5">
    <w:p w14:paraId="28ECA31A" w14:textId="24D7AB31" w:rsidR="006B3329" w:rsidRDefault="006B3329">
      <w:pPr>
        <w:pStyle w:val="FootnoteText"/>
      </w:pPr>
      <w:r>
        <w:rPr>
          <w:rStyle w:val="FootnoteReference"/>
        </w:rPr>
        <w:footnoteRef/>
      </w:r>
      <w:r>
        <w:t xml:space="preserve"> The study team will enter baseline data from participants randomly assigned in the New York City site, as this site adapted their existing MIS to incorporate random assignment and are not using the evaluation’s participant tracking system (PTS). The baseline information forms are sent to the evaluation team who then enters the information in the PTS.</w:t>
      </w:r>
    </w:p>
  </w:footnote>
  <w:footnote w:id="6">
    <w:p w14:paraId="2BD6F1F7" w14:textId="00CF428F" w:rsidR="006B3329" w:rsidRDefault="006B3329" w:rsidP="009C53E9">
      <w:pPr>
        <w:pStyle w:val="FootnoteText"/>
      </w:pPr>
      <w:r>
        <w:rPr>
          <w:rStyle w:val="FootnoteReference"/>
        </w:rPr>
        <w:footnoteRef/>
      </w:r>
      <w:r>
        <w:t xml:space="preserve">  As discussed, the JSA Strategies Evaluation participant enrollment period began in October 2015 in New York, NY, prior to OMB approval of the contact update form and use of tokens of appreciation.  Thus, the welcome packets for the participants enrolled prior to OMB approval will not include these items.  Tracking for these early enrollees will draw on available contact tracking sources until OMB approval is received and this group can be transitioned into the active tracking system as well.</w:t>
      </w:r>
    </w:p>
  </w:footnote>
  <w:footnote w:id="7">
    <w:p w14:paraId="700D6878" w14:textId="77777777" w:rsidR="006B3329" w:rsidRDefault="006B3329" w:rsidP="00B45189">
      <w:pPr>
        <w:pStyle w:val="FootnoteText"/>
        <w:spacing w:after="0"/>
      </w:pPr>
      <w:r>
        <w:rPr>
          <w:rStyle w:val="FootnoteReference"/>
        </w:rPr>
        <w:footnoteRef/>
      </w:r>
      <w:r>
        <w:t xml:space="preserve"> </w:t>
      </w:r>
      <w:r>
        <w:tab/>
        <w:t xml:space="preserve">Assuming </w:t>
      </w:r>
      <w:r w:rsidRPr="00AC72F5">
        <w:t>2080 FTE</w:t>
      </w:r>
      <w:r w:rsidRPr="00FF088A">
        <w:t xml:space="preserve"> hours</w:t>
      </w:r>
      <w:r>
        <w:t xml:space="preserve"> worked per year.</w:t>
      </w:r>
    </w:p>
  </w:footnote>
  <w:footnote w:id="8">
    <w:p w14:paraId="4D6DB855" w14:textId="77777777" w:rsidR="006B3329" w:rsidRDefault="006B3329" w:rsidP="000F4EDD">
      <w:pPr>
        <w:pStyle w:val="FootnoteText"/>
        <w:spacing w:after="0"/>
      </w:pPr>
      <w:r>
        <w:rPr>
          <w:rStyle w:val="FootnoteReference"/>
        </w:rPr>
        <w:footnoteRef/>
      </w:r>
      <w:r>
        <w:t xml:space="preserve"> </w:t>
      </w:r>
      <w:r>
        <w:tab/>
      </w:r>
      <w:r w:rsidRPr="006041A3">
        <w:t>http://www.bls.gov/oes/current/oes_nat.htm</w:t>
      </w:r>
    </w:p>
  </w:footnote>
  <w:footnote w:id="9">
    <w:p w14:paraId="546C140D" w14:textId="77777777" w:rsidR="00AF4115" w:rsidRDefault="00AF4115" w:rsidP="00D914F1">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p>
  </w:footnote>
  <w:footnote w:id="10">
    <w:p w14:paraId="6F5E5357" w14:textId="77777777" w:rsidR="006B3329" w:rsidRDefault="006B3329">
      <w:pPr>
        <w:pStyle w:val="FootnoteText"/>
      </w:pPr>
      <w:r>
        <w:rPr>
          <w:rStyle w:val="FootnoteReference"/>
        </w:rPr>
        <w:footnoteRef/>
      </w:r>
      <w:r>
        <w:t xml:space="preserve"> The interim tracking surveys are scheduled to begin in March 2016, or as soon as OMB approval is obtained.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2532" w14:textId="77777777" w:rsidR="006B3329" w:rsidRPr="0005750B" w:rsidRDefault="006B3329"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0A81" w14:textId="77777777" w:rsidR="006B3329" w:rsidRDefault="006B3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A485" w14:textId="77777777" w:rsidR="006B3329" w:rsidRDefault="006B3329"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E8CA" w14:textId="77777777" w:rsidR="006B3329" w:rsidRDefault="006B3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236"/>
    <w:multiLevelType w:val="hybridMultilevel"/>
    <w:tmpl w:val="1F02D438"/>
    <w:lvl w:ilvl="0" w:tplc="08086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6A3B3A"/>
    <w:multiLevelType w:val="hybridMultilevel"/>
    <w:tmpl w:val="C7DCDAC4"/>
    <w:lvl w:ilvl="0" w:tplc="22AC7D54">
      <w:start w:val="3"/>
      <w:numFmt w:val="upperRoman"/>
      <w:lvlText w:val="%1."/>
      <w:lvlJc w:val="left"/>
      <w:pPr>
        <w:ind w:left="160" w:hanging="310"/>
      </w:pPr>
      <w:rPr>
        <w:rFonts w:ascii="Book Antiqua" w:eastAsia="Book Antiqua" w:hAnsi="Book Antiqua" w:hint="default"/>
        <w:b/>
        <w:bCs/>
        <w:w w:val="101"/>
        <w:sz w:val="18"/>
        <w:szCs w:val="18"/>
      </w:rPr>
    </w:lvl>
    <w:lvl w:ilvl="1" w:tplc="93B2860A">
      <w:start w:val="1"/>
      <w:numFmt w:val="bullet"/>
      <w:lvlText w:val="•"/>
      <w:lvlJc w:val="left"/>
      <w:pPr>
        <w:ind w:left="494" w:hanging="310"/>
      </w:pPr>
      <w:rPr>
        <w:rFonts w:hint="default"/>
      </w:rPr>
    </w:lvl>
    <w:lvl w:ilvl="2" w:tplc="AC54A2D2">
      <w:start w:val="1"/>
      <w:numFmt w:val="bullet"/>
      <w:lvlText w:val="•"/>
      <w:lvlJc w:val="left"/>
      <w:pPr>
        <w:ind w:left="829" w:hanging="310"/>
      </w:pPr>
      <w:rPr>
        <w:rFonts w:hint="default"/>
      </w:rPr>
    </w:lvl>
    <w:lvl w:ilvl="3" w:tplc="FC3C3FA0">
      <w:start w:val="1"/>
      <w:numFmt w:val="bullet"/>
      <w:lvlText w:val="•"/>
      <w:lvlJc w:val="left"/>
      <w:pPr>
        <w:ind w:left="1164" w:hanging="310"/>
      </w:pPr>
      <w:rPr>
        <w:rFonts w:hint="default"/>
      </w:rPr>
    </w:lvl>
    <w:lvl w:ilvl="4" w:tplc="2AB49ABA">
      <w:start w:val="1"/>
      <w:numFmt w:val="bullet"/>
      <w:lvlText w:val="•"/>
      <w:lvlJc w:val="left"/>
      <w:pPr>
        <w:ind w:left="1498" w:hanging="310"/>
      </w:pPr>
      <w:rPr>
        <w:rFonts w:hint="default"/>
      </w:rPr>
    </w:lvl>
    <w:lvl w:ilvl="5" w:tplc="6CE06F7C">
      <w:start w:val="1"/>
      <w:numFmt w:val="bullet"/>
      <w:lvlText w:val="•"/>
      <w:lvlJc w:val="left"/>
      <w:pPr>
        <w:ind w:left="1833" w:hanging="310"/>
      </w:pPr>
      <w:rPr>
        <w:rFonts w:hint="default"/>
      </w:rPr>
    </w:lvl>
    <w:lvl w:ilvl="6" w:tplc="4F3AF9F2">
      <w:start w:val="1"/>
      <w:numFmt w:val="bullet"/>
      <w:lvlText w:val="•"/>
      <w:lvlJc w:val="left"/>
      <w:pPr>
        <w:ind w:left="2167" w:hanging="310"/>
      </w:pPr>
      <w:rPr>
        <w:rFonts w:hint="default"/>
      </w:rPr>
    </w:lvl>
    <w:lvl w:ilvl="7" w:tplc="6288512A">
      <w:start w:val="1"/>
      <w:numFmt w:val="bullet"/>
      <w:lvlText w:val="•"/>
      <w:lvlJc w:val="left"/>
      <w:pPr>
        <w:ind w:left="2502" w:hanging="310"/>
      </w:pPr>
      <w:rPr>
        <w:rFonts w:hint="default"/>
      </w:rPr>
    </w:lvl>
    <w:lvl w:ilvl="8" w:tplc="2E5CD748">
      <w:start w:val="1"/>
      <w:numFmt w:val="bullet"/>
      <w:lvlText w:val="•"/>
      <w:lvlJc w:val="left"/>
      <w:pPr>
        <w:ind w:left="2837" w:hanging="310"/>
      </w:pPr>
      <w:rPr>
        <w:rFonts w:hint="default"/>
      </w:rPr>
    </w:lvl>
  </w:abstractNum>
  <w:abstractNum w:abstractNumId="2">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8210C"/>
    <w:multiLevelType w:val="hybridMultilevel"/>
    <w:tmpl w:val="07489666"/>
    <w:lvl w:ilvl="0" w:tplc="7406A396">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BE140B"/>
    <w:multiLevelType w:val="hybridMultilevel"/>
    <w:tmpl w:val="1EA05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5CC36D5"/>
    <w:multiLevelType w:val="hybridMultilevel"/>
    <w:tmpl w:val="A8CC3190"/>
    <w:lvl w:ilvl="0" w:tplc="6150929A">
      <w:start w:val="98"/>
      <w:numFmt w:val="decimal"/>
      <w:lvlText w:val="%1"/>
      <w:lvlJc w:val="left"/>
      <w:pPr>
        <w:ind w:left="7560" w:hanging="360"/>
      </w:pPr>
      <w:rPr>
        <w:rFonts w:hint="default"/>
        <w:b w:val="0"/>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C9D3025"/>
    <w:multiLevelType w:val="hybridMultilevel"/>
    <w:tmpl w:val="4E5EBD88"/>
    <w:lvl w:ilvl="0" w:tplc="BEB8286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C52E2B"/>
    <w:multiLevelType w:val="hybridMultilevel"/>
    <w:tmpl w:val="B9FC8F38"/>
    <w:lvl w:ilvl="0" w:tplc="CB8091F8">
      <w:start w:val="1"/>
      <w:numFmt w:val="bullet"/>
      <w:lvlText w:val=""/>
      <w:lvlJc w:val="left"/>
      <w:pPr>
        <w:ind w:left="160" w:hanging="183"/>
      </w:pPr>
      <w:rPr>
        <w:rFonts w:ascii="Symbol" w:eastAsia="Symbol" w:hAnsi="Symbol" w:hint="default"/>
        <w:w w:val="100"/>
        <w:sz w:val="18"/>
        <w:szCs w:val="18"/>
      </w:rPr>
    </w:lvl>
    <w:lvl w:ilvl="1" w:tplc="7A74386E">
      <w:start w:val="1"/>
      <w:numFmt w:val="bullet"/>
      <w:lvlText w:val="•"/>
      <w:lvlJc w:val="left"/>
      <w:pPr>
        <w:ind w:left="492" w:hanging="183"/>
      </w:pPr>
      <w:rPr>
        <w:rFonts w:hint="default"/>
      </w:rPr>
    </w:lvl>
    <w:lvl w:ilvl="2" w:tplc="2B6412CA">
      <w:start w:val="1"/>
      <w:numFmt w:val="bullet"/>
      <w:lvlText w:val="•"/>
      <w:lvlJc w:val="left"/>
      <w:pPr>
        <w:ind w:left="825" w:hanging="183"/>
      </w:pPr>
      <w:rPr>
        <w:rFonts w:hint="default"/>
      </w:rPr>
    </w:lvl>
    <w:lvl w:ilvl="3" w:tplc="25D255C0">
      <w:start w:val="1"/>
      <w:numFmt w:val="bullet"/>
      <w:lvlText w:val="•"/>
      <w:lvlJc w:val="left"/>
      <w:pPr>
        <w:ind w:left="1158" w:hanging="183"/>
      </w:pPr>
      <w:rPr>
        <w:rFonts w:hint="default"/>
      </w:rPr>
    </w:lvl>
    <w:lvl w:ilvl="4" w:tplc="0C72BFD0">
      <w:start w:val="1"/>
      <w:numFmt w:val="bullet"/>
      <w:lvlText w:val="•"/>
      <w:lvlJc w:val="left"/>
      <w:pPr>
        <w:ind w:left="1490" w:hanging="183"/>
      </w:pPr>
      <w:rPr>
        <w:rFonts w:hint="default"/>
      </w:rPr>
    </w:lvl>
    <w:lvl w:ilvl="5" w:tplc="1F044AEE">
      <w:start w:val="1"/>
      <w:numFmt w:val="bullet"/>
      <w:lvlText w:val="•"/>
      <w:lvlJc w:val="left"/>
      <w:pPr>
        <w:ind w:left="1823" w:hanging="183"/>
      </w:pPr>
      <w:rPr>
        <w:rFonts w:hint="default"/>
      </w:rPr>
    </w:lvl>
    <w:lvl w:ilvl="6" w:tplc="02885C5E">
      <w:start w:val="1"/>
      <w:numFmt w:val="bullet"/>
      <w:lvlText w:val="•"/>
      <w:lvlJc w:val="left"/>
      <w:pPr>
        <w:ind w:left="2156" w:hanging="183"/>
      </w:pPr>
      <w:rPr>
        <w:rFonts w:hint="default"/>
      </w:rPr>
    </w:lvl>
    <w:lvl w:ilvl="7" w:tplc="1B82B996">
      <w:start w:val="1"/>
      <w:numFmt w:val="bullet"/>
      <w:lvlText w:val="•"/>
      <w:lvlJc w:val="left"/>
      <w:pPr>
        <w:ind w:left="2488" w:hanging="183"/>
      </w:pPr>
      <w:rPr>
        <w:rFonts w:hint="default"/>
      </w:rPr>
    </w:lvl>
    <w:lvl w:ilvl="8" w:tplc="69DCBCE8">
      <w:start w:val="1"/>
      <w:numFmt w:val="bullet"/>
      <w:lvlText w:val="•"/>
      <w:lvlJc w:val="left"/>
      <w:pPr>
        <w:ind w:left="2821" w:hanging="183"/>
      </w:pPr>
      <w:rPr>
        <w:rFonts w:hint="default"/>
      </w:r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905352"/>
    <w:multiLevelType w:val="hybridMultilevel"/>
    <w:tmpl w:val="0A940CFE"/>
    <w:lvl w:ilvl="0" w:tplc="B5A89CAC">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5428D4"/>
    <w:multiLevelType w:val="hybridMultilevel"/>
    <w:tmpl w:val="F872E0C4"/>
    <w:lvl w:ilvl="0" w:tplc="65E0A29A">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186A6E"/>
    <w:multiLevelType w:val="hybridMultilevel"/>
    <w:tmpl w:val="7F86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6BB0118D"/>
    <w:multiLevelType w:val="hybridMultilevel"/>
    <w:tmpl w:val="728266A2"/>
    <w:lvl w:ilvl="0" w:tplc="ACB890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342D64"/>
    <w:multiLevelType w:val="multilevel"/>
    <w:tmpl w:val="1DF6E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9981320"/>
    <w:multiLevelType w:val="hybridMultilevel"/>
    <w:tmpl w:val="9BDE2972"/>
    <w:lvl w:ilvl="0" w:tplc="3F78360E">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D63DA6"/>
    <w:multiLevelType w:val="singleLevel"/>
    <w:tmpl w:val="04090001"/>
    <w:lvl w:ilvl="0">
      <w:start w:val="1"/>
      <w:numFmt w:val="bullet"/>
      <w:lvlText w:val=""/>
      <w:lvlJc w:val="left"/>
      <w:pPr>
        <w:ind w:left="720" w:hanging="360"/>
      </w:pPr>
      <w:rPr>
        <w:rFonts w:ascii="Symbol" w:hAnsi="Symbol" w:hint="default"/>
        <w:color w:val="DA291C"/>
        <w:sz w:val="22"/>
      </w:rPr>
    </w:lvl>
  </w:abstractNum>
  <w:abstractNum w:abstractNumId="41">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6"/>
  </w:num>
  <w:num w:numId="3">
    <w:abstractNumId w:val="40"/>
  </w:num>
  <w:num w:numId="4">
    <w:abstractNumId w:val="17"/>
  </w:num>
  <w:num w:numId="5">
    <w:abstractNumId w:val="42"/>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14"/>
  </w:num>
  <w:num w:numId="11">
    <w:abstractNumId w:val="41"/>
  </w:num>
  <w:num w:numId="12">
    <w:abstractNumId w:val="31"/>
  </w:num>
  <w:num w:numId="13">
    <w:abstractNumId w:val="8"/>
  </w:num>
  <w:num w:numId="14">
    <w:abstractNumId w:val="29"/>
  </w:num>
  <w:num w:numId="15">
    <w:abstractNumId w:val="20"/>
  </w:num>
  <w:num w:numId="16">
    <w:abstractNumId w:val="9"/>
  </w:num>
  <w:num w:numId="17">
    <w:abstractNumId w:val="0"/>
  </w:num>
  <w:num w:numId="18">
    <w:abstractNumId w:val="32"/>
  </w:num>
  <w:num w:numId="19">
    <w:abstractNumId w:val="3"/>
  </w:num>
  <w:num w:numId="20">
    <w:abstractNumId w:val="25"/>
  </w:num>
  <w:num w:numId="21">
    <w:abstractNumId w:val="11"/>
  </w:num>
  <w:num w:numId="22">
    <w:abstractNumId w:val="35"/>
  </w:num>
  <w:num w:numId="23">
    <w:abstractNumId w:val="5"/>
  </w:num>
  <w:num w:numId="24">
    <w:abstractNumId w:val="39"/>
  </w:num>
  <w:num w:numId="25">
    <w:abstractNumId w:val="28"/>
  </w:num>
  <w:num w:numId="26">
    <w:abstractNumId w:val="23"/>
  </w:num>
  <w:num w:numId="27">
    <w:abstractNumId w:val="38"/>
  </w:num>
  <w:num w:numId="28">
    <w:abstractNumId w:val="6"/>
  </w:num>
  <w:num w:numId="29">
    <w:abstractNumId w:val="24"/>
  </w:num>
  <w:num w:numId="30">
    <w:abstractNumId w:val="18"/>
  </w:num>
  <w:num w:numId="31">
    <w:abstractNumId w:val="4"/>
  </w:num>
  <w:num w:numId="32">
    <w:abstractNumId w:val="27"/>
  </w:num>
  <w:num w:numId="33">
    <w:abstractNumId w:val="37"/>
  </w:num>
  <w:num w:numId="34">
    <w:abstractNumId w:val="21"/>
  </w:num>
  <w:num w:numId="35">
    <w:abstractNumId w:val="7"/>
  </w:num>
  <w:num w:numId="36">
    <w:abstractNumId w:val="15"/>
  </w:num>
  <w:num w:numId="37">
    <w:abstractNumId w:val="1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16"/>
  </w:num>
  <w:num w:numId="63">
    <w:abstractNumId w:val="30"/>
  </w:num>
  <w:num w:numId="64">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0F50"/>
    <w:rsid w:val="00001BEF"/>
    <w:rsid w:val="0000288A"/>
    <w:rsid w:val="00003A2C"/>
    <w:rsid w:val="00004B85"/>
    <w:rsid w:val="000060E8"/>
    <w:rsid w:val="00006B3A"/>
    <w:rsid w:val="00006BBF"/>
    <w:rsid w:val="000120A5"/>
    <w:rsid w:val="000136F3"/>
    <w:rsid w:val="00014AD7"/>
    <w:rsid w:val="00014C62"/>
    <w:rsid w:val="00015298"/>
    <w:rsid w:val="00016E17"/>
    <w:rsid w:val="00017A52"/>
    <w:rsid w:val="00017EA6"/>
    <w:rsid w:val="0002216E"/>
    <w:rsid w:val="000234FB"/>
    <w:rsid w:val="0002382E"/>
    <w:rsid w:val="00025D63"/>
    <w:rsid w:val="0002689D"/>
    <w:rsid w:val="00030028"/>
    <w:rsid w:val="00031005"/>
    <w:rsid w:val="00031130"/>
    <w:rsid w:val="000330FD"/>
    <w:rsid w:val="00034075"/>
    <w:rsid w:val="00040E00"/>
    <w:rsid w:val="00041508"/>
    <w:rsid w:val="000442B0"/>
    <w:rsid w:val="0004441E"/>
    <w:rsid w:val="00044B2D"/>
    <w:rsid w:val="000458B4"/>
    <w:rsid w:val="00045C91"/>
    <w:rsid w:val="00046728"/>
    <w:rsid w:val="000468B6"/>
    <w:rsid w:val="0004732B"/>
    <w:rsid w:val="00051004"/>
    <w:rsid w:val="000515B5"/>
    <w:rsid w:val="000525E0"/>
    <w:rsid w:val="00052934"/>
    <w:rsid w:val="00052AAE"/>
    <w:rsid w:val="00053EEF"/>
    <w:rsid w:val="000543DC"/>
    <w:rsid w:val="00055022"/>
    <w:rsid w:val="000552D5"/>
    <w:rsid w:val="0005750B"/>
    <w:rsid w:val="00057640"/>
    <w:rsid w:val="00057D22"/>
    <w:rsid w:val="0006045E"/>
    <w:rsid w:val="000622B7"/>
    <w:rsid w:val="0006587B"/>
    <w:rsid w:val="0006656D"/>
    <w:rsid w:val="00070322"/>
    <w:rsid w:val="00070915"/>
    <w:rsid w:val="0007152B"/>
    <w:rsid w:val="000725D9"/>
    <w:rsid w:val="00076F74"/>
    <w:rsid w:val="00076FE1"/>
    <w:rsid w:val="00077F6B"/>
    <w:rsid w:val="00081BA3"/>
    <w:rsid w:val="00081C4A"/>
    <w:rsid w:val="00082D01"/>
    <w:rsid w:val="0008355C"/>
    <w:rsid w:val="00086A01"/>
    <w:rsid w:val="00087856"/>
    <w:rsid w:val="000902AA"/>
    <w:rsid w:val="00092538"/>
    <w:rsid w:val="00093CA1"/>
    <w:rsid w:val="0009443D"/>
    <w:rsid w:val="00095D40"/>
    <w:rsid w:val="000976B7"/>
    <w:rsid w:val="000A00A2"/>
    <w:rsid w:val="000A1C6D"/>
    <w:rsid w:val="000A2554"/>
    <w:rsid w:val="000A2DF8"/>
    <w:rsid w:val="000A4125"/>
    <w:rsid w:val="000A484D"/>
    <w:rsid w:val="000A493D"/>
    <w:rsid w:val="000A63C1"/>
    <w:rsid w:val="000A7536"/>
    <w:rsid w:val="000A7718"/>
    <w:rsid w:val="000A7D69"/>
    <w:rsid w:val="000B0107"/>
    <w:rsid w:val="000B0F5A"/>
    <w:rsid w:val="000B1867"/>
    <w:rsid w:val="000B1CD9"/>
    <w:rsid w:val="000B27A3"/>
    <w:rsid w:val="000B2E65"/>
    <w:rsid w:val="000B33D1"/>
    <w:rsid w:val="000B5829"/>
    <w:rsid w:val="000B6C88"/>
    <w:rsid w:val="000B6EE4"/>
    <w:rsid w:val="000C0A39"/>
    <w:rsid w:val="000C2A54"/>
    <w:rsid w:val="000C3040"/>
    <w:rsid w:val="000C397C"/>
    <w:rsid w:val="000D53F1"/>
    <w:rsid w:val="000D5759"/>
    <w:rsid w:val="000D5777"/>
    <w:rsid w:val="000D6942"/>
    <w:rsid w:val="000D7727"/>
    <w:rsid w:val="000D7766"/>
    <w:rsid w:val="000E00A5"/>
    <w:rsid w:val="000E091F"/>
    <w:rsid w:val="000E6B75"/>
    <w:rsid w:val="000F13DE"/>
    <w:rsid w:val="000F3041"/>
    <w:rsid w:val="000F3556"/>
    <w:rsid w:val="000F4EDD"/>
    <w:rsid w:val="000F53F4"/>
    <w:rsid w:val="000F6B6B"/>
    <w:rsid w:val="000F713F"/>
    <w:rsid w:val="0010047F"/>
    <w:rsid w:val="00102A42"/>
    <w:rsid w:val="001034D7"/>
    <w:rsid w:val="001043CE"/>
    <w:rsid w:val="0010492C"/>
    <w:rsid w:val="00104BAB"/>
    <w:rsid w:val="00104F2A"/>
    <w:rsid w:val="001055FF"/>
    <w:rsid w:val="00105B32"/>
    <w:rsid w:val="00105C4F"/>
    <w:rsid w:val="00107A04"/>
    <w:rsid w:val="0011170B"/>
    <w:rsid w:val="00113590"/>
    <w:rsid w:val="001146BC"/>
    <w:rsid w:val="00115544"/>
    <w:rsid w:val="00116679"/>
    <w:rsid w:val="001178CA"/>
    <w:rsid w:val="001221C4"/>
    <w:rsid w:val="001225CC"/>
    <w:rsid w:val="00124D35"/>
    <w:rsid w:val="00126D43"/>
    <w:rsid w:val="00130417"/>
    <w:rsid w:val="001307A5"/>
    <w:rsid w:val="0013145C"/>
    <w:rsid w:val="00131840"/>
    <w:rsid w:val="0013202F"/>
    <w:rsid w:val="0013725D"/>
    <w:rsid w:val="00137D99"/>
    <w:rsid w:val="0014001D"/>
    <w:rsid w:val="00141252"/>
    <w:rsid w:val="0014165B"/>
    <w:rsid w:val="00141923"/>
    <w:rsid w:val="001458B0"/>
    <w:rsid w:val="00145A5E"/>
    <w:rsid w:val="00146059"/>
    <w:rsid w:val="001478FB"/>
    <w:rsid w:val="00147B9B"/>
    <w:rsid w:val="0015016C"/>
    <w:rsid w:val="00152153"/>
    <w:rsid w:val="001522A4"/>
    <w:rsid w:val="0015250B"/>
    <w:rsid w:val="001563F0"/>
    <w:rsid w:val="001576F7"/>
    <w:rsid w:val="00157E04"/>
    <w:rsid w:val="00160657"/>
    <w:rsid w:val="00160B87"/>
    <w:rsid w:val="00161DFB"/>
    <w:rsid w:val="0016365B"/>
    <w:rsid w:val="001668EE"/>
    <w:rsid w:val="001677DC"/>
    <w:rsid w:val="0017087D"/>
    <w:rsid w:val="001708CF"/>
    <w:rsid w:val="00170D9C"/>
    <w:rsid w:val="00170DB5"/>
    <w:rsid w:val="00172119"/>
    <w:rsid w:val="00173BD6"/>
    <w:rsid w:val="00173EB0"/>
    <w:rsid w:val="00174455"/>
    <w:rsid w:val="00180E66"/>
    <w:rsid w:val="00183AD7"/>
    <w:rsid w:val="0018406F"/>
    <w:rsid w:val="001845EE"/>
    <w:rsid w:val="00186988"/>
    <w:rsid w:val="001873E2"/>
    <w:rsid w:val="00187F51"/>
    <w:rsid w:val="00190DAA"/>
    <w:rsid w:val="0019244B"/>
    <w:rsid w:val="00192943"/>
    <w:rsid w:val="00193188"/>
    <w:rsid w:val="00194F92"/>
    <w:rsid w:val="00197D8A"/>
    <w:rsid w:val="001A04CE"/>
    <w:rsid w:val="001A0E0A"/>
    <w:rsid w:val="001A1213"/>
    <w:rsid w:val="001A1C27"/>
    <w:rsid w:val="001A23B5"/>
    <w:rsid w:val="001A403F"/>
    <w:rsid w:val="001A4633"/>
    <w:rsid w:val="001B31B5"/>
    <w:rsid w:val="001B3324"/>
    <w:rsid w:val="001B4509"/>
    <w:rsid w:val="001B4BD7"/>
    <w:rsid w:val="001B4F4C"/>
    <w:rsid w:val="001B520C"/>
    <w:rsid w:val="001B5EEB"/>
    <w:rsid w:val="001C033F"/>
    <w:rsid w:val="001C0891"/>
    <w:rsid w:val="001C0F4E"/>
    <w:rsid w:val="001C10AF"/>
    <w:rsid w:val="001C1552"/>
    <w:rsid w:val="001C4583"/>
    <w:rsid w:val="001C47B3"/>
    <w:rsid w:val="001C4C92"/>
    <w:rsid w:val="001C50F2"/>
    <w:rsid w:val="001C5DE0"/>
    <w:rsid w:val="001C63BE"/>
    <w:rsid w:val="001C6613"/>
    <w:rsid w:val="001C66FA"/>
    <w:rsid w:val="001C75BE"/>
    <w:rsid w:val="001D12CF"/>
    <w:rsid w:val="001D487C"/>
    <w:rsid w:val="001D4FDD"/>
    <w:rsid w:val="001D5799"/>
    <w:rsid w:val="001D6155"/>
    <w:rsid w:val="001D695E"/>
    <w:rsid w:val="001D7638"/>
    <w:rsid w:val="001E2CB3"/>
    <w:rsid w:val="001E2CF1"/>
    <w:rsid w:val="001E3491"/>
    <w:rsid w:val="001F07BF"/>
    <w:rsid w:val="001F2B38"/>
    <w:rsid w:val="001F339B"/>
    <w:rsid w:val="001F53B1"/>
    <w:rsid w:val="001F62DD"/>
    <w:rsid w:val="00200992"/>
    <w:rsid w:val="00200E58"/>
    <w:rsid w:val="002026A1"/>
    <w:rsid w:val="00204F91"/>
    <w:rsid w:val="00206053"/>
    <w:rsid w:val="002064D3"/>
    <w:rsid w:val="0021042F"/>
    <w:rsid w:val="002106BF"/>
    <w:rsid w:val="0021161B"/>
    <w:rsid w:val="0021209D"/>
    <w:rsid w:val="002141C8"/>
    <w:rsid w:val="0021448C"/>
    <w:rsid w:val="0021595C"/>
    <w:rsid w:val="0021692A"/>
    <w:rsid w:val="00217499"/>
    <w:rsid w:val="002176B8"/>
    <w:rsid w:val="002202AB"/>
    <w:rsid w:val="002211E2"/>
    <w:rsid w:val="002216AD"/>
    <w:rsid w:val="00221D99"/>
    <w:rsid w:val="00223A9F"/>
    <w:rsid w:val="002245B4"/>
    <w:rsid w:val="00224B0D"/>
    <w:rsid w:val="002254C7"/>
    <w:rsid w:val="0022674D"/>
    <w:rsid w:val="002273F4"/>
    <w:rsid w:val="00227977"/>
    <w:rsid w:val="002312C8"/>
    <w:rsid w:val="00233602"/>
    <w:rsid w:val="0023369E"/>
    <w:rsid w:val="00233D3C"/>
    <w:rsid w:val="00234381"/>
    <w:rsid w:val="0023449A"/>
    <w:rsid w:val="00234967"/>
    <w:rsid w:val="00235AA6"/>
    <w:rsid w:val="00235DBE"/>
    <w:rsid w:val="00235F88"/>
    <w:rsid w:val="002454BD"/>
    <w:rsid w:val="002460E0"/>
    <w:rsid w:val="00247B12"/>
    <w:rsid w:val="00247C54"/>
    <w:rsid w:val="00251C2B"/>
    <w:rsid w:val="0025388F"/>
    <w:rsid w:val="002542EB"/>
    <w:rsid w:val="00254D13"/>
    <w:rsid w:val="002558FD"/>
    <w:rsid w:val="00255975"/>
    <w:rsid w:val="00256D25"/>
    <w:rsid w:val="00257323"/>
    <w:rsid w:val="00262EF3"/>
    <w:rsid w:val="002634A0"/>
    <w:rsid w:val="00264162"/>
    <w:rsid w:val="00265A18"/>
    <w:rsid w:val="00265D4B"/>
    <w:rsid w:val="00266585"/>
    <w:rsid w:val="002702F7"/>
    <w:rsid w:val="00271087"/>
    <w:rsid w:val="002711CE"/>
    <w:rsid w:val="00273EAA"/>
    <w:rsid w:val="00274452"/>
    <w:rsid w:val="0027534D"/>
    <w:rsid w:val="002753E8"/>
    <w:rsid w:val="002758BC"/>
    <w:rsid w:val="00276702"/>
    <w:rsid w:val="00277BF6"/>
    <w:rsid w:val="002801D7"/>
    <w:rsid w:val="002804DB"/>
    <w:rsid w:val="0028086A"/>
    <w:rsid w:val="002808AF"/>
    <w:rsid w:val="0028328D"/>
    <w:rsid w:val="002838F5"/>
    <w:rsid w:val="00284E04"/>
    <w:rsid w:val="00285BB6"/>
    <w:rsid w:val="00290951"/>
    <w:rsid w:val="00291DEA"/>
    <w:rsid w:val="00293A44"/>
    <w:rsid w:val="0029491C"/>
    <w:rsid w:val="002960EC"/>
    <w:rsid w:val="002966B9"/>
    <w:rsid w:val="002974D4"/>
    <w:rsid w:val="002A158B"/>
    <w:rsid w:val="002A2DC6"/>
    <w:rsid w:val="002A4078"/>
    <w:rsid w:val="002A4C5E"/>
    <w:rsid w:val="002A5CE0"/>
    <w:rsid w:val="002B0964"/>
    <w:rsid w:val="002B10EB"/>
    <w:rsid w:val="002B28A2"/>
    <w:rsid w:val="002B2D61"/>
    <w:rsid w:val="002B2F3C"/>
    <w:rsid w:val="002B3347"/>
    <w:rsid w:val="002C070D"/>
    <w:rsid w:val="002C20D1"/>
    <w:rsid w:val="002C3175"/>
    <w:rsid w:val="002C32AB"/>
    <w:rsid w:val="002C41F9"/>
    <w:rsid w:val="002C4495"/>
    <w:rsid w:val="002C5AC8"/>
    <w:rsid w:val="002C76AB"/>
    <w:rsid w:val="002D125C"/>
    <w:rsid w:val="002D4536"/>
    <w:rsid w:val="002D4F32"/>
    <w:rsid w:val="002D5193"/>
    <w:rsid w:val="002D5BE8"/>
    <w:rsid w:val="002D718E"/>
    <w:rsid w:val="002D7305"/>
    <w:rsid w:val="002E1170"/>
    <w:rsid w:val="002E16B2"/>
    <w:rsid w:val="002E186A"/>
    <w:rsid w:val="002E2B9D"/>
    <w:rsid w:val="002E3B62"/>
    <w:rsid w:val="002E3BE3"/>
    <w:rsid w:val="002E4B29"/>
    <w:rsid w:val="002E5262"/>
    <w:rsid w:val="002E56FB"/>
    <w:rsid w:val="002E5794"/>
    <w:rsid w:val="002F086C"/>
    <w:rsid w:val="002F0B74"/>
    <w:rsid w:val="002F11E3"/>
    <w:rsid w:val="002F1685"/>
    <w:rsid w:val="002F385B"/>
    <w:rsid w:val="002F3BE9"/>
    <w:rsid w:val="002F48C8"/>
    <w:rsid w:val="002F55CE"/>
    <w:rsid w:val="002F76F5"/>
    <w:rsid w:val="003003CF"/>
    <w:rsid w:val="00301B39"/>
    <w:rsid w:val="00303D11"/>
    <w:rsid w:val="0030473A"/>
    <w:rsid w:val="003062A8"/>
    <w:rsid w:val="003075E0"/>
    <w:rsid w:val="00310AEB"/>
    <w:rsid w:val="0031284F"/>
    <w:rsid w:val="0031364A"/>
    <w:rsid w:val="00313BBE"/>
    <w:rsid w:val="00313F8E"/>
    <w:rsid w:val="0031497D"/>
    <w:rsid w:val="00314A8A"/>
    <w:rsid w:val="00314B86"/>
    <w:rsid w:val="0031512C"/>
    <w:rsid w:val="003169F3"/>
    <w:rsid w:val="00317246"/>
    <w:rsid w:val="00317A4E"/>
    <w:rsid w:val="00317AE9"/>
    <w:rsid w:val="00317B59"/>
    <w:rsid w:val="00317DA5"/>
    <w:rsid w:val="00324653"/>
    <w:rsid w:val="00324EC2"/>
    <w:rsid w:val="003258FA"/>
    <w:rsid w:val="003267BD"/>
    <w:rsid w:val="0032748C"/>
    <w:rsid w:val="003279F2"/>
    <w:rsid w:val="00327D4A"/>
    <w:rsid w:val="00327D6A"/>
    <w:rsid w:val="00331DDC"/>
    <w:rsid w:val="0033332C"/>
    <w:rsid w:val="00333D95"/>
    <w:rsid w:val="00336454"/>
    <w:rsid w:val="003366A2"/>
    <w:rsid w:val="0034038D"/>
    <w:rsid w:val="00340F24"/>
    <w:rsid w:val="003427A9"/>
    <w:rsid w:val="00342BA9"/>
    <w:rsid w:val="00343F83"/>
    <w:rsid w:val="003455BC"/>
    <w:rsid w:val="00345A9D"/>
    <w:rsid w:val="003508E0"/>
    <w:rsid w:val="00350FC9"/>
    <w:rsid w:val="00352247"/>
    <w:rsid w:val="00352BCA"/>
    <w:rsid w:val="00354503"/>
    <w:rsid w:val="00356D15"/>
    <w:rsid w:val="00356FD4"/>
    <w:rsid w:val="00360FF9"/>
    <w:rsid w:val="00361799"/>
    <w:rsid w:val="003621F9"/>
    <w:rsid w:val="0036236A"/>
    <w:rsid w:val="003623F0"/>
    <w:rsid w:val="003647E3"/>
    <w:rsid w:val="00364AE6"/>
    <w:rsid w:val="00370164"/>
    <w:rsid w:val="003711CD"/>
    <w:rsid w:val="00373138"/>
    <w:rsid w:val="00377D51"/>
    <w:rsid w:val="00380B60"/>
    <w:rsid w:val="00380CC6"/>
    <w:rsid w:val="00380DB1"/>
    <w:rsid w:val="003819D7"/>
    <w:rsid w:val="00381FF1"/>
    <w:rsid w:val="00382C7C"/>
    <w:rsid w:val="00383BFC"/>
    <w:rsid w:val="00384611"/>
    <w:rsid w:val="00384CA0"/>
    <w:rsid w:val="00385F97"/>
    <w:rsid w:val="003870BA"/>
    <w:rsid w:val="00390143"/>
    <w:rsid w:val="00390E04"/>
    <w:rsid w:val="00390E11"/>
    <w:rsid w:val="0039334F"/>
    <w:rsid w:val="003938E1"/>
    <w:rsid w:val="0039437B"/>
    <w:rsid w:val="00395277"/>
    <w:rsid w:val="00395A89"/>
    <w:rsid w:val="00395EED"/>
    <w:rsid w:val="003978C0"/>
    <w:rsid w:val="003A14BA"/>
    <w:rsid w:val="003A1606"/>
    <w:rsid w:val="003A1AAE"/>
    <w:rsid w:val="003A2FA8"/>
    <w:rsid w:val="003A3403"/>
    <w:rsid w:val="003A52E8"/>
    <w:rsid w:val="003A75A8"/>
    <w:rsid w:val="003B0879"/>
    <w:rsid w:val="003B0F0F"/>
    <w:rsid w:val="003B4770"/>
    <w:rsid w:val="003B4826"/>
    <w:rsid w:val="003B5946"/>
    <w:rsid w:val="003B6500"/>
    <w:rsid w:val="003B6561"/>
    <w:rsid w:val="003C0FB1"/>
    <w:rsid w:val="003C20BF"/>
    <w:rsid w:val="003C289E"/>
    <w:rsid w:val="003C3068"/>
    <w:rsid w:val="003C390C"/>
    <w:rsid w:val="003C50E7"/>
    <w:rsid w:val="003C6CA1"/>
    <w:rsid w:val="003C77F0"/>
    <w:rsid w:val="003C7952"/>
    <w:rsid w:val="003D008B"/>
    <w:rsid w:val="003D0EB4"/>
    <w:rsid w:val="003D5616"/>
    <w:rsid w:val="003E06B4"/>
    <w:rsid w:val="003E0C79"/>
    <w:rsid w:val="003E23B6"/>
    <w:rsid w:val="003E35D5"/>
    <w:rsid w:val="003E4166"/>
    <w:rsid w:val="003E5374"/>
    <w:rsid w:val="003E56B8"/>
    <w:rsid w:val="003E5FC6"/>
    <w:rsid w:val="003E666B"/>
    <w:rsid w:val="003E6E0A"/>
    <w:rsid w:val="003E7F84"/>
    <w:rsid w:val="003F0200"/>
    <w:rsid w:val="003F3E19"/>
    <w:rsid w:val="00400BC4"/>
    <w:rsid w:val="004024B0"/>
    <w:rsid w:val="00403E61"/>
    <w:rsid w:val="004044E6"/>
    <w:rsid w:val="004050EE"/>
    <w:rsid w:val="0040609D"/>
    <w:rsid w:val="0041037B"/>
    <w:rsid w:val="00410DC2"/>
    <w:rsid w:val="00413582"/>
    <w:rsid w:val="004164AE"/>
    <w:rsid w:val="00417723"/>
    <w:rsid w:val="00417F29"/>
    <w:rsid w:val="004207D2"/>
    <w:rsid w:val="004222C1"/>
    <w:rsid w:val="00423092"/>
    <w:rsid w:val="004230A3"/>
    <w:rsid w:val="00423F12"/>
    <w:rsid w:val="00424987"/>
    <w:rsid w:val="004253E8"/>
    <w:rsid w:val="00425C21"/>
    <w:rsid w:val="0042719F"/>
    <w:rsid w:val="00427EA9"/>
    <w:rsid w:val="00430326"/>
    <w:rsid w:val="004319BC"/>
    <w:rsid w:val="00432872"/>
    <w:rsid w:val="00434746"/>
    <w:rsid w:val="00434EBE"/>
    <w:rsid w:val="004350B0"/>
    <w:rsid w:val="004359E2"/>
    <w:rsid w:val="00436CE5"/>
    <w:rsid w:val="00440967"/>
    <w:rsid w:val="00441EE8"/>
    <w:rsid w:val="0044278A"/>
    <w:rsid w:val="00443B39"/>
    <w:rsid w:val="004464A4"/>
    <w:rsid w:val="00446CB1"/>
    <w:rsid w:val="00446E0A"/>
    <w:rsid w:val="0044759A"/>
    <w:rsid w:val="00450AFD"/>
    <w:rsid w:val="00451408"/>
    <w:rsid w:val="0045312E"/>
    <w:rsid w:val="0045322A"/>
    <w:rsid w:val="00454709"/>
    <w:rsid w:val="0045482D"/>
    <w:rsid w:val="00456684"/>
    <w:rsid w:val="00462DD7"/>
    <w:rsid w:val="00465EF9"/>
    <w:rsid w:val="00466915"/>
    <w:rsid w:val="00467D94"/>
    <w:rsid w:val="00470AB4"/>
    <w:rsid w:val="00471E23"/>
    <w:rsid w:val="00472E16"/>
    <w:rsid w:val="004734DF"/>
    <w:rsid w:val="00474909"/>
    <w:rsid w:val="00476140"/>
    <w:rsid w:val="00477F66"/>
    <w:rsid w:val="004800A8"/>
    <w:rsid w:val="004820EB"/>
    <w:rsid w:val="0048220F"/>
    <w:rsid w:val="004839E5"/>
    <w:rsid w:val="00483A7C"/>
    <w:rsid w:val="00484BE9"/>
    <w:rsid w:val="00486943"/>
    <w:rsid w:val="00487B8B"/>
    <w:rsid w:val="00493957"/>
    <w:rsid w:val="00493BD1"/>
    <w:rsid w:val="004956BA"/>
    <w:rsid w:val="00495B91"/>
    <w:rsid w:val="00496189"/>
    <w:rsid w:val="00496401"/>
    <w:rsid w:val="00497325"/>
    <w:rsid w:val="0049732E"/>
    <w:rsid w:val="00497C9C"/>
    <w:rsid w:val="004A1F85"/>
    <w:rsid w:val="004A2427"/>
    <w:rsid w:val="004A2B5C"/>
    <w:rsid w:val="004A53BB"/>
    <w:rsid w:val="004A5408"/>
    <w:rsid w:val="004A6793"/>
    <w:rsid w:val="004A6A02"/>
    <w:rsid w:val="004A7D10"/>
    <w:rsid w:val="004B0457"/>
    <w:rsid w:val="004B13DD"/>
    <w:rsid w:val="004B13EC"/>
    <w:rsid w:val="004B145A"/>
    <w:rsid w:val="004B21E2"/>
    <w:rsid w:val="004B27CF"/>
    <w:rsid w:val="004B5C35"/>
    <w:rsid w:val="004B7525"/>
    <w:rsid w:val="004B7ACC"/>
    <w:rsid w:val="004C0D53"/>
    <w:rsid w:val="004C18DF"/>
    <w:rsid w:val="004C29E5"/>
    <w:rsid w:val="004C2B46"/>
    <w:rsid w:val="004C3059"/>
    <w:rsid w:val="004C53F7"/>
    <w:rsid w:val="004C69A1"/>
    <w:rsid w:val="004C7888"/>
    <w:rsid w:val="004C7DC4"/>
    <w:rsid w:val="004D0BD3"/>
    <w:rsid w:val="004D2779"/>
    <w:rsid w:val="004D4C6D"/>
    <w:rsid w:val="004D6B6A"/>
    <w:rsid w:val="004D6FB8"/>
    <w:rsid w:val="004D7A36"/>
    <w:rsid w:val="004E01A4"/>
    <w:rsid w:val="004E06DE"/>
    <w:rsid w:val="004E0A38"/>
    <w:rsid w:val="004E171A"/>
    <w:rsid w:val="004E5B39"/>
    <w:rsid w:val="004E696C"/>
    <w:rsid w:val="004E6EF6"/>
    <w:rsid w:val="004E74A3"/>
    <w:rsid w:val="004E7BA2"/>
    <w:rsid w:val="004F123E"/>
    <w:rsid w:val="004F1E82"/>
    <w:rsid w:val="004F2934"/>
    <w:rsid w:val="004F45AB"/>
    <w:rsid w:val="004F4FFB"/>
    <w:rsid w:val="004F512C"/>
    <w:rsid w:val="004F5A18"/>
    <w:rsid w:val="004F6742"/>
    <w:rsid w:val="004F709B"/>
    <w:rsid w:val="00500C46"/>
    <w:rsid w:val="00500DE7"/>
    <w:rsid w:val="00501523"/>
    <w:rsid w:val="00501784"/>
    <w:rsid w:val="00502E1A"/>
    <w:rsid w:val="00503049"/>
    <w:rsid w:val="00503920"/>
    <w:rsid w:val="00505B17"/>
    <w:rsid w:val="00506246"/>
    <w:rsid w:val="00506E55"/>
    <w:rsid w:val="0050732A"/>
    <w:rsid w:val="005073E4"/>
    <w:rsid w:val="0050751A"/>
    <w:rsid w:val="005101AF"/>
    <w:rsid w:val="00510F02"/>
    <w:rsid w:val="00511C7B"/>
    <w:rsid w:val="00513161"/>
    <w:rsid w:val="0051678F"/>
    <w:rsid w:val="005206E0"/>
    <w:rsid w:val="005212CA"/>
    <w:rsid w:val="00521660"/>
    <w:rsid w:val="00523E2E"/>
    <w:rsid w:val="00530537"/>
    <w:rsid w:val="005305A2"/>
    <w:rsid w:val="00530D52"/>
    <w:rsid w:val="00532322"/>
    <w:rsid w:val="00533BEF"/>
    <w:rsid w:val="00534B03"/>
    <w:rsid w:val="00534C33"/>
    <w:rsid w:val="00535B78"/>
    <w:rsid w:val="00536DB4"/>
    <w:rsid w:val="0053798B"/>
    <w:rsid w:val="005379A5"/>
    <w:rsid w:val="0054025D"/>
    <w:rsid w:val="005417ED"/>
    <w:rsid w:val="00547A3F"/>
    <w:rsid w:val="00550A91"/>
    <w:rsid w:val="0055123E"/>
    <w:rsid w:val="0055431C"/>
    <w:rsid w:val="00555038"/>
    <w:rsid w:val="00555A26"/>
    <w:rsid w:val="005633E8"/>
    <w:rsid w:val="00564BAB"/>
    <w:rsid w:val="005659A4"/>
    <w:rsid w:val="00570676"/>
    <w:rsid w:val="0057183B"/>
    <w:rsid w:val="00571D6C"/>
    <w:rsid w:val="0057284E"/>
    <w:rsid w:val="00573122"/>
    <w:rsid w:val="00573954"/>
    <w:rsid w:val="00574572"/>
    <w:rsid w:val="00574DF4"/>
    <w:rsid w:val="005765BF"/>
    <w:rsid w:val="00577AA3"/>
    <w:rsid w:val="00577BC7"/>
    <w:rsid w:val="005800DF"/>
    <w:rsid w:val="0058312A"/>
    <w:rsid w:val="00583B0B"/>
    <w:rsid w:val="005859CD"/>
    <w:rsid w:val="00585CA4"/>
    <w:rsid w:val="00587307"/>
    <w:rsid w:val="005878E8"/>
    <w:rsid w:val="00591223"/>
    <w:rsid w:val="005920A5"/>
    <w:rsid w:val="00596274"/>
    <w:rsid w:val="00597274"/>
    <w:rsid w:val="005978D6"/>
    <w:rsid w:val="00597948"/>
    <w:rsid w:val="005A0368"/>
    <w:rsid w:val="005A2113"/>
    <w:rsid w:val="005A27BD"/>
    <w:rsid w:val="005A41AA"/>
    <w:rsid w:val="005A4837"/>
    <w:rsid w:val="005A58F4"/>
    <w:rsid w:val="005A6EDB"/>
    <w:rsid w:val="005B110B"/>
    <w:rsid w:val="005B1AC5"/>
    <w:rsid w:val="005B240F"/>
    <w:rsid w:val="005B2F0E"/>
    <w:rsid w:val="005B37E8"/>
    <w:rsid w:val="005B3F42"/>
    <w:rsid w:val="005B4B25"/>
    <w:rsid w:val="005B6A25"/>
    <w:rsid w:val="005B743F"/>
    <w:rsid w:val="005B745B"/>
    <w:rsid w:val="005B7F9C"/>
    <w:rsid w:val="005C0C7C"/>
    <w:rsid w:val="005C22B4"/>
    <w:rsid w:val="005C330E"/>
    <w:rsid w:val="005C39B5"/>
    <w:rsid w:val="005C4647"/>
    <w:rsid w:val="005C4AB6"/>
    <w:rsid w:val="005C54C7"/>
    <w:rsid w:val="005C598F"/>
    <w:rsid w:val="005C6311"/>
    <w:rsid w:val="005D32E9"/>
    <w:rsid w:val="005D368D"/>
    <w:rsid w:val="005D3F1A"/>
    <w:rsid w:val="005D4B1D"/>
    <w:rsid w:val="005D6075"/>
    <w:rsid w:val="005D6F70"/>
    <w:rsid w:val="005E0CF2"/>
    <w:rsid w:val="005E2AEA"/>
    <w:rsid w:val="005E2E74"/>
    <w:rsid w:val="005E3977"/>
    <w:rsid w:val="005E4163"/>
    <w:rsid w:val="005E6B70"/>
    <w:rsid w:val="005F2329"/>
    <w:rsid w:val="005F7057"/>
    <w:rsid w:val="005F7252"/>
    <w:rsid w:val="00602268"/>
    <w:rsid w:val="00602E97"/>
    <w:rsid w:val="00606B24"/>
    <w:rsid w:val="006101FA"/>
    <w:rsid w:val="0061041D"/>
    <w:rsid w:val="006122D8"/>
    <w:rsid w:val="0061247A"/>
    <w:rsid w:val="0061294B"/>
    <w:rsid w:val="00613984"/>
    <w:rsid w:val="00614B9E"/>
    <w:rsid w:val="00614C8F"/>
    <w:rsid w:val="00615038"/>
    <w:rsid w:val="00615938"/>
    <w:rsid w:val="00616E0D"/>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0FEF"/>
    <w:rsid w:val="006411E6"/>
    <w:rsid w:val="00644285"/>
    <w:rsid w:val="006446CD"/>
    <w:rsid w:val="00644775"/>
    <w:rsid w:val="00645983"/>
    <w:rsid w:val="00645C24"/>
    <w:rsid w:val="006471C4"/>
    <w:rsid w:val="0065112D"/>
    <w:rsid w:val="00652B9A"/>
    <w:rsid w:val="006533CC"/>
    <w:rsid w:val="00653752"/>
    <w:rsid w:val="00653F2C"/>
    <w:rsid w:val="00654A99"/>
    <w:rsid w:val="0065617B"/>
    <w:rsid w:val="00656E5D"/>
    <w:rsid w:val="00657441"/>
    <w:rsid w:val="00660FE2"/>
    <w:rsid w:val="0066109B"/>
    <w:rsid w:val="0066134E"/>
    <w:rsid w:val="00662BAB"/>
    <w:rsid w:val="00662CB1"/>
    <w:rsid w:val="00664CF8"/>
    <w:rsid w:val="00665E41"/>
    <w:rsid w:val="00665FCD"/>
    <w:rsid w:val="00670027"/>
    <w:rsid w:val="0067207F"/>
    <w:rsid w:val="006745BE"/>
    <w:rsid w:val="00674733"/>
    <w:rsid w:val="006774A6"/>
    <w:rsid w:val="006814BB"/>
    <w:rsid w:val="00682057"/>
    <w:rsid w:val="006840EB"/>
    <w:rsid w:val="006930A3"/>
    <w:rsid w:val="0069342C"/>
    <w:rsid w:val="00694C69"/>
    <w:rsid w:val="006958AB"/>
    <w:rsid w:val="00697F12"/>
    <w:rsid w:val="006A33B4"/>
    <w:rsid w:val="006A3579"/>
    <w:rsid w:val="006A397D"/>
    <w:rsid w:val="006A53AB"/>
    <w:rsid w:val="006A541C"/>
    <w:rsid w:val="006A5B3B"/>
    <w:rsid w:val="006A7892"/>
    <w:rsid w:val="006B1183"/>
    <w:rsid w:val="006B1511"/>
    <w:rsid w:val="006B1DA6"/>
    <w:rsid w:val="006B1F1D"/>
    <w:rsid w:val="006B2F9F"/>
    <w:rsid w:val="006B3329"/>
    <w:rsid w:val="006B7C60"/>
    <w:rsid w:val="006C2DB8"/>
    <w:rsid w:val="006C4BDC"/>
    <w:rsid w:val="006C684B"/>
    <w:rsid w:val="006C6BA5"/>
    <w:rsid w:val="006C7A4C"/>
    <w:rsid w:val="006D0FF2"/>
    <w:rsid w:val="006D1A89"/>
    <w:rsid w:val="006D406B"/>
    <w:rsid w:val="006D64B5"/>
    <w:rsid w:val="006E2B32"/>
    <w:rsid w:val="006E5A32"/>
    <w:rsid w:val="006F2B34"/>
    <w:rsid w:val="006F3F2A"/>
    <w:rsid w:val="006F6584"/>
    <w:rsid w:val="006F659C"/>
    <w:rsid w:val="006F6C14"/>
    <w:rsid w:val="006F7057"/>
    <w:rsid w:val="007017B5"/>
    <w:rsid w:val="0070291B"/>
    <w:rsid w:val="00703351"/>
    <w:rsid w:val="00705181"/>
    <w:rsid w:val="007057ED"/>
    <w:rsid w:val="00706065"/>
    <w:rsid w:val="0070672F"/>
    <w:rsid w:val="00707C70"/>
    <w:rsid w:val="0071034B"/>
    <w:rsid w:val="007105A6"/>
    <w:rsid w:val="00710A5C"/>
    <w:rsid w:val="0071170A"/>
    <w:rsid w:val="00713C85"/>
    <w:rsid w:val="00715417"/>
    <w:rsid w:val="00716464"/>
    <w:rsid w:val="00721CE0"/>
    <w:rsid w:val="0072244E"/>
    <w:rsid w:val="00724301"/>
    <w:rsid w:val="00724547"/>
    <w:rsid w:val="00725FC7"/>
    <w:rsid w:val="0072622B"/>
    <w:rsid w:val="00726239"/>
    <w:rsid w:val="00726DD4"/>
    <w:rsid w:val="0073081E"/>
    <w:rsid w:val="00730F56"/>
    <w:rsid w:val="007328FE"/>
    <w:rsid w:val="00737138"/>
    <w:rsid w:val="007379F8"/>
    <w:rsid w:val="00741392"/>
    <w:rsid w:val="00741F30"/>
    <w:rsid w:val="007421A2"/>
    <w:rsid w:val="00743681"/>
    <w:rsid w:val="00743BAC"/>
    <w:rsid w:val="00743FD1"/>
    <w:rsid w:val="00744D60"/>
    <w:rsid w:val="00744E2C"/>
    <w:rsid w:val="00745EB6"/>
    <w:rsid w:val="0074605B"/>
    <w:rsid w:val="00746D02"/>
    <w:rsid w:val="0075046F"/>
    <w:rsid w:val="00751598"/>
    <w:rsid w:val="00751FF5"/>
    <w:rsid w:val="00752119"/>
    <w:rsid w:val="00753A36"/>
    <w:rsid w:val="00754408"/>
    <w:rsid w:val="00757C0E"/>
    <w:rsid w:val="00760EB4"/>
    <w:rsid w:val="007617DD"/>
    <w:rsid w:val="00761A8A"/>
    <w:rsid w:val="00762E13"/>
    <w:rsid w:val="007631C7"/>
    <w:rsid w:val="0076342E"/>
    <w:rsid w:val="00763CCC"/>
    <w:rsid w:val="00763D31"/>
    <w:rsid w:val="00763D5B"/>
    <w:rsid w:val="00765C5A"/>
    <w:rsid w:val="00765F2F"/>
    <w:rsid w:val="00767A5D"/>
    <w:rsid w:val="0077000E"/>
    <w:rsid w:val="00771299"/>
    <w:rsid w:val="007714C8"/>
    <w:rsid w:val="00771F77"/>
    <w:rsid w:val="00772141"/>
    <w:rsid w:val="007724FE"/>
    <w:rsid w:val="00772FCE"/>
    <w:rsid w:val="007739F5"/>
    <w:rsid w:val="00774474"/>
    <w:rsid w:val="00776C72"/>
    <w:rsid w:val="0077752F"/>
    <w:rsid w:val="00777B29"/>
    <w:rsid w:val="00777C40"/>
    <w:rsid w:val="00780D60"/>
    <w:rsid w:val="0078258F"/>
    <w:rsid w:val="00782855"/>
    <w:rsid w:val="007846BC"/>
    <w:rsid w:val="00784E3B"/>
    <w:rsid w:val="00786AB1"/>
    <w:rsid w:val="00786C39"/>
    <w:rsid w:val="00786DAB"/>
    <w:rsid w:val="007872CA"/>
    <w:rsid w:val="00790810"/>
    <w:rsid w:val="00793428"/>
    <w:rsid w:val="00793AE0"/>
    <w:rsid w:val="00794B6E"/>
    <w:rsid w:val="007969A4"/>
    <w:rsid w:val="00796DD4"/>
    <w:rsid w:val="00797C93"/>
    <w:rsid w:val="007A0114"/>
    <w:rsid w:val="007A3925"/>
    <w:rsid w:val="007A59E9"/>
    <w:rsid w:val="007B1321"/>
    <w:rsid w:val="007B1904"/>
    <w:rsid w:val="007B2664"/>
    <w:rsid w:val="007B4921"/>
    <w:rsid w:val="007B57C1"/>
    <w:rsid w:val="007B642D"/>
    <w:rsid w:val="007C1AA6"/>
    <w:rsid w:val="007C31D0"/>
    <w:rsid w:val="007C5C68"/>
    <w:rsid w:val="007D1BE3"/>
    <w:rsid w:val="007D2122"/>
    <w:rsid w:val="007D6370"/>
    <w:rsid w:val="007E092F"/>
    <w:rsid w:val="007E0C94"/>
    <w:rsid w:val="007E210E"/>
    <w:rsid w:val="007E473D"/>
    <w:rsid w:val="007E5DD1"/>
    <w:rsid w:val="007E5EC0"/>
    <w:rsid w:val="007E7CF3"/>
    <w:rsid w:val="007F0E53"/>
    <w:rsid w:val="007F1689"/>
    <w:rsid w:val="007F4035"/>
    <w:rsid w:val="007F47FD"/>
    <w:rsid w:val="007F4D5F"/>
    <w:rsid w:val="007F4DFF"/>
    <w:rsid w:val="007F7EC2"/>
    <w:rsid w:val="0080017B"/>
    <w:rsid w:val="0080098A"/>
    <w:rsid w:val="00801761"/>
    <w:rsid w:val="00801EBF"/>
    <w:rsid w:val="00803703"/>
    <w:rsid w:val="00804319"/>
    <w:rsid w:val="008049BB"/>
    <w:rsid w:val="00804E96"/>
    <w:rsid w:val="008065B8"/>
    <w:rsid w:val="00807279"/>
    <w:rsid w:val="00807E0E"/>
    <w:rsid w:val="00807F62"/>
    <w:rsid w:val="00810058"/>
    <w:rsid w:val="0081008C"/>
    <w:rsid w:val="0081107E"/>
    <w:rsid w:val="008111EB"/>
    <w:rsid w:val="00811D5A"/>
    <w:rsid w:val="0081237D"/>
    <w:rsid w:val="00812C31"/>
    <w:rsid w:val="00812FDC"/>
    <w:rsid w:val="008130C9"/>
    <w:rsid w:val="00813721"/>
    <w:rsid w:val="00813D02"/>
    <w:rsid w:val="00814833"/>
    <w:rsid w:val="00814EFA"/>
    <w:rsid w:val="008150FA"/>
    <w:rsid w:val="0081608E"/>
    <w:rsid w:val="0082033D"/>
    <w:rsid w:val="00821FD8"/>
    <w:rsid w:val="008222AD"/>
    <w:rsid w:val="00823E74"/>
    <w:rsid w:val="00824791"/>
    <w:rsid w:val="008276A5"/>
    <w:rsid w:val="00830C69"/>
    <w:rsid w:val="0083104D"/>
    <w:rsid w:val="008349AE"/>
    <w:rsid w:val="00834A78"/>
    <w:rsid w:val="00835DC1"/>
    <w:rsid w:val="00837555"/>
    <w:rsid w:val="00840737"/>
    <w:rsid w:val="0084082A"/>
    <w:rsid w:val="00840F1B"/>
    <w:rsid w:val="0084105C"/>
    <w:rsid w:val="008436CF"/>
    <w:rsid w:val="00843A36"/>
    <w:rsid w:val="00844759"/>
    <w:rsid w:val="00844E52"/>
    <w:rsid w:val="0084627C"/>
    <w:rsid w:val="00846A25"/>
    <w:rsid w:val="00846D77"/>
    <w:rsid w:val="008479CD"/>
    <w:rsid w:val="00850325"/>
    <w:rsid w:val="00852480"/>
    <w:rsid w:val="00854CCF"/>
    <w:rsid w:val="0085563C"/>
    <w:rsid w:val="00855F42"/>
    <w:rsid w:val="00856632"/>
    <w:rsid w:val="0086146E"/>
    <w:rsid w:val="008634E6"/>
    <w:rsid w:val="00864A12"/>
    <w:rsid w:val="00864D0B"/>
    <w:rsid w:val="00866254"/>
    <w:rsid w:val="00866700"/>
    <w:rsid w:val="00867308"/>
    <w:rsid w:val="00872823"/>
    <w:rsid w:val="008767AC"/>
    <w:rsid w:val="008811BC"/>
    <w:rsid w:val="00882515"/>
    <w:rsid w:val="00882FF1"/>
    <w:rsid w:val="0088378A"/>
    <w:rsid w:val="008851CA"/>
    <w:rsid w:val="008912F1"/>
    <w:rsid w:val="00891ACF"/>
    <w:rsid w:val="008926C7"/>
    <w:rsid w:val="00892CB6"/>
    <w:rsid w:val="00893562"/>
    <w:rsid w:val="008952CB"/>
    <w:rsid w:val="008977B9"/>
    <w:rsid w:val="00897D0A"/>
    <w:rsid w:val="008A1D0E"/>
    <w:rsid w:val="008A2B09"/>
    <w:rsid w:val="008A2D38"/>
    <w:rsid w:val="008A3551"/>
    <w:rsid w:val="008A366D"/>
    <w:rsid w:val="008A5CEB"/>
    <w:rsid w:val="008A645F"/>
    <w:rsid w:val="008A67A5"/>
    <w:rsid w:val="008A7701"/>
    <w:rsid w:val="008B053A"/>
    <w:rsid w:val="008B0543"/>
    <w:rsid w:val="008B1201"/>
    <w:rsid w:val="008B14DA"/>
    <w:rsid w:val="008B23F7"/>
    <w:rsid w:val="008B2FA9"/>
    <w:rsid w:val="008C0071"/>
    <w:rsid w:val="008C0888"/>
    <w:rsid w:val="008C3505"/>
    <w:rsid w:val="008C384C"/>
    <w:rsid w:val="008C5CDC"/>
    <w:rsid w:val="008C6F12"/>
    <w:rsid w:val="008C71AD"/>
    <w:rsid w:val="008D196A"/>
    <w:rsid w:val="008D30EA"/>
    <w:rsid w:val="008D3B13"/>
    <w:rsid w:val="008D41C6"/>
    <w:rsid w:val="008D55C8"/>
    <w:rsid w:val="008D61C0"/>
    <w:rsid w:val="008D6560"/>
    <w:rsid w:val="008D6C2D"/>
    <w:rsid w:val="008D6E59"/>
    <w:rsid w:val="008D6F06"/>
    <w:rsid w:val="008D7FCE"/>
    <w:rsid w:val="008E0456"/>
    <w:rsid w:val="008E061D"/>
    <w:rsid w:val="008E0AE5"/>
    <w:rsid w:val="008E20DE"/>
    <w:rsid w:val="008E36E2"/>
    <w:rsid w:val="008E4289"/>
    <w:rsid w:val="008F1770"/>
    <w:rsid w:val="008F219A"/>
    <w:rsid w:val="008F26A5"/>
    <w:rsid w:val="008F35B0"/>
    <w:rsid w:val="008F51D8"/>
    <w:rsid w:val="008F5D10"/>
    <w:rsid w:val="008F71DC"/>
    <w:rsid w:val="009013C5"/>
    <w:rsid w:val="00902E3F"/>
    <w:rsid w:val="00903904"/>
    <w:rsid w:val="009050DB"/>
    <w:rsid w:val="009061A4"/>
    <w:rsid w:val="0090646B"/>
    <w:rsid w:val="0091197E"/>
    <w:rsid w:val="00912E02"/>
    <w:rsid w:val="009134B1"/>
    <w:rsid w:val="00915A40"/>
    <w:rsid w:val="00916C3F"/>
    <w:rsid w:val="00920B34"/>
    <w:rsid w:val="00920DF6"/>
    <w:rsid w:val="00921C9A"/>
    <w:rsid w:val="009244C3"/>
    <w:rsid w:val="00925B8F"/>
    <w:rsid w:val="00926389"/>
    <w:rsid w:val="00926941"/>
    <w:rsid w:val="00927FB7"/>
    <w:rsid w:val="0093255B"/>
    <w:rsid w:val="00933652"/>
    <w:rsid w:val="00935B29"/>
    <w:rsid w:val="00940E43"/>
    <w:rsid w:val="00942024"/>
    <w:rsid w:val="00943B5C"/>
    <w:rsid w:val="00944550"/>
    <w:rsid w:val="00944B00"/>
    <w:rsid w:val="00945C0C"/>
    <w:rsid w:val="00947ECF"/>
    <w:rsid w:val="009539D2"/>
    <w:rsid w:val="009550AD"/>
    <w:rsid w:val="00955A8F"/>
    <w:rsid w:val="009565D4"/>
    <w:rsid w:val="009576C4"/>
    <w:rsid w:val="0096057C"/>
    <w:rsid w:val="009616D6"/>
    <w:rsid w:val="00967D7C"/>
    <w:rsid w:val="00971818"/>
    <w:rsid w:val="00972421"/>
    <w:rsid w:val="0097254C"/>
    <w:rsid w:val="0097281B"/>
    <w:rsid w:val="009730E0"/>
    <w:rsid w:val="0097351D"/>
    <w:rsid w:val="009737D5"/>
    <w:rsid w:val="009740F3"/>
    <w:rsid w:val="009741F0"/>
    <w:rsid w:val="00975379"/>
    <w:rsid w:val="00976DE7"/>
    <w:rsid w:val="00977D73"/>
    <w:rsid w:val="00980B68"/>
    <w:rsid w:val="0098297E"/>
    <w:rsid w:val="00982F78"/>
    <w:rsid w:val="00984C2C"/>
    <w:rsid w:val="009856D1"/>
    <w:rsid w:val="00985B81"/>
    <w:rsid w:val="00987359"/>
    <w:rsid w:val="00990D92"/>
    <w:rsid w:val="00991013"/>
    <w:rsid w:val="0099262A"/>
    <w:rsid w:val="009954DE"/>
    <w:rsid w:val="009960DE"/>
    <w:rsid w:val="00996995"/>
    <w:rsid w:val="009A05F3"/>
    <w:rsid w:val="009A1F4A"/>
    <w:rsid w:val="009A322E"/>
    <w:rsid w:val="009A49C6"/>
    <w:rsid w:val="009A54B2"/>
    <w:rsid w:val="009B07B6"/>
    <w:rsid w:val="009B1DD8"/>
    <w:rsid w:val="009B2F56"/>
    <w:rsid w:val="009B479C"/>
    <w:rsid w:val="009B4EE8"/>
    <w:rsid w:val="009B56DA"/>
    <w:rsid w:val="009B57C0"/>
    <w:rsid w:val="009B6612"/>
    <w:rsid w:val="009B796A"/>
    <w:rsid w:val="009B7FC2"/>
    <w:rsid w:val="009C3568"/>
    <w:rsid w:val="009C3918"/>
    <w:rsid w:val="009C3D60"/>
    <w:rsid w:val="009C3DB2"/>
    <w:rsid w:val="009C53E9"/>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5904"/>
    <w:rsid w:val="009E6279"/>
    <w:rsid w:val="009F1200"/>
    <w:rsid w:val="009F12AB"/>
    <w:rsid w:val="009F19D5"/>
    <w:rsid w:val="009F2450"/>
    <w:rsid w:val="009F2649"/>
    <w:rsid w:val="009F3645"/>
    <w:rsid w:val="009F5709"/>
    <w:rsid w:val="009F612A"/>
    <w:rsid w:val="009F704C"/>
    <w:rsid w:val="00A00FE3"/>
    <w:rsid w:val="00A0215D"/>
    <w:rsid w:val="00A0287D"/>
    <w:rsid w:val="00A06666"/>
    <w:rsid w:val="00A06EB1"/>
    <w:rsid w:val="00A07559"/>
    <w:rsid w:val="00A105E0"/>
    <w:rsid w:val="00A10D72"/>
    <w:rsid w:val="00A115EF"/>
    <w:rsid w:val="00A12E99"/>
    <w:rsid w:val="00A12F3B"/>
    <w:rsid w:val="00A14707"/>
    <w:rsid w:val="00A15805"/>
    <w:rsid w:val="00A16F6B"/>
    <w:rsid w:val="00A219DF"/>
    <w:rsid w:val="00A2328A"/>
    <w:rsid w:val="00A237AF"/>
    <w:rsid w:val="00A25320"/>
    <w:rsid w:val="00A27BA4"/>
    <w:rsid w:val="00A3018B"/>
    <w:rsid w:val="00A3128D"/>
    <w:rsid w:val="00A31625"/>
    <w:rsid w:val="00A324EA"/>
    <w:rsid w:val="00A33A46"/>
    <w:rsid w:val="00A3419C"/>
    <w:rsid w:val="00A3478F"/>
    <w:rsid w:val="00A3563F"/>
    <w:rsid w:val="00A415B2"/>
    <w:rsid w:val="00A4334D"/>
    <w:rsid w:val="00A43D6A"/>
    <w:rsid w:val="00A45B43"/>
    <w:rsid w:val="00A46168"/>
    <w:rsid w:val="00A462C0"/>
    <w:rsid w:val="00A4794A"/>
    <w:rsid w:val="00A505CA"/>
    <w:rsid w:val="00A50FAD"/>
    <w:rsid w:val="00A533DE"/>
    <w:rsid w:val="00A53E2B"/>
    <w:rsid w:val="00A54733"/>
    <w:rsid w:val="00A54C62"/>
    <w:rsid w:val="00A553B5"/>
    <w:rsid w:val="00A55854"/>
    <w:rsid w:val="00A569D2"/>
    <w:rsid w:val="00A57C0F"/>
    <w:rsid w:val="00A60C9E"/>
    <w:rsid w:val="00A611C2"/>
    <w:rsid w:val="00A64275"/>
    <w:rsid w:val="00A65CEA"/>
    <w:rsid w:val="00A65E85"/>
    <w:rsid w:val="00A663EE"/>
    <w:rsid w:val="00A72FEF"/>
    <w:rsid w:val="00A75D17"/>
    <w:rsid w:val="00A817CE"/>
    <w:rsid w:val="00A847E4"/>
    <w:rsid w:val="00A8492C"/>
    <w:rsid w:val="00A85308"/>
    <w:rsid w:val="00A85767"/>
    <w:rsid w:val="00A879BC"/>
    <w:rsid w:val="00A900A8"/>
    <w:rsid w:val="00A90BE5"/>
    <w:rsid w:val="00A928FA"/>
    <w:rsid w:val="00A93693"/>
    <w:rsid w:val="00A968B9"/>
    <w:rsid w:val="00AA153A"/>
    <w:rsid w:val="00AA687F"/>
    <w:rsid w:val="00AA76BA"/>
    <w:rsid w:val="00AA7B0B"/>
    <w:rsid w:val="00AB2061"/>
    <w:rsid w:val="00AB28C9"/>
    <w:rsid w:val="00AB32CF"/>
    <w:rsid w:val="00AB4A48"/>
    <w:rsid w:val="00AB5A22"/>
    <w:rsid w:val="00AC02EC"/>
    <w:rsid w:val="00AC59EB"/>
    <w:rsid w:val="00AC5C5C"/>
    <w:rsid w:val="00AC5D22"/>
    <w:rsid w:val="00AC72F5"/>
    <w:rsid w:val="00AC7503"/>
    <w:rsid w:val="00AD1E73"/>
    <w:rsid w:val="00AD2235"/>
    <w:rsid w:val="00AD3F5E"/>
    <w:rsid w:val="00AD4646"/>
    <w:rsid w:val="00AD613E"/>
    <w:rsid w:val="00AE0A36"/>
    <w:rsid w:val="00AE3098"/>
    <w:rsid w:val="00AE4381"/>
    <w:rsid w:val="00AE5179"/>
    <w:rsid w:val="00AE519E"/>
    <w:rsid w:val="00AE5524"/>
    <w:rsid w:val="00AE7BB1"/>
    <w:rsid w:val="00AF0967"/>
    <w:rsid w:val="00AF34ED"/>
    <w:rsid w:val="00AF4115"/>
    <w:rsid w:val="00AF473E"/>
    <w:rsid w:val="00AF4879"/>
    <w:rsid w:val="00AF5A94"/>
    <w:rsid w:val="00AF7CA1"/>
    <w:rsid w:val="00B01599"/>
    <w:rsid w:val="00B01C36"/>
    <w:rsid w:val="00B02599"/>
    <w:rsid w:val="00B02DEB"/>
    <w:rsid w:val="00B052C1"/>
    <w:rsid w:val="00B06CC3"/>
    <w:rsid w:val="00B06D42"/>
    <w:rsid w:val="00B073CB"/>
    <w:rsid w:val="00B07EB4"/>
    <w:rsid w:val="00B10871"/>
    <w:rsid w:val="00B1176E"/>
    <w:rsid w:val="00B14060"/>
    <w:rsid w:val="00B14646"/>
    <w:rsid w:val="00B16B3C"/>
    <w:rsid w:val="00B174CE"/>
    <w:rsid w:val="00B179CE"/>
    <w:rsid w:val="00B21ABF"/>
    <w:rsid w:val="00B22B8C"/>
    <w:rsid w:val="00B22CB5"/>
    <w:rsid w:val="00B2409A"/>
    <w:rsid w:val="00B2445B"/>
    <w:rsid w:val="00B255C3"/>
    <w:rsid w:val="00B25EE3"/>
    <w:rsid w:val="00B269D4"/>
    <w:rsid w:val="00B30AA4"/>
    <w:rsid w:val="00B317B4"/>
    <w:rsid w:val="00B32AC3"/>
    <w:rsid w:val="00B3357C"/>
    <w:rsid w:val="00B34367"/>
    <w:rsid w:val="00B37852"/>
    <w:rsid w:val="00B4033C"/>
    <w:rsid w:val="00B41608"/>
    <w:rsid w:val="00B42317"/>
    <w:rsid w:val="00B4354E"/>
    <w:rsid w:val="00B43F52"/>
    <w:rsid w:val="00B45189"/>
    <w:rsid w:val="00B4637B"/>
    <w:rsid w:val="00B47E2D"/>
    <w:rsid w:val="00B521F4"/>
    <w:rsid w:val="00B52FE9"/>
    <w:rsid w:val="00B54262"/>
    <w:rsid w:val="00B57935"/>
    <w:rsid w:val="00B57DA5"/>
    <w:rsid w:val="00B61C4A"/>
    <w:rsid w:val="00B61EC9"/>
    <w:rsid w:val="00B648AC"/>
    <w:rsid w:val="00B65D6D"/>
    <w:rsid w:val="00B66640"/>
    <w:rsid w:val="00B679AD"/>
    <w:rsid w:val="00B700A7"/>
    <w:rsid w:val="00B7436D"/>
    <w:rsid w:val="00B75AF8"/>
    <w:rsid w:val="00B7744A"/>
    <w:rsid w:val="00B817FE"/>
    <w:rsid w:val="00B82D4D"/>
    <w:rsid w:val="00B832D9"/>
    <w:rsid w:val="00B8435C"/>
    <w:rsid w:val="00B85B2B"/>
    <w:rsid w:val="00B86FEE"/>
    <w:rsid w:val="00B8739C"/>
    <w:rsid w:val="00B87EE6"/>
    <w:rsid w:val="00B924A3"/>
    <w:rsid w:val="00B9260A"/>
    <w:rsid w:val="00B92A04"/>
    <w:rsid w:val="00B93858"/>
    <w:rsid w:val="00B95091"/>
    <w:rsid w:val="00B96866"/>
    <w:rsid w:val="00B96ABD"/>
    <w:rsid w:val="00BA4882"/>
    <w:rsid w:val="00BA5741"/>
    <w:rsid w:val="00BA7CDA"/>
    <w:rsid w:val="00BA7E1C"/>
    <w:rsid w:val="00BB3BB8"/>
    <w:rsid w:val="00BB6242"/>
    <w:rsid w:val="00BB6AD1"/>
    <w:rsid w:val="00BB7125"/>
    <w:rsid w:val="00BB7E8F"/>
    <w:rsid w:val="00BC041B"/>
    <w:rsid w:val="00BC0F5E"/>
    <w:rsid w:val="00BC128B"/>
    <w:rsid w:val="00BC1C1F"/>
    <w:rsid w:val="00BC3C4E"/>
    <w:rsid w:val="00BC42C4"/>
    <w:rsid w:val="00BC7AE9"/>
    <w:rsid w:val="00BD28A6"/>
    <w:rsid w:val="00BD3228"/>
    <w:rsid w:val="00BD3DB3"/>
    <w:rsid w:val="00BD49D2"/>
    <w:rsid w:val="00BD637B"/>
    <w:rsid w:val="00BD6D92"/>
    <w:rsid w:val="00BD6E6A"/>
    <w:rsid w:val="00BD7825"/>
    <w:rsid w:val="00BE2876"/>
    <w:rsid w:val="00BE6282"/>
    <w:rsid w:val="00BE67EF"/>
    <w:rsid w:val="00BF1511"/>
    <w:rsid w:val="00BF18DC"/>
    <w:rsid w:val="00BF1B1C"/>
    <w:rsid w:val="00BF23C7"/>
    <w:rsid w:val="00BF2C9F"/>
    <w:rsid w:val="00BF37E9"/>
    <w:rsid w:val="00BF3D33"/>
    <w:rsid w:val="00BF4282"/>
    <w:rsid w:val="00BF4DE5"/>
    <w:rsid w:val="00C027A6"/>
    <w:rsid w:val="00C04212"/>
    <w:rsid w:val="00C042CF"/>
    <w:rsid w:val="00C04B4F"/>
    <w:rsid w:val="00C05F39"/>
    <w:rsid w:val="00C074D0"/>
    <w:rsid w:val="00C10275"/>
    <w:rsid w:val="00C10DDE"/>
    <w:rsid w:val="00C11CA3"/>
    <w:rsid w:val="00C13DE2"/>
    <w:rsid w:val="00C13E9C"/>
    <w:rsid w:val="00C14408"/>
    <w:rsid w:val="00C14776"/>
    <w:rsid w:val="00C14E09"/>
    <w:rsid w:val="00C17F58"/>
    <w:rsid w:val="00C215ED"/>
    <w:rsid w:val="00C246EF"/>
    <w:rsid w:val="00C300F2"/>
    <w:rsid w:val="00C301E2"/>
    <w:rsid w:val="00C307E7"/>
    <w:rsid w:val="00C31E96"/>
    <w:rsid w:val="00C34A92"/>
    <w:rsid w:val="00C3559A"/>
    <w:rsid w:val="00C35829"/>
    <w:rsid w:val="00C370A7"/>
    <w:rsid w:val="00C376DF"/>
    <w:rsid w:val="00C37F2C"/>
    <w:rsid w:val="00C446C1"/>
    <w:rsid w:val="00C44EB4"/>
    <w:rsid w:val="00C45FF1"/>
    <w:rsid w:val="00C502DD"/>
    <w:rsid w:val="00C51F46"/>
    <w:rsid w:val="00C521B7"/>
    <w:rsid w:val="00C53ED1"/>
    <w:rsid w:val="00C56A13"/>
    <w:rsid w:val="00C57E90"/>
    <w:rsid w:val="00C601EE"/>
    <w:rsid w:val="00C60F25"/>
    <w:rsid w:val="00C61E0D"/>
    <w:rsid w:val="00C62F1C"/>
    <w:rsid w:val="00C6380F"/>
    <w:rsid w:val="00C64C60"/>
    <w:rsid w:val="00C652D2"/>
    <w:rsid w:val="00C65748"/>
    <w:rsid w:val="00C66AAF"/>
    <w:rsid w:val="00C66C80"/>
    <w:rsid w:val="00C66CD4"/>
    <w:rsid w:val="00C70765"/>
    <w:rsid w:val="00C744A3"/>
    <w:rsid w:val="00C76E82"/>
    <w:rsid w:val="00C800C5"/>
    <w:rsid w:val="00C81DB5"/>
    <w:rsid w:val="00C83419"/>
    <w:rsid w:val="00C844BA"/>
    <w:rsid w:val="00C84EB3"/>
    <w:rsid w:val="00C8510E"/>
    <w:rsid w:val="00C86A16"/>
    <w:rsid w:val="00C873E3"/>
    <w:rsid w:val="00C900FF"/>
    <w:rsid w:val="00C90BD8"/>
    <w:rsid w:val="00C90E3B"/>
    <w:rsid w:val="00C92E16"/>
    <w:rsid w:val="00C93164"/>
    <w:rsid w:val="00C93A9A"/>
    <w:rsid w:val="00C94FB7"/>
    <w:rsid w:val="00CA0DAA"/>
    <w:rsid w:val="00CA149A"/>
    <w:rsid w:val="00CA1ADC"/>
    <w:rsid w:val="00CA2006"/>
    <w:rsid w:val="00CA261A"/>
    <w:rsid w:val="00CA290B"/>
    <w:rsid w:val="00CA2E7A"/>
    <w:rsid w:val="00CA48E6"/>
    <w:rsid w:val="00CA7617"/>
    <w:rsid w:val="00CA7D7D"/>
    <w:rsid w:val="00CA7E40"/>
    <w:rsid w:val="00CB1CA3"/>
    <w:rsid w:val="00CB211F"/>
    <w:rsid w:val="00CB241F"/>
    <w:rsid w:val="00CB2D23"/>
    <w:rsid w:val="00CB375C"/>
    <w:rsid w:val="00CB3FC8"/>
    <w:rsid w:val="00CB4195"/>
    <w:rsid w:val="00CB425D"/>
    <w:rsid w:val="00CB442A"/>
    <w:rsid w:val="00CB78B5"/>
    <w:rsid w:val="00CC0E89"/>
    <w:rsid w:val="00CC2670"/>
    <w:rsid w:val="00CC29ED"/>
    <w:rsid w:val="00CC3B4B"/>
    <w:rsid w:val="00CC3EB5"/>
    <w:rsid w:val="00CC3FDE"/>
    <w:rsid w:val="00CC7D66"/>
    <w:rsid w:val="00CD016F"/>
    <w:rsid w:val="00CD3D28"/>
    <w:rsid w:val="00CD4B2E"/>
    <w:rsid w:val="00CD4DE4"/>
    <w:rsid w:val="00CD4EFE"/>
    <w:rsid w:val="00CD5CAF"/>
    <w:rsid w:val="00CD6527"/>
    <w:rsid w:val="00CD6B3F"/>
    <w:rsid w:val="00CD6F95"/>
    <w:rsid w:val="00CE1218"/>
    <w:rsid w:val="00CE178B"/>
    <w:rsid w:val="00CE1DF8"/>
    <w:rsid w:val="00CE3A56"/>
    <w:rsid w:val="00CE6CB5"/>
    <w:rsid w:val="00CE7B5C"/>
    <w:rsid w:val="00CF09C9"/>
    <w:rsid w:val="00CF0C87"/>
    <w:rsid w:val="00CF10CF"/>
    <w:rsid w:val="00CF1F77"/>
    <w:rsid w:val="00CF31F1"/>
    <w:rsid w:val="00CF3DEF"/>
    <w:rsid w:val="00CF3E63"/>
    <w:rsid w:val="00CF50F9"/>
    <w:rsid w:val="00CF561E"/>
    <w:rsid w:val="00CF64F2"/>
    <w:rsid w:val="00D00304"/>
    <w:rsid w:val="00D006DE"/>
    <w:rsid w:val="00D00EB1"/>
    <w:rsid w:val="00D069B9"/>
    <w:rsid w:val="00D07D24"/>
    <w:rsid w:val="00D101CB"/>
    <w:rsid w:val="00D10C70"/>
    <w:rsid w:val="00D11068"/>
    <w:rsid w:val="00D1274C"/>
    <w:rsid w:val="00D12FDD"/>
    <w:rsid w:val="00D143BA"/>
    <w:rsid w:val="00D16F45"/>
    <w:rsid w:val="00D200FE"/>
    <w:rsid w:val="00D20D8E"/>
    <w:rsid w:val="00D20DD2"/>
    <w:rsid w:val="00D214F0"/>
    <w:rsid w:val="00D22859"/>
    <w:rsid w:val="00D230B9"/>
    <w:rsid w:val="00D25F4F"/>
    <w:rsid w:val="00D26592"/>
    <w:rsid w:val="00D26EC6"/>
    <w:rsid w:val="00D30932"/>
    <w:rsid w:val="00D332D8"/>
    <w:rsid w:val="00D33948"/>
    <w:rsid w:val="00D34EEE"/>
    <w:rsid w:val="00D37884"/>
    <w:rsid w:val="00D37BAF"/>
    <w:rsid w:val="00D401F3"/>
    <w:rsid w:val="00D40BDC"/>
    <w:rsid w:val="00D413CB"/>
    <w:rsid w:val="00D430B6"/>
    <w:rsid w:val="00D44724"/>
    <w:rsid w:val="00D4546C"/>
    <w:rsid w:val="00D476B3"/>
    <w:rsid w:val="00D50CE5"/>
    <w:rsid w:val="00D5172C"/>
    <w:rsid w:val="00D51B1E"/>
    <w:rsid w:val="00D533CD"/>
    <w:rsid w:val="00D54E2A"/>
    <w:rsid w:val="00D55D6D"/>
    <w:rsid w:val="00D569AA"/>
    <w:rsid w:val="00D60D56"/>
    <w:rsid w:val="00D6195D"/>
    <w:rsid w:val="00D6288E"/>
    <w:rsid w:val="00D652C1"/>
    <w:rsid w:val="00D65344"/>
    <w:rsid w:val="00D67695"/>
    <w:rsid w:val="00D702B6"/>
    <w:rsid w:val="00D70BDE"/>
    <w:rsid w:val="00D73CE1"/>
    <w:rsid w:val="00D76C30"/>
    <w:rsid w:val="00D811D3"/>
    <w:rsid w:val="00D8146B"/>
    <w:rsid w:val="00D8332C"/>
    <w:rsid w:val="00D84732"/>
    <w:rsid w:val="00D87849"/>
    <w:rsid w:val="00D91390"/>
    <w:rsid w:val="00D914F1"/>
    <w:rsid w:val="00D9157A"/>
    <w:rsid w:val="00D916B5"/>
    <w:rsid w:val="00D917EF"/>
    <w:rsid w:val="00D957E1"/>
    <w:rsid w:val="00D95B25"/>
    <w:rsid w:val="00D95F07"/>
    <w:rsid w:val="00D96598"/>
    <w:rsid w:val="00D96A02"/>
    <w:rsid w:val="00D979EA"/>
    <w:rsid w:val="00DA02B9"/>
    <w:rsid w:val="00DA2CCC"/>
    <w:rsid w:val="00DA42EA"/>
    <w:rsid w:val="00DA497A"/>
    <w:rsid w:val="00DA4F2F"/>
    <w:rsid w:val="00DA56E5"/>
    <w:rsid w:val="00DA7FEA"/>
    <w:rsid w:val="00DB06D0"/>
    <w:rsid w:val="00DB0AB9"/>
    <w:rsid w:val="00DB12A1"/>
    <w:rsid w:val="00DB269B"/>
    <w:rsid w:val="00DB2712"/>
    <w:rsid w:val="00DB3455"/>
    <w:rsid w:val="00DB5C95"/>
    <w:rsid w:val="00DC02B5"/>
    <w:rsid w:val="00DC0431"/>
    <w:rsid w:val="00DC05EE"/>
    <w:rsid w:val="00DC149F"/>
    <w:rsid w:val="00DC219C"/>
    <w:rsid w:val="00DC2AA5"/>
    <w:rsid w:val="00DC43E7"/>
    <w:rsid w:val="00DC670B"/>
    <w:rsid w:val="00DC7B76"/>
    <w:rsid w:val="00DC7E15"/>
    <w:rsid w:val="00DD13DD"/>
    <w:rsid w:val="00DD1963"/>
    <w:rsid w:val="00DD27D1"/>
    <w:rsid w:val="00DD2FF6"/>
    <w:rsid w:val="00DD3C1C"/>
    <w:rsid w:val="00DD6BAE"/>
    <w:rsid w:val="00DE03DB"/>
    <w:rsid w:val="00DE221A"/>
    <w:rsid w:val="00DE2334"/>
    <w:rsid w:val="00DE3279"/>
    <w:rsid w:val="00DE47C6"/>
    <w:rsid w:val="00DE4E7C"/>
    <w:rsid w:val="00DE5C1E"/>
    <w:rsid w:val="00DE5E8B"/>
    <w:rsid w:val="00DE6553"/>
    <w:rsid w:val="00DE65AB"/>
    <w:rsid w:val="00DF1757"/>
    <w:rsid w:val="00DF2F30"/>
    <w:rsid w:val="00DF44AB"/>
    <w:rsid w:val="00DF5081"/>
    <w:rsid w:val="00DF5721"/>
    <w:rsid w:val="00DF5C8F"/>
    <w:rsid w:val="00DF68F0"/>
    <w:rsid w:val="00DF6CDE"/>
    <w:rsid w:val="00E0090D"/>
    <w:rsid w:val="00E0113D"/>
    <w:rsid w:val="00E039CB"/>
    <w:rsid w:val="00E05895"/>
    <w:rsid w:val="00E05BCD"/>
    <w:rsid w:val="00E11EEB"/>
    <w:rsid w:val="00E1251E"/>
    <w:rsid w:val="00E12C88"/>
    <w:rsid w:val="00E1423B"/>
    <w:rsid w:val="00E171AB"/>
    <w:rsid w:val="00E21FC6"/>
    <w:rsid w:val="00E2353F"/>
    <w:rsid w:val="00E2395F"/>
    <w:rsid w:val="00E248FD"/>
    <w:rsid w:val="00E317E1"/>
    <w:rsid w:val="00E33231"/>
    <w:rsid w:val="00E33B95"/>
    <w:rsid w:val="00E33EEA"/>
    <w:rsid w:val="00E4386B"/>
    <w:rsid w:val="00E44790"/>
    <w:rsid w:val="00E4651F"/>
    <w:rsid w:val="00E4670D"/>
    <w:rsid w:val="00E46EA3"/>
    <w:rsid w:val="00E50B7B"/>
    <w:rsid w:val="00E512B4"/>
    <w:rsid w:val="00E5254E"/>
    <w:rsid w:val="00E53D9D"/>
    <w:rsid w:val="00E544B6"/>
    <w:rsid w:val="00E5453C"/>
    <w:rsid w:val="00E56863"/>
    <w:rsid w:val="00E5694C"/>
    <w:rsid w:val="00E56DA9"/>
    <w:rsid w:val="00E57EF6"/>
    <w:rsid w:val="00E6058A"/>
    <w:rsid w:val="00E6186E"/>
    <w:rsid w:val="00E622B6"/>
    <w:rsid w:val="00E63253"/>
    <w:rsid w:val="00E63483"/>
    <w:rsid w:val="00E63617"/>
    <w:rsid w:val="00E637A7"/>
    <w:rsid w:val="00E63DFD"/>
    <w:rsid w:val="00E66ADA"/>
    <w:rsid w:val="00E67D8D"/>
    <w:rsid w:val="00E715C2"/>
    <w:rsid w:val="00E72F03"/>
    <w:rsid w:val="00E7429A"/>
    <w:rsid w:val="00E74B70"/>
    <w:rsid w:val="00E75D89"/>
    <w:rsid w:val="00E75F9E"/>
    <w:rsid w:val="00E77F68"/>
    <w:rsid w:val="00E80CA5"/>
    <w:rsid w:val="00E833EE"/>
    <w:rsid w:val="00E83B46"/>
    <w:rsid w:val="00E84434"/>
    <w:rsid w:val="00E84E89"/>
    <w:rsid w:val="00E85513"/>
    <w:rsid w:val="00E86880"/>
    <w:rsid w:val="00E916FC"/>
    <w:rsid w:val="00E91D1A"/>
    <w:rsid w:val="00E93B2C"/>
    <w:rsid w:val="00E96492"/>
    <w:rsid w:val="00EA01D8"/>
    <w:rsid w:val="00EA0512"/>
    <w:rsid w:val="00EA1EA7"/>
    <w:rsid w:val="00EA3EA9"/>
    <w:rsid w:val="00EA43E2"/>
    <w:rsid w:val="00EA4630"/>
    <w:rsid w:val="00EA5557"/>
    <w:rsid w:val="00EB0163"/>
    <w:rsid w:val="00EB18EE"/>
    <w:rsid w:val="00EB30EA"/>
    <w:rsid w:val="00EB30F5"/>
    <w:rsid w:val="00EB37BF"/>
    <w:rsid w:val="00EB3FC2"/>
    <w:rsid w:val="00EB4453"/>
    <w:rsid w:val="00EB5C8B"/>
    <w:rsid w:val="00EB607B"/>
    <w:rsid w:val="00EC0454"/>
    <w:rsid w:val="00EC3CC1"/>
    <w:rsid w:val="00EC47CA"/>
    <w:rsid w:val="00EC60FE"/>
    <w:rsid w:val="00EC7863"/>
    <w:rsid w:val="00ED144E"/>
    <w:rsid w:val="00ED263C"/>
    <w:rsid w:val="00ED2A92"/>
    <w:rsid w:val="00ED301C"/>
    <w:rsid w:val="00ED503D"/>
    <w:rsid w:val="00ED5DD5"/>
    <w:rsid w:val="00EE11FD"/>
    <w:rsid w:val="00EE1B2F"/>
    <w:rsid w:val="00EE1D07"/>
    <w:rsid w:val="00EE3EBD"/>
    <w:rsid w:val="00EE6003"/>
    <w:rsid w:val="00EE6419"/>
    <w:rsid w:val="00EE6FF1"/>
    <w:rsid w:val="00EE79D0"/>
    <w:rsid w:val="00EE79F3"/>
    <w:rsid w:val="00EF0D58"/>
    <w:rsid w:val="00EF18BD"/>
    <w:rsid w:val="00EF2BC9"/>
    <w:rsid w:val="00EF6709"/>
    <w:rsid w:val="00EF6732"/>
    <w:rsid w:val="00F00290"/>
    <w:rsid w:val="00F00FBE"/>
    <w:rsid w:val="00F012D4"/>
    <w:rsid w:val="00F012FA"/>
    <w:rsid w:val="00F01474"/>
    <w:rsid w:val="00F0323D"/>
    <w:rsid w:val="00F03423"/>
    <w:rsid w:val="00F034A0"/>
    <w:rsid w:val="00F0463E"/>
    <w:rsid w:val="00F04953"/>
    <w:rsid w:val="00F056E0"/>
    <w:rsid w:val="00F12F0C"/>
    <w:rsid w:val="00F13235"/>
    <w:rsid w:val="00F141CA"/>
    <w:rsid w:val="00F14793"/>
    <w:rsid w:val="00F1494E"/>
    <w:rsid w:val="00F17A9D"/>
    <w:rsid w:val="00F233FC"/>
    <w:rsid w:val="00F23798"/>
    <w:rsid w:val="00F260AC"/>
    <w:rsid w:val="00F261EC"/>
    <w:rsid w:val="00F26840"/>
    <w:rsid w:val="00F26DFB"/>
    <w:rsid w:val="00F27043"/>
    <w:rsid w:val="00F27E55"/>
    <w:rsid w:val="00F32C54"/>
    <w:rsid w:val="00F32E6E"/>
    <w:rsid w:val="00F35337"/>
    <w:rsid w:val="00F373AB"/>
    <w:rsid w:val="00F37B35"/>
    <w:rsid w:val="00F37B3D"/>
    <w:rsid w:val="00F4154C"/>
    <w:rsid w:val="00F4263A"/>
    <w:rsid w:val="00F42AE1"/>
    <w:rsid w:val="00F43A90"/>
    <w:rsid w:val="00F43E9F"/>
    <w:rsid w:val="00F47E96"/>
    <w:rsid w:val="00F50A3A"/>
    <w:rsid w:val="00F51681"/>
    <w:rsid w:val="00F51985"/>
    <w:rsid w:val="00F53D28"/>
    <w:rsid w:val="00F54D84"/>
    <w:rsid w:val="00F55653"/>
    <w:rsid w:val="00F55D21"/>
    <w:rsid w:val="00F56652"/>
    <w:rsid w:val="00F574B6"/>
    <w:rsid w:val="00F60A71"/>
    <w:rsid w:val="00F62A1E"/>
    <w:rsid w:val="00F62C18"/>
    <w:rsid w:val="00F6331F"/>
    <w:rsid w:val="00F64BFC"/>
    <w:rsid w:val="00F64DB9"/>
    <w:rsid w:val="00F65513"/>
    <w:rsid w:val="00F65681"/>
    <w:rsid w:val="00F66B49"/>
    <w:rsid w:val="00F66DD5"/>
    <w:rsid w:val="00F67885"/>
    <w:rsid w:val="00F67AB3"/>
    <w:rsid w:val="00F67E81"/>
    <w:rsid w:val="00F713BD"/>
    <w:rsid w:val="00F72FC1"/>
    <w:rsid w:val="00F73529"/>
    <w:rsid w:val="00F74324"/>
    <w:rsid w:val="00F7537F"/>
    <w:rsid w:val="00F81904"/>
    <w:rsid w:val="00F8319C"/>
    <w:rsid w:val="00F837FA"/>
    <w:rsid w:val="00F83C85"/>
    <w:rsid w:val="00F85399"/>
    <w:rsid w:val="00F854E8"/>
    <w:rsid w:val="00F86037"/>
    <w:rsid w:val="00F90460"/>
    <w:rsid w:val="00F9123C"/>
    <w:rsid w:val="00F91E60"/>
    <w:rsid w:val="00F93183"/>
    <w:rsid w:val="00F9373E"/>
    <w:rsid w:val="00F93DB1"/>
    <w:rsid w:val="00F95C0F"/>
    <w:rsid w:val="00F9694F"/>
    <w:rsid w:val="00F97F1E"/>
    <w:rsid w:val="00FA0114"/>
    <w:rsid w:val="00FA035F"/>
    <w:rsid w:val="00FA1A4D"/>
    <w:rsid w:val="00FA342D"/>
    <w:rsid w:val="00FA51D4"/>
    <w:rsid w:val="00FA54DE"/>
    <w:rsid w:val="00FA686C"/>
    <w:rsid w:val="00FA6932"/>
    <w:rsid w:val="00FA7161"/>
    <w:rsid w:val="00FA75B3"/>
    <w:rsid w:val="00FB1791"/>
    <w:rsid w:val="00FB3972"/>
    <w:rsid w:val="00FB50FF"/>
    <w:rsid w:val="00FB51C4"/>
    <w:rsid w:val="00FB70DE"/>
    <w:rsid w:val="00FB7E58"/>
    <w:rsid w:val="00FC05B6"/>
    <w:rsid w:val="00FC290E"/>
    <w:rsid w:val="00FC29A8"/>
    <w:rsid w:val="00FC2BD1"/>
    <w:rsid w:val="00FC3EE4"/>
    <w:rsid w:val="00FC6A13"/>
    <w:rsid w:val="00FC7C2C"/>
    <w:rsid w:val="00FD0B49"/>
    <w:rsid w:val="00FD158E"/>
    <w:rsid w:val="00FD17C2"/>
    <w:rsid w:val="00FD2B4D"/>
    <w:rsid w:val="00FD3FBA"/>
    <w:rsid w:val="00FD4B7B"/>
    <w:rsid w:val="00FD55D7"/>
    <w:rsid w:val="00FD634F"/>
    <w:rsid w:val="00FD738B"/>
    <w:rsid w:val="00FD7951"/>
    <w:rsid w:val="00FD7A9B"/>
    <w:rsid w:val="00FE08B7"/>
    <w:rsid w:val="00FE0A7C"/>
    <w:rsid w:val="00FE2611"/>
    <w:rsid w:val="00FE49CA"/>
    <w:rsid w:val="00FE52A7"/>
    <w:rsid w:val="00FE52C4"/>
    <w:rsid w:val="00FF088A"/>
    <w:rsid w:val="00FF1AC1"/>
    <w:rsid w:val="00FF2067"/>
    <w:rsid w:val="00FF2517"/>
    <w:rsid w:val="00FF292E"/>
    <w:rsid w:val="00FF3288"/>
    <w:rsid w:val="00FF349C"/>
    <w:rsid w:val="00FF3D01"/>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1e1ff,#069,#bad1e8,#afd787,#cde6b4,#d1e8ba,#0000ac"/>
    </o:shapedefaults>
    <o:shapelayout v:ext="edit">
      <o:idmap v:ext="edit" data="1"/>
    </o:shapelayout>
  </w:shapeDefaults>
  <w:decimalSymbol w:val="."/>
  <w:listSeparator w:val=","/>
  <w14:docId w14:val="494E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qFormat="1"/>
    <w:lsdException w:name="Subtitle" w:uiPriority="99"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1"/>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rsid w:val="00982F78"/>
    <w:rPr>
      <w:b/>
      <w:i/>
      <w:color w:val="DA291C"/>
      <w:sz w:val="22"/>
    </w:rPr>
  </w:style>
  <w:style w:type="character" w:customStyle="1" w:styleId="Heading6Char">
    <w:name w:val="Heading 6 Char"/>
    <w:aliases w:val="Heading 6 (business proposal only) Char"/>
    <w:link w:val="Heading6"/>
    <w:rsid w:val="00982F78"/>
    <w:rPr>
      <w:b/>
      <w:bCs/>
      <w:sz w:val="22"/>
      <w:szCs w:val="22"/>
    </w:rPr>
  </w:style>
  <w:style w:type="character" w:customStyle="1" w:styleId="Heading7Char">
    <w:name w:val="Heading 7 Char"/>
    <w:aliases w:val="Heading 7 (business proposal only) Char"/>
    <w:link w:val="Heading7"/>
    <w:rsid w:val="00982F78"/>
    <w:rPr>
      <w:sz w:val="24"/>
      <w:szCs w:val="24"/>
    </w:rPr>
  </w:style>
  <w:style w:type="character" w:customStyle="1" w:styleId="Heading8Char">
    <w:name w:val="Heading 8 Char"/>
    <w:aliases w:val="Heading 8 (business proposal only) Char"/>
    <w:link w:val="Heading8"/>
    <w:rsid w:val="00982F78"/>
    <w:rPr>
      <w:i/>
      <w:iCs/>
      <w:sz w:val="24"/>
      <w:szCs w:val="24"/>
    </w:rPr>
  </w:style>
  <w:style w:type="character" w:customStyle="1" w:styleId="Heading9Char">
    <w:name w:val="Heading 9 Char"/>
    <w:aliases w:val="Heading 9 (business proposal only)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1"/>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8"/>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1"/>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2"/>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2"/>
      </w:numPr>
    </w:pPr>
  </w:style>
  <w:style w:type="paragraph" w:customStyle="1" w:styleId="AbtHeadCOutlined">
    <w:name w:val="AbtHead C Outlined"/>
    <w:basedOn w:val="AbtHeadC"/>
    <w:next w:val="BodyText"/>
    <w:rsid w:val="00DB5C95"/>
    <w:pPr>
      <w:numPr>
        <w:ilvl w:val="2"/>
        <w:numId w:val="12"/>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3"/>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styleId="HTMLPreformatted">
    <w:name w:val="HTML Preformatted"/>
    <w:basedOn w:val="Normal"/>
    <w:link w:val="HTMLPreformattedChar"/>
    <w:rsid w:val="003E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E6E0A"/>
    <w:rPr>
      <w:rFonts w:ascii="Courier New" w:hAnsi="Courier New" w:cs="Courier New"/>
    </w:rPr>
  </w:style>
  <w:style w:type="table" w:customStyle="1" w:styleId="TableGrid8">
    <w:name w:val="Table Grid8"/>
    <w:basedOn w:val="TableNormal"/>
    <w:next w:val="TableGrid"/>
    <w:rsid w:val="00BF2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BF23C7"/>
    <w:pPr>
      <w:tabs>
        <w:tab w:val="left" w:pos="720"/>
        <w:tab w:val="left" w:pos="1440"/>
        <w:tab w:val="left" w:pos="2160"/>
        <w:tab w:val="right" w:pos="9360"/>
      </w:tabs>
      <w:spacing w:before="60" w:after="60" w:line="240" w:lineRule="auto"/>
    </w:pPr>
    <w:rPr>
      <w:szCs w:val="24"/>
    </w:rPr>
  </w:style>
  <w:style w:type="paragraph" w:customStyle="1" w:styleId="AQuestion1">
    <w:name w:val="A Question 1"/>
    <w:basedOn w:val="Normal"/>
    <w:rsid w:val="00BF23C7"/>
    <w:pPr>
      <w:spacing w:after="0"/>
      <w:ind w:left="720" w:hanging="720"/>
    </w:pPr>
    <w:rPr>
      <w:szCs w:val="24"/>
    </w:rPr>
  </w:style>
  <w:style w:type="paragraph" w:customStyle="1" w:styleId="AAnswer1">
    <w:name w:val="A Answer 1"/>
    <w:basedOn w:val="Normal"/>
    <w:rsid w:val="00BF23C7"/>
    <w:pPr>
      <w:tabs>
        <w:tab w:val="left" w:pos="8280"/>
      </w:tabs>
      <w:spacing w:after="0"/>
      <w:ind w:left="1440"/>
    </w:pPr>
    <w:rPr>
      <w:szCs w:val="24"/>
    </w:rPr>
  </w:style>
  <w:style w:type="paragraph" w:customStyle="1" w:styleId="AQuestion2">
    <w:name w:val="A Question 2"/>
    <w:basedOn w:val="Normal"/>
    <w:rsid w:val="00BF23C7"/>
    <w:pPr>
      <w:spacing w:after="0"/>
      <w:ind w:left="1620" w:hanging="900"/>
    </w:pPr>
    <w:rPr>
      <w:szCs w:val="24"/>
    </w:rPr>
  </w:style>
  <w:style w:type="numbering" w:customStyle="1" w:styleId="NoList5">
    <w:name w:val="No List5"/>
    <w:next w:val="NoList"/>
    <w:uiPriority w:val="99"/>
    <w:semiHidden/>
    <w:unhideWhenUsed/>
    <w:rsid w:val="00265A18"/>
  </w:style>
  <w:style w:type="paragraph" w:customStyle="1" w:styleId="TableParagraph">
    <w:name w:val="Table Paragraph"/>
    <w:basedOn w:val="Normal"/>
    <w:uiPriority w:val="1"/>
    <w:qFormat/>
    <w:rsid w:val="00265A18"/>
    <w:pPr>
      <w:widowControl w:val="0"/>
      <w:spacing w:after="0" w:line="240" w:lineRule="auto"/>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qFormat="1"/>
    <w:lsdException w:name="Subtitle" w:uiPriority="99"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1"/>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rsid w:val="00982F78"/>
    <w:rPr>
      <w:b/>
      <w:i/>
      <w:color w:val="DA291C"/>
      <w:sz w:val="22"/>
    </w:rPr>
  </w:style>
  <w:style w:type="character" w:customStyle="1" w:styleId="Heading6Char">
    <w:name w:val="Heading 6 Char"/>
    <w:aliases w:val="Heading 6 (business proposal only) Char"/>
    <w:link w:val="Heading6"/>
    <w:rsid w:val="00982F78"/>
    <w:rPr>
      <w:b/>
      <w:bCs/>
      <w:sz w:val="22"/>
      <w:szCs w:val="22"/>
    </w:rPr>
  </w:style>
  <w:style w:type="character" w:customStyle="1" w:styleId="Heading7Char">
    <w:name w:val="Heading 7 Char"/>
    <w:aliases w:val="Heading 7 (business proposal only) Char"/>
    <w:link w:val="Heading7"/>
    <w:rsid w:val="00982F78"/>
    <w:rPr>
      <w:sz w:val="24"/>
      <w:szCs w:val="24"/>
    </w:rPr>
  </w:style>
  <w:style w:type="character" w:customStyle="1" w:styleId="Heading8Char">
    <w:name w:val="Heading 8 Char"/>
    <w:aliases w:val="Heading 8 (business proposal only) Char"/>
    <w:link w:val="Heading8"/>
    <w:rsid w:val="00982F78"/>
    <w:rPr>
      <w:i/>
      <w:iCs/>
      <w:sz w:val="24"/>
      <w:szCs w:val="24"/>
    </w:rPr>
  </w:style>
  <w:style w:type="character" w:customStyle="1" w:styleId="Heading9Char">
    <w:name w:val="Heading 9 Char"/>
    <w:aliases w:val="Heading 9 (business proposal only)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1"/>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8"/>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1"/>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2"/>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2"/>
      </w:numPr>
    </w:pPr>
  </w:style>
  <w:style w:type="paragraph" w:customStyle="1" w:styleId="AbtHeadCOutlined">
    <w:name w:val="AbtHead C Outlined"/>
    <w:basedOn w:val="AbtHeadC"/>
    <w:next w:val="BodyText"/>
    <w:rsid w:val="00DB5C95"/>
    <w:pPr>
      <w:numPr>
        <w:ilvl w:val="2"/>
        <w:numId w:val="12"/>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3"/>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styleId="HTMLPreformatted">
    <w:name w:val="HTML Preformatted"/>
    <w:basedOn w:val="Normal"/>
    <w:link w:val="HTMLPreformattedChar"/>
    <w:rsid w:val="003E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E6E0A"/>
    <w:rPr>
      <w:rFonts w:ascii="Courier New" w:hAnsi="Courier New" w:cs="Courier New"/>
    </w:rPr>
  </w:style>
  <w:style w:type="table" w:customStyle="1" w:styleId="TableGrid8">
    <w:name w:val="Table Grid8"/>
    <w:basedOn w:val="TableNormal"/>
    <w:next w:val="TableGrid"/>
    <w:rsid w:val="00BF2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BF23C7"/>
    <w:pPr>
      <w:tabs>
        <w:tab w:val="left" w:pos="720"/>
        <w:tab w:val="left" w:pos="1440"/>
        <w:tab w:val="left" w:pos="2160"/>
        <w:tab w:val="right" w:pos="9360"/>
      </w:tabs>
      <w:spacing w:before="60" w:after="60" w:line="240" w:lineRule="auto"/>
    </w:pPr>
    <w:rPr>
      <w:szCs w:val="24"/>
    </w:rPr>
  </w:style>
  <w:style w:type="paragraph" w:customStyle="1" w:styleId="AQuestion1">
    <w:name w:val="A Question 1"/>
    <w:basedOn w:val="Normal"/>
    <w:rsid w:val="00BF23C7"/>
    <w:pPr>
      <w:spacing w:after="0"/>
      <w:ind w:left="720" w:hanging="720"/>
    </w:pPr>
    <w:rPr>
      <w:szCs w:val="24"/>
    </w:rPr>
  </w:style>
  <w:style w:type="paragraph" w:customStyle="1" w:styleId="AAnswer1">
    <w:name w:val="A Answer 1"/>
    <w:basedOn w:val="Normal"/>
    <w:rsid w:val="00BF23C7"/>
    <w:pPr>
      <w:tabs>
        <w:tab w:val="left" w:pos="8280"/>
      </w:tabs>
      <w:spacing w:after="0"/>
      <w:ind w:left="1440"/>
    </w:pPr>
    <w:rPr>
      <w:szCs w:val="24"/>
    </w:rPr>
  </w:style>
  <w:style w:type="paragraph" w:customStyle="1" w:styleId="AQuestion2">
    <w:name w:val="A Question 2"/>
    <w:basedOn w:val="Normal"/>
    <w:rsid w:val="00BF23C7"/>
    <w:pPr>
      <w:spacing w:after="0"/>
      <w:ind w:left="1620" w:hanging="900"/>
    </w:pPr>
    <w:rPr>
      <w:szCs w:val="24"/>
    </w:rPr>
  </w:style>
  <w:style w:type="numbering" w:customStyle="1" w:styleId="NoList5">
    <w:name w:val="No List5"/>
    <w:next w:val="NoList"/>
    <w:uiPriority w:val="99"/>
    <w:semiHidden/>
    <w:unhideWhenUsed/>
    <w:rsid w:val="00265A18"/>
  </w:style>
  <w:style w:type="paragraph" w:customStyle="1" w:styleId="TableParagraph">
    <w:name w:val="Table Paragraph"/>
    <w:basedOn w:val="Normal"/>
    <w:uiPriority w:val="1"/>
    <w:qFormat/>
    <w:rsid w:val="00265A18"/>
    <w:pPr>
      <w:widowControl w:val="0"/>
      <w:spacing w:after="0" w:line="240" w:lineRule="auto"/>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921792495">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39724126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653867734">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 w:id="20474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4DF5B-BC1D-478A-8967-4514077A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6559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45053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Daniel Kitrosser</cp:lastModifiedBy>
  <cp:revision>2</cp:revision>
  <cp:lastPrinted>2015-11-02T14:12:00Z</cp:lastPrinted>
  <dcterms:created xsi:type="dcterms:W3CDTF">2016-08-12T13:35:00Z</dcterms:created>
  <dcterms:modified xsi:type="dcterms:W3CDTF">2016-08-12T13:35:00Z</dcterms:modified>
</cp:coreProperties>
</file>