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EE30B9" w14:textId="77777777" w:rsidR="00870D59" w:rsidRPr="001E66A7" w:rsidRDefault="00870D59" w:rsidP="00870D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r w:rsidRPr="001E66A7">
        <w:rPr>
          <w:b/>
          <w:bCs/>
          <w:sz w:val="24"/>
        </w:rPr>
        <w:t>Supporting Statement – Part A</w:t>
      </w:r>
    </w:p>
    <w:p w14:paraId="73D01254" w14:textId="77777777" w:rsidR="00870D59" w:rsidRPr="001E66A7" w:rsidRDefault="00D54A35" w:rsidP="00D54A35">
      <w:pPr>
        <w:tabs>
          <w:tab w:val="center" w:pos="4752"/>
          <w:tab w:val="left" w:pos="5040"/>
          <w:tab w:val="left" w:pos="5760"/>
          <w:tab w:val="left" w:pos="6480"/>
          <w:tab w:val="left" w:pos="7200"/>
          <w:tab w:val="left" w:pos="7920"/>
          <w:tab w:val="left" w:pos="8640"/>
          <w:tab w:val="left" w:pos="9360"/>
        </w:tabs>
        <w:jc w:val="center"/>
        <w:rPr>
          <w:b/>
          <w:sz w:val="24"/>
        </w:rPr>
      </w:pPr>
      <w:r w:rsidRPr="001E66A7">
        <w:rPr>
          <w:b/>
          <w:sz w:val="24"/>
        </w:rPr>
        <w:t>Grandfathering Provisions of the Medicare DMEPOS Competitive Bidding Program</w:t>
      </w:r>
    </w:p>
    <w:p w14:paraId="105C1AA7" w14:textId="77777777" w:rsidR="00D54A35" w:rsidRPr="001E66A7" w:rsidRDefault="00D54A35" w:rsidP="00D54A35">
      <w:pPr>
        <w:tabs>
          <w:tab w:val="center" w:pos="4752"/>
          <w:tab w:val="left" w:pos="5040"/>
          <w:tab w:val="left" w:pos="5760"/>
          <w:tab w:val="left" w:pos="6480"/>
          <w:tab w:val="left" w:pos="7200"/>
          <w:tab w:val="left" w:pos="7920"/>
          <w:tab w:val="left" w:pos="8640"/>
          <w:tab w:val="left" w:pos="9360"/>
        </w:tabs>
        <w:jc w:val="center"/>
        <w:rPr>
          <w:b/>
          <w:sz w:val="24"/>
        </w:rPr>
      </w:pPr>
      <w:r w:rsidRPr="001E66A7">
        <w:rPr>
          <w:b/>
          <w:sz w:val="24"/>
        </w:rPr>
        <w:t>CMS-10309 (OCN 0938-1079)</w:t>
      </w:r>
    </w:p>
    <w:p w14:paraId="38772F24" w14:textId="77777777" w:rsidR="00C236F9" w:rsidRPr="00D54A35" w:rsidRDefault="00C236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F5853F1"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u w:val="single"/>
        </w:rPr>
        <w:t>Background</w:t>
      </w:r>
      <w:r w:rsidR="00ED6A9B">
        <w:rPr>
          <w:b/>
          <w:bCs/>
          <w:sz w:val="24"/>
          <w:u w:val="single"/>
        </w:rPr>
        <w:t xml:space="preserve"> of the Medicare Durable Medical Equipment, Prosthetics, Orthotics and Supplies (DMEPOS) Competitive Bidding Program</w:t>
      </w:r>
      <w:r w:rsidR="00D72B0A">
        <w:rPr>
          <w:b/>
          <w:bCs/>
          <w:sz w:val="24"/>
          <w:u w:val="single"/>
        </w:rPr>
        <w:t xml:space="preserve"> and Grandfathering</w:t>
      </w:r>
    </w:p>
    <w:p w14:paraId="0A99128E" w14:textId="77777777" w:rsidR="008F1EB4" w:rsidRPr="00D72B0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14:paraId="2D69886F" w14:textId="77777777" w:rsidR="00EA4F7D" w:rsidRDefault="00EA4F7D" w:rsidP="00D72B0A">
      <w:pPr>
        <w:rPr>
          <w:bCs/>
          <w:sz w:val="24"/>
        </w:rPr>
      </w:pPr>
      <w:r w:rsidRPr="00D72B0A">
        <w:rPr>
          <w:bCs/>
          <w:sz w:val="24"/>
        </w:rPr>
        <w:t xml:space="preserve">Section 1847(a)(4) of the Social Security Act </w:t>
      </w:r>
      <w:r>
        <w:rPr>
          <w:bCs/>
          <w:sz w:val="24"/>
        </w:rPr>
        <w:t xml:space="preserve">(the Act) </w:t>
      </w:r>
      <w:r w:rsidRPr="00D72B0A">
        <w:rPr>
          <w:bCs/>
          <w:sz w:val="24"/>
        </w:rPr>
        <w:t xml:space="preserve">requires that in the case of covered </w:t>
      </w:r>
      <w:r>
        <w:rPr>
          <w:bCs/>
          <w:sz w:val="24"/>
        </w:rPr>
        <w:t>durable medical equipment (</w:t>
      </w:r>
      <w:r w:rsidRPr="00D72B0A">
        <w:rPr>
          <w:bCs/>
          <w:sz w:val="24"/>
        </w:rPr>
        <w:t>DME</w:t>
      </w:r>
      <w:r>
        <w:rPr>
          <w:bCs/>
          <w:sz w:val="24"/>
        </w:rPr>
        <w:t>)</w:t>
      </w:r>
      <w:r w:rsidRPr="00D72B0A">
        <w:rPr>
          <w:bCs/>
          <w:sz w:val="24"/>
        </w:rPr>
        <w:t xml:space="preserve"> items for which payment is made on a rental basis under section 1834(a) of the Act, and in the case of oxygen for which payment is made under section 1834(a)(5) of the Act, the Secretary shall establish a grandfathering process by which covered items and supplies that were rented by suppliers before the </w:t>
      </w:r>
      <w:r>
        <w:rPr>
          <w:bCs/>
          <w:sz w:val="24"/>
        </w:rPr>
        <w:t>implementation</w:t>
      </w:r>
      <w:r w:rsidRPr="00D72B0A">
        <w:rPr>
          <w:bCs/>
          <w:sz w:val="24"/>
        </w:rPr>
        <w:t xml:space="preserve"> of a competitive bidding program may be continued.   </w:t>
      </w:r>
    </w:p>
    <w:p w14:paraId="44A3E2AA" w14:textId="77777777" w:rsidR="00EA4F7D" w:rsidRDefault="00EA4F7D" w:rsidP="00EA4F7D">
      <w:pPr>
        <w:pStyle w:val="Default"/>
        <w:rPr>
          <w:rFonts w:ascii="Times New Roman" w:hAnsi="Times New Roman" w:cs="Times New Roman"/>
          <w:bCs/>
          <w:color w:val="auto"/>
        </w:rPr>
      </w:pPr>
    </w:p>
    <w:p w14:paraId="5E3B7384" w14:textId="35A31495" w:rsidR="00EA4F7D" w:rsidRDefault="00FD52F2" w:rsidP="00EA4F7D">
      <w:pPr>
        <w:pStyle w:val="Default"/>
        <w:rPr>
          <w:rFonts w:ascii="Times New Roman" w:hAnsi="Times New Roman" w:cs="Times New Roman"/>
          <w:bCs/>
          <w:color w:val="auto"/>
        </w:rPr>
      </w:pPr>
      <w:r w:rsidRPr="00FD52F2">
        <w:rPr>
          <w:rFonts w:ascii="Times New Roman" w:hAnsi="Times New Roman" w:cs="Times New Roman"/>
          <w:bCs/>
          <w:color w:val="auto"/>
        </w:rPr>
        <w:t>We established the grandfathering process in the April 10, 2007 final rule for competitive bidding (72 FR 17992) for rented DME and oxygen and oxygen equip</w:t>
      </w:r>
      <w:bookmarkStart w:id="0" w:name="_GoBack"/>
      <w:bookmarkEnd w:id="0"/>
      <w:r w:rsidRPr="00FD52F2">
        <w:rPr>
          <w:rFonts w:ascii="Times New Roman" w:hAnsi="Times New Roman" w:cs="Times New Roman"/>
          <w:bCs/>
          <w:color w:val="auto"/>
        </w:rPr>
        <w:t xml:space="preserve">ment when these items are included under the Medicare DMEPOS Competitive Bidding Program.  This process only applies to suppliers that rented DME and oxygen and oxygen equipment to beneficiaries who maintain a permanent residence in a </w:t>
      </w:r>
      <w:r w:rsidR="008C5EC9">
        <w:rPr>
          <w:rFonts w:ascii="Times New Roman" w:hAnsi="Times New Roman" w:cs="Times New Roman"/>
          <w:bCs/>
          <w:color w:val="auto"/>
        </w:rPr>
        <w:t>competitive bidding area (</w:t>
      </w:r>
      <w:r w:rsidR="008C5EC9" w:rsidRPr="00A61587">
        <w:rPr>
          <w:rFonts w:ascii="Times New Roman" w:hAnsi="Times New Roman" w:cs="Times New Roman"/>
          <w:bCs/>
          <w:color w:val="auto"/>
        </w:rPr>
        <w:t>CBA</w:t>
      </w:r>
      <w:r w:rsidR="008C5EC9">
        <w:rPr>
          <w:rFonts w:ascii="Times New Roman" w:hAnsi="Times New Roman" w:cs="Times New Roman"/>
          <w:bCs/>
          <w:color w:val="auto"/>
        </w:rPr>
        <w:t>)</w:t>
      </w:r>
      <w:r w:rsidR="008C5EC9" w:rsidRPr="00A61587">
        <w:rPr>
          <w:rFonts w:ascii="Times New Roman" w:hAnsi="Times New Roman" w:cs="Times New Roman"/>
          <w:bCs/>
          <w:color w:val="auto"/>
        </w:rPr>
        <w:t xml:space="preserve"> </w:t>
      </w:r>
      <w:r w:rsidRPr="00FD52F2">
        <w:rPr>
          <w:rFonts w:ascii="Times New Roman" w:hAnsi="Times New Roman" w:cs="Times New Roman"/>
          <w:bCs/>
          <w:color w:val="auto"/>
        </w:rPr>
        <w:t>before the implementation of the competitive bidding program.</w:t>
      </w:r>
      <w:r w:rsidR="006978F1">
        <w:rPr>
          <w:rFonts w:ascii="Times New Roman" w:hAnsi="Times New Roman" w:cs="Times New Roman"/>
          <w:bCs/>
          <w:color w:val="auto"/>
        </w:rPr>
        <w:t xml:space="preserve"> </w:t>
      </w:r>
      <w:r w:rsidR="005D4ECB">
        <w:rPr>
          <w:rFonts w:ascii="Times New Roman" w:hAnsi="Times New Roman" w:cs="Times New Roman"/>
          <w:bCs/>
          <w:color w:val="auto"/>
        </w:rPr>
        <w:t>W</w:t>
      </w:r>
      <w:r w:rsidR="00EA4F7D">
        <w:rPr>
          <w:rFonts w:ascii="Times New Roman" w:hAnsi="Times New Roman" w:cs="Times New Roman"/>
          <w:bCs/>
          <w:color w:val="auto"/>
        </w:rPr>
        <w:t xml:space="preserve">e </w:t>
      </w:r>
      <w:r>
        <w:rPr>
          <w:rFonts w:ascii="Times New Roman" w:hAnsi="Times New Roman" w:cs="Times New Roman"/>
          <w:bCs/>
          <w:color w:val="auto"/>
        </w:rPr>
        <w:t xml:space="preserve">subsequently </w:t>
      </w:r>
      <w:r w:rsidR="00EA4F7D">
        <w:rPr>
          <w:rFonts w:ascii="Times New Roman" w:hAnsi="Times New Roman" w:cs="Times New Roman"/>
          <w:bCs/>
          <w:color w:val="auto"/>
        </w:rPr>
        <w:t>published sub</w:t>
      </w:r>
      <w:r w:rsidR="00AD3547">
        <w:rPr>
          <w:rFonts w:ascii="Times New Roman" w:hAnsi="Times New Roman" w:cs="Times New Roman"/>
          <w:bCs/>
          <w:color w:val="auto"/>
        </w:rPr>
        <w:t>-</w:t>
      </w:r>
      <w:r w:rsidR="00EA4F7D">
        <w:rPr>
          <w:rFonts w:ascii="Times New Roman" w:hAnsi="Times New Roman" w:cs="Times New Roman"/>
          <w:bCs/>
          <w:color w:val="auto"/>
        </w:rPr>
        <w:t>regulatory guidance in the Medicare Claims Processing Internet Only Manual (IOM) to establish notification guidelines for thes</w:t>
      </w:r>
      <w:r w:rsidR="007C1F7A">
        <w:rPr>
          <w:rFonts w:ascii="Times New Roman" w:hAnsi="Times New Roman" w:cs="Times New Roman"/>
          <w:bCs/>
          <w:color w:val="auto"/>
        </w:rPr>
        <w:t xml:space="preserve">e suppliers. </w:t>
      </w:r>
      <w:r w:rsidR="00BB3ECF">
        <w:rPr>
          <w:rFonts w:ascii="Times New Roman" w:hAnsi="Times New Roman" w:cs="Times New Roman"/>
          <w:bCs/>
          <w:color w:val="auto"/>
        </w:rPr>
        <w:t xml:space="preserve">In </w:t>
      </w:r>
      <w:r w:rsidR="00A93224">
        <w:rPr>
          <w:rFonts w:ascii="Times New Roman" w:hAnsi="Times New Roman" w:cs="Times New Roman"/>
          <w:bCs/>
          <w:color w:val="auto"/>
        </w:rPr>
        <w:t>s</w:t>
      </w:r>
      <w:r w:rsidR="00BB3ECF">
        <w:rPr>
          <w:rFonts w:ascii="Times New Roman" w:hAnsi="Times New Roman" w:cs="Times New Roman"/>
          <w:bCs/>
          <w:color w:val="auto"/>
        </w:rPr>
        <w:t>ummer 2010,</w:t>
      </w:r>
      <w:r w:rsidR="007C1F7A">
        <w:rPr>
          <w:rFonts w:ascii="Times New Roman" w:hAnsi="Times New Roman" w:cs="Times New Roman"/>
          <w:bCs/>
          <w:color w:val="auto"/>
        </w:rPr>
        <w:t xml:space="preserve"> we incorporated</w:t>
      </w:r>
      <w:r w:rsidR="00EA4F7D">
        <w:rPr>
          <w:rFonts w:ascii="Times New Roman" w:hAnsi="Times New Roman" w:cs="Times New Roman"/>
          <w:bCs/>
          <w:color w:val="auto"/>
        </w:rPr>
        <w:t xml:space="preserve"> this notification process outlined in the IOM in a notice of proposed </w:t>
      </w:r>
      <w:r w:rsidR="007C1F7A">
        <w:rPr>
          <w:rFonts w:ascii="Times New Roman" w:hAnsi="Times New Roman" w:cs="Times New Roman"/>
          <w:bCs/>
          <w:color w:val="auto"/>
        </w:rPr>
        <w:t xml:space="preserve">rulemaking </w:t>
      </w:r>
      <w:r w:rsidR="00EA4F7D">
        <w:rPr>
          <w:rFonts w:ascii="Times New Roman" w:hAnsi="Times New Roman" w:cs="Times New Roman"/>
          <w:bCs/>
          <w:color w:val="auto"/>
        </w:rPr>
        <w:t>and s</w:t>
      </w:r>
      <w:r w:rsidR="007C1F7A">
        <w:rPr>
          <w:rFonts w:ascii="Times New Roman" w:hAnsi="Times New Roman" w:cs="Times New Roman"/>
          <w:bCs/>
          <w:color w:val="auto"/>
        </w:rPr>
        <w:t xml:space="preserve">ought </w:t>
      </w:r>
      <w:r w:rsidR="00EA4F7D">
        <w:rPr>
          <w:rFonts w:ascii="Times New Roman" w:hAnsi="Times New Roman" w:cs="Times New Roman"/>
          <w:bCs/>
          <w:color w:val="auto"/>
        </w:rPr>
        <w:t xml:space="preserve">public comment on making these mandatory requirements.  </w:t>
      </w:r>
    </w:p>
    <w:p w14:paraId="29CB6E0A" w14:textId="77777777" w:rsidR="00EA4F7D" w:rsidRDefault="00EA4F7D" w:rsidP="00D72B0A">
      <w:pPr>
        <w:rPr>
          <w:bCs/>
          <w:sz w:val="24"/>
        </w:rPr>
      </w:pPr>
    </w:p>
    <w:p w14:paraId="7C493C5D" w14:textId="0ECC70B4" w:rsidR="004713E0" w:rsidRDefault="004713E0" w:rsidP="00D72B0A">
      <w:pPr>
        <w:rPr>
          <w:bCs/>
          <w:sz w:val="24"/>
        </w:rPr>
      </w:pPr>
      <w:r>
        <w:rPr>
          <w:bCs/>
          <w:sz w:val="24"/>
        </w:rPr>
        <w:t xml:space="preserve">On November 25, 2009, we issued a </w:t>
      </w:r>
      <w:r w:rsidR="007C1F7A">
        <w:rPr>
          <w:bCs/>
          <w:sz w:val="24"/>
        </w:rPr>
        <w:t>regulation</w:t>
      </w:r>
      <w:r w:rsidR="00A817CF">
        <w:rPr>
          <w:bCs/>
          <w:sz w:val="24"/>
        </w:rPr>
        <w:t xml:space="preserve"> (</w:t>
      </w:r>
      <w:r w:rsidR="00A817CF">
        <w:t>71 FR 61738)</w:t>
      </w:r>
      <w:r w:rsidR="00FB47C0">
        <w:rPr>
          <w:bCs/>
          <w:sz w:val="24"/>
        </w:rPr>
        <w:t xml:space="preserve"> </w:t>
      </w:r>
      <w:r>
        <w:rPr>
          <w:bCs/>
          <w:sz w:val="24"/>
        </w:rPr>
        <w:t xml:space="preserve">that </w:t>
      </w:r>
      <w:r w:rsidR="007C1F7A">
        <w:rPr>
          <w:bCs/>
          <w:sz w:val="24"/>
        </w:rPr>
        <w:t>finalize</w:t>
      </w:r>
      <w:r>
        <w:rPr>
          <w:bCs/>
          <w:sz w:val="24"/>
        </w:rPr>
        <w:t>d</w:t>
      </w:r>
      <w:r w:rsidR="007C1F7A">
        <w:rPr>
          <w:bCs/>
          <w:sz w:val="24"/>
        </w:rPr>
        <w:t xml:space="preserve"> </w:t>
      </w:r>
      <w:r w:rsidR="00EA4F7D" w:rsidRPr="00EA4F7D">
        <w:rPr>
          <w:bCs/>
          <w:sz w:val="24"/>
        </w:rPr>
        <w:t xml:space="preserve">the requirements for suppliers to provide written notification to beneficiaries of their intention to be a grandfathered supplier for certain items. </w:t>
      </w:r>
    </w:p>
    <w:p w14:paraId="209DA79C" w14:textId="77777777" w:rsidR="004713E0" w:rsidRDefault="004713E0" w:rsidP="00D72B0A">
      <w:pPr>
        <w:rPr>
          <w:bCs/>
          <w:sz w:val="24"/>
        </w:rPr>
      </w:pPr>
    </w:p>
    <w:p w14:paraId="5B33CDD5" w14:textId="7BD3D7E4" w:rsidR="00A61587" w:rsidRPr="00A61587" w:rsidRDefault="00A61587" w:rsidP="00A61587">
      <w:pPr>
        <w:pStyle w:val="Default"/>
        <w:rPr>
          <w:rFonts w:ascii="Times New Roman" w:hAnsi="Times New Roman" w:cs="Times New Roman"/>
          <w:bCs/>
          <w:color w:val="auto"/>
        </w:rPr>
      </w:pPr>
      <w:r>
        <w:rPr>
          <w:rFonts w:ascii="Times New Roman" w:hAnsi="Times New Roman" w:cs="Times New Roman"/>
          <w:bCs/>
          <w:color w:val="auto"/>
        </w:rPr>
        <w:t>T</w:t>
      </w:r>
      <w:r w:rsidRPr="00A61587">
        <w:rPr>
          <w:rFonts w:ascii="Times New Roman" w:hAnsi="Times New Roman" w:cs="Times New Roman"/>
          <w:bCs/>
          <w:color w:val="auto"/>
        </w:rPr>
        <w:t xml:space="preserve">he notification </w:t>
      </w:r>
      <w:r>
        <w:rPr>
          <w:rFonts w:ascii="Times New Roman" w:hAnsi="Times New Roman" w:cs="Times New Roman"/>
          <w:bCs/>
          <w:color w:val="auto"/>
        </w:rPr>
        <w:t xml:space="preserve">the noncontract supplier must send </w:t>
      </w:r>
      <w:r w:rsidRPr="00A61587">
        <w:rPr>
          <w:rFonts w:ascii="Times New Roman" w:hAnsi="Times New Roman" w:cs="Times New Roman"/>
          <w:bCs/>
          <w:color w:val="auto"/>
        </w:rPr>
        <w:t xml:space="preserve">to the beneficiary </w:t>
      </w:r>
      <w:r w:rsidR="00C402F1">
        <w:rPr>
          <w:rFonts w:ascii="Times New Roman" w:hAnsi="Times New Roman" w:cs="Times New Roman"/>
          <w:bCs/>
          <w:color w:val="auto"/>
        </w:rPr>
        <w:t xml:space="preserve">if </w:t>
      </w:r>
      <w:r w:rsidR="007075EF">
        <w:rPr>
          <w:rFonts w:ascii="Times New Roman" w:hAnsi="Times New Roman" w:cs="Times New Roman"/>
          <w:bCs/>
          <w:color w:val="auto"/>
        </w:rPr>
        <w:t>they</w:t>
      </w:r>
      <w:r w:rsidR="00C402F1" w:rsidRPr="00A61587">
        <w:rPr>
          <w:rFonts w:ascii="Times New Roman" w:hAnsi="Times New Roman" w:cs="Times New Roman"/>
          <w:bCs/>
          <w:color w:val="auto"/>
        </w:rPr>
        <w:t xml:space="preserve"> elect to become a grand</w:t>
      </w:r>
      <w:r w:rsidR="00AD3547">
        <w:rPr>
          <w:rFonts w:ascii="Times New Roman" w:hAnsi="Times New Roman" w:cs="Times New Roman"/>
          <w:bCs/>
          <w:color w:val="auto"/>
        </w:rPr>
        <w:t>-</w:t>
      </w:r>
      <w:r w:rsidR="00C402F1" w:rsidRPr="00A61587">
        <w:rPr>
          <w:rFonts w:ascii="Times New Roman" w:hAnsi="Times New Roman" w:cs="Times New Roman"/>
          <w:bCs/>
          <w:color w:val="auto"/>
        </w:rPr>
        <w:t xml:space="preserve">fathered supplier </w:t>
      </w:r>
      <w:r w:rsidRPr="00A61587">
        <w:rPr>
          <w:rFonts w:ascii="Times New Roman" w:hAnsi="Times New Roman" w:cs="Times New Roman"/>
          <w:bCs/>
          <w:color w:val="auto"/>
        </w:rPr>
        <w:t xml:space="preserve">must meet the following requirements: </w:t>
      </w:r>
    </w:p>
    <w:p w14:paraId="6D6C4D20" w14:textId="59BEF7CD" w:rsidR="00A61587" w:rsidRPr="00A61587" w:rsidRDefault="00A61587" w:rsidP="00A61587">
      <w:pPr>
        <w:pStyle w:val="Default"/>
        <w:numPr>
          <w:ilvl w:val="0"/>
          <w:numId w:val="37"/>
        </w:numPr>
        <w:rPr>
          <w:rFonts w:ascii="Times New Roman" w:hAnsi="Times New Roman" w:cs="Times New Roman"/>
          <w:bCs/>
          <w:color w:val="auto"/>
        </w:rPr>
      </w:pPr>
      <w:r w:rsidRPr="00A61587">
        <w:rPr>
          <w:rFonts w:ascii="Times New Roman" w:hAnsi="Times New Roman" w:cs="Times New Roman"/>
          <w:bCs/>
          <w:color w:val="auto"/>
        </w:rPr>
        <w:t>It must be sent by the supplier to the beneficiary at least 30 business days before the start date of the implementation of the competitive bidding program in the</w:t>
      </w:r>
      <w:r w:rsidR="008C5EC9" w:rsidRPr="008C5EC9">
        <w:rPr>
          <w:rFonts w:ascii="Times New Roman" w:hAnsi="Times New Roman" w:cs="Times New Roman"/>
          <w:bCs/>
          <w:color w:val="auto"/>
        </w:rPr>
        <w:t xml:space="preserve"> </w:t>
      </w:r>
      <w:r w:rsidR="008C5EC9" w:rsidRPr="00FD52F2">
        <w:rPr>
          <w:rFonts w:ascii="Times New Roman" w:hAnsi="Times New Roman" w:cs="Times New Roman"/>
          <w:bCs/>
          <w:color w:val="auto"/>
        </w:rPr>
        <w:t>CBA</w:t>
      </w:r>
      <w:r w:rsidRPr="00A61587">
        <w:rPr>
          <w:rFonts w:ascii="Times New Roman" w:hAnsi="Times New Roman" w:cs="Times New Roman"/>
          <w:bCs/>
          <w:color w:val="auto"/>
        </w:rPr>
        <w:t xml:space="preserve"> in which the beneficiary resides. The 30-day notice is necessary to give the beneficiary sufficient time before the start of the competitive bidding program to consider whether or not to continue to use their current supplier. </w:t>
      </w:r>
    </w:p>
    <w:p w14:paraId="6ED7C247" w14:textId="77777777" w:rsidR="00A61587" w:rsidRPr="00A61587" w:rsidRDefault="00A61587" w:rsidP="00A61587">
      <w:pPr>
        <w:pStyle w:val="Default"/>
        <w:numPr>
          <w:ilvl w:val="0"/>
          <w:numId w:val="37"/>
        </w:numPr>
        <w:rPr>
          <w:rFonts w:ascii="Times New Roman" w:hAnsi="Times New Roman" w:cs="Times New Roman"/>
          <w:bCs/>
          <w:color w:val="auto"/>
        </w:rPr>
      </w:pPr>
      <w:r w:rsidRPr="00A61587">
        <w:rPr>
          <w:rFonts w:ascii="Times New Roman" w:hAnsi="Times New Roman" w:cs="Times New Roman"/>
          <w:bCs/>
          <w:color w:val="auto"/>
        </w:rPr>
        <w:t xml:space="preserve">It must identify the grandfathered items that the supplier is willing to continue to rent to the beneficiary. </w:t>
      </w:r>
    </w:p>
    <w:p w14:paraId="66450F28" w14:textId="77777777" w:rsidR="00A61587" w:rsidRPr="00A61587" w:rsidRDefault="00A61587" w:rsidP="00A61587">
      <w:pPr>
        <w:pStyle w:val="Default"/>
        <w:numPr>
          <w:ilvl w:val="0"/>
          <w:numId w:val="37"/>
        </w:numPr>
        <w:rPr>
          <w:rFonts w:ascii="Times New Roman" w:hAnsi="Times New Roman" w:cs="Times New Roman"/>
          <w:bCs/>
          <w:color w:val="auto"/>
        </w:rPr>
      </w:pPr>
      <w:r w:rsidRPr="00A61587">
        <w:rPr>
          <w:rFonts w:ascii="Times New Roman" w:hAnsi="Times New Roman" w:cs="Times New Roman"/>
          <w:bCs/>
          <w:color w:val="auto"/>
        </w:rPr>
        <w:t>It must be sent by letter or postcard.  The supplier must maintain documentation that the notification was sent including the date it was sent.</w:t>
      </w:r>
    </w:p>
    <w:p w14:paraId="02636AFE" w14:textId="77777777" w:rsidR="00A61587" w:rsidRPr="00A61587" w:rsidRDefault="00A61587" w:rsidP="00A61587">
      <w:pPr>
        <w:pStyle w:val="Default"/>
        <w:numPr>
          <w:ilvl w:val="0"/>
          <w:numId w:val="37"/>
        </w:numPr>
        <w:rPr>
          <w:rFonts w:ascii="Times New Roman" w:hAnsi="Times New Roman" w:cs="Times New Roman"/>
          <w:bCs/>
          <w:color w:val="auto"/>
        </w:rPr>
      </w:pPr>
      <w:r w:rsidRPr="00A61587">
        <w:rPr>
          <w:rFonts w:ascii="Times New Roman" w:hAnsi="Times New Roman" w:cs="Times New Roman"/>
          <w:bCs/>
          <w:color w:val="auto"/>
        </w:rPr>
        <w:t xml:space="preserve">It must state that the supplier is offering to continue to furnish certain rented DME, oxygen and oxygen equipment, and supplies that the supplier is currently furnishing to the beneficiary (i.e., before the start of the competitive bidding program) and is willing to continue to provide these items to the beneficiary for the remaining rental months. </w:t>
      </w:r>
    </w:p>
    <w:p w14:paraId="3B0C569C" w14:textId="77777777" w:rsidR="00A61587" w:rsidRPr="00A61587" w:rsidRDefault="00A61587" w:rsidP="00A61587">
      <w:pPr>
        <w:pStyle w:val="Default"/>
        <w:numPr>
          <w:ilvl w:val="0"/>
          <w:numId w:val="37"/>
        </w:numPr>
        <w:rPr>
          <w:rFonts w:ascii="Times New Roman" w:hAnsi="Times New Roman" w:cs="Times New Roman"/>
          <w:bCs/>
          <w:color w:val="auto"/>
        </w:rPr>
      </w:pPr>
      <w:r w:rsidRPr="00A61587">
        <w:rPr>
          <w:rFonts w:ascii="Times New Roman" w:hAnsi="Times New Roman" w:cs="Times New Roman"/>
          <w:bCs/>
          <w:color w:val="auto"/>
        </w:rPr>
        <w:lastRenderedPageBreak/>
        <w:t xml:space="preserve">It must state that the beneficiary has the choice to continue to receive a grandfathered item(s) from the grandfathered supplier or may elect to receive the item(s) from a contract supplier after the end of the last month for which a rental payment is made to the noncontract supplier. </w:t>
      </w:r>
    </w:p>
    <w:p w14:paraId="63636B53" w14:textId="77777777" w:rsidR="00A61587" w:rsidRPr="00A61587" w:rsidRDefault="00A61587" w:rsidP="00A61587">
      <w:pPr>
        <w:pStyle w:val="Default"/>
        <w:numPr>
          <w:ilvl w:val="0"/>
          <w:numId w:val="37"/>
        </w:numPr>
        <w:rPr>
          <w:rFonts w:ascii="Times New Roman" w:hAnsi="Times New Roman" w:cs="Times New Roman"/>
          <w:bCs/>
          <w:color w:val="auto"/>
        </w:rPr>
      </w:pPr>
      <w:r w:rsidRPr="00A61587">
        <w:rPr>
          <w:rFonts w:ascii="Times New Roman" w:hAnsi="Times New Roman" w:cs="Times New Roman"/>
          <w:bCs/>
          <w:color w:val="auto"/>
        </w:rPr>
        <w:t>It must provide the supplier’s telephone number and instruct the beneficiaries to call the supplier with any questions and to notify the supplier of his/her election.</w:t>
      </w:r>
    </w:p>
    <w:p w14:paraId="78193906" w14:textId="77777777" w:rsidR="00A61587" w:rsidRPr="00A61587" w:rsidRDefault="00A61587" w:rsidP="00A61587">
      <w:pPr>
        <w:pStyle w:val="Default"/>
        <w:numPr>
          <w:ilvl w:val="0"/>
          <w:numId w:val="37"/>
        </w:numPr>
        <w:rPr>
          <w:rFonts w:ascii="Times New Roman" w:hAnsi="Times New Roman" w:cs="Times New Roman"/>
          <w:bCs/>
          <w:color w:val="auto"/>
        </w:rPr>
      </w:pPr>
      <w:r w:rsidRPr="00A61587">
        <w:rPr>
          <w:rFonts w:ascii="Times New Roman" w:hAnsi="Times New Roman" w:cs="Times New Roman"/>
          <w:bCs/>
          <w:color w:val="auto"/>
        </w:rPr>
        <w:t xml:space="preserve">It must state that the beneficiary can obtain information about the competitive bidding program by calling 1-800-MEDICARE or accessing </w:t>
      </w:r>
      <w:hyperlink r:id="rId8" w:history="1">
        <w:r w:rsidRPr="00A61587">
          <w:rPr>
            <w:rFonts w:ascii="Times New Roman" w:hAnsi="Times New Roman" w:cs="Times New Roman"/>
            <w:bCs/>
            <w:color w:val="auto"/>
          </w:rPr>
          <w:t>www.medicare.gov</w:t>
        </w:r>
      </w:hyperlink>
      <w:r w:rsidRPr="00A61587">
        <w:rPr>
          <w:rFonts w:ascii="Times New Roman" w:hAnsi="Times New Roman" w:cs="Times New Roman"/>
          <w:bCs/>
          <w:color w:val="auto"/>
        </w:rPr>
        <w:t xml:space="preserve"> on the internet.</w:t>
      </w:r>
    </w:p>
    <w:p w14:paraId="7AAD8E44" w14:textId="77777777" w:rsidR="00A61587" w:rsidRDefault="00A61587" w:rsidP="00A61587">
      <w:pPr>
        <w:pStyle w:val="Default"/>
        <w:ind w:firstLine="360"/>
        <w:rPr>
          <w:rFonts w:ascii="Times New Roman" w:hAnsi="Times New Roman" w:cs="Times New Roman"/>
          <w:bCs/>
          <w:color w:val="auto"/>
        </w:rPr>
      </w:pPr>
    </w:p>
    <w:p w14:paraId="6F37C6E7" w14:textId="77777777" w:rsidR="00EA4F7D" w:rsidRDefault="00EA4F7D" w:rsidP="00851A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u w:val="single"/>
        </w:rPr>
      </w:pPr>
    </w:p>
    <w:p w14:paraId="49D68407" w14:textId="77777777" w:rsidR="00153283" w:rsidRPr="00153283" w:rsidRDefault="00153283" w:rsidP="007075EF">
      <w:pPr>
        <w:pStyle w:val="Default"/>
        <w:rPr>
          <w:rFonts w:ascii="Times New Roman" w:hAnsi="Times New Roman" w:cs="Times New Roman"/>
          <w:bCs/>
          <w:color w:val="auto"/>
        </w:rPr>
      </w:pPr>
      <w:r w:rsidRPr="00153283">
        <w:rPr>
          <w:rFonts w:ascii="Times New Roman" w:hAnsi="Times New Roman" w:cs="Times New Roman"/>
          <w:bCs/>
          <w:color w:val="auto"/>
        </w:rPr>
        <w:t xml:space="preserve">In the event that the beneficiary chooses not to continue with the current supplier or the noncontract supplier does not agree to become a grandfathered supplier then the supplier must provide </w:t>
      </w:r>
      <w:r w:rsidR="00FD52F2">
        <w:rPr>
          <w:rFonts w:ascii="Times New Roman" w:hAnsi="Times New Roman" w:cs="Times New Roman"/>
          <w:bCs/>
          <w:color w:val="auto"/>
        </w:rPr>
        <w:t>two</w:t>
      </w:r>
      <w:r w:rsidRPr="00153283">
        <w:rPr>
          <w:rFonts w:ascii="Times New Roman" w:hAnsi="Times New Roman" w:cs="Times New Roman"/>
          <w:bCs/>
          <w:color w:val="auto"/>
        </w:rPr>
        <w:t xml:space="preserve"> notices to the beneficiary regarding the pick</w:t>
      </w:r>
      <w:r w:rsidR="0046103B">
        <w:rPr>
          <w:rFonts w:ascii="Times New Roman" w:hAnsi="Times New Roman" w:cs="Times New Roman"/>
          <w:bCs/>
          <w:color w:val="auto"/>
        </w:rPr>
        <w:t>-</w:t>
      </w:r>
      <w:r w:rsidRPr="00153283">
        <w:rPr>
          <w:rFonts w:ascii="Times New Roman" w:hAnsi="Times New Roman" w:cs="Times New Roman"/>
          <w:bCs/>
          <w:color w:val="auto"/>
        </w:rPr>
        <w:t xml:space="preserve">up of equipment.  The </w:t>
      </w:r>
      <w:r>
        <w:rPr>
          <w:rFonts w:ascii="Times New Roman" w:hAnsi="Times New Roman" w:cs="Times New Roman"/>
          <w:bCs/>
          <w:color w:val="auto"/>
        </w:rPr>
        <w:t>two notices include a</w:t>
      </w:r>
      <w:r w:rsidRPr="00153283">
        <w:rPr>
          <w:rFonts w:ascii="Times New Roman" w:hAnsi="Times New Roman" w:cs="Times New Roman"/>
          <w:bCs/>
          <w:color w:val="auto"/>
        </w:rPr>
        <w:t xml:space="preserve"> 10-day and 2-day notice prior to picking up the equipment.</w:t>
      </w:r>
    </w:p>
    <w:p w14:paraId="4593E0FA" w14:textId="77777777" w:rsidR="00C402F1" w:rsidRDefault="00C402F1" w:rsidP="00851A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u w:val="single"/>
        </w:rPr>
      </w:pPr>
    </w:p>
    <w:p w14:paraId="552AA7E4" w14:textId="031A58A9" w:rsidR="004713E0" w:rsidRPr="00EA4F7D" w:rsidRDefault="004713E0" w:rsidP="004713E0">
      <w:pPr>
        <w:rPr>
          <w:bCs/>
          <w:sz w:val="24"/>
        </w:rPr>
      </w:pPr>
      <w:r>
        <w:rPr>
          <w:bCs/>
          <w:sz w:val="24"/>
        </w:rPr>
        <w:t xml:space="preserve">The November 25, 2009 regulation </w:t>
      </w:r>
      <w:r w:rsidRPr="00EA4F7D">
        <w:rPr>
          <w:bCs/>
          <w:sz w:val="24"/>
        </w:rPr>
        <w:t>also specifie</w:t>
      </w:r>
      <w:r>
        <w:rPr>
          <w:bCs/>
          <w:sz w:val="24"/>
        </w:rPr>
        <w:t>d</w:t>
      </w:r>
      <w:r w:rsidRPr="00EA4F7D">
        <w:rPr>
          <w:bCs/>
          <w:sz w:val="24"/>
        </w:rPr>
        <w:t xml:space="preserve"> that suppliers that wish to become a grandfathered supplier provide written notification </w:t>
      </w:r>
      <w:r>
        <w:rPr>
          <w:bCs/>
          <w:sz w:val="24"/>
        </w:rPr>
        <w:t xml:space="preserve">to CMS </w:t>
      </w:r>
      <w:r w:rsidRPr="00EA4F7D">
        <w:rPr>
          <w:bCs/>
          <w:sz w:val="24"/>
        </w:rPr>
        <w:t>of their choice to become a grandfathered supplier</w:t>
      </w:r>
      <w:r>
        <w:rPr>
          <w:bCs/>
          <w:sz w:val="24"/>
        </w:rPr>
        <w:t xml:space="preserve">.  However, we have determined that we can determine a supplier’s grandfathering election through claims data.  Therefore, to avoid unnecessary and duplicative reporting and to </w:t>
      </w:r>
      <w:r w:rsidR="00AD3547">
        <w:rPr>
          <w:bCs/>
          <w:sz w:val="24"/>
        </w:rPr>
        <w:t>reduce burden on suppliers, CMS</w:t>
      </w:r>
      <w:r>
        <w:rPr>
          <w:bCs/>
          <w:sz w:val="24"/>
        </w:rPr>
        <w:t xml:space="preserve"> no longer require</w:t>
      </w:r>
      <w:r w:rsidR="00263287">
        <w:rPr>
          <w:bCs/>
          <w:sz w:val="24"/>
        </w:rPr>
        <w:t>s</w:t>
      </w:r>
      <w:r>
        <w:rPr>
          <w:bCs/>
          <w:sz w:val="24"/>
        </w:rPr>
        <w:t xml:space="preserve"> </w:t>
      </w:r>
      <w:r w:rsidR="001F330B">
        <w:rPr>
          <w:bCs/>
          <w:sz w:val="24"/>
        </w:rPr>
        <w:t>non</w:t>
      </w:r>
      <w:r w:rsidRPr="00446C9D">
        <w:rPr>
          <w:bCs/>
          <w:sz w:val="24"/>
        </w:rPr>
        <w:t>contract suppliers to notify CMS of their intent to grandfa</w:t>
      </w:r>
      <w:r>
        <w:rPr>
          <w:bCs/>
          <w:sz w:val="24"/>
        </w:rPr>
        <w:t>ther.</w:t>
      </w:r>
      <w:r w:rsidRPr="00446C9D">
        <w:rPr>
          <w:bCs/>
          <w:sz w:val="24"/>
        </w:rPr>
        <w:t xml:space="preserve">  </w:t>
      </w:r>
    </w:p>
    <w:p w14:paraId="6077C432" w14:textId="77777777" w:rsidR="004713E0" w:rsidRDefault="004713E0" w:rsidP="00851A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u w:val="single"/>
        </w:rPr>
      </w:pPr>
    </w:p>
    <w:p w14:paraId="6DAEA15B" w14:textId="77777777" w:rsidR="00851A6C" w:rsidRDefault="00D54A35" w:rsidP="00851A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u w:val="single"/>
        </w:rPr>
        <w:t>A</w:t>
      </w:r>
      <w:r w:rsidR="008F1EB4">
        <w:rPr>
          <w:b/>
          <w:bCs/>
          <w:sz w:val="24"/>
          <w:u w:val="single"/>
        </w:rPr>
        <w:t>.</w:t>
      </w:r>
      <w:r w:rsidR="008F1EB4">
        <w:rPr>
          <w:b/>
          <w:bCs/>
          <w:sz w:val="24"/>
        </w:rPr>
        <w:tab/>
      </w:r>
      <w:r w:rsidR="008F1EB4">
        <w:rPr>
          <w:b/>
          <w:bCs/>
          <w:sz w:val="24"/>
          <w:u w:val="single"/>
        </w:rPr>
        <w:t>Justification</w:t>
      </w:r>
    </w:p>
    <w:p w14:paraId="5F710F2D" w14:textId="77777777" w:rsidR="00851A6C" w:rsidRDefault="00851A6C" w:rsidP="00851A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F601994" w14:textId="77777777" w:rsidR="008F1EB4" w:rsidRDefault="00851A6C" w:rsidP="00851A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1.   </w:t>
      </w:r>
      <w:r w:rsidR="008F1EB4">
        <w:rPr>
          <w:sz w:val="24"/>
          <w:u w:val="single"/>
        </w:rPr>
        <w:t>Need and Legal Basis</w:t>
      </w:r>
    </w:p>
    <w:p w14:paraId="74C1E947"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E1F3091" w14:textId="77777777" w:rsidR="005E1B3E" w:rsidRPr="00D72B0A" w:rsidRDefault="005E1B3E" w:rsidP="005E1B3E">
      <w:pPr>
        <w:widowControl/>
        <w:rPr>
          <w:bCs/>
          <w:sz w:val="24"/>
        </w:rPr>
      </w:pPr>
      <w:r w:rsidRPr="00D72B0A">
        <w:rPr>
          <w:bCs/>
          <w:sz w:val="24"/>
        </w:rPr>
        <w:t xml:space="preserve">Section 1847(a)(4) of </w:t>
      </w:r>
      <w:r>
        <w:rPr>
          <w:bCs/>
          <w:sz w:val="24"/>
        </w:rPr>
        <w:t xml:space="preserve">the Act </w:t>
      </w:r>
      <w:r w:rsidRPr="00D72B0A">
        <w:rPr>
          <w:bCs/>
          <w:sz w:val="24"/>
        </w:rPr>
        <w:t xml:space="preserve">requires that in the case of covered DME items for which payment is made on a rental basis under section 1834(a) of the Act, and in the case of oxygen for which payment is made under section 1834(a)(5) of the Act, the Secretary shall establish a grandfathering process by which covered items and supplies that were rented by suppliers before the </w:t>
      </w:r>
      <w:r>
        <w:rPr>
          <w:bCs/>
          <w:sz w:val="24"/>
        </w:rPr>
        <w:t>implementation</w:t>
      </w:r>
      <w:r w:rsidRPr="00D72B0A">
        <w:rPr>
          <w:bCs/>
          <w:sz w:val="24"/>
        </w:rPr>
        <w:t xml:space="preserve"> of a competitive bidding program may be continued.   </w:t>
      </w:r>
    </w:p>
    <w:p w14:paraId="1D971A8C" w14:textId="77777777" w:rsidR="005E1B3E" w:rsidRDefault="005E1B3E" w:rsidP="005E1B3E">
      <w:pPr>
        <w:rPr>
          <w:bCs/>
          <w:sz w:val="24"/>
        </w:rPr>
      </w:pPr>
    </w:p>
    <w:p w14:paraId="48E2279A" w14:textId="77777777" w:rsidR="005E1B3E" w:rsidRPr="00D72B0A" w:rsidRDefault="005E1B3E" w:rsidP="005E1B3E">
      <w:pPr>
        <w:rPr>
          <w:bCs/>
          <w:sz w:val="24"/>
        </w:rPr>
      </w:pPr>
      <w:r>
        <w:rPr>
          <w:bCs/>
          <w:sz w:val="24"/>
        </w:rPr>
        <w:t>W</w:t>
      </w:r>
      <w:r w:rsidRPr="00D72B0A">
        <w:rPr>
          <w:bCs/>
          <w:sz w:val="24"/>
        </w:rPr>
        <w:t xml:space="preserve">e established the grandfathering process </w:t>
      </w:r>
      <w:r>
        <w:rPr>
          <w:bCs/>
          <w:sz w:val="24"/>
        </w:rPr>
        <w:t>i</w:t>
      </w:r>
      <w:r w:rsidRPr="00D72B0A">
        <w:rPr>
          <w:bCs/>
          <w:sz w:val="24"/>
        </w:rPr>
        <w:t xml:space="preserve">n the April 10, 2007 final rule </w:t>
      </w:r>
      <w:r>
        <w:rPr>
          <w:bCs/>
          <w:sz w:val="24"/>
        </w:rPr>
        <w:t xml:space="preserve">for competitive bidding </w:t>
      </w:r>
      <w:r w:rsidRPr="00D72B0A">
        <w:rPr>
          <w:bCs/>
          <w:sz w:val="24"/>
        </w:rPr>
        <w:t>(72 FR 17992)</w:t>
      </w:r>
      <w:r>
        <w:rPr>
          <w:bCs/>
          <w:sz w:val="24"/>
        </w:rPr>
        <w:t xml:space="preserve"> f</w:t>
      </w:r>
      <w:r w:rsidRPr="00D72B0A">
        <w:rPr>
          <w:bCs/>
          <w:sz w:val="24"/>
        </w:rPr>
        <w:t xml:space="preserve">or rented DME and oxygen and oxygen equipment when these items are included under the Medicare DMEPOS Competitive Bidding Program.  This process only applies to suppliers that </w:t>
      </w:r>
      <w:r>
        <w:rPr>
          <w:bCs/>
          <w:sz w:val="24"/>
        </w:rPr>
        <w:t xml:space="preserve">rented </w:t>
      </w:r>
      <w:r w:rsidRPr="00D72B0A">
        <w:rPr>
          <w:bCs/>
          <w:sz w:val="24"/>
        </w:rPr>
        <w:t xml:space="preserve">DME and oxygen and oxygen equipment </w:t>
      </w:r>
      <w:r>
        <w:rPr>
          <w:bCs/>
          <w:sz w:val="24"/>
        </w:rPr>
        <w:t xml:space="preserve">to </w:t>
      </w:r>
      <w:r w:rsidRPr="00D72B0A">
        <w:rPr>
          <w:bCs/>
          <w:sz w:val="24"/>
        </w:rPr>
        <w:t xml:space="preserve">beneficiaries who maintain a permanent residence in a </w:t>
      </w:r>
      <w:r>
        <w:rPr>
          <w:bCs/>
          <w:sz w:val="24"/>
        </w:rPr>
        <w:t>CBA before the implementation of the competitive bidding program</w:t>
      </w:r>
      <w:r w:rsidRPr="00D72B0A">
        <w:rPr>
          <w:bCs/>
          <w:sz w:val="24"/>
        </w:rPr>
        <w:t xml:space="preserve">.  </w:t>
      </w:r>
    </w:p>
    <w:p w14:paraId="2716285F" w14:textId="77777777" w:rsidR="005E1B3E" w:rsidRDefault="005E1B3E" w:rsidP="005E1B3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8178DCB" w14:textId="77777777" w:rsidR="002D0FF3" w:rsidRDefault="002D0FF3" w:rsidP="005E1B3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 competitive bidding program will require some beneficiaries to change their suppliers. In order to avoid a beneficiary being without medically necessary equipment we felt it necessary to establish this notification process.</w:t>
      </w:r>
    </w:p>
    <w:p w14:paraId="5AA770F2" w14:textId="77777777" w:rsidR="002D0FF3" w:rsidRDefault="002D0FF3" w:rsidP="005E1B3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4A4E9B3"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2.</w:t>
      </w:r>
      <w:r>
        <w:rPr>
          <w:sz w:val="24"/>
        </w:rPr>
        <w:tab/>
      </w:r>
      <w:r>
        <w:rPr>
          <w:sz w:val="24"/>
          <w:u w:val="single"/>
        </w:rPr>
        <w:t>Information Users</w:t>
      </w:r>
    </w:p>
    <w:p w14:paraId="25A6668C" w14:textId="77777777" w:rsidR="00C402F1" w:rsidRPr="00D82CAD" w:rsidRDefault="00C402F1" w:rsidP="00D82CAD">
      <w:pPr>
        <w:widowControl/>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sz w:val="24"/>
        </w:rPr>
      </w:pPr>
    </w:p>
    <w:p w14:paraId="7BB8DF9F" w14:textId="77777777" w:rsidR="006933FC" w:rsidRPr="00893750" w:rsidRDefault="00893750" w:rsidP="00893750">
      <w:pPr>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Notification to Beneficiaries</w:t>
      </w:r>
    </w:p>
    <w:p w14:paraId="7E67E400" w14:textId="77777777" w:rsidR="00491FC0" w:rsidRDefault="00491FC0" w:rsidP="00491FC0">
      <w:pPr>
        <w:widowControl/>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sz w:val="24"/>
        </w:rPr>
      </w:pPr>
    </w:p>
    <w:p w14:paraId="72A2BCF9" w14:textId="77777777" w:rsidR="00491FC0" w:rsidRPr="00D82CAD" w:rsidRDefault="00491FC0" w:rsidP="00491FC0">
      <w:pPr>
        <w:widowControl/>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Th</w:t>
      </w:r>
      <w:r w:rsidRPr="00D82CAD">
        <w:rPr>
          <w:sz w:val="24"/>
        </w:rPr>
        <w:t xml:space="preserve">e </w:t>
      </w:r>
      <w:r w:rsidR="00C402F1">
        <w:rPr>
          <w:sz w:val="24"/>
        </w:rPr>
        <w:t xml:space="preserve">notification to the beneficiaries </w:t>
      </w:r>
      <w:r w:rsidR="002D0FF3">
        <w:rPr>
          <w:sz w:val="24"/>
        </w:rPr>
        <w:t xml:space="preserve">is a beneficiary protection that </w:t>
      </w:r>
      <w:r w:rsidR="00C402F1">
        <w:rPr>
          <w:sz w:val="24"/>
        </w:rPr>
        <w:t>will keep them informed of whether or not they can continue to rent an item from their current supplier or go to a contract supplier. The notification will also provide information to the beneficiary as to how to find a contract supplier in their CBA.  In the event that the beneficiary must go to a contract supplier, the notification will identify the procedure for the pick</w:t>
      </w:r>
      <w:r w:rsidR="0046103B">
        <w:rPr>
          <w:sz w:val="24"/>
        </w:rPr>
        <w:t>-</w:t>
      </w:r>
      <w:r w:rsidR="00C402F1">
        <w:rPr>
          <w:sz w:val="24"/>
        </w:rPr>
        <w:t>up of their current equipment and delivery of new equipment</w:t>
      </w:r>
      <w:r w:rsidRPr="00D82CAD">
        <w:rPr>
          <w:sz w:val="24"/>
        </w:rPr>
        <w:t xml:space="preserve">.  </w:t>
      </w:r>
    </w:p>
    <w:p w14:paraId="683888BA" w14:textId="77777777" w:rsidR="00FD52F2" w:rsidRDefault="00FD52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5BE2338A"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3.</w:t>
      </w:r>
      <w:r>
        <w:rPr>
          <w:sz w:val="24"/>
        </w:rPr>
        <w:tab/>
      </w:r>
      <w:r>
        <w:rPr>
          <w:sz w:val="24"/>
          <w:u w:val="single"/>
        </w:rPr>
        <w:t>Use of Information Technology</w:t>
      </w:r>
    </w:p>
    <w:p w14:paraId="0FE02B86" w14:textId="77777777" w:rsidR="00491FC0" w:rsidRDefault="00491FC0" w:rsidP="00B800DC">
      <w:pPr>
        <w:tabs>
          <w:tab w:val="left" w:pos="54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5F266DC" w14:textId="77777777" w:rsidR="00893750" w:rsidRPr="00893750" w:rsidRDefault="00893750" w:rsidP="00893750">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Notification to Beneficiaries</w:t>
      </w:r>
    </w:p>
    <w:p w14:paraId="5F60BBB8" w14:textId="77777777" w:rsidR="00A54057" w:rsidRDefault="00A5405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D0E6BB8" w14:textId="77777777" w:rsidR="000D6920" w:rsidRDefault="00A77421" w:rsidP="00EA5E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CMS will require that 100% of the 30-day notification be submitted to the beneficiary in hardcopy format. An electronic means for suppliers to provide th</w:t>
      </w:r>
      <w:r w:rsidR="007075EF">
        <w:rPr>
          <w:sz w:val="24"/>
        </w:rPr>
        <w:t>is</w:t>
      </w:r>
      <w:r>
        <w:rPr>
          <w:sz w:val="24"/>
        </w:rPr>
        <w:t xml:space="preserve"> information to the beneficiary is not feasible because it would be difficult to determine if the beneficiary would be able to receive the notification electronically.  </w:t>
      </w:r>
    </w:p>
    <w:p w14:paraId="4D473E92" w14:textId="77777777" w:rsidR="000D6920" w:rsidRDefault="000D6920" w:rsidP="00EA5E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13840E1" w14:textId="77777777" w:rsidR="00B800DC" w:rsidRDefault="000D6920" w:rsidP="00EA5E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CMS will require that 100% of the </w:t>
      </w:r>
      <w:r w:rsidR="00FD52F2">
        <w:rPr>
          <w:sz w:val="24"/>
        </w:rPr>
        <w:t>two</w:t>
      </w:r>
      <w:r w:rsidR="00B81EC4">
        <w:rPr>
          <w:sz w:val="24"/>
        </w:rPr>
        <w:t xml:space="preserve"> equipment pick up notices must be made </w:t>
      </w:r>
      <w:r>
        <w:rPr>
          <w:sz w:val="24"/>
        </w:rPr>
        <w:t xml:space="preserve">electronically </w:t>
      </w:r>
      <w:r w:rsidR="00B81EC4">
        <w:rPr>
          <w:sz w:val="24"/>
        </w:rPr>
        <w:t xml:space="preserve">via the telephone due to the short time between the call and the action of picking up equipment (10 days prior and then </w:t>
      </w:r>
      <w:r w:rsidR="00FD52F2">
        <w:rPr>
          <w:sz w:val="24"/>
        </w:rPr>
        <w:t>two</w:t>
      </w:r>
      <w:r w:rsidR="00B81EC4">
        <w:rPr>
          <w:sz w:val="24"/>
        </w:rPr>
        <w:t xml:space="preserve"> days prior).</w:t>
      </w:r>
    </w:p>
    <w:p w14:paraId="261DC969" w14:textId="77777777" w:rsidR="00B800DC" w:rsidRDefault="00B800DC" w:rsidP="00B800DC">
      <w:pPr>
        <w:tabs>
          <w:tab w:val="left" w:pos="54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FC49A88"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4.</w:t>
      </w:r>
      <w:r>
        <w:rPr>
          <w:sz w:val="24"/>
        </w:rPr>
        <w:tab/>
      </w:r>
      <w:r>
        <w:rPr>
          <w:sz w:val="24"/>
          <w:u w:val="single"/>
        </w:rPr>
        <w:t>Duplication of Efforts</w:t>
      </w:r>
    </w:p>
    <w:p w14:paraId="146947FF" w14:textId="77777777" w:rsidR="000D6920" w:rsidRDefault="000D6920" w:rsidP="003670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5FBCD64" w14:textId="77777777" w:rsidR="00CB430D" w:rsidRPr="00CB430D" w:rsidRDefault="00CB430D" w:rsidP="003670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B430D">
        <w:rPr>
          <w:sz w:val="24"/>
        </w:rPr>
        <w:t xml:space="preserve">This </w:t>
      </w:r>
      <w:r>
        <w:rPr>
          <w:sz w:val="24"/>
        </w:rPr>
        <w:t>information collection does not duplicate any other effort</w:t>
      </w:r>
      <w:r w:rsidR="00E52215">
        <w:rPr>
          <w:sz w:val="24"/>
        </w:rPr>
        <w:t>,</w:t>
      </w:r>
      <w:r>
        <w:rPr>
          <w:sz w:val="24"/>
        </w:rPr>
        <w:t xml:space="preserve"> and the information cannot be obtained from any other source.</w:t>
      </w:r>
    </w:p>
    <w:p w14:paraId="4803414E" w14:textId="77777777" w:rsidR="002D3734" w:rsidRDefault="002D373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3FED2E38"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5.</w:t>
      </w:r>
      <w:r>
        <w:rPr>
          <w:sz w:val="24"/>
        </w:rPr>
        <w:tab/>
      </w:r>
      <w:r>
        <w:rPr>
          <w:sz w:val="24"/>
          <w:u w:val="single"/>
        </w:rPr>
        <w:t>Small Businesses</w:t>
      </w:r>
    </w:p>
    <w:p w14:paraId="0912EEDE" w14:textId="77777777" w:rsidR="0040512A" w:rsidRDefault="0040512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p>
    <w:p w14:paraId="366269EE" w14:textId="77777777" w:rsidR="00CB430D" w:rsidRDefault="0061709E" w:rsidP="00A62E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w:t>
      </w:r>
      <w:r w:rsidR="000D6920">
        <w:rPr>
          <w:sz w:val="24"/>
        </w:rPr>
        <w:t>his information collection request will impact small businesses.  However, we have reduced the burden on these suppliers by requiring only those notifications that are essential to ensuring access to all beneficiaries. We have also minimized the burden by</w:t>
      </w:r>
      <w:r w:rsidR="001F330B">
        <w:rPr>
          <w:sz w:val="24"/>
        </w:rPr>
        <w:t xml:space="preserve"> offering sample forms for the written notification and by</w:t>
      </w:r>
      <w:r w:rsidR="000D6920">
        <w:rPr>
          <w:sz w:val="24"/>
        </w:rPr>
        <w:t xml:space="preserve"> requiring that two out of the three notices to the beneficiaries are made via telephone.  </w:t>
      </w:r>
    </w:p>
    <w:p w14:paraId="78869A89" w14:textId="77777777" w:rsidR="00B81EC4" w:rsidRPr="00B81EC4" w:rsidRDefault="00B81EC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5EE37A1F"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6.</w:t>
      </w:r>
      <w:r>
        <w:rPr>
          <w:sz w:val="24"/>
        </w:rPr>
        <w:tab/>
      </w:r>
      <w:r>
        <w:rPr>
          <w:sz w:val="24"/>
          <w:u w:val="single"/>
        </w:rPr>
        <w:t>Less Frequent Collection</w:t>
      </w:r>
    </w:p>
    <w:p w14:paraId="57D0D6F2" w14:textId="77777777" w:rsidR="00FD52F2" w:rsidRDefault="00FD52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1D2DA09" w14:textId="77777777" w:rsidR="00893750" w:rsidRPr="00893750" w:rsidRDefault="00893750" w:rsidP="00893750">
      <w:pPr>
        <w:numPr>
          <w:ilvl w:val="0"/>
          <w:numId w:val="1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Notification to Beneficiaries</w:t>
      </w:r>
    </w:p>
    <w:p w14:paraId="11032FC3" w14:textId="77777777" w:rsidR="00A62EE1" w:rsidRDefault="00A62EE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24C10ED" w14:textId="77777777" w:rsidR="00A62EE1" w:rsidRDefault="009208F3" w:rsidP="00A62EE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The notification to beneficiaries of the supplier’s choice </w:t>
      </w:r>
      <w:r w:rsidR="00083D34">
        <w:rPr>
          <w:sz w:val="24"/>
        </w:rPr>
        <w:t>of whether or not they will be</w:t>
      </w:r>
      <w:r w:rsidR="0061709E">
        <w:rPr>
          <w:sz w:val="24"/>
        </w:rPr>
        <w:t>come</w:t>
      </w:r>
      <w:r w:rsidR="00083D34">
        <w:rPr>
          <w:sz w:val="24"/>
        </w:rPr>
        <w:t xml:space="preserve"> a grandfathered supplier </w:t>
      </w:r>
      <w:r>
        <w:rPr>
          <w:sz w:val="24"/>
        </w:rPr>
        <w:t xml:space="preserve">is critical </w:t>
      </w:r>
      <w:r w:rsidR="00083D34">
        <w:rPr>
          <w:sz w:val="24"/>
        </w:rPr>
        <w:t>in</w:t>
      </w:r>
      <w:r>
        <w:rPr>
          <w:sz w:val="24"/>
        </w:rPr>
        <w:t xml:space="preserve"> keeping the b</w:t>
      </w:r>
      <w:r w:rsidR="00A62EE1">
        <w:rPr>
          <w:sz w:val="24"/>
        </w:rPr>
        <w:t xml:space="preserve">eneficiary </w:t>
      </w:r>
      <w:r>
        <w:rPr>
          <w:sz w:val="24"/>
        </w:rPr>
        <w:t>i</w:t>
      </w:r>
      <w:r w:rsidR="00E94EB6">
        <w:rPr>
          <w:sz w:val="24"/>
        </w:rPr>
        <w:t>nformed</w:t>
      </w:r>
      <w:r w:rsidR="00B3611A">
        <w:rPr>
          <w:sz w:val="24"/>
        </w:rPr>
        <w:t xml:space="preserve"> and ensuring continuity of care. </w:t>
      </w:r>
      <w:r w:rsidR="00A62EE1">
        <w:rPr>
          <w:sz w:val="24"/>
        </w:rPr>
        <w:t xml:space="preserve"> </w:t>
      </w:r>
      <w:r w:rsidR="00083D34">
        <w:rPr>
          <w:sz w:val="24"/>
        </w:rPr>
        <w:t>We are only requiring a one-time notification to beneficiaries if the supplier wishes to be</w:t>
      </w:r>
      <w:r w:rsidR="0061709E">
        <w:rPr>
          <w:sz w:val="24"/>
        </w:rPr>
        <w:t>come</w:t>
      </w:r>
      <w:r w:rsidR="00083D34">
        <w:rPr>
          <w:sz w:val="24"/>
        </w:rPr>
        <w:t xml:space="preserve"> a grandfathered supplier. If the supplier chooses not to be</w:t>
      </w:r>
      <w:r w:rsidR="0061709E">
        <w:rPr>
          <w:sz w:val="24"/>
        </w:rPr>
        <w:t>come</w:t>
      </w:r>
      <w:r w:rsidR="00083D34">
        <w:rPr>
          <w:sz w:val="24"/>
        </w:rPr>
        <w:t xml:space="preserve"> a grandfathered supplier or the beneficiary chooses not to continue renting the item from their current supplier</w:t>
      </w:r>
      <w:r w:rsidR="00FD52F2">
        <w:rPr>
          <w:sz w:val="24"/>
        </w:rPr>
        <w:t>,</w:t>
      </w:r>
      <w:r w:rsidR="00083D34">
        <w:rPr>
          <w:sz w:val="24"/>
        </w:rPr>
        <w:t xml:space="preserve"> the supplier will have to send </w:t>
      </w:r>
      <w:r w:rsidR="00FD52F2">
        <w:rPr>
          <w:sz w:val="24"/>
        </w:rPr>
        <w:t>one</w:t>
      </w:r>
      <w:r w:rsidR="00083D34">
        <w:rPr>
          <w:sz w:val="24"/>
        </w:rPr>
        <w:t xml:space="preserve"> letter to the beneficiary. They will also have to make at least </w:t>
      </w:r>
      <w:r w:rsidR="00FD52F2">
        <w:rPr>
          <w:sz w:val="24"/>
        </w:rPr>
        <w:t>two</w:t>
      </w:r>
      <w:r w:rsidR="00083D34">
        <w:rPr>
          <w:sz w:val="24"/>
        </w:rPr>
        <w:t xml:space="preserve"> phone calls to coordinate the pickup of old equipment and the delivery of new equipment so that the beneficiary will not have medically necessary equipment taken from their home unexpectedly.</w:t>
      </w:r>
    </w:p>
    <w:p w14:paraId="7B3230B5" w14:textId="77777777" w:rsidR="00A62EE1" w:rsidRPr="00A62EE1" w:rsidRDefault="00A62EE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F837D13"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7.</w:t>
      </w:r>
      <w:r>
        <w:rPr>
          <w:sz w:val="24"/>
        </w:rPr>
        <w:tab/>
      </w:r>
      <w:r>
        <w:rPr>
          <w:sz w:val="24"/>
          <w:u w:val="single"/>
        </w:rPr>
        <w:t>Special Circumstances</w:t>
      </w:r>
    </w:p>
    <w:p w14:paraId="02621C58"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8E618AA" w14:textId="77777777" w:rsidR="00234204" w:rsidRDefault="00E94EB6" w:rsidP="0023420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There are no special circumstances for the collection of this information.</w:t>
      </w:r>
    </w:p>
    <w:p w14:paraId="7E4CEA2D" w14:textId="77777777" w:rsidR="00E94EB6" w:rsidRDefault="00E94EB6" w:rsidP="0023420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7C0CEED"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DB119D">
        <w:rPr>
          <w:sz w:val="24"/>
        </w:rPr>
        <w:t>8.</w:t>
      </w:r>
      <w:r w:rsidRPr="00DB119D">
        <w:rPr>
          <w:sz w:val="24"/>
        </w:rPr>
        <w:tab/>
      </w:r>
      <w:r w:rsidRPr="00DB119D">
        <w:rPr>
          <w:sz w:val="24"/>
          <w:u w:val="single"/>
        </w:rPr>
        <w:t>Federal Register/Outside Consultation</w:t>
      </w:r>
    </w:p>
    <w:p w14:paraId="6ACF3E20" w14:textId="77777777" w:rsidR="00DB119D" w:rsidRDefault="00DB119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2B8F3E46" w14:textId="79E7525E" w:rsidR="00E41867" w:rsidRDefault="007C1F7A" w:rsidP="00E418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The 60-day Federal Register notice published </w:t>
      </w:r>
      <w:r w:rsidR="00237AEC">
        <w:rPr>
          <w:sz w:val="24"/>
        </w:rPr>
        <w:t xml:space="preserve">on </w:t>
      </w:r>
      <w:r w:rsidR="001023CD">
        <w:rPr>
          <w:sz w:val="24"/>
        </w:rPr>
        <w:t>April 1, 2016</w:t>
      </w:r>
      <w:r>
        <w:rPr>
          <w:sz w:val="24"/>
        </w:rPr>
        <w:t xml:space="preserve">.  </w:t>
      </w:r>
    </w:p>
    <w:p w14:paraId="3154C598" w14:textId="77777777" w:rsidR="00E52215" w:rsidRDefault="00E522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C2D1A9C" w14:textId="77777777" w:rsidR="008F1EB4" w:rsidRPr="00703B90"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703B90">
        <w:rPr>
          <w:sz w:val="24"/>
        </w:rPr>
        <w:t>9.</w:t>
      </w:r>
      <w:r w:rsidRPr="00703B90">
        <w:rPr>
          <w:sz w:val="24"/>
        </w:rPr>
        <w:tab/>
      </w:r>
      <w:r w:rsidRPr="00703B90">
        <w:rPr>
          <w:sz w:val="24"/>
          <w:u w:val="single"/>
        </w:rPr>
        <w:t>Payments/Gifts to Respondents</w:t>
      </w:r>
    </w:p>
    <w:p w14:paraId="0962839B" w14:textId="77777777" w:rsidR="001B1EEA" w:rsidRPr="00703B90" w:rsidRDefault="001B1EE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35F75E0" w14:textId="77777777" w:rsidR="008F1EB4" w:rsidRDefault="00E94EB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Noncontract suppliers who wish to be grandfathered suppliers</w:t>
      </w:r>
      <w:r w:rsidR="0079619C">
        <w:rPr>
          <w:sz w:val="24"/>
        </w:rPr>
        <w:t xml:space="preserve"> are </w:t>
      </w:r>
      <w:r w:rsidR="00B23F1E">
        <w:rPr>
          <w:sz w:val="24"/>
        </w:rPr>
        <w:t>required</w:t>
      </w:r>
      <w:r w:rsidR="0079619C">
        <w:rPr>
          <w:sz w:val="24"/>
        </w:rPr>
        <w:t xml:space="preserve"> to disclose this information.  We wil</w:t>
      </w:r>
      <w:r w:rsidR="00116664">
        <w:rPr>
          <w:sz w:val="24"/>
        </w:rPr>
        <w:t xml:space="preserve">l not be providing gifts or any payments (other than remuneration under the contract) </w:t>
      </w:r>
      <w:r w:rsidR="0079619C">
        <w:rPr>
          <w:sz w:val="24"/>
        </w:rPr>
        <w:t>to respondents.</w:t>
      </w:r>
    </w:p>
    <w:p w14:paraId="2039DE6E" w14:textId="77777777" w:rsidR="00E52215" w:rsidRDefault="00E522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716E372" w14:textId="77777777" w:rsidR="008F1EB4" w:rsidRPr="00703B90"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703B90">
        <w:rPr>
          <w:sz w:val="24"/>
        </w:rPr>
        <w:t>10.</w:t>
      </w:r>
      <w:r w:rsidRPr="00703B90">
        <w:rPr>
          <w:sz w:val="24"/>
        </w:rPr>
        <w:tab/>
      </w:r>
      <w:r w:rsidRPr="00703B90">
        <w:rPr>
          <w:sz w:val="24"/>
          <w:u w:val="single"/>
        </w:rPr>
        <w:t>Confidentiality</w:t>
      </w:r>
    </w:p>
    <w:p w14:paraId="7420832C" w14:textId="77777777" w:rsidR="001B1EEA" w:rsidRPr="00703B90" w:rsidRDefault="001B1EEA" w:rsidP="001B1EE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E552B5E" w14:textId="77777777" w:rsidR="00893750" w:rsidRPr="00893750" w:rsidRDefault="00893750" w:rsidP="00893750">
      <w:pPr>
        <w:numPr>
          <w:ilvl w:val="0"/>
          <w:numId w:val="1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Notification to Beneficiaries</w:t>
      </w:r>
    </w:p>
    <w:p w14:paraId="446D7CB4" w14:textId="77777777" w:rsidR="001B1EEA" w:rsidRDefault="001B1EEA" w:rsidP="001B1EEA">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755F123" w14:textId="77777777" w:rsidR="001B1EEA" w:rsidRDefault="001B1EEA" w:rsidP="001B1EEA">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There is no need for confidentiality of this information.  This disclosure does not contain proprietary information</w:t>
      </w:r>
      <w:r w:rsidR="00FD52F2">
        <w:rPr>
          <w:sz w:val="24"/>
        </w:rPr>
        <w:t>,</w:t>
      </w:r>
      <w:r>
        <w:rPr>
          <w:sz w:val="24"/>
        </w:rPr>
        <w:t xml:space="preserve"> but rather information that suppliers make accessible to the public. </w:t>
      </w:r>
    </w:p>
    <w:p w14:paraId="7710AD32" w14:textId="77777777" w:rsidR="00E52215" w:rsidRDefault="00E522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55D13D11"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11.</w:t>
      </w:r>
      <w:r>
        <w:rPr>
          <w:sz w:val="24"/>
        </w:rPr>
        <w:tab/>
      </w:r>
      <w:r>
        <w:rPr>
          <w:sz w:val="24"/>
          <w:u w:val="single"/>
        </w:rPr>
        <w:t>Sensitive Questions</w:t>
      </w:r>
    </w:p>
    <w:p w14:paraId="57209036"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7495C0F" w14:textId="77777777" w:rsidR="00375639" w:rsidRDefault="003756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There are no questions of a sensitive nature related to the collection </w:t>
      </w:r>
      <w:r w:rsidR="001B1EEA">
        <w:rPr>
          <w:sz w:val="24"/>
        </w:rPr>
        <w:t>of</w:t>
      </w:r>
      <w:r>
        <w:rPr>
          <w:sz w:val="24"/>
        </w:rPr>
        <w:t xml:space="preserve"> </w:t>
      </w:r>
      <w:r w:rsidR="001B5B4F">
        <w:rPr>
          <w:sz w:val="24"/>
        </w:rPr>
        <w:t xml:space="preserve">this </w:t>
      </w:r>
      <w:r>
        <w:rPr>
          <w:sz w:val="24"/>
        </w:rPr>
        <w:t>information.</w:t>
      </w:r>
    </w:p>
    <w:p w14:paraId="745D6943" w14:textId="77777777" w:rsidR="00FD52F2" w:rsidRDefault="00FD52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E9C29EC"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F7718C">
        <w:rPr>
          <w:sz w:val="24"/>
        </w:rPr>
        <w:t>12.</w:t>
      </w:r>
      <w:r w:rsidRPr="00F7718C">
        <w:rPr>
          <w:sz w:val="24"/>
        </w:rPr>
        <w:tab/>
      </w:r>
      <w:r w:rsidRPr="00F7718C">
        <w:rPr>
          <w:sz w:val="24"/>
          <w:u w:val="single"/>
        </w:rPr>
        <w:t>Burden Estimates (Hours &amp; Wages)</w:t>
      </w:r>
    </w:p>
    <w:p w14:paraId="080122DF" w14:textId="77777777" w:rsidR="00535767" w:rsidRDefault="0053576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24FAD951" w14:textId="46869F51" w:rsidR="00C451C4" w:rsidRPr="00C5715C" w:rsidRDefault="00E6018E" w:rsidP="00C451C4">
      <w:pPr>
        <w:pStyle w:val="CommentText"/>
        <w:rPr>
          <w:sz w:val="24"/>
          <w:szCs w:val="24"/>
        </w:rPr>
      </w:pPr>
      <w:r>
        <w:rPr>
          <w:sz w:val="24"/>
        </w:rPr>
        <w:t>B</w:t>
      </w:r>
      <w:r w:rsidRPr="008A204F">
        <w:rPr>
          <w:sz w:val="24"/>
        </w:rPr>
        <w:t xml:space="preserve">ased </w:t>
      </w:r>
      <w:r w:rsidR="00F7718C" w:rsidRPr="008A204F">
        <w:rPr>
          <w:sz w:val="24"/>
        </w:rPr>
        <w:t xml:space="preserve">on </w:t>
      </w:r>
      <w:r w:rsidR="001F330B">
        <w:rPr>
          <w:sz w:val="24"/>
        </w:rPr>
        <w:t xml:space="preserve">Medicare claims </w:t>
      </w:r>
      <w:r w:rsidR="00F7718C" w:rsidRPr="008A204F">
        <w:rPr>
          <w:sz w:val="24"/>
        </w:rPr>
        <w:t xml:space="preserve">data, there were approximately </w:t>
      </w:r>
      <w:r w:rsidR="00BB3ECF">
        <w:rPr>
          <w:sz w:val="24"/>
        </w:rPr>
        <w:t>2,</w:t>
      </w:r>
      <w:r w:rsidR="00BD4F5C">
        <w:rPr>
          <w:sz w:val="24"/>
        </w:rPr>
        <w:t>045</w:t>
      </w:r>
      <w:r w:rsidR="00F7718C" w:rsidRPr="008A204F">
        <w:rPr>
          <w:sz w:val="24"/>
        </w:rPr>
        <w:t xml:space="preserve"> suppliers</w:t>
      </w:r>
      <w:r w:rsidR="001714BA">
        <w:rPr>
          <w:sz w:val="24"/>
        </w:rPr>
        <w:t xml:space="preserve"> with </w:t>
      </w:r>
      <w:r w:rsidR="00A31885">
        <w:rPr>
          <w:sz w:val="24"/>
        </w:rPr>
        <w:t>3,</w:t>
      </w:r>
      <w:r w:rsidR="00BD4F5C">
        <w:rPr>
          <w:sz w:val="24"/>
        </w:rPr>
        <w:t>970</w:t>
      </w:r>
      <w:r w:rsidR="001714BA">
        <w:rPr>
          <w:sz w:val="24"/>
        </w:rPr>
        <w:t xml:space="preserve"> locations</w:t>
      </w:r>
      <w:r w:rsidR="00535767">
        <w:rPr>
          <w:sz w:val="24"/>
        </w:rPr>
        <w:t>, on average,</w:t>
      </w:r>
      <w:r w:rsidR="00F7718C" w:rsidRPr="008A204F">
        <w:rPr>
          <w:sz w:val="24"/>
        </w:rPr>
        <w:t xml:space="preserve"> that rented competitively bid</w:t>
      </w:r>
      <w:r w:rsidR="00F85851">
        <w:rPr>
          <w:sz w:val="24"/>
        </w:rPr>
        <w:t xml:space="preserve"> DME </w:t>
      </w:r>
      <w:r w:rsidR="00F7718C" w:rsidRPr="008A204F">
        <w:rPr>
          <w:sz w:val="24"/>
        </w:rPr>
        <w:t>items</w:t>
      </w:r>
      <w:r w:rsidR="00535767">
        <w:rPr>
          <w:sz w:val="24"/>
        </w:rPr>
        <w:t xml:space="preserve"> </w:t>
      </w:r>
      <w:r w:rsidR="00F85851">
        <w:rPr>
          <w:sz w:val="24"/>
        </w:rPr>
        <w:t>or oxygen</w:t>
      </w:r>
      <w:r w:rsidR="00F85851" w:rsidRPr="008A204F">
        <w:rPr>
          <w:sz w:val="24"/>
        </w:rPr>
        <w:t xml:space="preserve"> </w:t>
      </w:r>
      <w:r w:rsidR="00F7718C" w:rsidRPr="008A204F">
        <w:rPr>
          <w:sz w:val="24"/>
        </w:rPr>
        <w:t xml:space="preserve">at different points in time during </w:t>
      </w:r>
      <w:r w:rsidR="000C10AF">
        <w:rPr>
          <w:sz w:val="24"/>
        </w:rPr>
        <w:t xml:space="preserve">the </w:t>
      </w:r>
      <w:r w:rsidR="00753F29">
        <w:rPr>
          <w:sz w:val="24"/>
        </w:rPr>
        <w:t>Round 1 Re</w:t>
      </w:r>
      <w:r w:rsidR="00BD4F5C">
        <w:rPr>
          <w:sz w:val="24"/>
        </w:rPr>
        <w:t>compete</w:t>
      </w:r>
      <w:r w:rsidR="009D78BF">
        <w:rPr>
          <w:sz w:val="24"/>
        </w:rPr>
        <w:t>.</w:t>
      </w:r>
      <w:r w:rsidR="00F7718C" w:rsidRPr="008A204F">
        <w:rPr>
          <w:sz w:val="24"/>
        </w:rPr>
        <w:t xml:space="preserve"> </w:t>
      </w:r>
      <w:r w:rsidR="00C451C4">
        <w:rPr>
          <w:rStyle w:val="CommentReference"/>
        </w:rPr>
        <w:annotationRef/>
      </w:r>
      <w:r w:rsidR="00C451C4" w:rsidRPr="00C451C4">
        <w:rPr>
          <w:sz w:val="24"/>
          <w:szCs w:val="24"/>
        </w:rPr>
        <w:t xml:space="preserve"> Conducted </w:t>
      </w:r>
      <w:r w:rsidR="00C451C4">
        <w:rPr>
          <w:sz w:val="24"/>
          <w:szCs w:val="24"/>
        </w:rPr>
        <w:t>from</w:t>
      </w:r>
      <w:r w:rsidR="00C451C4" w:rsidRPr="00C5715C">
        <w:rPr>
          <w:sz w:val="24"/>
          <w:szCs w:val="24"/>
        </w:rPr>
        <w:t xml:space="preserve"> January 1, 2014 – December 31, 2016.</w:t>
      </w:r>
    </w:p>
    <w:p w14:paraId="466FCB4C" w14:textId="77777777" w:rsidR="00C451C4" w:rsidRDefault="00C451C4" w:rsidP="00C451C4">
      <w:pPr>
        <w:pStyle w:val="CommentText"/>
      </w:pPr>
    </w:p>
    <w:p w14:paraId="5094421B" w14:textId="25A73988" w:rsidR="00535767" w:rsidRPr="008A204F" w:rsidRDefault="001714BA" w:rsidP="008A204F">
      <w:pPr>
        <w:widowControl/>
        <w:rPr>
          <w:sz w:val="24"/>
        </w:rPr>
      </w:pPr>
      <w:r>
        <w:rPr>
          <w:sz w:val="24"/>
        </w:rPr>
        <w:t>We do</w:t>
      </w:r>
      <w:r w:rsidR="00FF13D2">
        <w:rPr>
          <w:sz w:val="24"/>
        </w:rPr>
        <w:t xml:space="preserve"> not</w:t>
      </w:r>
      <w:r>
        <w:rPr>
          <w:sz w:val="24"/>
        </w:rPr>
        <w:t xml:space="preserve"> know if suppliers will choose to use individual locations to prepare and issue beneficiary notifications from individual locations versus using a single location.  However, for purposes of this PRA request, we will </w:t>
      </w:r>
      <w:r w:rsidR="00845689">
        <w:rPr>
          <w:sz w:val="24"/>
        </w:rPr>
        <w:t xml:space="preserve">assume that suppliers will prepare and issue all notifications from one location.  </w:t>
      </w:r>
      <w:r w:rsidR="00F7718C" w:rsidRPr="008A204F">
        <w:rPr>
          <w:sz w:val="24"/>
        </w:rPr>
        <w:t xml:space="preserve">Therefore, we are using </w:t>
      </w:r>
      <w:r w:rsidRPr="008A204F">
        <w:rPr>
          <w:sz w:val="24"/>
        </w:rPr>
        <w:t>th</w:t>
      </w:r>
      <w:r>
        <w:rPr>
          <w:sz w:val="24"/>
        </w:rPr>
        <w:t>e</w:t>
      </w:r>
      <w:r w:rsidRPr="008A204F">
        <w:rPr>
          <w:sz w:val="24"/>
        </w:rPr>
        <w:t xml:space="preserve"> </w:t>
      </w:r>
      <w:r w:rsidR="00F7718C" w:rsidRPr="008A204F">
        <w:rPr>
          <w:sz w:val="24"/>
        </w:rPr>
        <w:t xml:space="preserve">number </w:t>
      </w:r>
      <w:r>
        <w:rPr>
          <w:sz w:val="24"/>
        </w:rPr>
        <w:t>of suppliers</w:t>
      </w:r>
      <w:r w:rsidR="002A18A2">
        <w:rPr>
          <w:sz w:val="24"/>
        </w:rPr>
        <w:t xml:space="preserve"> that rented items during the Round 1 Re</w:t>
      </w:r>
      <w:r w:rsidR="00AD3547">
        <w:rPr>
          <w:sz w:val="24"/>
        </w:rPr>
        <w:t>-</w:t>
      </w:r>
      <w:r w:rsidR="00BD4F5C">
        <w:rPr>
          <w:sz w:val="24"/>
        </w:rPr>
        <w:t>compete</w:t>
      </w:r>
      <w:r>
        <w:rPr>
          <w:sz w:val="24"/>
        </w:rPr>
        <w:t xml:space="preserve"> </w:t>
      </w:r>
      <w:r w:rsidR="00F7718C" w:rsidRPr="008A204F">
        <w:rPr>
          <w:sz w:val="24"/>
        </w:rPr>
        <w:t xml:space="preserve">to </w:t>
      </w:r>
      <w:r w:rsidR="000C10AF">
        <w:rPr>
          <w:sz w:val="24"/>
        </w:rPr>
        <w:t xml:space="preserve">estimate </w:t>
      </w:r>
      <w:r w:rsidR="00F7718C" w:rsidRPr="008A204F">
        <w:rPr>
          <w:sz w:val="24"/>
        </w:rPr>
        <w:t xml:space="preserve">how many suppliers would be renting a DME </w:t>
      </w:r>
      <w:r w:rsidR="000C10AF">
        <w:rPr>
          <w:sz w:val="24"/>
        </w:rPr>
        <w:t xml:space="preserve">or oxygen </w:t>
      </w:r>
      <w:r w:rsidR="00F7718C" w:rsidRPr="008A204F">
        <w:rPr>
          <w:sz w:val="24"/>
        </w:rPr>
        <w:t xml:space="preserve">competitively bid item at the start of </w:t>
      </w:r>
      <w:r w:rsidR="00BD4F5C">
        <w:rPr>
          <w:sz w:val="24"/>
        </w:rPr>
        <w:t xml:space="preserve"> </w:t>
      </w:r>
      <w:r w:rsidR="00E6018E">
        <w:rPr>
          <w:sz w:val="24"/>
        </w:rPr>
        <w:t xml:space="preserve">Round 1 </w:t>
      </w:r>
      <w:r w:rsidR="00BD4F5C">
        <w:rPr>
          <w:sz w:val="24"/>
        </w:rPr>
        <w:t xml:space="preserve">2017 </w:t>
      </w:r>
      <w:r w:rsidR="000326CD">
        <w:rPr>
          <w:sz w:val="24"/>
        </w:rPr>
        <w:t>.</w:t>
      </w:r>
      <w:r w:rsidR="00F7718C" w:rsidRPr="008A204F">
        <w:rPr>
          <w:sz w:val="24"/>
        </w:rPr>
        <w:t xml:space="preserve"> </w:t>
      </w:r>
      <w:r w:rsidR="008E7CD3">
        <w:rPr>
          <w:sz w:val="24"/>
        </w:rPr>
        <w:t xml:space="preserve">We do not know how many of these </w:t>
      </w:r>
      <w:r w:rsidR="00F7718C" w:rsidRPr="008A204F">
        <w:rPr>
          <w:sz w:val="24"/>
        </w:rPr>
        <w:t xml:space="preserve">suppliers will </w:t>
      </w:r>
      <w:r w:rsidR="008E7CD3">
        <w:rPr>
          <w:sz w:val="24"/>
        </w:rPr>
        <w:t xml:space="preserve">not </w:t>
      </w:r>
      <w:r w:rsidR="00F7718C" w:rsidRPr="008A204F">
        <w:rPr>
          <w:sz w:val="24"/>
        </w:rPr>
        <w:t>be</w:t>
      </w:r>
      <w:r w:rsidR="00E63D8F">
        <w:rPr>
          <w:sz w:val="24"/>
        </w:rPr>
        <w:t>come contract suppliers</w:t>
      </w:r>
      <w:r>
        <w:rPr>
          <w:sz w:val="24"/>
        </w:rPr>
        <w:t xml:space="preserve"> for particular product categorie</w:t>
      </w:r>
      <w:r w:rsidR="00845689">
        <w:rPr>
          <w:sz w:val="24"/>
        </w:rPr>
        <w:t>s</w:t>
      </w:r>
      <w:r w:rsidR="008E7CD3">
        <w:rPr>
          <w:sz w:val="24"/>
        </w:rPr>
        <w:t xml:space="preserve">; however, for purposes of this PRA request, </w:t>
      </w:r>
      <w:r w:rsidR="00F7718C" w:rsidRPr="008A204F">
        <w:rPr>
          <w:sz w:val="24"/>
        </w:rPr>
        <w:t>we estimate</w:t>
      </w:r>
      <w:r w:rsidR="00535767">
        <w:rPr>
          <w:sz w:val="24"/>
        </w:rPr>
        <w:t>,</w:t>
      </w:r>
      <w:r w:rsidR="00F7718C" w:rsidRPr="008A204F">
        <w:rPr>
          <w:sz w:val="24"/>
        </w:rPr>
        <w:t xml:space="preserve"> there </w:t>
      </w:r>
      <w:r w:rsidR="008E7CD3">
        <w:rPr>
          <w:sz w:val="24"/>
        </w:rPr>
        <w:t>could</w:t>
      </w:r>
      <w:r w:rsidR="008E7CD3" w:rsidRPr="008A204F">
        <w:rPr>
          <w:sz w:val="24"/>
        </w:rPr>
        <w:t xml:space="preserve"> </w:t>
      </w:r>
      <w:r w:rsidR="00F7718C" w:rsidRPr="008A204F">
        <w:rPr>
          <w:sz w:val="24"/>
        </w:rPr>
        <w:t xml:space="preserve">be </w:t>
      </w:r>
      <w:r w:rsidR="00E6018E">
        <w:rPr>
          <w:sz w:val="24"/>
        </w:rPr>
        <w:t>1,</w:t>
      </w:r>
      <w:r w:rsidR="006B7567">
        <w:rPr>
          <w:sz w:val="24"/>
        </w:rPr>
        <w:t>023</w:t>
      </w:r>
      <w:r w:rsidR="00F7718C" w:rsidRPr="008A204F">
        <w:rPr>
          <w:sz w:val="24"/>
        </w:rPr>
        <w:t xml:space="preserve"> suppliers that will not be awarded contract</w:t>
      </w:r>
      <w:r w:rsidR="00E63D8F">
        <w:rPr>
          <w:sz w:val="24"/>
        </w:rPr>
        <w:t>s</w:t>
      </w:r>
      <w:r w:rsidR="00845689">
        <w:rPr>
          <w:sz w:val="24"/>
        </w:rPr>
        <w:t xml:space="preserve"> for a product category that includes DME or oxygen that they are </w:t>
      </w:r>
      <w:r w:rsidR="00F7718C" w:rsidRPr="008A204F">
        <w:rPr>
          <w:sz w:val="24"/>
        </w:rPr>
        <w:t>renting</w:t>
      </w:r>
      <w:r w:rsidR="00845689">
        <w:rPr>
          <w:sz w:val="24"/>
        </w:rPr>
        <w:t xml:space="preserve"> to beneficiaries </w:t>
      </w:r>
      <w:r w:rsidR="00F7718C" w:rsidRPr="008A204F">
        <w:rPr>
          <w:sz w:val="24"/>
        </w:rPr>
        <w:t>at the time the program is implemented</w:t>
      </w:r>
      <w:r w:rsidR="007520E2">
        <w:rPr>
          <w:sz w:val="24"/>
        </w:rPr>
        <w:t xml:space="preserve"> and would therefore need to prepare and issue beneficiary notifications  </w:t>
      </w:r>
      <w:r w:rsidR="00F7718C" w:rsidRPr="008A204F">
        <w:rPr>
          <w:sz w:val="24"/>
        </w:rPr>
        <w:t xml:space="preserve">This represents approximately </w:t>
      </w:r>
      <w:r w:rsidR="00B42AE6">
        <w:rPr>
          <w:sz w:val="24"/>
        </w:rPr>
        <w:t>50</w:t>
      </w:r>
      <w:r w:rsidR="00F7718C" w:rsidRPr="008A204F">
        <w:rPr>
          <w:sz w:val="24"/>
        </w:rPr>
        <w:t xml:space="preserve">% of the total suppliers that rented </w:t>
      </w:r>
      <w:r w:rsidR="001F330B">
        <w:rPr>
          <w:sz w:val="24"/>
        </w:rPr>
        <w:t xml:space="preserve">oxygen or DME </w:t>
      </w:r>
      <w:r w:rsidR="00F7718C" w:rsidRPr="008A204F">
        <w:rPr>
          <w:sz w:val="24"/>
        </w:rPr>
        <w:t xml:space="preserve">competitively bid items </w:t>
      </w:r>
      <w:r w:rsidR="00B81659">
        <w:rPr>
          <w:sz w:val="24"/>
        </w:rPr>
        <w:t>during R</w:t>
      </w:r>
      <w:r w:rsidR="00A93224">
        <w:rPr>
          <w:sz w:val="24"/>
        </w:rPr>
        <w:t>ound</w:t>
      </w:r>
      <w:r w:rsidR="00E6018E">
        <w:rPr>
          <w:sz w:val="24"/>
        </w:rPr>
        <w:t>1 Re</w:t>
      </w:r>
      <w:r w:rsidR="006B7567">
        <w:rPr>
          <w:sz w:val="24"/>
        </w:rPr>
        <w:t>compete</w:t>
      </w:r>
      <w:r w:rsidR="00F7718C" w:rsidRPr="008A204F">
        <w:rPr>
          <w:sz w:val="24"/>
        </w:rPr>
        <w:t>.</w:t>
      </w:r>
      <w:r w:rsidR="00B81659">
        <w:rPr>
          <w:sz w:val="24"/>
        </w:rPr>
        <w:t xml:space="preserve"> </w:t>
      </w:r>
    </w:p>
    <w:p w14:paraId="62B8F380" w14:textId="4CF73FFF" w:rsidR="00F7718C" w:rsidRPr="008A204F" w:rsidRDefault="00DD7B6F" w:rsidP="008A204F">
      <w:pPr>
        <w:widowControl/>
        <w:rPr>
          <w:sz w:val="24"/>
        </w:rPr>
      </w:pPr>
      <w:r>
        <w:rPr>
          <w:sz w:val="24"/>
        </w:rPr>
        <w:t>O</w:t>
      </w:r>
      <w:r w:rsidR="00F7718C" w:rsidRPr="008A204F">
        <w:rPr>
          <w:sz w:val="24"/>
        </w:rPr>
        <w:t xml:space="preserve">f the </w:t>
      </w:r>
      <w:r w:rsidR="00E6018E">
        <w:rPr>
          <w:sz w:val="24"/>
        </w:rPr>
        <w:t>1,</w:t>
      </w:r>
      <w:r w:rsidR="00FC7636">
        <w:rPr>
          <w:sz w:val="24"/>
        </w:rPr>
        <w:t>023</w:t>
      </w:r>
      <w:r w:rsidR="00F7718C" w:rsidRPr="008A204F">
        <w:rPr>
          <w:sz w:val="24"/>
        </w:rPr>
        <w:t xml:space="preserve"> suppliers </w:t>
      </w:r>
      <w:r w:rsidR="007520E2">
        <w:rPr>
          <w:sz w:val="24"/>
        </w:rPr>
        <w:t xml:space="preserve">we estimate will need to prepare and issue beneficiary notifications for </w:t>
      </w:r>
      <w:r w:rsidR="001F330B">
        <w:rPr>
          <w:sz w:val="24"/>
        </w:rPr>
        <w:t xml:space="preserve"> </w:t>
      </w:r>
      <w:r w:rsidR="00B81659">
        <w:rPr>
          <w:sz w:val="24"/>
        </w:rPr>
        <w:t xml:space="preserve"> Round 1 </w:t>
      </w:r>
      <w:r w:rsidR="00FC7636">
        <w:rPr>
          <w:sz w:val="24"/>
        </w:rPr>
        <w:t>2017</w:t>
      </w:r>
      <w:r w:rsidR="00F7718C" w:rsidRPr="008A204F">
        <w:rPr>
          <w:sz w:val="24"/>
        </w:rPr>
        <w:t>, we expect</w:t>
      </w:r>
      <w:r w:rsidR="001F330B">
        <w:rPr>
          <w:sz w:val="24"/>
        </w:rPr>
        <w:t xml:space="preserve"> that</w:t>
      </w:r>
      <w:r w:rsidR="00F7718C" w:rsidRPr="008A204F">
        <w:rPr>
          <w:sz w:val="24"/>
        </w:rPr>
        <w:t xml:space="preserve"> 90% or </w:t>
      </w:r>
      <w:r w:rsidR="00FC7636">
        <w:rPr>
          <w:sz w:val="24"/>
        </w:rPr>
        <w:t>921</w:t>
      </w:r>
      <w:r w:rsidR="00F7718C" w:rsidRPr="008A204F">
        <w:rPr>
          <w:sz w:val="24"/>
        </w:rPr>
        <w:t xml:space="preserve"> will offer to be</w:t>
      </w:r>
      <w:r w:rsidR="000B0C7A">
        <w:rPr>
          <w:sz w:val="24"/>
        </w:rPr>
        <w:t>come</w:t>
      </w:r>
      <w:r w:rsidR="00F7718C" w:rsidRPr="008A204F">
        <w:rPr>
          <w:sz w:val="24"/>
        </w:rPr>
        <w:t xml:space="preserve"> grandfathered suppliers (.90 x 1,</w:t>
      </w:r>
      <w:r w:rsidR="00FC7636">
        <w:rPr>
          <w:sz w:val="24"/>
        </w:rPr>
        <w:t>023</w:t>
      </w:r>
      <w:r w:rsidR="00F7718C" w:rsidRPr="008A204F">
        <w:rPr>
          <w:sz w:val="24"/>
        </w:rPr>
        <w:t xml:space="preserve"> = </w:t>
      </w:r>
      <w:r w:rsidR="00FC7636">
        <w:rPr>
          <w:sz w:val="24"/>
        </w:rPr>
        <w:t>921</w:t>
      </w:r>
      <w:r w:rsidR="00F7718C" w:rsidRPr="008A204F">
        <w:rPr>
          <w:sz w:val="24"/>
        </w:rPr>
        <w:t>) and 10% or 1</w:t>
      </w:r>
      <w:r w:rsidR="00A03975">
        <w:rPr>
          <w:sz w:val="24"/>
        </w:rPr>
        <w:t>02</w:t>
      </w:r>
      <w:r w:rsidR="00F7718C" w:rsidRPr="008A204F">
        <w:rPr>
          <w:sz w:val="24"/>
        </w:rPr>
        <w:t xml:space="preserve"> (.10 x 1,</w:t>
      </w:r>
      <w:r w:rsidR="00A03975">
        <w:rPr>
          <w:sz w:val="24"/>
        </w:rPr>
        <w:t>023</w:t>
      </w:r>
      <w:r w:rsidR="00F7718C" w:rsidRPr="008A204F">
        <w:rPr>
          <w:sz w:val="24"/>
        </w:rPr>
        <w:t xml:space="preserve"> = 1</w:t>
      </w:r>
      <w:r w:rsidR="00A03975">
        <w:rPr>
          <w:sz w:val="24"/>
        </w:rPr>
        <w:t>02</w:t>
      </w:r>
      <w:r w:rsidR="00F7718C" w:rsidRPr="008A204F">
        <w:rPr>
          <w:sz w:val="24"/>
        </w:rPr>
        <w:t>) of the suppliers will choose not to grandfather.  As a result</w:t>
      </w:r>
      <w:r w:rsidR="00535767">
        <w:rPr>
          <w:sz w:val="24"/>
        </w:rPr>
        <w:t>,</w:t>
      </w:r>
      <w:r w:rsidR="00F7718C" w:rsidRPr="008A204F">
        <w:rPr>
          <w:sz w:val="24"/>
        </w:rPr>
        <w:t xml:space="preserve"> we assume most suppliers will not </w:t>
      </w:r>
      <w:r w:rsidR="00535767">
        <w:rPr>
          <w:sz w:val="24"/>
        </w:rPr>
        <w:t xml:space="preserve">be required </w:t>
      </w:r>
      <w:r w:rsidR="00F7718C" w:rsidRPr="008A204F">
        <w:rPr>
          <w:sz w:val="24"/>
        </w:rPr>
        <w:t>to pick up their items before the end of the full rental period.</w:t>
      </w:r>
    </w:p>
    <w:p w14:paraId="6C6272B4" w14:textId="77777777" w:rsidR="008A204F" w:rsidRDefault="008A204F" w:rsidP="008A204F">
      <w:pPr>
        <w:widowControl/>
        <w:rPr>
          <w:sz w:val="24"/>
        </w:rPr>
      </w:pPr>
    </w:p>
    <w:p w14:paraId="17D7513D" w14:textId="10A13FE4" w:rsidR="00F7718C" w:rsidRDefault="00F7718C" w:rsidP="008A204F">
      <w:pPr>
        <w:widowControl/>
        <w:rPr>
          <w:sz w:val="24"/>
        </w:rPr>
      </w:pPr>
      <w:r w:rsidRPr="008A204F">
        <w:rPr>
          <w:sz w:val="24"/>
        </w:rPr>
        <w:t>In addition</w:t>
      </w:r>
      <w:r w:rsidR="00535767">
        <w:rPr>
          <w:sz w:val="24"/>
        </w:rPr>
        <w:t>,</w:t>
      </w:r>
      <w:r w:rsidRPr="008A204F">
        <w:rPr>
          <w:sz w:val="24"/>
        </w:rPr>
        <w:t xml:space="preserve"> based on </w:t>
      </w:r>
      <w:r w:rsidR="007520E2">
        <w:rPr>
          <w:sz w:val="24"/>
        </w:rPr>
        <w:t xml:space="preserve"> </w:t>
      </w:r>
      <w:r w:rsidR="00BD3FA1">
        <w:rPr>
          <w:sz w:val="24"/>
        </w:rPr>
        <w:t>201</w:t>
      </w:r>
      <w:r w:rsidR="00A03975">
        <w:rPr>
          <w:sz w:val="24"/>
        </w:rPr>
        <w:t>5</w:t>
      </w:r>
      <w:r w:rsidR="007520E2">
        <w:rPr>
          <w:sz w:val="24"/>
        </w:rPr>
        <w:t xml:space="preserve"> </w:t>
      </w:r>
      <w:r w:rsidR="00424E1B">
        <w:rPr>
          <w:sz w:val="24"/>
        </w:rPr>
        <w:t xml:space="preserve">Medicare </w:t>
      </w:r>
      <w:r w:rsidR="007520E2">
        <w:rPr>
          <w:sz w:val="24"/>
        </w:rPr>
        <w:t xml:space="preserve">claims </w:t>
      </w:r>
      <w:r w:rsidRPr="008A204F">
        <w:rPr>
          <w:sz w:val="24"/>
        </w:rPr>
        <w:t xml:space="preserve">data, we estimate that there will be </w:t>
      </w:r>
      <w:r w:rsidR="00A03975">
        <w:rPr>
          <w:sz w:val="24"/>
        </w:rPr>
        <w:t>2</w:t>
      </w:r>
      <w:r w:rsidR="00722004">
        <w:rPr>
          <w:sz w:val="24"/>
        </w:rPr>
        <w:t>00</w:t>
      </w:r>
      <w:r w:rsidRPr="008A204F">
        <w:rPr>
          <w:sz w:val="24"/>
        </w:rPr>
        <w:t xml:space="preserve">,000 beneficiaries who reside in a CBA and </w:t>
      </w:r>
      <w:r w:rsidR="007520E2">
        <w:rPr>
          <w:sz w:val="24"/>
        </w:rPr>
        <w:t>will be</w:t>
      </w:r>
      <w:r w:rsidR="007520E2" w:rsidRPr="008A204F">
        <w:rPr>
          <w:sz w:val="24"/>
        </w:rPr>
        <w:t xml:space="preserve"> </w:t>
      </w:r>
      <w:r w:rsidRPr="008A204F">
        <w:rPr>
          <w:sz w:val="24"/>
        </w:rPr>
        <w:t xml:space="preserve">renting </w:t>
      </w:r>
      <w:r w:rsidR="00D3761A">
        <w:rPr>
          <w:sz w:val="24"/>
        </w:rPr>
        <w:t xml:space="preserve">DME and oxygen </w:t>
      </w:r>
      <w:r w:rsidRPr="008A204F">
        <w:rPr>
          <w:sz w:val="24"/>
        </w:rPr>
        <w:t xml:space="preserve">competitively bid items at the start of  </w:t>
      </w:r>
      <w:r w:rsidR="00722004">
        <w:rPr>
          <w:sz w:val="24"/>
        </w:rPr>
        <w:t>R</w:t>
      </w:r>
      <w:r w:rsidRPr="008A204F">
        <w:rPr>
          <w:sz w:val="24"/>
        </w:rPr>
        <w:t xml:space="preserve">ound 1 </w:t>
      </w:r>
      <w:r w:rsidR="00A03975">
        <w:rPr>
          <w:sz w:val="24"/>
        </w:rPr>
        <w:t>2017</w:t>
      </w:r>
      <w:r w:rsidRPr="008A204F">
        <w:rPr>
          <w:sz w:val="24"/>
        </w:rPr>
        <w:t xml:space="preserve">. Based on </w:t>
      </w:r>
      <w:r w:rsidR="00A30B15">
        <w:rPr>
          <w:sz w:val="24"/>
        </w:rPr>
        <w:t>Round 1 Re</w:t>
      </w:r>
      <w:r w:rsidR="00AD3547">
        <w:rPr>
          <w:sz w:val="24"/>
        </w:rPr>
        <w:t>-</w:t>
      </w:r>
      <w:r w:rsidR="00A03975">
        <w:rPr>
          <w:sz w:val="24"/>
        </w:rPr>
        <w:t>compete</w:t>
      </w:r>
      <w:r w:rsidR="007520E2">
        <w:rPr>
          <w:sz w:val="24"/>
        </w:rPr>
        <w:t xml:space="preserve"> experience</w:t>
      </w:r>
      <w:r w:rsidRPr="008A204F">
        <w:rPr>
          <w:sz w:val="24"/>
        </w:rPr>
        <w:t xml:space="preserve">, we estimate that there would be </w:t>
      </w:r>
      <w:r w:rsidR="00A03975">
        <w:rPr>
          <w:sz w:val="24"/>
        </w:rPr>
        <w:t>10</w:t>
      </w:r>
      <w:r w:rsidR="002601EC">
        <w:rPr>
          <w:sz w:val="24"/>
        </w:rPr>
        <w:t>0</w:t>
      </w:r>
      <w:r w:rsidR="00A30B15">
        <w:rPr>
          <w:sz w:val="24"/>
        </w:rPr>
        <w:t>,000</w:t>
      </w:r>
      <w:r w:rsidRPr="008A204F">
        <w:rPr>
          <w:sz w:val="24"/>
        </w:rPr>
        <w:t xml:space="preserve"> (</w:t>
      </w:r>
      <w:r w:rsidR="00A03975">
        <w:rPr>
          <w:sz w:val="24"/>
        </w:rPr>
        <w:t>2</w:t>
      </w:r>
      <w:r w:rsidR="00A30B15">
        <w:rPr>
          <w:sz w:val="24"/>
        </w:rPr>
        <w:t>00</w:t>
      </w:r>
      <w:r w:rsidRPr="008A204F">
        <w:rPr>
          <w:sz w:val="24"/>
        </w:rPr>
        <w:t>,000 x 0.</w:t>
      </w:r>
      <w:r w:rsidR="00912E64">
        <w:rPr>
          <w:sz w:val="24"/>
        </w:rPr>
        <w:t>50</w:t>
      </w:r>
      <w:r w:rsidRPr="008A204F">
        <w:rPr>
          <w:sz w:val="24"/>
        </w:rPr>
        <w:t xml:space="preserve"> = </w:t>
      </w:r>
      <w:r w:rsidR="00A03975">
        <w:rPr>
          <w:sz w:val="24"/>
        </w:rPr>
        <w:t>10</w:t>
      </w:r>
      <w:r w:rsidR="00912E64">
        <w:rPr>
          <w:sz w:val="24"/>
        </w:rPr>
        <w:t>0</w:t>
      </w:r>
      <w:r w:rsidR="00A30B15">
        <w:rPr>
          <w:sz w:val="24"/>
        </w:rPr>
        <w:t>,000</w:t>
      </w:r>
      <w:r w:rsidRPr="008A204F">
        <w:rPr>
          <w:sz w:val="24"/>
        </w:rPr>
        <w:t>) beneficiaries who would be renting items from a noncontract supplier</w:t>
      </w:r>
      <w:r w:rsidR="00535767">
        <w:rPr>
          <w:sz w:val="24"/>
        </w:rPr>
        <w:t xml:space="preserve"> during </w:t>
      </w:r>
      <w:r w:rsidR="00A30B15">
        <w:rPr>
          <w:sz w:val="24"/>
        </w:rPr>
        <w:t xml:space="preserve">Round 1 </w:t>
      </w:r>
      <w:r w:rsidR="00A03975">
        <w:rPr>
          <w:sz w:val="24"/>
        </w:rPr>
        <w:t>2017</w:t>
      </w:r>
      <w:r w:rsidRPr="008A204F">
        <w:rPr>
          <w:sz w:val="24"/>
        </w:rPr>
        <w:t xml:space="preserve">. </w:t>
      </w:r>
      <w:r w:rsidR="00D8179F" w:rsidRPr="00D8179F">
        <w:rPr>
          <w:sz w:val="24"/>
        </w:rPr>
        <w:t xml:space="preserve">Of the </w:t>
      </w:r>
      <w:r w:rsidR="00A03975">
        <w:rPr>
          <w:sz w:val="24"/>
        </w:rPr>
        <w:t>10</w:t>
      </w:r>
      <w:r w:rsidR="00912E64">
        <w:rPr>
          <w:sz w:val="24"/>
        </w:rPr>
        <w:t>0</w:t>
      </w:r>
      <w:r w:rsidR="00A30B15">
        <w:rPr>
          <w:sz w:val="24"/>
        </w:rPr>
        <w:t>,000</w:t>
      </w:r>
      <w:r w:rsidR="00D8179F" w:rsidRPr="00D8179F">
        <w:rPr>
          <w:sz w:val="24"/>
        </w:rPr>
        <w:t xml:space="preserve"> beneficiaries, we assume that approximately 100% of these beneficiaries will accept the offer to continue to rent competitively bid items from the noncontract supplier that offers to be a grandfathered supplier.</w:t>
      </w:r>
      <w:r w:rsidR="00A30B15">
        <w:rPr>
          <w:sz w:val="24"/>
        </w:rPr>
        <w:t xml:space="preserve"> </w:t>
      </w:r>
      <w:r w:rsidR="00D8179F" w:rsidRPr="00D8179F">
        <w:rPr>
          <w:sz w:val="24"/>
        </w:rPr>
        <w:t xml:space="preserve">We base the assumption that beneficiaries will choose to continue to rent from a grandfathered supplier if given the choice, because it offers convenience, assures continuity of care, and eliminates the need to have equipment taken from their home. </w:t>
      </w:r>
    </w:p>
    <w:p w14:paraId="3A544FBA" w14:textId="77777777" w:rsidR="00535767" w:rsidRPr="008A204F" w:rsidRDefault="00535767" w:rsidP="008A204F">
      <w:pPr>
        <w:widowControl/>
        <w:rPr>
          <w:sz w:val="24"/>
        </w:rPr>
      </w:pPr>
    </w:p>
    <w:p w14:paraId="4F835FBF" w14:textId="77777777" w:rsidR="00F7718C" w:rsidRPr="008A204F" w:rsidRDefault="00F7718C" w:rsidP="008A204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center"/>
        <w:rPr>
          <w:b/>
          <w:sz w:val="24"/>
        </w:rPr>
      </w:pPr>
      <w:r w:rsidRPr="008A204F">
        <w:rPr>
          <w:b/>
          <w:sz w:val="24"/>
        </w:rPr>
        <w:t xml:space="preserve">Approximate Number of Suppliers to Beneficiaries in </w:t>
      </w:r>
    </w:p>
    <w:p w14:paraId="7DFCFFAB" w14:textId="395A0412" w:rsidR="00F7718C" w:rsidRPr="008A204F" w:rsidRDefault="00F7718C" w:rsidP="008A204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center"/>
        <w:rPr>
          <w:b/>
          <w:sz w:val="24"/>
        </w:rPr>
      </w:pPr>
      <w:r w:rsidRPr="008A204F">
        <w:rPr>
          <w:b/>
          <w:sz w:val="24"/>
        </w:rPr>
        <w:t>Relation to the Grandfathering Process</w:t>
      </w:r>
      <w:r w:rsidR="00535767">
        <w:rPr>
          <w:b/>
          <w:sz w:val="24"/>
        </w:rPr>
        <w:t xml:space="preserve"> for Round 1 </w:t>
      </w:r>
      <w:r w:rsidR="00320CB2">
        <w:rPr>
          <w:b/>
          <w:sz w:val="24"/>
        </w:rPr>
        <w:t>2017</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5"/>
        <w:gridCol w:w="5035"/>
      </w:tblGrid>
      <w:tr w:rsidR="00F7718C" w:rsidRPr="008A204F" w14:paraId="299A6F63" w14:textId="77777777" w:rsidTr="007C1F7A">
        <w:tc>
          <w:tcPr>
            <w:tcW w:w="5000" w:type="pct"/>
            <w:gridSpan w:val="2"/>
          </w:tcPr>
          <w:p w14:paraId="6DE948CA" w14:textId="77777777" w:rsidR="00F7718C" w:rsidRPr="007C1F7A" w:rsidRDefault="00F7718C" w:rsidP="007C1F7A">
            <w:pPr>
              <w:widowControl/>
              <w:jc w:val="center"/>
              <w:rPr>
                <w:b/>
                <w:sz w:val="24"/>
              </w:rPr>
            </w:pPr>
            <w:r w:rsidRPr="007C1F7A">
              <w:rPr>
                <w:b/>
                <w:sz w:val="24"/>
              </w:rPr>
              <w:t>Suppliers that Choose to Grandfather</w:t>
            </w:r>
          </w:p>
        </w:tc>
      </w:tr>
      <w:tr w:rsidR="00F7718C" w:rsidRPr="008A204F" w14:paraId="63DE7E49" w14:textId="77777777" w:rsidTr="007C1F7A">
        <w:tc>
          <w:tcPr>
            <w:tcW w:w="2500" w:type="pct"/>
          </w:tcPr>
          <w:p w14:paraId="24AFE223" w14:textId="77777777" w:rsidR="00F7718C" w:rsidRPr="007C1F7A" w:rsidRDefault="00F7718C" w:rsidP="007C1F7A">
            <w:pPr>
              <w:widowControl/>
              <w:rPr>
                <w:b/>
                <w:sz w:val="24"/>
              </w:rPr>
            </w:pPr>
            <w:r w:rsidRPr="007C1F7A">
              <w:rPr>
                <w:b/>
                <w:sz w:val="24"/>
              </w:rPr>
              <w:t>Number of Suppliers</w:t>
            </w:r>
          </w:p>
        </w:tc>
        <w:tc>
          <w:tcPr>
            <w:tcW w:w="2500" w:type="pct"/>
          </w:tcPr>
          <w:p w14:paraId="0A8322E6" w14:textId="38E61008" w:rsidR="00F7718C" w:rsidRPr="007C1F7A" w:rsidRDefault="00320CB2" w:rsidP="007C1F7A">
            <w:pPr>
              <w:widowControl/>
              <w:rPr>
                <w:sz w:val="24"/>
              </w:rPr>
            </w:pPr>
            <w:r>
              <w:rPr>
                <w:sz w:val="24"/>
              </w:rPr>
              <w:t>921</w:t>
            </w:r>
          </w:p>
        </w:tc>
      </w:tr>
      <w:tr w:rsidR="00F7718C" w:rsidRPr="008A204F" w14:paraId="7E37E281" w14:textId="77777777" w:rsidTr="007C1F7A">
        <w:tc>
          <w:tcPr>
            <w:tcW w:w="2500" w:type="pct"/>
          </w:tcPr>
          <w:p w14:paraId="699FA137" w14:textId="77777777" w:rsidR="00F7718C" w:rsidRPr="007C1F7A" w:rsidRDefault="00F7718C" w:rsidP="007C1F7A">
            <w:pPr>
              <w:widowControl/>
              <w:rPr>
                <w:b/>
                <w:sz w:val="24"/>
              </w:rPr>
            </w:pPr>
            <w:r w:rsidRPr="007C1F7A">
              <w:rPr>
                <w:b/>
                <w:sz w:val="24"/>
              </w:rPr>
              <w:t>Number of Beneficiaries</w:t>
            </w:r>
          </w:p>
        </w:tc>
        <w:tc>
          <w:tcPr>
            <w:tcW w:w="2500" w:type="pct"/>
          </w:tcPr>
          <w:p w14:paraId="2BF8ADFF" w14:textId="6D01C84A" w:rsidR="00F7718C" w:rsidRPr="007C1F7A" w:rsidRDefault="00320CB2" w:rsidP="007C1F7A">
            <w:pPr>
              <w:widowControl/>
              <w:tabs>
                <w:tab w:val="right" w:pos="2214"/>
              </w:tabs>
              <w:rPr>
                <w:sz w:val="24"/>
              </w:rPr>
            </w:pPr>
            <w:r>
              <w:rPr>
                <w:sz w:val="24"/>
              </w:rPr>
              <w:t>10</w:t>
            </w:r>
            <w:r w:rsidR="009210A4">
              <w:rPr>
                <w:sz w:val="24"/>
              </w:rPr>
              <w:t>0</w:t>
            </w:r>
            <w:r w:rsidR="004B60F9">
              <w:rPr>
                <w:sz w:val="24"/>
              </w:rPr>
              <w:t>,000</w:t>
            </w:r>
            <w:r w:rsidR="00F7718C" w:rsidRPr="007C1F7A">
              <w:rPr>
                <w:sz w:val="24"/>
              </w:rPr>
              <w:tab/>
            </w:r>
          </w:p>
        </w:tc>
      </w:tr>
      <w:tr w:rsidR="00F7718C" w:rsidRPr="008A204F" w14:paraId="3B8B77E8" w14:textId="77777777" w:rsidTr="007C1F7A">
        <w:tc>
          <w:tcPr>
            <w:tcW w:w="5000" w:type="pct"/>
            <w:gridSpan w:val="2"/>
          </w:tcPr>
          <w:p w14:paraId="40F96B05" w14:textId="77777777" w:rsidR="00F7718C" w:rsidRPr="007C1F7A" w:rsidRDefault="00F7718C" w:rsidP="007C1F7A">
            <w:pPr>
              <w:widowControl/>
              <w:jc w:val="center"/>
              <w:rPr>
                <w:b/>
                <w:sz w:val="24"/>
              </w:rPr>
            </w:pPr>
            <w:r w:rsidRPr="007C1F7A">
              <w:rPr>
                <w:b/>
                <w:sz w:val="24"/>
              </w:rPr>
              <w:t>Suppliers that Choose Not to Grandfather</w:t>
            </w:r>
          </w:p>
        </w:tc>
      </w:tr>
      <w:tr w:rsidR="00F7718C" w:rsidRPr="008A204F" w14:paraId="27A6B4EE" w14:textId="77777777" w:rsidTr="007C1F7A">
        <w:tc>
          <w:tcPr>
            <w:tcW w:w="2500" w:type="pct"/>
          </w:tcPr>
          <w:p w14:paraId="7083D7FE" w14:textId="77777777" w:rsidR="00F7718C" w:rsidRPr="007C1F7A" w:rsidRDefault="00F7718C" w:rsidP="007C1F7A">
            <w:pPr>
              <w:widowControl/>
              <w:rPr>
                <w:b/>
                <w:sz w:val="24"/>
              </w:rPr>
            </w:pPr>
            <w:r w:rsidRPr="007C1F7A">
              <w:rPr>
                <w:b/>
                <w:sz w:val="24"/>
              </w:rPr>
              <w:t>Number of Suppliers</w:t>
            </w:r>
          </w:p>
        </w:tc>
        <w:tc>
          <w:tcPr>
            <w:tcW w:w="2500" w:type="pct"/>
          </w:tcPr>
          <w:p w14:paraId="0D022DE0" w14:textId="786DA05D" w:rsidR="00F7718C" w:rsidRPr="007C1F7A" w:rsidRDefault="00F7718C" w:rsidP="007C1F7A">
            <w:pPr>
              <w:widowControl/>
              <w:rPr>
                <w:sz w:val="24"/>
              </w:rPr>
            </w:pPr>
            <w:r w:rsidRPr="007C1F7A">
              <w:rPr>
                <w:sz w:val="24"/>
              </w:rPr>
              <w:t>1</w:t>
            </w:r>
            <w:r w:rsidR="00320CB2">
              <w:rPr>
                <w:sz w:val="24"/>
              </w:rPr>
              <w:t>02</w:t>
            </w:r>
          </w:p>
        </w:tc>
      </w:tr>
      <w:tr w:rsidR="00F7718C" w:rsidRPr="008A204F" w14:paraId="123F1F50" w14:textId="77777777" w:rsidTr="007C1F7A">
        <w:tc>
          <w:tcPr>
            <w:tcW w:w="2500" w:type="pct"/>
          </w:tcPr>
          <w:p w14:paraId="4177DE09" w14:textId="77777777" w:rsidR="00F7718C" w:rsidRPr="005B1E66" w:rsidRDefault="00F7718C" w:rsidP="007C1F7A">
            <w:pPr>
              <w:widowControl/>
              <w:rPr>
                <w:b/>
                <w:sz w:val="24"/>
              </w:rPr>
            </w:pPr>
            <w:r w:rsidRPr="005B1E66">
              <w:rPr>
                <w:b/>
                <w:sz w:val="24"/>
              </w:rPr>
              <w:t>Number of Beneficiaries</w:t>
            </w:r>
          </w:p>
        </w:tc>
        <w:tc>
          <w:tcPr>
            <w:tcW w:w="2500" w:type="pct"/>
          </w:tcPr>
          <w:p w14:paraId="2E8DD55D" w14:textId="20ADF5C4" w:rsidR="00F7718C" w:rsidRPr="005B1E66" w:rsidRDefault="00320CB2" w:rsidP="007C1F7A">
            <w:pPr>
              <w:widowControl/>
              <w:rPr>
                <w:sz w:val="24"/>
              </w:rPr>
            </w:pPr>
            <w:r>
              <w:rPr>
                <w:sz w:val="24"/>
              </w:rPr>
              <w:t>9,996</w:t>
            </w:r>
          </w:p>
        </w:tc>
      </w:tr>
    </w:tbl>
    <w:p w14:paraId="1AA10154" w14:textId="77777777" w:rsidR="00D8179F" w:rsidRDefault="00D817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1CADED7" w14:textId="77777777" w:rsidR="005B1E66" w:rsidRDefault="005B1E6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ED3CF65" w14:textId="77777777" w:rsidR="00D8179F" w:rsidRDefault="00143449" w:rsidP="00D8179F">
      <w:pPr>
        <w:pStyle w:val="ListParagraph"/>
        <w:widowControl/>
        <w:numPr>
          <w:ilvl w:val="0"/>
          <w:numId w:val="41"/>
        </w:numPr>
        <w:spacing w:line="480" w:lineRule="auto"/>
        <w:rPr>
          <w:b/>
          <w:sz w:val="24"/>
          <w:u w:val="single"/>
        </w:rPr>
      </w:pPr>
      <w:r w:rsidRPr="00143449">
        <w:rPr>
          <w:b/>
          <w:sz w:val="24"/>
          <w:u w:val="single"/>
        </w:rPr>
        <w:t>Notification Requirement</w:t>
      </w:r>
      <w:r w:rsidR="00F74953">
        <w:rPr>
          <w:b/>
          <w:sz w:val="24"/>
          <w:u w:val="single"/>
        </w:rPr>
        <w:t>s</w:t>
      </w:r>
      <w:r w:rsidRPr="00143449">
        <w:rPr>
          <w:b/>
          <w:sz w:val="24"/>
          <w:u w:val="single"/>
        </w:rPr>
        <w:t xml:space="preserve"> for Suppliers that Choose </w:t>
      </w:r>
      <w:r w:rsidR="008A204F">
        <w:rPr>
          <w:b/>
          <w:sz w:val="24"/>
          <w:u w:val="single"/>
        </w:rPr>
        <w:t xml:space="preserve">to </w:t>
      </w:r>
      <w:r w:rsidRPr="00143449">
        <w:rPr>
          <w:b/>
          <w:sz w:val="24"/>
          <w:u w:val="single"/>
        </w:rPr>
        <w:t>Grandfather</w:t>
      </w:r>
    </w:p>
    <w:p w14:paraId="4EC8481B" w14:textId="77777777" w:rsidR="00143449" w:rsidRPr="00D674BA" w:rsidRDefault="00143449" w:rsidP="00D674BA">
      <w:pPr>
        <w:pStyle w:val="ListParagraph"/>
        <w:widowControl/>
        <w:numPr>
          <w:ilvl w:val="0"/>
          <w:numId w:val="44"/>
        </w:numPr>
        <w:ind w:left="1080"/>
        <w:rPr>
          <w:b/>
          <w:sz w:val="24"/>
        </w:rPr>
      </w:pPr>
      <w:r w:rsidRPr="00143449">
        <w:rPr>
          <w:sz w:val="24"/>
        </w:rPr>
        <w:t xml:space="preserve">  </w:t>
      </w:r>
      <w:r w:rsidRPr="00D674BA">
        <w:rPr>
          <w:b/>
          <w:sz w:val="24"/>
        </w:rPr>
        <w:t>Notification to the Beneficiary</w:t>
      </w:r>
    </w:p>
    <w:p w14:paraId="74831BBB" w14:textId="77777777" w:rsidR="008A204F" w:rsidRDefault="008A204F" w:rsidP="008A204F">
      <w:pPr>
        <w:widowControl/>
        <w:rPr>
          <w:sz w:val="24"/>
        </w:rPr>
      </w:pPr>
    </w:p>
    <w:p w14:paraId="64CBD2A9" w14:textId="77777777" w:rsidR="00E37CFD" w:rsidRDefault="00970757" w:rsidP="008A204F">
      <w:pPr>
        <w:widowControl/>
        <w:rPr>
          <w:sz w:val="24"/>
        </w:rPr>
      </w:pPr>
      <w:r>
        <w:rPr>
          <w:sz w:val="24"/>
        </w:rPr>
        <w:t>To help reduce burden</w:t>
      </w:r>
      <w:r w:rsidR="00E37CFD">
        <w:rPr>
          <w:sz w:val="24"/>
        </w:rPr>
        <w:t xml:space="preserve"> on suppliers that are required to </w:t>
      </w:r>
      <w:r w:rsidR="009A101A">
        <w:rPr>
          <w:sz w:val="24"/>
        </w:rPr>
        <w:t xml:space="preserve">develop and </w:t>
      </w:r>
      <w:r w:rsidR="00E37CFD">
        <w:rPr>
          <w:sz w:val="24"/>
        </w:rPr>
        <w:t xml:space="preserve">send notifications to </w:t>
      </w:r>
      <w:r w:rsidR="00C00ED4">
        <w:rPr>
          <w:sz w:val="24"/>
        </w:rPr>
        <w:t>beneficiaries,</w:t>
      </w:r>
      <w:r>
        <w:rPr>
          <w:sz w:val="24"/>
        </w:rPr>
        <w:t xml:space="preserve"> we will make sample form</w:t>
      </w:r>
      <w:r w:rsidR="00E37CFD">
        <w:rPr>
          <w:sz w:val="24"/>
        </w:rPr>
        <w:t>s</w:t>
      </w:r>
      <w:r>
        <w:rPr>
          <w:sz w:val="24"/>
        </w:rPr>
        <w:t xml:space="preserve"> available on the Competitive Bidding Implementation Contractor (CBIC) website.  </w:t>
      </w:r>
    </w:p>
    <w:p w14:paraId="7A5D95CD" w14:textId="77777777" w:rsidR="00E37CFD" w:rsidRDefault="00E37CFD" w:rsidP="008A204F">
      <w:pPr>
        <w:widowControl/>
        <w:rPr>
          <w:sz w:val="24"/>
        </w:rPr>
      </w:pPr>
    </w:p>
    <w:p w14:paraId="7348D5B3" w14:textId="1CC6E7B7" w:rsidR="00D8179F" w:rsidRDefault="00D8179F" w:rsidP="008A204F">
      <w:pPr>
        <w:widowControl/>
        <w:rPr>
          <w:sz w:val="24"/>
        </w:rPr>
      </w:pPr>
      <w:r>
        <w:rPr>
          <w:sz w:val="24"/>
        </w:rPr>
        <w:t>The following chart summarizes the estimated time and cost for a supplier that chooses to grandfather to develop and send the notification to beneficiaries</w:t>
      </w:r>
      <w:r w:rsidR="00AE3BD8">
        <w:rPr>
          <w:sz w:val="24"/>
        </w:rPr>
        <w:t xml:space="preserve"> for </w:t>
      </w:r>
      <w:r w:rsidR="00A93224">
        <w:rPr>
          <w:sz w:val="24"/>
        </w:rPr>
        <w:t xml:space="preserve">Round 1 </w:t>
      </w:r>
      <w:r w:rsidR="009D78BF">
        <w:rPr>
          <w:sz w:val="24"/>
        </w:rPr>
        <w:t>2017</w:t>
      </w:r>
      <w:r>
        <w:rPr>
          <w:sz w:val="24"/>
        </w:rPr>
        <w:t>.</w:t>
      </w:r>
    </w:p>
    <w:p w14:paraId="4C3B3A86" w14:textId="77777777" w:rsidR="005A725F" w:rsidRDefault="005A725F" w:rsidP="008A204F">
      <w:pPr>
        <w:widowControl/>
        <w:rPr>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1672"/>
        <w:gridCol w:w="1508"/>
        <w:gridCol w:w="2632"/>
        <w:gridCol w:w="2465"/>
      </w:tblGrid>
      <w:tr w:rsidR="005A725F" w14:paraId="09E761E4" w14:textId="77777777" w:rsidTr="009D78BF">
        <w:tc>
          <w:tcPr>
            <w:tcW w:w="890" w:type="pct"/>
          </w:tcPr>
          <w:p w14:paraId="17410252" w14:textId="77777777" w:rsidR="005A725F" w:rsidRPr="007C1F7A" w:rsidRDefault="005A725F" w:rsidP="007C1F7A">
            <w:pPr>
              <w:widowControl/>
              <w:jc w:val="center"/>
              <w:rPr>
                <w:b/>
                <w:sz w:val="24"/>
              </w:rPr>
            </w:pPr>
            <w:r w:rsidRPr="007C1F7A">
              <w:rPr>
                <w:b/>
                <w:sz w:val="24"/>
              </w:rPr>
              <w:t>Task</w:t>
            </w:r>
          </w:p>
        </w:tc>
        <w:tc>
          <w:tcPr>
            <w:tcW w:w="830" w:type="pct"/>
          </w:tcPr>
          <w:p w14:paraId="3402BCE3" w14:textId="77777777" w:rsidR="005A725F" w:rsidRPr="007C1F7A" w:rsidRDefault="005A725F" w:rsidP="007C1F7A">
            <w:pPr>
              <w:widowControl/>
              <w:jc w:val="center"/>
              <w:rPr>
                <w:b/>
                <w:sz w:val="24"/>
              </w:rPr>
            </w:pPr>
            <w:r w:rsidRPr="007C1F7A">
              <w:rPr>
                <w:b/>
                <w:sz w:val="24"/>
              </w:rPr>
              <w:t>Number of Hours to Complete Task</w:t>
            </w:r>
          </w:p>
        </w:tc>
        <w:tc>
          <w:tcPr>
            <w:tcW w:w="749" w:type="pct"/>
          </w:tcPr>
          <w:p w14:paraId="681513AC" w14:textId="77777777" w:rsidR="005A725F" w:rsidRPr="007C1F7A" w:rsidRDefault="005A725F" w:rsidP="007C1F7A">
            <w:pPr>
              <w:widowControl/>
              <w:jc w:val="center"/>
              <w:rPr>
                <w:b/>
                <w:sz w:val="24"/>
              </w:rPr>
            </w:pPr>
            <w:r w:rsidRPr="007C1F7A">
              <w:rPr>
                <w:b/>
                <w:sz w:val="24"/>
              </w:rPr>
              <w:t>Level of Staff to Complete Task</w:t>
            </w:r>
          </w:p>
        </w:tc>
        <w:tc>
          <w:tcPr>
            <w:tcW w:w="1307" w:type="pct"/>
          </w:tcPr>
          <w:p w14:paraId="0BA0AB11" w14:textId="77777777" w:rsidR="005A725F" w:rsidRPr="007C1F7A" w:rsidRDefault="005A725F" w:rsidP="007C1F7A">
            <w:pPr>
              <w:widowControl/>
              <w:jc w:val="center"/>
              <w:rPr>
                <w:b/>
                <w:sz w:val="24"/>
              </w:rPr>
            </w:pPr>
            <w:r w:rsidRPr="007C1F7A">
              <w:rPr>
                <w:b/>
                <w:sz w:val="24"/>
              </w:rPr>
              <w:t>Hourly Wage</w:t>
            </w:r>
          </w:p>
        </w:tc>
        <w:tc>
          <w:tcPr>
            <w:tcW w:w="1224" w:type="pct"/>
          </w:tcPr>
          <w:p w14:paraId="2DCF6F23" w14:textId="77777777" w:rsidR="005A725F" w:rsidRPr="007C1F7A" w:rsidRDefault="005A725F" w:rsidP="007C1F7A">
            <w:pPr>
              <w:widowControl/>
              <w:jc w:val="center"/>
              <w:rPr>
                <w:b/>
                <w:sz w:val="24"/>
              </w:rPr>
            </w:pPr>
            <w:r w:rsidRPr="007C1F7A">
              <w:rPr>
                <w:b/>
                <w:sz w:val="24"/>
              </w:rPr>
              <w:t>Cost to the Supplier to Perform Task</w:t>
            </w:r>
          </w:p>
        </w:tc>
      </w:tr>
      <w:tr w:rsidR="005A725F" w14:paraId="22C382C2" w14:textId="77777777" w:rsidTr="009D78BF">
        <w:tc>
          <w:tcPr>
            <w:tcW w:w="890" w:type="pct"/>
          </w:tcPr>
          <w:p w14:paraId="0CA328F2" w14:textId="77777777" w:rsidR="005A725F" w:rsidRPr="007C1F7A" w:rsidRDefault="005A725F" w:rsidP="007C1F7A">
            <w:pPr>
              <w:widowControl/>
              <w:rPr>
                <w:sz w:val="24"/>
              </w:rPr>
            </w:pPr>
            <w:r w:rsidRPr="007C1F7A">
              <w:rPr>
                <w:sz w:val="24"/>
              </w:rPr>
              <w:t>Develop the 30-day notification to Beneficiary</w:t>
            </w:r>
          </w:p>
        </w:tc>
        <w:tc>
          <w:tcPr>
            <w:tcW w:w="830" w:type="pct"/>
          </w:tcPr>
          <w:p w14:paraId="6A667978" w14:textId="77777777" w:rsidR="005A725F" w:rsidRPr="007C1F7A" w:rsidRDefault="009A0A58" w:rsidP="007C1F7A">
            <w:pPr>
              <w:widowControl/>
              <w:jc w:val="center"/>
              <w:rPr>
                <w:sz w:val="24"/>
              </w:rPr>
            </w:pPr>
            <w:r>
              <w:rPr>
                <w:sz w:val="24"/>
              </w:rPr>
              <w:t>.</w:t>
            </w:r>
            <w:r w:rsidR="00612856">
              <w:rPr>
                <w:sz w:val="24"/>
              </w:rPr>
              <w:t>2</w:t>
            </w:r>
            <w:r>
              <w:rPr>
                <w:sz w:val="24"/>
              </w:rPr>
              <w:t>5</w:t>
            </w:r>
            <w:r w:rsidRPr="007C1F7A">
              <w:rPr>
                <w:sz w:val="24"/>
              </w:rPr>
              <w:t xml:space="preserve"> </w:t>
            </w:r>
            <w:r w:rsidR="005A725F" w:rsidRPr="007C1F7A">
              <w:rPr>
                <w:sz w:val="24"/>
              </w:rPr>
              <w:t>hours</w:t>
            </w:r>
          </w:p>
        </w:tc>
        <w:tc>
          <w:tcPr>
            <w:tcW w:w="749" w:type="pct"/>
          </w:tcPr>
          <w:p w14:paraId="784EDB37" w14:textId="77777777" w:rsidR="005A725F" w:rsidRPr="007C1F7A" w:rsidRDefault="006E3E1E" w:rsidP="007C1F7A">
            <w:pPr>
              <w:widowControl/>
              <w:jc w:val="center"/>
              <w:rPr>
                <w:sz w:val="24"/>
              </w:rPr>
            </w:pPr>
            <w:r>
              <w:rPr>
                <w:sz w:val="24"/>
              </w:rPr>
              <w:t>Clerical staff</w:t>
            </w:r>
          </w:p>
        </w:tc>
        <w:tc>
          <w:tcPr>
            <w:tcW w:w="1307" w:type="pct"/>
          </w:tcPr>
          <w:p w14:paraId="043CB908" w14:textId="3794E9EE" w:rsidR="005A725F" w:rsidRPr="007C1F7A" w:rsidRDefault="005A725F" w:rsidP="00295FFC">
            <w:pPr>
              <w:widowControl/>
              <w:jc w:val="center"/>
              <w:rPr>
                <w:sz w:val="24"/>
              </w:rPr>
            </w:pPr>
            <w:r w:rsidRPr="007C1F7A">
              <w:rPr>
                <w:sz w:val="24"/>
              </w:rPr>
              <w:t>$</w:t>
            </w:r>
            <w:r w:rsidR="00295FFC">
              <w:rPr>
                <w:sz w:val="24"/>
              </w:rPr>
              <w:t>17.30</w:t>
            </w:r>
            <w:r w:rsidRPr="007C1F7A">
              <w:rPr>
                <w:sz w:val="24"/>
              </w:rPr>
              <w:t xml:space="preserve"> (based on </w:t>
            </w:r>
            <w:r w:rsidR="00993358">
              <w:rPr>
                <w:sz w:val="24"/>
              </w:rPr>
              <w:t xml:space="preserve">May </w:t>
            </w:r>
            <w:r w:rsidRPr="007C1F7A">
              <w:rPr>
                <w:sz w:val="24"/>
              </w:rPr>
              <w:t>20</w:t>
            </w:r>
            <w:r w:rsidR="00993358">
              <w:rPr>
                <w:sz w:val="24"/>
              </w:rPr>
              <w:t>1</w:t>
            </w:r>
            <w:r w:rsidR="00295FFC">
              <w:rPr>
                <w:sz w:val="24"/>
              </w:rPr>
              <w:t>4</w:t>
            </w:r>
            <w:r w:rsidRPr="007C1F7A">
              <w:rPr>
                <w:sz w:val="24"/>
              </w:rPr>
              <w:t xml:space="preserve"> data from the Bureau of Labor Statistics</w:t>
            </w:r>
            <w:r w:rsidR="00993358">
              <w:rPr>
                <w:sz w:val="24"/>
              </w:rPr>
              <w:t xml:space="preserve"> </w:t>
            </w:r>
            <w:r w:rsidRPr="007C1F7A">
              <w:rPr>
                <w:sz w:val="24"/>
              </w:rPr>
              <w:t>plus an increase for overhead and fringe benefits of 40%.)</w:t>
            </w:r>
          </w:p>
        </w:tc>
        <w:tc>
          <w:tcPr>
            <w:tcW w:w="1224" w:type="pct"/>
          </w:tcPr>
          <w:p w14:paraId="289318B0" w14:textId="66DF2FF7" w:rsidR="005A725F" w:rsidRPr="007C1F7A" w:rsidRDefault="005A725F" w:rsidP="007C1F7A">
            <w:pPr>
              <w:widowControl/>
              <w:jc w:val="center"/>
              <w:rPr>
                <w:sz w:val="24"/>
              </w:rPr>
            </w:pPr>
            <w:r w:rsidRPr="007C1F7A">
              <w:rPr>
                <w:sz w:val="24"/>
              </w:rPr>
              <w:t>$</w:t>
            </w:r>
            <w:r w:rsidR="00FF03A7">
              <w:rPr>
                <w:sz w:val="24"/>
              </w:rPr>
              <w:t>4.33</w:t>
            </w:r>
          </w:p>
          <w:p w14:paraId="2E26D4EE" w14:textId="1B401523" w:rsidR="005A725F" w:rsidRPr="007C1F7A" w:rsidRDefault="005A725F" w:rsidP="00FF03A7">
            <w:pPr>
              <w:widowControl/>
              <w:jc w:val="center"/>
              <w:rPr>
                <w:sz w:val="24"/>
              </w:rPr>
            </w:pPr>
            <w:r w:rsidRPr="007C1F7A">
              <w:rPr>
                <w:sz w:val="24"/>
              </w:rPr>
              <w:t>(</w:t>
            </w:r>
            <w:r w:rsidR="000B5D53">
              <w:rPr>
                <w:sz w:val="24"/>
              </w:rPr>
              <w:t>.</w:t>
            </w:r>
            <w:r w:rsidRPr="007C1F7A">
              <w:rPr>
                <w:sz w:val="24"/>
              </w:rPr>
              <w:t>2</w:t>
            </w:r>
            <w:r w:rsidR="000B5D53">
              <w:rPr>
                <w:sz w:val="24"/>
              </w:rPr>
              <w:t>5</w:t>
            </w:r>
            <w:r w:rsidRPr="007C1F7A">
              <w:rPr>
                <w:sz w:val="24"/>
              </w:rPr>
              <w:t xml:space="preserve"> hours x $</w:t>
            </w:r>
            <w:r w:rsidR="00FF03A7">
              <w:rPr>
                <w:sz w:val="24"/>
              </w:rPr>
              <w:t>17.30</w:t>
            </w:r>
            <w:r w:rsidRPr="007C1F7A">
              <w:rPr>
                <w:sz w:val="24"/>
              </w:rPr>
              <w:t xml:space="preserve"> per hour)</w:t>
            </w:r>
          </w:p>
        </w:tc>
      </w:tr>
      <w:tr w:rsidR="005A725F" w14:paraId="54022269" w14:textId="77777777" w:rsidTr="009D78BF">
        <w:tc>
          <w:tcPr>
            <w:tcW w:w="890" w:type="pct"/>
          </w:tcPr>
          <w:p w14:paraId="417C0D37" w14:textId="77777777" w:rsidR="005A725F" w:rsidRPr="007C1F7A" w:rsidRDefault="005A725F" w:rsidP="007C1F7A">
            <w:pPr>
              <w:widowControl/>
              <w:rPr>
                <w:sz w:val="24"/>
              </w:rPr>
            </w:pPr>
            <w:r w:rsidRPr="007C1F7A">
              <w:rPr>
                <w:sz w:val="24"/>
              </w:rPr>
              <w:t>Send the notification to Beneficiary</w:t>
            </w:r>
          </w:p>
        </w:tc>
        <w:tc>
          <w:tcPr>
            <w:tcW w:w="830" w:type="pct"/>
          </w:tcPr>
          <w:p w14:paraId="4F13CE6C" w14:textId="77777777" w:rsidR="005A725F" w:rsidRPr="007C1F7A" w:rsidRDefault="009A0A58" w:rsidP="009A0A58">
            <w:pPr>
              <w:widowControl/>
              <w:jc w:val="center"/>
              <w:rPr>
                <w:sz w:val="24"/>
              </w:rPr>
            </w:pPr>
            <w:r>
              <w:rPr>
                <w:sz w:val="24"/>
              </w:rPr>
              <w:t>5 minutes</w:t>
            </w:r>
            <w:r w:rsidR="005A725F" w:rsidRPr="007C1F7A">
              <w:rPr>
                <w:sz w:val="24"/>
              </w:rPr>
              <w:t xml:space="preserve"> per notification</w:t>
            </w:r>
          </w:p>
        </w:tc>
        <w:tc>
          <w:tcPr>
            <w:tcW w:w="749" w:type="pct"/>
          </w:tcPr>
          <w:p w14:paraId="45E2DE19" w14:textId="77777777" w:rsidR="005A725F" w:rsidRPr="007C1F7A" w:rsidRDefault="005A725F" w:rsidP="007C1F7A">
            <w:pPr>
              <w:widowControl/>
              <w:jc w:val="center"/>
              <w:rPr>
                <w:sz w:val="24"/>
              </w:rPr>
            </w:pPr>
            <w:r w:rsidRPr="007C1F7A">
              <w:rPr>
                <w:sz w:val="24"/>
              </w:rPr>
              <w:t>Clerical staff</w:t>
            </w:r>
          </w:p>
        </w:tc>
        <w:tc>
          <w:tcPr>
            <w:tcW w:w="1307" w:type="pct"/>
          </w:tcPr>
          <w:p w14:paraId="2B6F4F42" w14:textId="7CCC1426" w:rsidR="005A725F" w:rsidRPr="007C1F7A" w:rsidRDefault="005A725F" w:rsidP="00FF03A7">
            <w:pPr>
              <w:widowControl/>
              <w:jc w:val="center"/>
              <w:rPr>
                <w:sz w:val="24"/>
              </w:rPr>
            </w:pPr>
            <w:r w:rsidRPr="007C1F7A">
              <w:rPr>
                <w:sz w:val="24"/>
              </w:rPr>
              <w:t>$</w:t>
            </w:r>
            <w:r w:rsidR="00FF03A7">
              <w:rPr>
                <w:sz w:val="24"/>
              </w:rPr>
              <w:t>17.30</w:t>
            </w:r>
            <w:r w:rsidRPr="007C1F7A">
              <w:rPr>
                <w:sz w:val="24"/>
              </w:rPr>
              <w:t xml:space="preserve"> (based on </w:t>
            </w:r>
            <w:r w:rsidR="00993358">
              <w:rPr>
                <w:sz w:val="24"/>
              </w:rPr>
              <w:t xml:space="preserve">May </w:t>
            </w:r>
            <w:r w:rsidRPr="007C1F7A">
              <w:rPr>
                <w:sz w:val="24"/>
              </w:rPr>
              <w:t>20</w:t>
            </w:r>
            <w:r w:rsidR="00993358">
              <w:rPr>
                <w:sz w:val="24"/>
              </w:rPr>
              <w:t>1</w:t>
            </w:r>
            <w:r w:rsidR="00FF03A7">
              <w:rPr>
                <w:sz w:val="24"/>
              </w:rPr>
              <w:t>4</w:t>
            </w:r>
            <w:r w:rsidRPr="007C1F7A">
              <w:rPr>
                <w:sz w:val="24"/>
              </w:rPr>
              <w:t xml:space="preserve"> data from the Bureau of Labor Statistics plus an increase for overhead of 40%)</w:t>
            </w:r>
          </w:p>
        </w:tc>
        <w:tc>
          <w:tcPr>
            <w:tcW w:w="1224" w:type="pct"/>
          </w:tcPr>
          <w:p w14:paraId="68405936" w14:textId="3C2DE167" w:rsidR="005A725F" w:rsidRPr="007C1F7A" w:rsidRDefault="005A725F" w:rsidP="007C1F7A">
            <w:pPr>
              <w:widowControl/>
              <w:jc w:val="center"/>
              <w:rPr>
                <w:sz w:val="24"/>
              </w:rPr>
            </w:pPr>
            <w:r w:rsidRPr="007C1F7A">
              <w:rPr>
                <w:sz w:val="24"/>
              </w:rPr>
              <w:t>$</w:t>
            </w:r>
            <w:r w:rsidR="000B5D53">
              <w:rPr>
                <w:sz w:val="24"/>
              </w:rPr>
              <w:t>1.</w:t>
            </w:r>
            <w:r w:rsidR="00FF03A7">
              <w:rPr>
                <w:sz w:val="24"/>
              </w:rPr>
              <w:t>44</w:t>
            </w:r>
            <w:r w:rsidR="00B01599" w:rsidRPr="007C1F7A">
              <w:rPr>
                <w:sz w:val="24"/>
              </w:rPr>
              <w:t xml:space="preserve"> </w:t>
            </w:r>
          </w:p>
          <w:p w14:paraId="07AB5C57" w14:textId="24646E84" w:rsidR="005A725F" w:rsidRPr="007C1F7A" w:rsidRDefault="005A725F" w:rsidP="00FF03A7">
            <w:pPr>
              <w:widowControl/>
              <w:jc w:val="center"/>
              <w:rPr>
                <w:sz w:val="24"/>
              </w:rPr>
            </w:pPr>
            <w:r w:rsidRPr="007C1F7A">
              <w:rPr>
                <w:sz w:val="24"/>
              </w:rPr>
              <w:t>(0.</w:t>
            </w:r>
            <w:r w:rsidR="000B5D53">
              <w:rPr>
                <w:sz w:val="24"/>
              </w:rPr>
              <w:t>083</w:t>
            </w:r>
            <w:r w:rsidRPr="007C1F7A">
              <w:rPr>
                <w:sz w:val="24"/>
              </w:rPr>
              <w:t xml:space="preserve"> hour to send the notification x $</w:t>
            </w:r>
            <w:r w:rsidR="00FF03A7">
              <w:rPr>
                <w:sz w:val="24"/>
              </w:rPr>
              <w:t>17.30</w:t>
            </w:r>
            <w:r w:rsidRPr="007C1F7A">
              <w:rPr>
                <w:sz w:val="24"/>
              </w:rPr>
              <w:t xml:space="preserve"> per hour) + $2.00 for supplies</w:t>
            </w:r>
            <w:r w:rsidR="00B01599" w:rsidRPr="007C1F7A">
              <w:rPr>
                <w:sz w:val="24"/>
              </w:rPr>
              <w:t xml:space="preserve"> = $</w:t>
            </w:r>
            <w:r w:rsidR="000B5D53">
              <w:rPr>
                <w:sz w:val="24"/>
              </w:rPr>
              <w:t>3.</w:t>
            </w:r>
            <w:r w:rsidR="00FF03A7">
              <w:rPr>
                <w:sz w:val="24"/>
              </w:rPr>
              <w:t>44</w:t>
            </w:r>
            <w:r w:rsidR="00B01599" w:rsidRPr="007C1F7A">
              <w:rPr>
                <w:sz w:val="24"/>
              </w:rPr>
              <w:t xml:space="preserve"> per notification</w:t>
            </w:r>
          </w:p>
        </w:tc>
      </w:tr>
    </w:tbl>
    <w:p w14:paraId="6BD46C00" w14:textId="6F4EF6A4" w:rsidR="00143449" w:rsidRDefault="00B01599" w:rsidP="008A204F">
      <w:pPr>
        <w:widowControl/>
        <w:rPr>
          <w:sz w:val="24"/>
        </w:rPr>
      </w:pPr>
      <w:r>
        <w:rPr>
          <w:sz w:val="24"/>
        </w:rPr>
        <w:t>As demonstrated in the chart above, w</w:t>
      </w:r>
      <w:r w:rsidR="00A93224">
        <w:rPr>
          <w:sz w:val="24"/>
        </w:rPr>
        <w:t xml:space="preserve">e expect that the </w:t>
      </w:r>
      <w:r w:rsidR="00D3761A">
        <w:rPr>
          <w:sz w:val="24"/>
        </w:rPr>
        <w:t xml:space="preserve">per beneficiary </w:t>
      </w:r>
      <w:r w:rsidR="00143449" w:rsidRPr="00143449">
        <w:rPr>
          <w:sz w:val="24"/>
        </w:rPr>
        <w:t xml:space="preserve">cost of developing the 30-day notification would </w:t>
      </w:r>
      <w:r w:rsidR="004F4155">
        <w:rPr>
          <w:sz w:val="24"/>
        </w:rPr>
        <w:t xml:space="preserve">equal </w:t>
      </w:r>
      <w:r w:rsidR="00143449" w:rsidRPr="00143449">
        <w:rPr>
          <w:sz w:val="24"/>
        </w:rPr>
        <w:t>$</w:t>
      </w:r>
      <w:r w:rsidR="000E00C4">
        <w:rPr>
          <w:sz w:val="24"/>
        </w:rPr>
        <w:t>4.33</w:t>
      </w:r>
      <w:r w:rsidR="00143449" w:rsidRPr="00143449">
        <w:rPr>
          <w:sz w:val="24"/>
        </w:rPr>
        <w:t>. We</w:t>
      </w:r>
      <w:r w:rsidR="00970757">
        <w:rPr>
          <w:sz w:val="24"/>
        </w:rPr>
        <w:t xml:space="preserve"> </w:t>
      </w:r>
      <w:r w:rsidR="00143449" w:rsidRPr="00143449">
        <w:rPr>
          <w:sz w:val="24"/>
        </w:rPr>
        <w:t xml:space="preserve">expect the cost of sending the 30-day notification per beneficiary to </w:t>
      </w:r>
      <w:r w:rsidR="004F4155">
        <w:rPr>
          <w:sz w:val="24"/>
        </w:rPr>
        <w:t>equal</w:t>
      </w:r>
      <w:r w:rsidR="00143449" w:rsidRPr="00143449">
        <w:rPr>
          <w:sz w:val="24"/>
        </w:rPr>
        <w:t xml:space="preserve"> $</w:t>
      </w:r>
      <w:r w:rsidR="000B5D53">
        <w:rPr>
          <w:sz w:val="24"/>
        </w:rPr>
        <w:t>3.</w:t>
      </w:r>
      <w:r w:rsidR="000E00C4">
        <w:rPr>
          <w:sz w:val="24"/>
        </w:rPr>
        <w:t>44</w:t>
      </w:r>
      <w:r w:rsidR="00143449" w:rsidRPr="00143449">
        <w:rPr>
          <w:sz w:val="24"/>
        </w:rPr>
        <w:t xml:space="preserve"> per notification. </w:t>
      </w:r>
      <w:r w:rsidRPr="00143449">
        <w:rPr>
          <w:sz w:val="24"/>
        </w:rPr>
        <w:t>Based upon the</w:t>
      </w:r>
      <w:r w:rsidR="00970757">
        <w:rPr>
          <w:sz w:val="24"/>
        </w:rPr>
        <w:t xml:space="preserve"> estimated</w:t>
      </w:r>
      <w:r w:rsidRPr="00143449">
        <w:rPr>
          <w:sz w:val="24"/>
        </w:rPr>
        <w:t xml:space="preserve"> number of suppliers</w:t>
      </w:r>
      <w:r w:rsidR="00970757">
        <w:rPr>
          <w:sz w:val="24"/>
        </w:rPr>
        <w:t xml:space="preserve"> </w:t>
      </w:r>
      <w:r w:rsidRPr="00143449">
        <w:rPr>
          <w:sz w:val="24"/>
        </w:rPr>
        <w:t xml:space="preserve">and beneficiaries, we estimate that there would be, on average, </w:t>
      </w:r>
      <w:r w:rsidR="000E00C4">
        <w:rPr>
          <w:sz w:val="24"/>
        </w:rPr>
        <w:t>98</w:t>
      </w:r>
      <w:r w:rsidRPr="00143449">
        <w:rPr>
          <w:sz w:val="24"/>
        </w:rPr>
        <w:t xml:space="preserve"> beneficiaries per supplier (</w:t>
      </w:r>
      <w:r w:rsidR="000E00C4">
        <w:rPr>
          <w:sz w:val="24"/>
        </w:rPr>
        <w:t>10</w:t>
      </w:r>
      <w:r w:rsidR="000B5D53">
        <w:rPr>
          <w:sz w:val="24"/>
        </w:rPr>
        <w:t>0</w:t>
      </w:r>
      <w:r w:rsidR="005B1E66">
        <w:rPr>
          <w:sz w:val="24"/>
        </w:rPr>
        <w:t>,000</w:t>
      </w:r>
      <w:r w:rsidRPr="00143449">
        <w:rPr>
          <w:sz w:val="24"/>
        </w:rPr>
        <w:t xml:space="preserve"> beneficiaries/1,</w:t>
      </w:r>
      <w:r w:rsidR="000E00C4">
        <w:rPr>
          <w:sz w:val="24"/>
        </w:rPr>
        <w:t>023</w:t>
      </w:r>
      <w:r w:rsidRPr="00143449">
        <w:rPr>
          <w:sz w:val="24"/>
        </w:rPr>
        <w:t xml:space="preserve"> suppliers = </w:t>
      </w:r>
      <w:r w:rsidR="000E00C4">
        <w:rPr>
          <w:sz w:val="24"/>
        </w:rPr>
        <w:t>98</w:t>
      </w:r>
      <w:r w:rsidRPr="00143449">
        <w:rPr>
          <w:sz w:val="24"/>
        </w:rPr>
        <w:t xml:space="preserve">).  </w:t>
      </w:r>
      <w:r>
        <w:rPr>
          <w:sz w:val="24"/>
        </w:rPr>
        <w:t xml:space="preserve">As </w:t>
      </w:r>
      <w:r w:rsidR="001A0FDE">
        <w:rPr>
          <w:sz w:val="24"/>
        </w:rPr>
        <w:t xml:space="preserve">a </w:t>
      </w:r>
      <w:r>
        <w:rPr>
          <w:sz w:val="24"/>
        </w:rPr>
        <w:t>result</w:t>
      </w:r>
      <w:r w:rsidRPr="00143449">
        <w:rPr>
          <w:sz w:val="24"/>
        </w:rPr>
        <w:t xml:space="preserve">, we estimate that each supplier that chooses to grandfather would send the 30-day notification on average to </w:t>
      </w:r>
      <w:r w:rsidR="000E00C4">
        <w:rPr>
          <w:sz w:val="24"/>
        </w:rPr>
        <w:t>98</w:t>
      </w:r>
      <w:r w:rsidR="000B0C7A" w:rsidRPr="00143449">
        <w:rPr>
          <w:sz w:val="24"/>
        </w:rPr>
        <w:t xml:space="preserve"> </w:t>
      </w:r>
      <w:r w:rsidRPr="00143449">
        <w:rPr>
          <w:sz w:val="24"/>
        </w:rPr>
        <w:t xml:space="preserve">beneficiaries. </w:t>
      </w:r>
      <w:r>
        <w:rPr>
          <w:sz w:val="24"/>
        </w:rPr>
        <w:t xml:space="preserve">Therefore, we estimate the </w:t>
      </w:r>
      <w:r w:rsidR="00143449" w:rsidRPr="00143449">
        <w:rPr>
          <w:sz w:val="24"/>
        </w:rPr>
        <w:t>average cost of $</w:t>
      </w:r>
      <w:r w:rsidR="000E00C4">
        <w:rPr>
          <w:sz w:val="24"/>
        </w:rPr>
        <w:t>342</w:t>
      </w:r>
      <w:r w:rsidR="00143449" w:rsidRPr="00143449">
        <w:rPr>
          <w:sz w:val="24"/>
        </w:rPr>
        <w:t xml:space="preserve"> per supplier </w:t>
      </w:r>
      <w:r>
        <w:rPr>
          <w:sz w:val="24"/>
        </w:rPr>
        <w:t>(</w:t>
      </w:r>
      <w:r w:rsidR="00143449" w:rsidRPr="00143449">
        <w:rPr>
          <w:sz w:val="24"/>
        </w:rPr>
        <w:t>$</w:t>
      </w:r>
      <w:r w:rsidR="000B5D53">
        <w:rPr>
          <w:sz w:val="24"/>
        </w:rPr>
        <w:t>3.</w:t>
      </w:r>
      <w:r w:rsidR="000E00C4">
        <w:rPr>
          <w:sz w:val="24"/>
        </w:rPr>
        <w:t>44</w:t>
      </w:r>
      <w:r w:rsidR="00143449" w:rsidRPr="00143449">
        <w:rPr>
          <w:sz w:val="24"/>
        </w:rPr>
        <w:t xml:space="preserve"> x </w:t>
      </w:r>
      <w:r w:rsidR="000E00C4">
        <w:rPr>
          <w:sz w:val="24"/>
        </w:rPr>
        <w:t>98</w:t>
      </w:r>
      <w:r w:rsidR="005F3E2D">
        <w:rPr>
          <w:sz w:val="24"/>
        </w:rPr>
        <w:t xml:space="preserve"> </w:t>
      </w:r>
      <w:r w:rsidR="00143449" w:rsidRPr="00143449">
        <w:rPr>
          <w:sz w:val="24"/>
        </w:rPr>
        <w:t>beneficiaries plus the development cost for the letter of $</w:t>
      </w:r>
      <w:r w:rsidR="000E00C4">
        <w:rPr>
          <w:sz w:val="24"/>
        </w:rPr>
        <w:t>4.33</w:t>
      </w:r>
      <w:r w:rsidR="00143449" w:rsidRPr="00143449">
        <w:rPr>
          <w:sz w:val="24"/>
        </w:rPr>
        <w:t xml:space="preserve">).  </w:t>
      </w:r>
      <w:r>
        <w:rPr>
          <w:sz w:val="24"/>
        </w:rPr>
        <w:t>T</w:t>
      </w:r>
      <w:r w:rsidR="00143449" w:rsidRPr="00143449">
        <w:rPr>
          <w:sz w:val="24"/>
        </w:rPr>
        <w:t xml:space="preserve">he estimated aggregate cost for the </w:t>
      </w:r>
      <w:r w:rsidR="000E00C4">
        <w:rPr>
          <w:sz w:val="24"/>
        </w:rPr>
        <w:t>921</w:t>
      </w:r>
      <w:r w:rsidR="00143449" w:rsidRPr="00143449">
        <w:rPr>
          <w:sz w:val="24"/>
        </w:rPr>
        <w:t xml:space="preserve"> suppliers to provide the 30-day notification to their beneficiaries, is $</w:t>
      </w:r>
      <w:r w:rsidR="00030E57">
        <w:rPr>
          <w:sz w:val="24"/>
        </w:rPr>
        <w:t>314,982</w:t>
      </w:r>
      <w:r w:rsidR="00143449" w:rsidRPr="00143449">
        <w:rPr>
          <w:sz w:val="24"/>
        </w:rPr>
        <w:t xml:space="preserve"> ($</w:t>
      </w:r>
      <w:r w:rsidR="00030E57">
        <w:rPr>
          <w:sz w:val="24"/>
        </w:rPr>
        <w:t>342</w:t>
      </w:r>
      <w:r w:rsidR="00143449" w:rsidRPr="00143449">
        <w:rPr>
          <w:sz w:val="24"/>
        </w:rPr>
        <w:t xml:space="preserve"> per supplier x </w:t>
      </w:r>
      <w:r w:rsidR="00030E57">
        <w:rPr>
          <w:sz w:val="24"/>
        </w:rPr>
        <w:t>921</w:t>
      </w:r>
      <w:r w:rsidR="00143449" w:rsidRPr="00143449">
        <w:rPr>
          <w:sz w:val="24"/>
        </w:rPr>
        <w:t xml:space="preserve"> suppliers = $</w:t>
      </w:r>
      <w:r w:rsidR="00030E57">
        <w:rPr>
          <w:sz w:val="24"/>
        </w:rPr>
        <w:t>314,982</w:t>
      </w:r>
      <w:r w:rsidR="00143449" w:rsidRPr="00143449">
        <w:rPr>
          <w:sz w:val="24"/>
        </w:rPr>
        <w:t>).</w:t>
      </w:r>
    </w:p>
    <w:p w14:paraId="4F4026C6" w14:textId="77777777" w:rsidR="00C00745" w:rsidRDefault="00C00745" w:rsidP="008A204F">
      <w:pPr>
        <w:widowControl/>
        <w:rPr>
          <w:sz w:val="24"/>
        </w:rPr>
      </w:pPr>
    </w:p>
    <w:p w14:paraId="37DAC8D8" w14:textId="77777777" w:rsidR="006E318F" w:rsidRDefault="006E318F" w:rsidP="00D674BA">
      <w:pPr>
        <w:pStyle w:val="ListParagraph"/>
        <w:widowControl/>
        <w:ind w:left="1080"/>
        <w:rPr>
          <w:b/>
          <w:sz w:val="24"/>
        </w:rPr>
      </w:pPr>
    </w:p>
    <w:p w14:paraId="5F57D883" w14:textId="77777777" w:rsidR="005A725F" w:rsidRPr="00143449" w:rsidRDefault="005A725F" w:rsidP="005A725F">
      <w:pPr>
        <w:pStyle w:val="ListParagraph"/>
        <w:widowControl/>
        <w:numPr>
          <w:ilvl w:val="0"/>
          <w:numId w:val="42"/>
        </w:numPr>
        <w:rPr>
          <w:b/>
          <w:sz w:val="24"/>
        </w:rPr>
      </w:pPr>
      <w:r>
        <w:rPr>
          <w:b/>
          <w:sz w:val="24"/>
        </w:rPr>
        <w:t>Total Burden to Suppliers that Choose to Grandfather</w:t>
      </w:r>
    </w:p>
    <w:p w14:paraId="481A15D2" w14:textId="77777777" w:rsidR="005A725F" w:rsidRDefault="005A725F" w:rsidP="008A204F">
      <w:pPr>
        <w:widowControl/>
        <w:rPr>
          <w:sz w:val="24"/>
        </w:rPr>
      </w:pPr>
    </w:p>
    <w:p w14:paraId="2BC3F946" w14:textId="4358F334" w:rsidR="005A725F" w:rsidRDefault="005A725F" w:rsidP="008A204F">
      <w:pPr>
        <w:widowControl/>
        <w:rPr>
          <w:sz w:val="24"/>
        </w:rPr>
      </w:pPr>
      <w:r>
        <w:rPr>
          <w:sz w:val="24"/>
        </w:rPr>
        <w:t>The following chart summarizes the approximate time and cost for suppliers that choose to grandfather to comply with the mandatory notification requirements</w:t>
      </w:r>
      <w:r w:rsidR="006979F3">
        <w:rPr>
          <w:sz w:val="24"/>
        </w:rPr>
        <w:t xml:space="preserve"> for Round 1 </w:t>
      </w:r>
      <w:r w:rsidR="007F31E8">
        <w:rPr>
          <w:sz w:val="24"/>
        </w:rPr>
        <w:t>2017</w:t>
      </w:r>
      <w:r>
        <w:rPr>
          <w:sz w:val="24"/>
        </w:rPr>
        <w:t>.</w:t>
      </w:r>
    </w:p>
    <w:p w14:paraId="183EC00F" w14:textId="77777777" w:rsidR="005A725F" w:rsidRDefault="005A725F" w:rsidP="008A204F">
      <w:pPr>
        <w:widowControl/>
        <w:rPr>
          <w:sz w:val="24"/>
        </w:rPr>
      </w:pPr>
    </w:p>
    <w:p w14:paraId="3A5AB9D2" w14:textId="77777777" w:rsidR="00210635" w:rsidRPr="008A204F" w:rsidRDefault="00210635" w:rsidP="002106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center"/>
        <w:rPr>
          <w:b/>
          <w:sz w:val="24"/>
        </w:rPr>
      </w:pPr>
      <w:r w:rsidRPr="008A204F">
        <w:rPr>
          <w:b/>
          <w:sz w:val="24"/>
        </w:rPr>
        <w:t xml:space="preserve">Approximate </w:t>
      </w:r>
      <w:r>
        <w:rPr>
          <w:b/>
          <w:sz w:val="24"/>
        </w:rPr>
        <w:t>Burden to</w:t>
      </w:r>
      <w:r w:rsidRPr="008A204F">
        <w:rPr>
          <w:b/>
          <w:sz w:val="24"/>
        </w:rPr>
        <w:t xml:space="preserve"> Suppliers</w:t>
      </w:r>
      <w:r>
        <w:rPr>
          <w:b/>
          <w:sz w:val="24"/>
        </w:rPr>
        <w:t xml:space="preserve"> </w:t>
      </w:r>
      <w:r w:rsidR="005A725F">
        <w:rPr>
          <w:b/>
          <w:sz w:val="24"/>
        </w:rPr>
        <w:t xml:space="preserve">that </w:t>
      </w:r>
      <w:r>
        <w:rPr>
          <w:b/>
          <w:sz w:val="24"/>
        </w:rPr>
        <w:t>Choose to Grandfather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0"/>
        <w:gridCol w:w="1992"/>
        <w:gridCol w:w="1502"/>
        <w:gridCol w:w="1619"/>
        <w:gridCol w:w="2507"/>
      </w:tblGrid>
      <w:tr w:rsidR="00210635" w:rsidRPr="008A204F" w14:paraId="304B2323" w14:textId="77777777" w:rsidTr="00482D08">
        <w:tc>
          <w:tcPr>
            <w:tcW w:w="1216" w:type="pct"/>
          </w:tcPr>
          <w:p w14:paraId="459773DF" w14:textId="77777777" w:rsidR="00210635" w:rsidRPr="007C1F7A" w:rsidRDefault="00210635" w:rsidP="007C1F7A">
            <w:pPr>
              <w:widowControl/>
              <w:rPr>
                <w:b/>
                <w:sz w:val="24"/>
              </w:rPr>
            </w:pPr>
          </w:p>
        </w:tc>
        <w:tc>
          <w:tcPr>
            <w:tcW w:w="1735" w:type="pct"/>
            <w:gridSpan w:val="2"/>
          </w:tcPr>
          <w:p w14:paraId="5E450FE5" w14:textId="77777777" w:rsidR="00210635" w:rsidRPr="007C1F7A" w:rsidRDefault="00210635" w:rsidP="007C1F7A">
            <w:pPr>
              <w:widowControl/>
              <w:jc w:val="center"/>
              <w:rPr>
                <w:b/>
                <w:sz w:val="24"/>
              </w:rPr>
            </w:pPr>
            <w:r w:rsidRPr="007C1F7A">
              <w:rPr>
                <w:b/>
                <w:sz w:val="24"/>
              </w:rPr>
              <w:t>Hours</w:t>
            </w:r>
          </w:p>
        </w:tc>
        <w:tc>
          <w:tcPr>
            <w:tcW w:w="2049" w:type="pct"/>
            <w:gridSpan w:val="2"/>
          </w:tcPr>
          <w:p w14:paraId="1A7FB4E3" w14:textId="77777777" w:rsidR="00210635" w:rsidRPr="007C1F7A" w:rsidRDefault="00210635" w:rsidP="007C1F7A">
            <w:pPr>
              <w:widowControl/>
              <w:jc w:val="center"/>
              <w:rPr>
                <w:b/>
                <w:sz w:val="24"/>
              </w:rPr>
            </w:pPr>
            <w:r w:rsidRPr="007C1F7A">
              <w:rPr>
                <w:b/>
                <w:sz w:val="24"/>
              </w:rPr>
              <w:t>Cost</w:t>
            </w:r>
          </w:p>
        </w:tc>
      </w:tr>
      <w:tr w:rsidR="00255BB7" w:rsidRPr="008A204F" w14:paraId="21D9A19C" w14:textId="77777777" w:rsidTr="00482D08">
        <w:tc>
          <w:tcPr>
            <w:tcW w:w="1216" w:type="pct"/>
          </w:tcPr>
          <w:p w14:paraId="4D8FB1CF" w14:textId="77777777" w:rsidR="00210635" w:rsidRPr="007C1F7A" w:rsidRDefault="00210635" w:rsidP="007C1F7A">
            <w:pPr>
              <w:widowControl/>
              <w:rPr>
                <w:b/>
                <w:sz w:val="24"/>
              </w:rPr>
            </w:pPr>
          </w:p>
        </w:tc>
        <w:tc>
          <w:tcPr>
            <w:tcW w:w="989" w:type="pct"/>
          </w:tcPr>
          <w:p w14:paraId="1CA51F9A" w14:textId="77777777" w:rsidR="00210635" w:rsidRPr="007C1F7A" w:rsidRDefault="00210635" w:rsidP="007C1F7A">
            <w:pPr>
              <w:widowControl/>
              <w:rPr>
                <w:b/>
                <w:sz w:val="24"/>
              </w:rPr>
            </w:pPr>
            <w:r w:rsidRPr="007C1F7A">
              <w:rPr>
                <w:b/>
                <w:sz w:val="24"/>
              </w:rPr>
              <w:t>Per Supplier</w:t>
            </w:r>
          </w:p>
        </w:tc>
        <w:tc>
          <w:tcPr>
            <w:tcW w:w="746" w:type="pct"/>
          </w:tcPr>
          <w:p w14:paraId="05BA22C7" w14:textId="77777777" w:rsidR="00210635" w:rsidRPr="007C1F7A" w:rsidRDefault="00210635" w:rsidP="007C1F7A">
            <w:pPr>
              <w:widowControl/>
              <w:rPr>
                <w:b/>
                <w:sz w:val="24"/>
              </w:rPr>
            </w:pPr>
            <w:r w:rsidRPr="007C1F7A">
              <w:rPr>
                <w:b/>
                <w:sz w:val="24"/>
              </w:rPr>
              <w:t>Aggregate</w:t>
            </w:r>
          </w:p>
        </w:tc>
        <w:tc>
          <w:tcPr>
            <w:tcW w:w="804" w:type="pct"/>
          </w:tcPr>
          <w:p w14:paraId="50D4D8E0" w14:textId="77777777" w:rsidR="00210635" w:rsidRPr="007C1F7A" w:rsidRDefault="00210635" w:rsidP="007C1F7A">
            <w:pPr>
              <w:widowControl/>
              <w:rPr>
                <w:b/>
                <w:sz w:val="24"/>
              </w:rPr>
            </w:pPr>
            <w:r w:rsidRPr="007C1F7A">
              <w:rPr>
                <w:b/>
                <w:sz w:val="24"/>
              </w:rPr>
              <w:t>Per Supplier</w:t>
            </w:r>
          </w:p>
        </w:tc>
        <w:tc>
          <w:tcPr>
            <w:tcW w:w="1245" w:type="pct"/>
          </w:tcPr>
          <w:p w14:paraId="1090E624" w14:textId="77777777" w:rsidR="00210635" w:rsidRPr="007C1F7A" w:rsidRDefault="00210635" w:rsidP="007C1F7A">
            <w:pPr>
              <w:widowControl/>
              <w:rPr>
                <w:b/>
                <w:sz w:val="24"/>
              </w:rPr>
            </w:pPr>
            <w:r w:rsidRPr="007C1F7A">
              <w:rPr>
                <w:b/>
                <w:sz w:val="24"/>
              </w:rPr>
              <w:t>Aggregate</w:t>
            </w:r>
          </w:p>
        </w:tc>
      </w:tr>
      <w:tr w:rsidR="00255BB7" w:rsidRPr="008A204F" w14:paraId="45D421EB" w14:textId="77777777" w:rsidTr="00482D08">
        <w:tc>
          <w:tcPr>
            <w:tcW w:w="1216" w:type="pct"/>
          </w:tcPr>
          <w:p w14:paraId="3519AFCB" w14:textId="6FC8F583" w:rsidR="00210635" w:rsidRPr="007C1F7A" w:rsidRDefault="006979F3" w:rsidP="007C1F7A">
            <w:pPr>
              <w:widowControl/>
              <w:rPr>
                <w:b/>
                <w:sz w:val="24"/>
              </w:rPr>
            </w:pPr>
            <w:r>
              <w:rPr>
                <w:b/>
                <w:sz w:val="24"/>
              </w:rPr>
              <w:t xml:space="preserve">Round 1 </w:t>
            </w:r>
            <w:r w:rsidR="007F31E8">
              <w:rPr>
                <w:b/>
                <w:sz w:val="24"/>
              </w:rPr>
              <w:t>2017</w:t>
            </w:r>
            <w:r>
              <w:rPr>
                <w:b/>
                <w:sz w:val="24"/>
              </w:rPr>
              <w:t xml:space="preserve"> </w:t>
            </w:r>
            <w:r w:rsidR="00210635" w:rsidRPr="007C1F7A">
              <w:rPr>
                <w:b/>
                <w:sz w:val="24"/>
              </w:rPr>
              <w:t>30-Day Notification to Beneficiary</w:t>
            </w:r>
            <w:r>
              <w:rPr>
                <w:b/>
                <w:sz w:val="24"/>
              </w:rPr>
              <w:t xml:space="preserve"> </w:t>
            </w:r>
          </w:p>
        </w:tc>
        <w:tc>
          <w:tcPr>
            <w:tcW w:w="989" w:type="pct"/>
          </w:tcPr>
          <w:p w14:paraId="3579DB95" w14:textId="39EB7F0D" w:rsidR="00210635" w:rsidRPr="007C1F7A" w:rsidRDefault="00267A4E" w:rsidP="007F31E8">
            <w:pPr>
              <w:widowControl/>
              <w:tabs>
                <w:tab w:val="right" w:pos="2214"/>
              </w:tabs>
              <w:rPr>
                <w:sz w:val="24"/>
              </w:rPr>
            </w:pPr>
            <w:r>
              <w:rPr>
                <w:sz w:val="24"/>
              </w:rPr>
              <w:t>.</w:t>
            </w:r>
            <w:r w:rsidR="00210635" w:rsidRPr="007C1F7A">
              <w:rPr>
                <w:sz w:val="24"/>
              </w:rPr>
              <w:t>2</w:t>
            </w:r>
            <w:r>
              <w:rPr>
                <w:sz w:val="24"/>
              </w:rPr>
              <w:t>5</w:t>
            </w:r>
            <w:r w:rsidR="00210635" w:rsidRPr="007C1F7A">
              <w:rPr>
                <w:sz w:val="24"/>
              </w:rPr>
              <w:t xml:space="preserve"> hours</w:t>
            </w:r>
            <w:r w:rsidR="00D248C2" w:rsidRPr="007C1F7A">
              <w:rPr>
                <w:sz w:val="24"/>
              </w:rPr>
              <w:t xml:space="preserve"> for development + </w:t>
            </w:r>
            <w:r w:rsidR="00255BB7" w:rsidRPr="007C1F7A">
              <w:rPr>
                <w:sz w:val="24"/>
              </w:rPr>
              <w:t>(</w:t>
            </w:r>
            <w:r w:rsidR="00D248C2" w:rsidRPr="007C1F7A">
              <w:rPr>
                <w:sz w:val="24"/>
              </w:rPr>
              <w:t xml:space="preserve">5 minutes per notification x </w:t>
            </w:r>
            <w:r w:rsidR="007F31E8">
              <w:rPr>
                <w:sz w:val="24"/>
              </w:rPr>
              <w:t>98</w:t>
            </w:r>
            <w:r w:rsidR="00D248C2" w:rsidRPr="007C1F7A">
              <w:rPr>
                <w:sz w:val="24"/>
              </w:rPr>
              <w:t xml:space="preserve"> beneficiaries</w:t>
            </w:r>
            <w:r w:rsidR="00255BB7" w:rsidRPr="007C1F7A">
              <w:rPr>
                <w:sz w:val="24"/>
              </w:rPr>
              <w:t>)</w:t>
            </w:r>
            <w:r w:rsidR="00D248C2" w:rsidRPr="007C1F7A">
              <w:rPr>
                <w:sz w:val="24"/>
              </w:rPr>
              <w:t xml:space="preserve"> = </w:t>
            </w:r>
            <w:r w:rsidR="007F31E8">
              <w:rPr>
                <w:sz w:val="24"/>
              </w:rPr>
              <w:t>8.4</w:t>
            </w:r>
            <w:r w:rsidR="00D248C2" w:rsidRPr="007C1F7A">
              <w:rPr>
                <w:sz w:val="24"/>
              </w:rPr>
              <w:t xml:space="preserve"> hours</w:t>
            </w:r>
          </w:p>
        </w:tc>
        <w:tc>
          <w:tcPr>
            <w:tcW w:w="746" w:type="pct"/>
          </w:tcPr>
          <w:p w14:paraId="1EE9BEFE" w14:textId="6AD57818" w:rsidR="00210635" w:rsidRPr="007C1F7A" w:rsidRDefault="002F3A8A" w:rsidP="007F31E8">
            <w:pPr>
              <w:widowControl/>
              <w:tabs>
                <w:tab w:val="right" w:pos="2214"/>
              </w:tabs>
              <w:rPr>
                <w:sz w:val="24"/>
              </w:rPr>
            </w:pPr>
            <w:r>
              <w:rPr>
                <w:sz w:val="24"/>
              </w:rPr>
              <w:t>(</w:t>
            </w:r>
            <w:r w:rsidR="00267A4E">
              <w:rPr>
                <w:sz w:val="24"/>
              </w:rPr>
              <w:t>.</w:t>
            </w:r>
            <w:r w:rsidR="00210635" w:rsidRPr="007C1F7A">
              <w:rPr>
                <w:sz w:val="24"/>
              </w:rPr>
              <w:t>2</w:t>
            </w:r>
            <w:r w:rsidR="00267A4E">
              <w:rPr>
                <w:sz w:val="24"/>
              </w:rPr>
              <w:t>5</w:t>
            </w:r>
            <w:r w:rsidR="00210635" w:rsidRPr="007C1F7A">
              <w:rPr>
                <w:sz w:val="24"/>
              </w:rPr>
              <w:t xml:space="preserve"> hours </w:t>
            </w:r>
            <w:r w:rsidR="00D248C2" w:rsidRPr="007C1F7A">
              <w:rPr>
                <w:sz w:val="24"/>
              </w:rPr>
              <w:t>+</w:t>
            </w:r>
            <w:r w:rsidR="00210635" w:rsidRPr="007C1F7A">
              <w:rPr>
                <w:sz w:val="24"/>
              </w:rPr>
              <w:t xml:space="preserve"> </w:t>
            </w:r>
            <w:r w:rsidR="00D248C2" w:rsidRPr="007C1F7A">
              <w:rPr>
                <w:sz w:val="24"/>
              </w:rPr>
              <w:t>.</w:t>
            </w:r>
            <w:r w:rsidR="00267A4E">
              <w:rPr>
                <w:sz w:val="24"/>
              </w:rPr>
              <w:t>083</w:t>
            </w:r>
            <w:r w:rsidR="00D248C2" w:rsidRPr="007C1F7A">
              <w:rPr>
                <w:sz w:val="24"/>
              </w:rPr>
              <w:t xml:space="preserve"> x </w:t>
            </w:r>
            <w:r w:rsidR="007F31E8">
              <w:rPr>
                <w:sz w:val="24"/>
              </w:rPr>
              <w:t>98</w:t>
            </w:r>
            <w:r w:rsidR="00D248C2" w:rsidRPr="007C1F7A">
              <w:rPr>
                <w:sz w:val="24"/>
              </w:rPr>
              <w:t xml:space="preserve">) x </w:t>
            </w:r>
            <w:r w:rsidR="007F31E8">
              <w:rPr>
                <w:sz w:val="24"/>
              </w:rPr>
              <w:t>921</w:t>
            </w:r>
            <w:r w:rsidR="00210635" w:rsidRPr="007C1F7A">
              <w:rPr>
                <w:sz w:val="24"/>
              </w:rPr>
              <w:t xml:space="preserve"> = </w:t>
            </w:r>
            <w:r w:rsidR="007F31E8">
              <w:rPr>
                <w:sz w:val="24"/>
              </w:rPr>
              <w:t>7,722</w:t>
            </w:r>
            <w:r w:rsidR="00D248C2" w:rsidRPr="007C1F7A">
              <w:rPr>
                <w:sz w:val="24"/>
              </w:rPr>
              <w:t xml:space="preserve"> </w:t>
            </w:r>
            <w:r w:rsidR="00210635" w:rsidRPr="007C1F7A">
              <w:rPr>
                <w:sz w:val="24"/>
              </w:rPr>
              <w:t>hours</w:t>
            </w:r>
          </w:p>
        </w:tc>
        <w:tc>
          <w:tcPr>
            <w:tcW w:w="804" w:type="pct"/>
          </w:tcPr>
          <w:p w14:paraId="0850E447" w14:textId="667CA7A0" w:rsidR="00210635" w:rsidRPr="007C1F7A" w:rsidRDefault="00210635" w:rsidP="007C1F7A">
            <w:pPr>
              <w:widowControl/>
              <w:tabs>
                <w:tab w:val="right" w:pos="2214"/>
              </w:tabs>
              <w:rPr>
                <w:sz w:val="24"/>
              </w:rPr>
            </w:pPr>
            <w:r w:rsidRPr="007C1F7A">
              <w:rPr>
                <w:sz w:val="24"/>
              </w:rPr>
              <w:t>$</w:t>
            </w:r>
            <w:r w:rsidR="00B0172E">
              <w:rPr>
                <w:sz w:val="24"/>
              </w:rPr>
              <w:t>342</w:t>
            </w:r>
            <w:r w:rsidRPr="007C1F7A">
              <w:rPr>
                <w:sz w:val="24"/>
              </w:rPr>
              <w:t xml:space="preserve"> </w:t>
            </w:r>
          </w:p>
        </w:tc>
        <w:tc>
          <w:tcPr>
            <w:tcW w:w="1245" w:type="pct"/>
          </w:tcPr>
          <w:p w14:paraId="22522EA5" w14:textId="2B2E7DCC" w:rsidR="00210635" w:rsidRPr="007C1F7A" w:rsidRDefault="00210635" w:rsidP="00B0172E">
            <w:pPr>
              <w:widowControl/>
              <w:tabs>
                <w:tab w:val="right" w:pos="2214"/>
              </w:tabs>
              <w:rPr>
                <w:sz w:val="24"/>
              </w:rPr>
            </w:pPr>
            <w:r w:rsidRPr="007C1F7A">
              <w:rPr>
                <w:sz w:val="24"/>
              </w:rPr>
              <w:t>$</w:t>
            </w:r>
            <w:r w:rsidR="00B0172E">
              <w:rPr>
                <w:sz w:val="24"/>
              </w:rPr>
              <w:t>342</w:t>
            </w:r>
            <w:r w:rsidRPr="007C1F7A">
              <w:rPr>
                <w:sz w:val="24"/>
              </w:rPr>
              <w:t xml:space="preserve"> x </w:t>
            </w:r>
            <w:r w:rsidR="00B0172E">
              <w:rPr>
                <w:sz w:val="24"/>
              </w:rPr>
              <w:t>921</w:t>
            </w:r>
            <w:r w:rsidRPr="007C1F7A">
              <w:rPr>
                <w:sz w:val="24"/>
              </w:rPr>
              <w:t xml:space="preserve"> = $</w:t>
            </w:r>
            <w:r w:rsidR="00B0172E">
              <w:rPr>
                <w:sz w:val="24"/>
              </w:rPr>
              <w:t>314,982</w:t>
            </w:r>
          </w:p>
        </w:tc>
      </w:tr>
    </w:tbl>
    <w:p w14:paraId="0D2C6F18" w14:textId="77777777" w:rsidR="00210635" w:rsidRDefault="00210635" w:rsidP="002106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7CAEA1AA" w14:textId="77777777" w:rsidR="00143449" w:rsidRPr="00143449" w:rsidRDefault="00143449" w:rsidP="00143449">
      <w:pPr>
        <w:pStyle w:val="ListParagraph"/>
        <w:widowControl/>
        <w:numPr>
          <w:ilvl w:val="0"/>
          <w:numId w:val="41"/>
        </w:numPr>
        <w:rPr>
          <w:b/>
          <w:sz w:val="24"/>
          <w:u w:val="single"/>
        </w:rPr>
      </w:pPr>
      <w:r w:rsidRPr="00143449">
        <w:rPr>
          <w:b/>
          <w:sz w:val="24"/>
          <w:u w:val="single"/>
        </w:rPr>
        <w:t>Notification Requirement for Suppliers that Choose Not to Grandfather</w:t>
      </w:r>
    </w:p>
    <w:p w14:paraId="527CEE91" w14:textId="77777777" w:rsidR="008A204F" w:rsidRDefault="008A204F" w:rsidP="008A204F">
      <w:pPr>
        <w:pStyle w:val="ListParagraph"/>
        <w:widowControl/>
        <w:ind w:left="1080"/>
        <w:rPr>
          <w:b/>
          <w:sz w:val="24"/>
        </w:rPr>
      </w:pPr>
    </w:p>
    <w:p w14:paraId="1DD91B9A" w14:textId="77777777" w:rsidR="00143449" w:rsidRPr="00143449" w:rsidRDefault="00143449" w:rsidP="00143449">
      <w:pPr>
        <w:pStyle w:val="ListParagraph"/>
        <w:widowControl/>
        <w:numPr>
          <w:ilvl w:val="0"/>
          <w:numId w:val="42"/>
        </w:numPr>
        <w:rPr>
          <w:b/>
          <w:sz w:val="24"/>
        </w:rPr>
      </w:pPr>
      <w:r w:rsidRPr="00143449">
        <w:rPr>
          <w:b/>
          <w:sz w:val="24"/>
        </w:rPr>
        <w:t>30-day Notification to the Beneficiary</w:t>
      </w:r>
    </w:p>
    <w:p w14:paraId="2D049E24" w14:textId="77777777" w:rsidR="008A204F" w:rsidRDefault="008A204F" w:rsidP="008A204F">
      <w:pPr>
        <w:widowControl/>
        <w:rPr>
          <w:sz w:val="24"/>
        </w:rPr>
      </w:pPr>
    </w:p>
    <w:p w14:paraId="25339196" w14:textId="2003E258" w:rsidR="00143449" w:rsidRPr="00143449" w:rsidRDefault="00143449" w:rsidP="008A204F">
      <w:pPr>
        <w:widowControl/>
        <w:rPr>
          <w:sz w:val="24"/>
        </w:rPr>
      </w:pPr>
      <w:r w:rsidRPr="00143449">
        <w:rPr>
          <w:sz w:val="24"/>
        </w:rPr>
        <w:t xml:space="preserve">We assume that suppliers </w:t>
      </w:r>
      <w:r w:rsidR="00BC6328">
        <w:rPr>
          <w:sz w:val="24"/>
        </w:rPr>
        <w:t>that</w:t>
      </w:r>
      <w:r w:rsidRPr="00143449">
        <w:rPr>
          <w:sz w:val="24"/>
        </w:rPr>
        <w:t xml:space="preserve"> choose not to grandfather, which </w:t>
      </w:r>
      <w:r w:rsidR="00AD2120">
        <w:rPr>
          <w:sz w:val="24"/>
        </w:rPr>
        <w:t xml:space="preserve">we estimate will </w:t>
      </w:r>
      <w:r w:rsidRPr="00143449">
        <w:rPr>
          <w:sz w:val="24"/>
        </w:rPr>
        <w:t>represent 10% of the suppliers</w:t>
      </w:r>
      <w:r w:rsidR="00AD2120">
        <w:rPr>
          <w:sz w:val="24"/>
        </w:rPr>
        <w:t xml:space="preserve"> that will be renting competitively bid DME or oxygen to beneficiaries when the program goes into effect for a round</w:t>
      </w:r>
      <w:r w:rsidRPr="00143449">
        <w:rPr>
          <w:sz w:val="24"/>
        </w:rPr>
        <w:t xml:space="preserve">, will incur </w:t>
      </w:r>
      <w:r w:rsidR="00E37CFD">
        <w:rPr>
          <w:sz w:val="24"/>
        </w:rPr>
        <w:t>the same per beneficiary cost</w:t>
      </w:r>
      <w:r w:rsidRPr="00143449">
        <w:rPr>
          <w:sz w:val="24"/>
        </w:rPr>
        <w:t xml:space="preserve"> of developing and sending the 30-day notification to a beneficiary </w:t>
      </w:r>
      <w:r w:rsidR="00E37CFD">
        <w:rPr>
          <w:sz w:val="24"/>
        </w:rPr>
        <w:t>as</w:t>
      </w:r>
      <w:r w:rsidR="00E37CFD" w:rsidRPr="00143449">
        <w:rPr>
          <w:sz w:val="24"/>
        </w:rPr>
        <w:t xml:space="preserve"> </w:t>
      </w:r>
      <w:r w:rsidRPr="00143449">
        <w:rPr>
          <w:sz w:val="24"/>
        </w:rPr>
        <w:t>those suppliers that choose to grandfather.  The estimated aggregate cost for suppliers</w:t>
      </w:r>
      <w:r w:rsidR="00E37CFD">
        <w:rPr>
          <w:sz w:val="24"/>
        </w:rPr>
        <w:t xml:space="preserve"> that choose not to </w:t>
      </w:r>
      <w:r w:rsidR="00A54903">
        <w:rPr>
          <w:sz w:val="24"/>
        </w:rPr>
        <w:t xml:space="preserve">grandfather </w:t>
      </w:r>
      <w:r w:rsidR="00A54903" w:rsidRPr="00143449">
        <w:rPr>
          <w:sz w:val="24"/>
        </w:rPr>
        <w:t>to</w:t>
      </w:r>
      <w:r w:rsidRPr="00143449">
        <w:rPr>
          <w:sz w:val="24"/>
        </w:rPr>
        <w:t xml:space="preserve"> provide the 30-day notification to the beneficiary is $</w:t>
      </w:r>
      <w:r w:rsidR="00B73B92">
        <w:rPr>
          <w:sz w:val="24"/>
        </w:rPr>
        <w:t>34,884</w:t>
      </w:r>
      <w:r w:rsidRPr="00143449">
        <w:rPr>
          <w:sz w:val="24"/>
        </w:rPr>
        <w:t xml:space="preserve"> ($</w:t>
      </w:r>
      <w:r w:rsidR="00B73B92">
        <w:rPr>
          <w:sz w:val="24"/>
        </w:rPr>
        <w:t>342</w:t>
      </w:r>
      <w:r w:rsidRPr="00143449">
        <w:rPr>
          <w:sz w:val="24"/>
        </w:rPr>
        <w:t xml:space="preserve"> total cost per supplier x 1</w:t>
      </w:r>
      <w:r w:rsidR="00B73B92">
        <w:rPr>
          <w:sz w:val="24"/>
        </w:rPr>
        <w:t>02</w:t>
      </w:r>
      <w:r w:rsidRPr="00143449">
        <w:rPr>
          <w:sz w:val="24"/>
        </w:rPr>
        <w:t xml:space="preserve"> non-grandfathered suppliers = $</w:t>
      </w:r>
      <w:r w:rsidR="00B73B92">
        <w:rPr>
          <w:sz w:val="24"/>
        </w:rPr>
        <w:t>34,884</w:t>
      </w:r>
      <w:r w:rsidRPr="00143449">
        <w:rPr>
          <w:sz w:val="24"/>
        </w:rPr>
        <w:t>)</w:t>
      </w:r>
      <w:r w:rsidR="005435BE">
        <w:rPr>
          <w:sz w:val="24"/>
        </w:rPr>
        <w:t xml:space="preserve"> for Round 1 </w:t>
      </w:r>
      <w:r w:rsidR="00B73B92">
        <w:rPr>
          <w:sz w:val="24"/>
        </w:rPr>
        <w:t>2017</w:t>
      </w:r>
      <w:r w:rsidRPr="00143449">
        <w:rPr>
          <w:sz w:val="24"/>
        </w:rPr>
        <w:t>. The estimate of 1</w:t>
      </w:r>
      <w:r w:rsidR="00B73B92">
        <w:rPr>
          <w:sz w:val="24"/>
        </w:rPr>
        <w:t>02</w:t>
      </w:r>
      <w:r w:rsidRPr="00143449">
        <w:rPr>
          <w:sz w:val="24"/>
        </w:rPr>
        <w:t xml:space="preserve"> suppliers not choosing to be grandfathered suppliers represents 10% of the total number of suppliers.</w:t>
      </w:r>
      <w:r w:rsidR="005435BE">
        <w:rPr>
          <w:sz w:val="24"/>
        </w:rPr>
        <w:t xml:space="preserve"> </w:t>
      </w:r>
    </w:p>
    <w:p w14:paraId="4664FE69" w14:textId="77777777" w:rsidR="001A0FDE" w:rsidRDefault="001A0FDE" w:rsidP="008A204F">
      <w:pPr>
        <w:widowControl/>
        <w:rPr>
          <w:sz w:val="24"/>
        </w:rPr>
      </w:pPr>
    </w:p>
    <w:p w14:paraId="2B80D099" w14:textId="77777777" w:rsidR="00143449" w:rsidRDefault="00D3761A" w:rsidP="008A204F">
      <w:pPr>
        <w:widowControl/>
        <w:rPr>
          <w:sz w:val="24"/>
        </w:rPr>
      </w:pPr>
      <w:r>
        <w:rPr>
          <w:sz w:val="24"/>
        </w:rPr>
        <w:t>S</w:t>
      </w:r>
      <w:r w:rsidR="00A54903">
        <w:rPr>
          <w:sz w:val="24"/>
        </w:rPr>
        <w:t xml:space="preserve">uppliers </w:t>
      </w:r>
      <w:r w:rsidR="00BC6328">
        <w:rPr>
          <w:sz w:val="24"/>
        </w:rPr>
        <w:t>that</w:t>
      </w:r>
      <w:r w:rsidR="00143449" w:rsidRPr="00143449">
        <w:rPr>
          <w:sz w:val="24"/>
        </w:rPr>
        <w:t xml:space="preserve"> choose not to become a grandfathered supplier will also incur the cost of the 10-day and 2-day notification</w:t>
      </w:r>
      <w:r w:rsidR="00A54903">
        <w:rPr>
          <w:sz w:val="24"/>
        </w:rPr>
        <w:t>s</w:t>
      </w:r>
      <w:r w:rsidR="00143449" w:rsidRPr="00143449">
        <w:rPr>
          <w:sz w:val="24"/>
        </w:rPr>
        <w:t>.</w:t>
      </w:r>
    </w:p>
    <w:p w14:paraId="07CF37E1" w14:textId="77777777" w:rsidR="008A204F" w:rsidRDefault="008A204F" w:rsidP="008A204F">
      <w:pPr>
        <w:pStyle w:val="ListParagraph"/>
        <w:widowControl/>
        <w:ind w:left="1080"/>
        <w:rPr>
          <w:b/>
          <w:sz w:val="24"/>
        </w:rPr>
      </w:pPr>
    </w:p>
    <w:p w14:paraId="41F0ACA2" w14:textId="77777777" w:rsidR="009D78BF" w:rsidRPr="009D78BF" w:rsidRDefault="009D78BF" w:rsidP="009D78BF">
      <w:pPr>
        <w:pStyle w:val="ListParagraph"/>
        <w:widowControl/>
        <w:ind w:left="1080"/>
        <w:rPr>
          <w:b/>
          <w:sz w:val="24"/>
        </w:rPr>
      </w:pPr>
    </w:p>
    <w:p w14:paraId="2146AE57" w14:textId="77777777" w:rsidR="009D78BF" w:rsidRDefault="009D78BF" w:rsidP="009D78BF">
      <w:pPr>
        <w:pStyle w:val="ListParagraph"/>
        <w:widowControl/>
        <w:ind w:left="1080"/>
        <w:rPr>
          <w:b/>
          <w:sz w:val="24"/>
        </w:rPr>
      </w:pPr>
    </w:p>
    <w:p w14:paraId="339F725A" w14:textId="77777777" w:rsidR="00143449" w:rsidRPr="00143449" w:rsidRDefault="00143449" w:rsidP="00143449">
      <w:pPr>
        <w:pStyle w:val="ListParagraph"/>
        <w:widowControl/>
        <w:numPr>
          <w:ilvl w:val="0"/>
          <w:numId w:val="42"/>
        </w:numPr>
        <w:rPr>
          <w:b/>
          <w:sz w:val="24"/>
        </w:rPr>
      </w:pPr>
      <w:r w:rsidRPr="00143449">
        <w:rPr>
          <w:b/>
          <w:sz w:val="24"/>
        </w:rPr>
        <w:t>10-day and 2-day Notification</w:t>
      </w:r>
    </w:p>
    <w:p w14:paraId="06F2C8B5" w14:textId="77777777" w:rsidR="008A204F" w:rsidRDefault="008A204F" w:rsidP="008A204F">
      <w:pPr>
        <w:widowControl/>
        <w:rPr>
          <w:sz w:val="24"/>
        </w:rPr>
      </w:pPr>
    </w:p>
    <w:p w14:paraId="2B0A6B59" w14:textId="77777777" w:rsidR="00143449" w:rsidRPr="00143449" w:rsidRDefault="00143449" w:rsidP="008A204F">
      <w:pPr>
        <w:widowControl/>
        <w:rPr>
          <w:sz w:val="24"/>
        </w:rPr>
      </w:pPr>
      <w:r w:rsidRPr="00143449">
        <w:rPr>
          <w:sz w:val="24"/>
        </w:rPr>
        <w:t xml:space="preserve">For the 10-day notification to a beneficiary, we assume the supplier would make at least </w:t>
      </w:r>
      <w:r w:rsidR="00BC6328">
        <w:rPr>
          <w:sz w:val="24"/>
        </w:rPr>
        <w:t>one</w:t>
      </w:r>
      <w:r w:rsidRPr="00143449">
        <w:rPr>
          <w:sz w:val="24"/>
        </w:rPr>
        <w:t xml:space="preserve"> phone call that would take an average of 15 minutes to discuss that the beneficiary must switch to a contract supplier, the schedule for picking up the current equipment by the noncontract supplier, and the delivery of new equipment by the contract supplier. For the 2-day notification to the beneficiary, we assume that the supplier would make at least </w:t>
      </w:r>
      <w:r w:rsidR="008063F0">
        <w:rPr>
          <w:sz w:val="24"/>
        </w:rPr>
        <w:t>one</w:t>
      </w:r>
      <w:r w:rsidRPr="00143449">
        <w:rPr>
          <w:sz w:val="24"/>
        </w:rPr>
        <w:t xml:space="preserve"> phone call that would take an average of 15 minutes to ensure that all of the arrangements are finalized and to answer any last minute questions. We anticipate that clerical staff would perform both of these tasks. </w:t>
      </w:r>
    </w:p>
    <w:p w14:paraId="49C4F386" w14:textId="77777777" w:rsidR="008A204F" w:rsidRDefault="008A204F" w:rsidP="00143449">
      <w:pPr>
        <w:widowControl/>
        <w:ind w:firstLine="720"/>
        <w:rPr>
          <w:sz w:val="24"/>
        </w:rPr>
      </w:pPr>
    </w:p>
    <w:p w14:paraId="23BF2C61" w14:textId="388ECAE0" w:rsidR="00143449" w:rsidRDefault="00A54903" w:rsidP="008A204F">
      <w:pPr>
        <w:widowControl/>
        <w:rPr>
          <w:sz w:val="24"/>
        </w:rPr>
      </w:pPr>
      <w:r>
        <w:rPr>
          <w:sz w:val="24"/>
        </w:rPr>
        <w:t>T</w:t>
      </w:r>
      <w:r w:rsidR="00143449" w:rsidRPr="00143449">
        <w:rPr>
          <w:sz w:val="24"/>
        </w:rPr>
        <w:t xml:space="preserve">he estimated </w:t>
      </w:r>
      <w:r>
        <w:rPr>
          <w:sz w:val="24"/>
        </w:rPr>
        <w:t xml:space="preserve">per beneficiary </w:t>
      </w:r>
      <w:r w:rsidR="00143449" w:rsidRPr="00143449">
        <w:rPr>
          <w:sz w:val="24"/>
        </w:rPr>
        <w:t>cost of the 10-day notification totals $</w:t>
      </w:r>
      <w:r w:rsidR="00CC4974">
        <w:rPr>
          <w:sz w:val="24"/>
        </w:rPr>
        <w:t>4.33</w:t>
      </w:r>
      <w:r w:rsidR="00143449" w:rsidRPr="00143449">
        <w:rPr>
          <w:sz w:val="24"/>
        </w:rPr>
        <w:t xml:space="preserve"> (0.25 of an hour x $</w:t>
      </w:r>
      <w:r w:rsidR="00CC4974">
        <w:rPr>
          <w:sz w:val="24"/>
        </w:rPr>
        <w:t>17.30</w:t>
      </w:r>
      <w:r w:rsidR="00143449" w:rsidRPr="00143449">
        <w:rPr>
          <w:sz w:val="24"/>
        </w:rPr>
        <w:t xml:space="preserve"> per hour for clerical staff based on the 20</w:t>
      </w:r>
      <w:r w:rsidR="009450B7">
        <w:rPr>
          <w:sz w:val="24"/>
        </w:rPr>
        <w:t>1</w:t>
      </w:r>
      <w:r w:rsidR="00CC4974">
        <w:rPr>
          <w:sz w:val="24"/>
        </w:rPr>
        <w:t>4</w:t>
      </w:r>
      <w:r w:rsidR="00143449" w:rsidRPr="00143449">
        <w:rPr>
          <w:sz w:val="24"/>
        </w:rPr>
        <w:t xml:space="preserve"> Bureau of Labor Statistics including overhead and fringe benefits = $</w:t>
      </w:r>
      <w:r w:rsidR="00CC4974">
        <w:rPr>
          <w:sz w:val="24"/>
        </w:rPr>
        <w:t>4.33</w:t>
      </w:r>
      <w:r w:rsidR="00143449" w:rsidRPr="00143449">
        <w:rPr>
          <w:sz w:val="24"/>
        </w:rPr>
        <w:t>). We assume the cost of the 2-day notification to total $</w:t>
      </w:r>
      <w:r w:rsidR="00376D86">
        <w:rPr>
          <w:sz w:val="24"/>
        </w:rPr>
        <w:t>4.33</w:t>
      </w:r>
      <w:r w:rsidR="00143449" w:rsidRPr="00143449">
        <w:rPr>
          <w:sz w:val="24"/>
        </w:rPr>
        <w:t xml:space="preserve">, as well. Therefore, the 10-day and 2-day notifications for each </w:t>
      </w:r>
      <w:r w:rsidR="00A82AFA">
        <w:rPr>
          <w:sz w:val="24"/>
        </w:rPr>
        <w:t>beneficiary</w:t>
      </w:r>
      <w:r w:rsidR="00A82AFA" w:rsidRPr="00143449">
        <w:rPr>
          <w:sz w:val="24"/>
        </w:rPr>
        <w:t xml:space="preserve"> </w:t>
      </w:r>
      <w:r w:rsidR="00143449" w:rsidRPr="00143449">
        <w:rPr>
          <w:sz w:val="24"/>
        </w:rPr>
        <w:t>would cost approximately $</w:t>
      </w:r>
      <w:r w:rsidR="00376D86">
        <w:rPr>
          <w:sz w:val="24"/>
        </w:rPr>
        <w:t>8.66</w:t>
      </w:r>
      <w:r w:rsidR="00143449" w:rsidRPr="00143449">
        <w:rPr>
          <w:sz w:val="24"/>
        </w:rPr>
        <w:t xml:space="preserve">. </w:t>
      </w:r>
      <w:r w:rsidR="00B234DE">
        <w:rPr>
          <w:sz w:val="24"/>
        </w:rPr>
        <w:t>For</w:t>
      </w:r>
      <w:r w:rsidR="00A82AFA">
        <w:rPr>
          <w:sz w:val="24"/>
        </w:rPr>
        <w:t xml:space="preserve"> </w:t>
      </w:r>
      <w:r w:rsidR="00B234DE">
        <w:rPr>
          <w:sz w:val="24"/>
        </w:rPr>
        <w:t xml:space="preserve">Round 1 </w:t>
      </w:r>
      <w:r w:rsidR="00376D86">
        <w:rPr>
          <w:sz w:val="24"/>
        </w:rPr>
        <w:t>2017</w:t>
      </w:r>
      <w:r w:rsidR="00B234DE">
        <w:rPr>
          <w:sz w:val="24"/>
        </w:rPr>
        <w:t>, t</w:t>
      </w:r>
      <w:r w:rsidR="00B234DE" w:rsidRPr="00143449">
        <w:rPr>
          <w:sz w:val="24"/>
        </w:rPr>
        <w:t xml:space="preserve">he </w:t>
      </w:r>
      <w:r w:rsidR="00143449" w:rsidRPr="00143449">
        <w:rPr>
          <w:sz w:val="24"/>
        </w:rPr>
        <w:t>total cost for each supplier would be approximately $</w:t>
      </w:r>
      <w:r w:rsidR="00376D86">
        <w:rPr>
          <w:sz w:val="24"/>
        </w:rPr>
        <w:t>849</w:t>
      </w:r>
      <w:r w:rsidR="00143449" w:rsidRPr="00143449">
        <w:rPr>
          <w:sz w:val="24"/>
        </w:rPr>
        <w:t xml:space="preserve"> ($</w:t>
      </w:r>
      <w:r w:rsidR="00376D86">
        <w:rPr>
          <w:sz w:val="24"/>
        </w:rPr>
        <w:t>8.66</w:t>
      </w:r>
      <w:r w:rsidR="00143449" w:rsidRPr="00143449">
        <w:rPr>
          <w:sz w:val="24"/>
        </w:rPr>
        <w:t xml:space="preserve"> x </w:t>
      </w:r>
      <w:r w:rsidR="00376D86">
        <w:rPr>
          <w:sz w:val="24"/>
        </w:rPr>
        <w:t>98</w:t>
      </w:r>
      <w:r w:rsidR="00143449" w:rsidRPr="00143449">
        <w:rPr>
          <w:sz w:val="24"/>
        </w:rPr>
        <w:t xml:space="preserve"> beneficiaries = $</w:t>
      </w:r>
      <w:r w:rsidR="00376D86">
        <w:rPr>
          <w:sz w:val="24"/>
        </w:rPr>
        <w:t>849</w:t>
      </w:r>
      <w:r w:rsidR="00143449" w:rsidRPr="00143449">
        <w:rPr>
          <w:sz w:val="24"/>
        </w:rPr>
        <w:t xml:space="preserve">). The estimated aggregate cost for all suppliers to make the 10-day and 2-day notifications </w:t>
      </w:r>
      <w:r w:rsidR="00B234DE">
        <w:rPr>
          <w:sz w:val="24"/>
        </w:rPr>
        <w:t>during</w:t>
      </w:r>
      <w:r w:rsidR="00A82AFA">
        <w:rPr>
          <w:sz w:val="24"/>
        </w:rPr>
        <w:t xml:space="preserve"> </w:t>
      </w:r>
      <w:r w:rsidR="00B234DE">
        <w:rPr>
          <w:sz w:val="24"/>
        </w:rPr>
        <w:t xml:space="preserve">Round 1 </w:t>
      </w:r>
      <w:r w:rsidR="00B12C27">
        <w:rPr>
          <w:sz w:val="24"/>
        </w:rPr>
        <w:t>2017</w:t>
      </w:r>
      <w:r w:rsidR="00B234DE">
        <w:rPr>
          <w:sz w:val="24"/>
        </w:rPr>
        <w:t xml:space="preserve"> </w:t>
      </w:r>
      <w:r w:rsidR="00143449" w:rsidRPr="00143449">
        <w:rPr>
          <w:sz w:val="24"/>
        </w:rPr>
        <w:t>would be approximately $</w:t>
      </w:r>
      <w:r w:rsidR="00D422DD">
        <w:rPr>
          <w:sz w:val="24"/>
        </w:rPr>
        <w:t>86,598</w:t>
      </w:r>
      <w:r w:rsidR="00143449" w:rsidRPr="00143449">
        <w:rPr>
          <w:sz w:val="24"/>
        </w:rPr>
        <w:t xml:space="preserve"> (1</w:t>
      </w:r>
      <w:r w:rsidR="00B12C27">
        <w:rPr>
          <w:sz w:val="24"/>
        </w:rPr>
        <w:t>02</w:t>
      </w:r>
      <w:r w:rsidR="00143449" w:rsidRPr="00143449">
        <w:rPr>
          <w:sz w:val="24"/>
        </w:rPr>
        <w:t xml:space="preserve"> suppliers x $</w:t>
      </w:r>
      <w:r w:rsidR="00D422DD">
        <w:rPr>
          <w:sz w:val="24"/>
        </w:rPr>
        <w:t>849</w:t>
      </w:r>
      <w:r w:rsidR="00143449" w:rsidRPr="00143449">
        <w:rPr>
          <w:sz w:val="24"/>
        </w:rPr>
        <w:t xml:space="preserve"> per supplier = $</w:t>
      </w:r>
      <w:r w:rsidR="00D422DD">
        <w:rPr>
          <w:sz w:val="24"/>
        </w:rPr>
        <w:t>86,598</w:t>
      </w:r>
      <w:r w:rsidR="00143449" w:rsidRPr="00143449">
        <w:rPr>
          <w:sz w:val="24"/>
        </w:rPr>
        <w:t xml:space="preserve">). </w:t>
      </w:r>
    </w:p>
    <w:p w14:paraId="781650C3" w14:textId="77777777" w:rsidR="008A204F" w:rsidRDefault="008A204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0B254CA4" w14:textId="77777777" w:rsidR="008063F0" w:rsidRDefault="008063F0" w:rsidP="008063F0">
      <w:pPr>
        <w:pStyle w:val="ListParagraph"/>
        <w:widowControl/>
        <w:numPr>
          <w:ilvl w:val="0"/>
          <w:numId w:val="42"/>
        </w:numPr>
        <w:rPr>
          <w:b/>
          <w:sz w:val="24"/>
        </w:rPr>
      </w:pPr>
      <w:r>
        <w:rPr>
          <w:b/>
          <w:sz w:val="24"/>
        </w:rPr>
        <w:t>Total Burden to Suppliers that Choose Not to Grandfather</w:t>
      </w:r>
    </w:p>
    <w:p w14:paraId="30F9F689" w14:textId="77777777" w:rsidR="00D01602" w:rsidRPr="00143449" w:rsidRDefault="00D01602" w:rsidP="00D674BA">
      <w:pPr>
        <w:pStyle w:val="ListParagraph"/>
        <w:widowControl/>
        <w:ind w:left="1080"/>
        <w:rPr>
          <w:b/>
          <w:sz w:val="24"/>
        </w:rPr>
      </w:pPr>
    </w:p>
    <w:p w14:paraId="0073C023" w14:textId="77777777" w:rsidR="008063F0" w:rsidRDefault="008063F0" w:rsidP="008063F0">
      <w:pPr>
        <w:widowControl/>
        <w:rPr>
          <w:sz w:val="24"/>
        </w:rPr>
      </w:pPr>
      <w:r>
        <w:rPr>
          <w:sz w:val="24"/>
        </w:rPr>
        <w:t>The following chart summarizes the approximate time and cost for suppliers that choose not to grandfather to comply with the mandatory notification requirements.</w:t>
      </w:r>
    </w:p>
    <w:p w14:paraId="739EB470" w14:textId="77777777" w:rsidR="00FB47C0" w:rsidRDefault="00FB47C0" w:rsidP="0058106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center"/>
        <w:rPr>
          <w:b/>
          <w:sz w:val="24"/>
        </w:rPr>
      </w:pPr>
    </w:p>
    <w:p w14:paraId="2A7D0F98" w14:textId="77777777" w:rsidR="00581060" w:rsidRPr="008A204F" w:rsidRDefault="00581060" w:rsidP="0058106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center"/>
        <w:rPr>
          <w:b/>
          <w:sz w:val="24"/>
        </w:rPr>
      </w:pPr>
      <w:r w:rsidRPr="008A204F">
        <w:rPr>
          <w:b/>
          <w:sz w:val="24"/>
        </w:rPr>
        <w:t xml:space="preserve">Approximate </w:t>
      </w:r>
      <w:r>
        <w:rPr>
          <w:b/>
          <w:sz w:val="24"/>
        </w:rPr>
        <w:t>Burden to</w:t>
      </w:r>
      <w:r w:rsidRPr="008A204F">
        <w:rPr>
          <w:b/>
          <w:sz w:val="24"/>
        </w:rPr>
        <w:t xml:space="preserve"> Suppliers</w:t>
      </w:r>
      <w:r>
        <w:rPr>
          <w:b/>
          <w:sz w:val="24"/>
        </w:rPr>
        <w:t xml:space="preserve"> </w:t>
      </w:r>
      <w:r w:rsidR="008063F0">
        <w:rPr>
          <w:b/>
          <w:sz w:val="24"/>
        </w:rPr>
        <w:t xml:space="preserve">that </w:t>
      </w:r>
      <w:r>
        <w:rPr>
          <w:b/>
          <w:sz w:val="24"/>
        </w:rPr>
        <w:t>Choose Not to Grandfather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9"/>
        <w:gridCol w:w="2578"/>
        <w:gridCol w:w="1714"/>
        <w:gridCol w:w="1297"/>
        <w:gridCol w:w="1552"/>
      </w:tblGrid>
      <w:tr w:rsidR="00301104" w:rsidRPr="008A204F" w14:paraId="7854FEC9" w14:textId="77777777" w:rsidTr="00D579FF">
        <w:tc>
          <w:tcPr>
            <w:tcW w:w="0" w:type="auto"/>
          </w:tcPr>
          <w:p w14:paraId="1ACC169C" w14:textId="77777777" w:rsidR="00301104" w:rsidRPr="007C1F7A" w:rsidRDefault="00301104" w:rsidP="007C1F7A">
            <w:pPr>
              <w:widowControl/>
              <w:rPr>
                <w:b/>
                <w:sz w:val="24"/>
              </w:rPr>
            </w:pPr>
          </w:p>
        </w:tc>
        <w:tc>
          <w:tcPr>
            <w:tcW w:w="0" w:type="auto"/>
            <w:gridSpan w:val="2"/>
          </w:tcPr>
          <w:p w14:paraId="228C10BA" w14:textId="77777777" w:rsidR="00301104" w:rsidRPr="007C1F7A" w:rsidRDefault="00301104" w:rsidP="007C1F7A">
            <w:pPr>
              <w:widowControl/>
              <w:jc w:val="center"/>
              <w:rPr>
                <w:b/>
                <w:sz w:val="24"/>
              </w:rPr>
            </w:pPr>
            <w:r w:rsidRPr="007C1F7A">
              <w:rPr>
                <w:b/>
                <w:sz w:val="24"/>
              </w:rPr>
              <w:t>Hours</w:t>
            </w:r>
          </w:p>
        </w:tc>
        <w:tc>
          <w:tcPr>
            <w:tcW w:w="0" w:type="auto"/>
            <w:gridSpan w:val="2"/>
          </w:tcPr>
          <w:p w14:paraId="726A6FEE" w14:textId="77777777" w:rsidR="00301104" w:rsidRPr="007C1F7A" w:rsidRDefault="00301104" w:rsidP="007C1F7A">
            <w:pPr>
              <w:widowControl/>
              <w:jc w:val="center"/>
              <w:rPr>
                <w:b/>
                <w:sz w:val="24"/>
              </w:rPr>
            </w:pPr>
            <w:r w:rsidRPr="007C1F7A">
              <w:rPr>
                <w:b/>
                <w:sz w:val="24"/>
              </w:rPr>
              <w:t>Cost</w:t>
            </w:r>
          </w:p>
        </w:tc>
      </w:tr>
      <w:tr w:rsidR="00301104" w:rsidRPr="008A204F" w14:paraId="0C7CDD8D" w14:textId="77777777" w:rsidTr="00D579FF">
        <w:tc>
          <w:tcPr>
            <w:tcW w:w="0" w:type="auto"/>
          </w:tcPr>
          <w:p w14:paraId="6FBF52A3" w14:textId="77777777" w:rsidR="00301104" w:rsidRPr="007C1F7A" w:rsidRDefault="00301104" w:rsidP="007C1F7A">
            <w:pPr>
              <w:widowControl/>
              <w:rPr>
                <w:b/>
                <w:sz w:val="24"/>
              </w:rPr>
            </w:pPr>
          </w:p>
        </w:tc>
        <w:tc>
          <w:tcPr>
            <w:tcW w:w="0" w:type="auto"/>
          </w:tcPr>
          <w:p w14:paraId="19D22D87" w14:textId="77777777" w:rsidR="00301104" w:rsidRPr="007C1F7A" w:rsidRDefault="00301104" w:rsidP="007C1F7A">
            <w:pPr>
              <w:widowControl/>
              <w:rPr>
                <w:b/>
                <w:sz w:val="24"/>
              </w:rPr>
            </w:pPr>
            <w:r w:rsidRPr="007C1F7A">
              <w:rPr>
                <w:b/>
                <w:sz w:val="24"/>
              </w:rPr>
              <w:t>Per Supplier</w:t>
            </w:r>
          </w:p>
        </w:tc>
        <w:tc>
          <w:tcPr>
            <w:tcW w:w="0" w:type="auto"/>
          </w:tcPr>
          <w:p w14:paraId="2F2966B1" w14:textId="77777777" w:rsidR="00301104" w:rsidRPr="007C1F7A" w:rsidRDefault="00301104" w:rsidP="007C1F7A">
            <w:pPr>
              <w:widowControl/>
              <w:rPr>
                <w:b/>
                <w:sz w:val="24"/>
              </w:rPr>
            </w:pPr>
            <w:r w:rsidRPr="007C1F7A">
              <w:rPr>
                <w:b/>
                <w:sz w:val="24"/>
              </w:rPr>
              <w:t>Aggregate</w:t>
            </w:r>
          </w:p>
        </w:tc>
        <w:tc>
          <w:tcPr>
            <w:tcW w:w="0" w:type="auto"/>
          </w:tcPr>
          <w:p w14:paraId="62555530" w14:textId="77777777" w:rsidR="00301104" w:rsidRPr="007C1F7A" w:rsidRDefault="00301104" w:rsidP="007C1F7A">
            <w:pPr>
              <w:widowControl/>
              <w:rPr>
                <w:b/>
                <w:sz w:val="24"/>
              </w:rPr>
            </w:pPr>
            <w:r w:rsidRPr="007C1F7A">
              <w:rPr>
                <w:b/>
                <w:sz w:val="24"/>
              </w:rPr>
              <w:t>Per Supplier</w:t>
            </w:r>
          </w:p>
        </w:tc>
        <w:tc>
          <w:tcPr>
            <w:tcW w:w="0" w:type="auto"/>
          </w:tcPr>
          <w:p w14:paraId="7EB1F7D0" w14:textId="77777777" w:rsidR="00301104" w:rsidRPr="007C1F7A" w:rsidRDefault="00301104" w:rsidP="007C1F7A">
            <w:pPr>
              <w:widowControl/>
              <w:rPr>
                <w:b/>
                <w:sz w:val="24"/>
              </w:rPr>
            </w:pPr>
            <w:r w:rsidRPr="007C1F7A">
              <w:rPr>
                <w:b/>
                <w:sz w:val="24"/>
              </w:rPr>
              <w:t>Aggregate</w:t>
            </w:r>
          </w:p>
        </w:tc>
      </w:tr>
      <w:tr w:rsidR="00301104" w:rsidRPr="008A204F" w14:paraId="50607E76" w14:textId="77777777" w:rsidTr="00D579FF">
        <w:tc>
          <w:tcPr>
            <w:tcW w:w="0" w:type="auto"/>
          </w:tcPr>
          <w:p w14:paraId="2D4C2EC9" w14:textId="03317A5A" w:rsidR="00301104" w:rsidRPr="007C1F7A" w:rsidRDefault="00E51DB8" w:rsidP="00CE0B97">
            <w:pPr>
              <w:widowControl/>
              <w:rPr>
                <w:b/>
                <w:sz w:val="24"/>
              </w:rPr>
            </w:pPr>
            <w:r>
              <w:rPr>
                <w:b/>
                <w:sz w:val="24"/>
              </w:rPr>
              <w:t xml:space="preserve">Round 1 </w:t>
            </w:r>
            <w:r w:rsidR="00CE0B97">
              <w:rPr>
                <w:b/>
                <w:sz w:val="24"/>
              </w:rPr>
              <w:t>2017</w:t>
            </w:r>
            <w:r>
              <w:rPr>
                <w:b/>
                <w:sz w:val="24"/>
              </w:rPr>
              <w:t xml:space="preserve"> </w:t>
            </w:r>
            <w:r w:rsidR="00301104" w:rsidRPr="007C1F7A">
              <w:rPr>
                <w:b/>
                <w:sz w:val="24"/>
              </w:rPr>
              <w:t>30-Day Notification to Beneficiary</w:t>
            </w:r>
          </w:p>
        </w:tc>
        <w:tc>
          <w:tcPr>
            <w:tcW w:w="0" w:type="auto"/>
          </w:tcPr>
          <w:p w14:paraId="5EAB9036" w14:textId="66765A16" w:rsidR="00301104" w:rsidRPr="007C1F7A" w:rsidRDefault="005E4CE3" w:rsidP="007C1F7A">
            <w:pPr>
              <w:widowControl/>
              <w:tabs>
                <w:tab w:val="right" w:pos="2214"/>
              </w:tabs>
              <w:rPr>
                <w:sz w:val="24"/>
              </w:rPr>
            </w:pPr>
            <w:r>
              <w:rPr>
                <w:sz w:val="24"/>
              </w:rPr>
              <w:t>.</w:t>
            </w:r>
            <w:r w:rsidR="00255BB7" w:rsidRPr="007C1F7A">
              <w:rPr>
                <w:sz w:val="24"/>
              </w:rPr>
              <w:t>2</w:t>
            </w:r>
            <w:r>
              <w:rPr>
                <w:sz w:val="24"/>
              </w:rPr>
              <w:t>5</w:t>
            </w:r>
            <w:r w:rsidR="00255BB7" w:rsidRPr="007C1F7A">
              <w:rPr>
                <w:sz w:val="24"/>
              </w:rPr>
              <w:t xml:space="preserve"> hours for development + (5 minutes per notification x </w:t>
            </w:r>
            <w:r w:rsidR="00CE0B97">
              <w:rPr>
                <w:sz w:val="24"/>
              </w:rPr>
              <w:t>98</w:t>
            </w:r>
            <w:r w:rsidR="00255BB7" w:rsidRPr="007C1F7A">
              <w:rPr>
                <w:sz w:val="24"/>
              </w:rPr>
              <w:t xml:space="preserve"> beneficiaries) = </w:t>
            </w:r>
            <w:r w:rsidR="00CE0B97">
              <w:rPr>
                <w:sz w:val="24"/>
              </w:rPr>
              <w:t>8.4</w:t>
            </w:r>
            <w:r w:rsidR="00255BB7" w:rsidRPr="007C1F7A">
              <w:rPr>
                <w:sz w:val="24"/>
              </w:rPr>
              <w:t xml:space="preserve"> hours </w:t>
            </w:r>
          </w:p>
        </w:tc>
        <w:tc>
          <w:tcPr>
            <w:tcW w:w="0" w:type="auto"/>
          </w:tcPr>
          <w:p w14:paraId="76C8547C" w14:textId="60EB4D10" w:rsidR="00301104" w:rsidRPr="007C1F7A" w:rsidRDefault="002F3A8A" w:rsidP="007C1F7A">
            <w:pPr>
              <w:widowControl/>
              <w:tabs>
                <w:tab w:val="right" w:pos="2214"/>
              </w:tabs>
              <w:rPr>
                <w:sz w:val="24"/>
              </w:rPr>
            </w:pPr>
            <w:r>
              <w:rPr>
                <w:sz w:val="24"/>
              </w:rPr>
              <w:t>(</w:t>
            </w:r>
            <w:r w:rsidR="005E4CE3">
              <w:rPr>
                <w:sz w:val="24"/>
              </w:rPr>
              <w:t>.</w:t>
            </w:r>
            <w:r w:rsidR="00301104" w:rsidRPr="007C1F7A">
              <w:rPr>
                <w:sz w:val="24"/>
              </w:rPr>
              <w:t>2</w:t>
            </w:r>
            <w:r w:rsidR="005E4CE3">
              <w:rPr>
                <w:sz w:val="24"/>
              </w:rPr>
              <w:t>5</w:t>
            </w:r>
            <w:r w:rsidR="00301104" w:rsidRPr="007C1F7A">
              <w:rPr>
                <w:sz w:val="24"/>
              </w:rPr>
              <w:t xml:space="preserve"> hours </w:t>
            </w:r>
            <w:r w:rsidR="00255BB7" w:rsidRPr="007C1F7A">
              <w:rPr>
                <w:sz w:val="24"/>
              </w:rPr>
              <w:t>+</w:t>
            </w:r>
            <w:r w:rsidR="00301104" w:rsidRPr="007C1F7A">
              <w:rPr>
                <w:sz w:val="24"/>
              </w:rPr>
              <w:t xml:space="preserve"> </w:t>
            </w:r>
            <w:r w:rsidR="00255BB7" w:rsidRPr="007C1F7A">
              <w:rPr>
                <w:sz w:val="24"/>
              </w:rPr>
              <w:t>.</w:t>
            </w:r>
            <w:r w:rsidR="005E4CE3">
              <w:rPr>
                <w:sz w:val="24"/>
              </w:rPr>
              <w:t>083</w:t>
            </w:r>
            <w:r w:rsidR="00255BB7" w:rsidRPr="007C1F7A">
              <w:rPr>
                <w:sz w:val="24"/>
              </w:rPr>
              <w:t xml:space="preserve"> x </w:t>
            </w:r>
            <w:r w:rsidR="00CE0B97">
              <w:rPr>
                <w:sz w:val="24"/>
              </w:rPr>
              <w:t>98</w:t>
            </w:r>
            <w:r w:rsidR="00255BB7" w:rsidRPr="007C1F7A">
              <w:rPr>
                <w:sz w:val="24"/>
              </w:rPr>
              <w:t>) x 1</w:t>
            </w:r>
            <w:r w:rsidR="00CE0B97">
              <w:rPr>
                <w:sz w:val="24"/>
              </w:rPr>
              <w:t>02</w:t>
            </w:r>
            <w:r w:rsidR="00255BB7" w:rsidRPr="007C1F7A">
              <w:rPr>
                <w:sz w:val="24"/>
              </w:rPr>
              <w:t xml:space="preserve"> = </w:t>
            </w:r>
            <w:r w:rsidR="00CE0B97">
              <w:rPr>
                <w:sz w:val="24"/>
              </w:rPr>
              <w:t>855</w:t>
            </w:r>
            <w:r w:rsidR="00301104" w:rsidRPr="007C1F7A">
              <w:rPr>
                <w:sz w:val="24"/>
              </w:rPr>
              <w:t xml:space="preserve"> hours</w:t>
            </w:r>
          </w:p>
        </w:tc>
        <w:tc>
          <w:tcPr>
            <w:tcW w:w="0" w:type="auto"/>
          </w:tcPr>
          <w:p w14:paraId="7E5E1653" w14:textId="7A2BA799" w:rsidR="00301104" w:rsidRPr="007C1F7A" w:rsidRDefault="00301104" w:rsidP="007C1F7A">
            <w:pPr>
              <w:widowControl/>
              <w:tabs>
                <w:tab w:val="right" w:pos="2214"/>
              </w:tabs>
              <w:rPr>
                <w:sz w:val="24"/>
              </w:rPr>
            </w:pPr>
            <w:r w:rsidRPr="007C1F7A">
              <w:rPr>
                <w:sz w:val="24"/>
              </w:rPr>
              <w:t>$</w:t>
            </w:r>
            <w:r w:rsidR="00CE0B97">
              <w:rPr>
                <w:sz w:val="24"/>
              </w:rPr>
              <w:t>342</w:t>
            </w:r>
            <w:r w:rsidRPr="007C1F7A">
              <w:rPr>
                <w:sz w:val="24"/>
              </w:rPr>
              <w:t xml:space="preserve"> per supplier</w:t>
            </w:r>
          </w:p>
        </w:tc>
        <w:tc>
          <w:tcPr>
            <w:tcW w:w="0" w:type="auto"/>
          </w:tcPr>
          <w:p w14:paraId="7A8B62F6" w14:textId="041C3F03" w:rsidR="00301104" w:rsidRPr="007C1F7A" w:rsidRDefault="00301104" w:rsidP="00CE0B97">
            <w:pPr>
              <w:widowControl/>
              <w:tabs>
                <w:tab w:val="right" w:pos="2214"/>
              </w:tabs>
              <w:rPr>
                <w:sz w:val="24"/>
              </w:rPr>
            </w:pPr>
            <w:r w:rsidRPr="007C1F7A">
              <w:rPr>
                <w:sz w:val="24"/>
              </w:rPr>
              <w:t>$</w:t>
            </w:r>
            <w:r w:rsidR="00CE0B97">
              <w:rPr>
                <w:sz w:val="24"/>
              </w:rPr>
              <w:t>342</w:t>
            </w:r>
            <w:r w:rsidRPr="007C1F7A">
              <w:rPr>
                <w:sz w:val="24"/>
              </w:rPr>
              <w:t xml:space="preserve"> x 1</w:t>
            </w:r>
            <w:r w:rsidR="00CE0B97">
              <w:rPr>
                <w:sz w:val="24"/>
              </w:rPr>
              <w:t>02</w:t>
            </w:r>
            <w:r w:rsidRPr="007C1F7A">
              <w:rPr>
                <w:sz w:val="24"/>
              </w:rPr>
              <w:t xml:space="preserve"> = $</w:t>
            </w:r>
            <w:r w:rsidR="00CE0B97">
              <w:rPr>
                <w:sz w:val="24"/>
              </w:rPr>
              <w:t>34,884</w:t>
            </w:r>
          </w:p>
        </w:tc>
      </w:tr>
      <w:tr w:rsidR="006F2904" w:rsidRPr="008A204F" w14:paraId="611AA69E" w14:textId="77777777" w:rsidTr="00D579FF">
        <w:tc>
          <w:tcPr>
            <w:tcW w:w="0" w:type="auto"/>
          </w:tcPr>
          <w:p w14:paraId="20E061E4" w14:textId="4AAA1B19" w:rsidR="006F2904" w:rsidRDefault="006F2904" w:rsidP="007C1F7A">
            <w:pPr>
              <w:widowControl/>
              <w:rPr>
                <w:b/>
                <w:sz w:val="24"/>
              </w:rPr>
            </w:pPr>
            <w:r>
              <w:rPr>
                <w:b/>
                <w:sz w:val="24"/>
              </w:rPr>
              <w:t xml:space="preserve">Round 1 </w:t>
            </w:r>
            <w:r w:rsidR="009D0010">
              <w:rPr>
                <w:b/>
                <w:sz w:val="24"/>
              </w:rPr>
              <w:t>2017</w:t>
            </w:r>
            <w:r>
              <w:rPr>
                <w:b/>
                <w:sz w:val="24"/>
              </w:rPr>
              <w:t xml:space="preserve"> </w:t>
            </w:r>
            <w:r w:rsidRPr="007C1F7A">
              <w:rPr>
                <w:b/>
                <w:sz w:val="24"/>
              </w:rPr>
              <w:t>10-Day and 2-Day Notifications</w:t>
            </w:r>
          </w:p>
        </w:tc>
        <w:tc>
          <w:tcPr>
            <w:tcW w:w="0" w:type="auto"/>
          </w:tcPr>
          <w:p w14:paraId="5B182651" w14:textId="553D02F4" w:rsidR="006F2904" w:rsidRPr="007C1F7A" w:rsidRDefault="006F2904" w:rsidP="007C1F7A">
            <w:pPr>
              <w:widowControl/>
              <w:tabs>
                <w:tab w:val="right" w:pos="2214"/>
              </w:tabs>
              <w:rPr>
                <w:sz w:val="24"/>
              </w:rPr>
            </w:pPr>
            <w:r w:rsidRPr="007C1F7A">
              <w:rPr>
                <w:sz w:val="24"/>
              </w:rPr>
              <w:t xml:space="preserve">30 minutes x </w:t>
            </w:r>
            <w:r w:rsidR="00CE0B97">
              <w:rPr>
                <w:sz w:val="24"/>
              </w:rPr>
              <w:t>98</w:t>
            </w:r>
            <w:r w:rsidRPr="007C1F7A">
              <w:rPr>
                <w:sz w:val="24"/>
              </w:rPr>
              <w:t xml:space="preserve"> beneficiaries = </w:t>
            </w:r>
            <w:r w:rsidR="00CE0B97">
              <w:rPr>
                <w:sz w:val="24"/>
              </w:rPr>
              <w:t>49</w:t>
            </w:r>
            <w:r w:rsidRPr="007C1F7A">
              <w:rPr>
                <w:sz w:val="24"/>
              </w:rPr>
              <w:t xml:space="preserve"> hours</w:t>
            </w:r>
          </w:p>
        </w:tc>
        <w:tc>
          <w:tcPr>
            <w:tcW w:w="0" w:type="auto"/>
          </w:tcPr>
          <w:p w14:paraId="4882DDFF" w14:textId="39CBBFE1" w:rsidR="006F2904" w:rsidRPr="007C1F7A" w:rsidRDefault="00AF5241" w:rsidP="007C1F7A">
            <w:pPr>
              <w:widowControl/>
              <w:tabs>
                <w:tab w:val="right" w:pos="2214"/>
              </w:tabs>
              <w:rPr>
                <w:sz w:val="24"/>
              </w:rPr>
            </w:pPr>
            <w:r>
              <w:rPr>
                <w:sz w:val="24"/>
              </w:rPr>
              <w:t>49</w:t>
            </w:r>
            <w:r w:rsidR="006F2904" w:rsidRPr="007C1F7A">
              <w:rPr>
                <w:sz w:val="24"/>
              </w:rPr>
              <w:t xml:space="preserve"> hours x 1</w:t>
            </w:r>
            <w:r>
              <w:rPr>
                <w:sz w:val="24"/>
              </w:rPr>
              <w:t>02</w:t>
            </w:r>
            <w:r w:rsidR="006F2904" w:rsidRPr="007C1F7A">
              <w:rPr>
                <w:sz w:val="24"/>
              </w:rPr>
              <w:t xml:space="preserve"> = </w:t>
            </w:r>
            <w:r>
              <w:rPr>
                <w:sz w:val="24"/>
              </w:rPr>
              <w:t>4,998</w:t>
            </w:r>
          </w:p>
        </w:tc>
        <w:tc>
          <w:tcPr>
            <w:tcW w:w="0" w:type="auto"/>
          </w:tcPr>
          <w:p w14:paraId="5F8B610B" w14:textId="588CE2AB" w:rsidR="006F2904" w:rsidRPr="007C1F7A" w:rsidRDefault="006F2904" w:rsidP="007C1F7A">
            <w:pPr>
              <w:widowControl/>
              <w:tabs>
                <w:tab w:val="right" w:pos="2214"/>
              </w:tabs>
              <w:rPr>
                <w:sz w:val="24"/>
              </w:rPr>
            </w:pPr>
            <w:r w:rsidRPr="007C1F7A">
              <w:rPr>
                <w:sz w:val="24"/>
              </w:rPr>
              <w:t>$</w:t>
            </w:r>
            <w:r w:rsidR="00AF5241">
              <w:rPr>
                <w:sz w:val="24"/>
              </w:rPr>
              <w:t>849</w:t>
            </w:r>
            <w:r w:rsidRPr="007C1F7A">
              <w:rPr>
                <w:sz w:val="24"/>
              </w:rPr>
              <w:t xml:space="preserve"> per supplier</w:t>
            </w:r>
            <w:r w:rsidRPr="007C1F7A">
              <w:rPr>
                <w:sz w:val="24"/>
              </w:rPr>
              <w:tab/>
            </w:r>
          </w:p>
        </w:tc>
        <w:tc>
          <w:tcPr>
            <w:tcW w:w="0" w:type="auto"/>
          </w:tcPr>
          <w:p w14:paraId="0116C1EF" w14:textId="21BEC208" w:rsidR="006F2904" w:rsidRPr="007C1F7A" w:rsidRDefault="006F2904" w:rsidP="00AF5241">
            <w:pPr>
              <w:widowControl/>
              <w:tabs>
                <w:tab w:val="right" w:pos="2214"/>
              </w:tabs>
              <w:rPr>
                <w:sz w:val="24"/>
              </w:rPr>
            </w:pPr>
            <w:r w:rsidRPr="007C1F7A">
              <w:rPr>
                <w:sz w:val="24"/>
              </w:rPr>
              <w:t>$</w:t>
            </w:r>
            <w:r w:rsidR="00AF5241">
              <w:rPr>
                <w:sz w:val="24"/>
              </w:rPr>
              <w:t>849</w:t>
            </w:r>
            <w:r w:rsidRPr="007C1F7A">
              <w:rPr>
                <w:sz w:val="24"/>
              </w:rPr>
              <w:t xml:space="preserve"> x 1</w:t>
            </w:r>
            <w:r w:rsidR="00AF5241">
              <w:rPr>
                <w:sz w:val="24"/>
              </w:rPr>
              <w:t>02</w:t>
            </w:r>
            <w:r w:rsidRPr="007C1F7A">
              <w:rPr>
                <w:sz w:val="24"/>
              </w:rPr>
              <w:t xml:space="preserve"> = $</w:t>
            </w:r>
            <w:r w:rsidR="00AF5241">
              <w:rPr>
                <w:sz w:val="24"/>
              </w:rPr>
              <w:t>86,598</w:t>
            </w:r>
          </w:p>
        </w:tc>
      </w:tr>
      <w:tr w:rsidR="006F2904" w:rsidRPr="008A204F" w14:paraId="0C5E5B31" w14:textId="77777777" w:rsidTr="00D579FF">
        <w:tc>
          <w:tcPr>
            <w:tcW w:w="0" w:type="auto"/>
          </w:tcPr>
          <w:p w14:paraId="5676EF76" w14:textId="2E267656" w:rsidR="006F2904" w:rsidRDefault="006F2904" w:rsidP="007C1F7A">
            <w:pPr>
              <w:widowControl/>
              <w:rPr>
                <w:b/>
                <w:sz w:val="24"/>
              </w:rPr>
            </w:pPr>
            <w:r>
              <w:rPr>
                <w:b/>
                <w:sz w:val="24"/>
              </w:rPr>
              <w:t xml:space="preserve">Round 1 </w:t>
            </w:r>
            <w:r w:rsidR="009D0010">
              <w:rPr>
                <w:b/>
                <w:sz w:val="24"/>
              </w:rPr>
              <w:t>2017</w:t>
            </w:r>
            <w:r>
              <w:rPr>
                <w:b/>
                <w:sz w:val="24"/>
              </w:rPr>
              <w:t xml:space="preserve"> </w:t>
            </w:r>
            <w:r w:rsidRPr="007C1F7A">
              <w:rPr>
                <w:b/>
                <w:sz w:val="24"/>
              </w:rPr>
              <w:t>Aggregate for 30-day notification to the Beneficiary and the 10-Day &amp; 2-Day Notifications</w:t>
            </w:r>
          </w:p>
        </w:tc>
        <w:tc>
          <w:tcPr>
            <w:tcW w:w="0" w:type="auto"/>
          </w:tcPr>
          <w:p w14:paraId="2BCD7509" w14:textId="14969B62" w:rsidR="006F2904" w:rsidRPr="007C1F7A" w:rsidRDefault="009D0010" w:rsidP="009D0010">
            <w:pPr>
              <w:widowControl/>
              <w:tabs>
                <w:tab w:val="right" w:pos="2214"/>
              </w:tabs>
              <w:rPr>
                <w:sz w:val="24"/>
              </w:rPr>
            </w:pPr>
            <w:r>
              <w:rPr>
                <w:sz w:val="24"/>
              </w:rPr>
              <w:t>57.4</w:t>
            </w:r>
            <w:r w:rsidR="006F2904" w:rsidRPr="007C1F7A">
              <w:rPr>
                <w:sz w:val="24"/>
              </w:rPr>
              <w:t xml:space="preserve"> hours</w:t>
            </w:r>
            <w:r>
              <w:rPr>
                <w:sz w:val="24"/>
              </w:rPr>
              <w:t xml:space="preserve"> (8.4 hours + 49 hours)</w:t>
            </w:r>
          </w:p>
        </w:tc>
        <w:tc>
          <w:tcPr>
            <w:tcW w:w="0" w:type="auto"/>
          </w:tcPr>
          <w:p w14:paraId="040F94B8" w14:textId="70D3C5C8" w:rsidR="006F2904" w:rsidRPr="007C1F7A" w:rsidRDefault="00582DAC" w:rsidP="00582DAC">
            <w:pPr>
              <w:widowControl/>
              <w:tabs>
                <w:tab w:val="right" w:pos="2214"/>
              </w:tabs>
              <w:rPr>
                <w:sz w:val="24"/>
              </w:rPr>
            </w:pPr>
            <w:r>
              <w:rPr>
                <w:sz w:val="24"/>
              </w:rPr>
              <w:t>5,853</w:t>
            </w:r>
            <w:r w:rsidR="006F2904" w:rsidRPr="007C1F7A">
              <w:rPr>
                <w:sz w:val="24"/>
              </w:rPr>
              <w:t xml:space="preserve"> hours</w:t>
            </w:r>
            <w:r>
              <w:rPr>
                <w:sz w:val="24"/>
              </w:rPr>
              <w:t xml:space="preserve"> (855 hours + 4,998  hours)</w:t>
            </w:r>
          </w:p>
        </w:tc>
        <w:tc>
          <w:tcPr>
            <w:tcW w:w="0" w:type="auto"/>
          </w:tcPr>
          <w:p w14:paraId="64C8FE08" w14:textId="41C6EBE6" w:rsidR="006F2904" w:rsidRPr="007C1F7A" w:rsidRDefault="006F2904" w:rsidP="007C1F7A">
            <w:pPr>
              <w:widowControl/>
              <w:tabs>
                <w:tab w:val="right" w:pos="2214"/>
              </w:tabs>
              <w:rPr>
                <w:sz w:val="24"/>
              </w:rPr>
            </w:pPr>
            <w:r>
              <w:rPr>
                <w:sz w:val="24"/>
              </w:rPr>
              <w:t>$</w:t>
            </w:r>
            <w:r w:rsidR="00582DAC">
              <w:rPr>
                <w:sz w:val="24"/>
              </w:rPr>
              <w:t>1,191 ($342 + $849)</w:t>
            </w:r>
          </w:p>
        </w:tc>
        <w:tc>
          <w:tcPr>
            <w:tcW w:w="0" w:type="auto"/>
          </w:tcPr>
          <w:p w14:paraId="0DC652AC" w14:textId="53D268F6" w:rsidR="006F2904" w:rsidRPr="007C1F7A" w:rsidRDefault="006F2904" w:rsidP="007C1F7A">
            <w:pPr>
              <w:widowControl/>
              <w:tabs>
                <w:tab w:val="right" w:pos="2214"/>
              </w:tabs>
              <w:rPr>
                <w:sz w:val="24"/>
              </w:rPr>
            </w:pPr>
            <w:r w:rsidRPr="007C1F7A">
              <w:rPr>
                <w:sz w:val="24"/>
              </w:rPr>
              <w:t>$</w:t>
            </w:r>
            <w:r w:rsidR="00582DAC">
              <w:rPr>
                <w:sz w:val="24"/>
              </w:rPr>
              <w:t>121,482 ($34,884 + $86,598)</w:t>
            </w:r>
          </w:p>
        </w:tc>
      </w:tr>
    </w:tbl>
    <w:p w14:paraId="74B85AE7" w14:textId="77777777" w:rsidR="00581060" w:rsidRDefault="0058106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70AA3C31" w14:textId="77777777" w:rsidR="00D579FF" w:rsidRDefault="00D579FF" w:rsidP="00D579FF">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u w:val="single"/>
        </w:rPr>
      </w:pPr>
    </w:p>
    <w:p w14:paraId="4DD42966" w14:textId="77777777" w:rsidR="00D579FF" w:rsidRDefault="00D579FF" w:rsidP="00D579FF">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u w:val="single"/>
        </w:rPr>
      </w:pPr>
    </w:p>
    <w:p w14:paraId="5F4502CC" w14:textId="77777777" w:rsidR="00D579FF" w:rsidRDefault="00D579FF" w:rsidP="00D579FF">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u w:val="single"/>
        </w:rPr>
      </w:pPr>
    </w:p>
    <w:p w14:paraId="758936A8" w14:textId="77777777" w:rsidR="00D579FF" w:rsidRDefault="00D579FF" w:rsidP="00D579FF">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u w:val="single"/>
        </w:rPr>
      </w:pPr>
    </w:p>
    <w:p w14:paraId="5F844541" w14:textId="77777777" w:rsidR="000F5626" w:rsidRPr="00EA5AC9" w:rsidRDefault="00EA5AC9" w:rsidP="00EA5AC9">
      <w:pPr>
        <w:pStyle w:val="ListParagraph"/>
        <w:numPr>
          <w:ilvl w:val="0"/>
          <w:numId w:val="4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u w:val="single"/>
        </w:rPr>
      </w:pPr>
      <w:r w:rsidRPr="00EA5AC9">
        <w:rPr>
          <w:b/>
          <w:sz w:val="24"/>
          <w:u w:val="single"/>
        </w:rPr>
        <w:t>Annualized Burden Estimates (</w:t>
      </w:r>
      <w:r w:rsidR="00D46FBF">
        <w:rPr>
          <w:b/>
          <w:sz w:val="24"/>
          <w:u w:val="single"/>
        </w:rPr>
        <w:t>B</w:t>
      </w:r>
      <w:r w:rsidRPr="00EA5AC9">
        <w:rPr>
          <w:b/>
          <w:sz w:val="24"/>
          <w:u w:val="single"/>
        </w:rPr>
        <w:t>ased on 3-year</w:t>
      </w:r>
      <w:r w:rsidR="00D46FBF">
        <w:rPr>
          <w:b/>
          <w:sz w:val="24"/>
          <w:u w:val="single"/>
        </w:rPr>
        <w:t xml:space="preserve"> </w:t>
      </w:r>
      <w:r w:rsidR="00C94C65">
        <w:rPr>
          <w:b/>
          <w:sz w:val="24"/>
          <w:u w:val="single"/>
        </w:rPr>
        <w:t xml:space="preserve">OMB </w:t>
      </w:r>
      <w:r w:rsidR="00D46FBF">
        <w:rPr>
          <w:b/>
          <w:sz w:val="24"/>
          <w:u w:val="single"/>
        </w:rPr>
        <w:t>A</w:t>
      </w:r>
      <w:r w:rsidRPr="00EA5AC9">
        <w:rPr>
          <w:b/>
          <w:sz w:val="24"/>
          <w:u w:val="single"/>
        </w:rPr>
        <w:t>pproval</w:t>
      </w:r>
      <w:r w:rsidR="00D46FBF">
        <w:rPr>
          <w:b/>
          <w:sz w:val="24"/>
          <w:u w:val="single"/>
        </w:rPr>
        <w:t xml:space="preserve"> Period</w:t>
      </w:r>
      <w:r w:rsidRPr="00EA5AC9">
        <w:rPr>
          <w:b/>
          <w:sz w:val="24"/>
          <w:u w:val="single"/>
        </w:rPr>
        <w:t>)</w:t>
      </w:r>
    </w:p>
    <w:p w14:paraId="7061B9D5" w14:textId="77777777" w:rsidR="00122CC8" w:rsidRDefault="00122C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tbl>
      <w:tblPr>
        <w:tblW w:w="0" w:type="auto"/>
        <w:tblInd w:w="78" w:type="dxa"/>
        <w:tblLook w:val="0000" w:firstRow="0" w:lastRow="0" w:firstColumn="0" w:lastColumn="0" w:noHBand="0" w:noVBand="0"/>
      </w:tblPr>
      <w:tblGrid>
        <w:gridCol w:w="2560"/>
        <w:gridCol w:w="1323"/>
        <w:gridCol w:w="1379"/>
        <w:gridCol w:w="1074"/>
        <w:gridCol w:w="713"/>
        <w:gridCol w:w="1513"/>
        <w:gridCol w:w="1424"/>
      </w:tblGrid>
      <w:tr w:rsidR="00777C3B" w:rsidRPr="00CF5B76" w14:paraId="70AB99B0" w14:textId="77777777" w:rsidTr="00544009">
        <w:trPr>
          <w:trHeight w:val="842"/>
        </w:trPr>
        <w:tc>
          <w:tcPr>
            <w:tcW w:w="0" w:type="auto"/>
            <w:tcBorders>
              <w:top w:val="single" w:sz="6" w:space="0" w:color="auto"/>
              <w:left w:val="single" w:sz="6" w:space="0" w:color="auto"/>
              <w:bottom w:val="single" w:sz="6" w:space="0" w:color="auto"/>
              <w:right w:val="single" w:sz="6" w:space="0" w:color="auto"/>
            </w:tcBorders>
          </w:tcPr>
          <w:p w14:paraId="70231DCE" w14:textId="77777777" w:rsidR="00544009" w:rsidRPr="00CF5B76" w:rsidRDefault="00544009">
            <w:pPr>
              <w:widowControl/>
              <w:jc w:val="right"/>
              <w:rPr>
                <w:color w:val="000000"/>
                <w:sz w:val="18"/>
                <w:szCs w:val="18"/>
              </w:rPr>
            </w:pPr>
          </w:p>
        </w:tc>
        <w:tc>
          <w:tcPr>
            <w:tcW w:w="0" w:type="auto"/>
            <w:tcBorders>
              <w:top w:val="single" w:sz="6" w:space="0" w:color="auto"/>
              <w:left w:val="single" w:sz="6" w:space="0" w:color="auto"/>
              <w:bottom w:val="single" w:sz="6" w:space="0" w:color="auto"/>
              <w:right w:val="single" w:sz="6" w:space="0" w:color="auto"/>
            </w:tcBorders>
          </w:tcPr>
          <w:p w14:paraId="0E3B6ABD" w14:textId="77777777" w:rsidR="00544009" w:rsidRPr="00CF5B76" w:rsidRDefault="00544009">
            <w:pPr>
              <w:widowControl/>
              <w:jc w:val="center"/>
              <w:rPr>
                <w:color w:val="000000"/>
                <w:sz w:val="18"/>
                <w:szCs w:val="18"/>
              </w:rPr>
            </w:pPr>
            <w:r w:rsidRPr="00CF5B76">
              <w:rPr>
                <w:color w:val="000000"/>
                <w:sz w:val="18"/>
                <w:szCs w:val="18"/>
              </w:rPr>
              <w:t>Respondents (suppliers)</w:t>
            </w:r>
          </w:p>
        </w:tc>
        <w:tc>
          <w:tcPr>
            <w:tcW w:w="0" w:type="auto"/>
            <w:tcBorders>
              <w:top w:val="single" w:sz="6" w:space="0" w:color="auto"/>
              <w:left w:val="single" w:sz="6" w:space="0" w:color="auto"/>
              <w:bottom w:val="single" w:sz="6" w:space="0" w:color="auto"/>
              <w:right w:val="single" w:sz="6" w:space="0" w:color="auto"/>
            </w:tcBorders>
          </w:tcPr>
          <w:p w14:paraId="187A94BA" w14:textId="77777777" w:rsidR="00544009" w:rsidRPr="001947E2" w:rsidRDefault="00544009">
            <w:pPr>
              <w:widowControl/>
              <w:jc w:val="center"/>
              <w:rPr>
                <w:color w:val="000000"/>
                <w:sz w:val="18"/>
                <w:szCs w:val="18"/>
              </w:rPr>
            </w:pPr>
            <w:r w:rsidRPr="00CF5B76">
              <w:rPr>
                <w:color w:val="000000"/>
                <w:sz w:val="18"/>
                <w:szCs w:val="18"/>
              </w:rPr>
              <w:t>Responses      (per respondent)</w:t>
            </w:r>
          </w:p>
        </w:tc>
        <w:tc>
          <w:tcPr>
            <w:tcW w:w="0" w:type="auto"/>
            <w:tcBorders>
              <w:top w:val="single" w:sz="6" w:space="0" w:color="auto"/>
              <w:left w:val="single" w:sz="6" w:space="0" w:color="auto"/>
              <w:bottom w:val="single" w:sz="6" w:space="0" w:color="auto"/>
              <w:right w:val="single" w:sz="6" w:space="0" w:color="auto"/>
            </w:tcBorders>
          </w:tcPr>
          <w:p w14:paraId="31A862A9" w14:textId="77777777" w:rsidR="00544009" w:rsidRPr="00777C3B" w:rsidRDefault="00544009">
            <w:pPr>
              <w:widowControl/>
              <w:jc w:val="center"/>
              <w:rPr>
                <w:color w:val="000000"/>
                <w:sz w:val="18"/>
                <w:szCs w:val="18"/>
              </w:rPr>
            </w:pPr>
            <w:r w:rsidRPr="001947E2">
              <w:rPr>
                <w:color w:val="000000"/>
                <w:sz w:val="18"/>
                <w:szCs w:val="18"/>
              </w:rPr>
              <w:t>Total Responses</w:t>
            </w:r>
          </w:p>
        </w:tc>
        <w:tc>
          <w:tcPr>
            <w:tcW w:w="0" w:type="auto"/>
            <w:tcBorders>
              <w:top w:val="single" w:sz="6" w:space="0" w:color="auto"/>
              <w:left w:val="single" w:sz="6" w:space="0" w:color="auto"/>
              <w:bottom w:val="single" w:sz="6" w:space="0" w:color="auto"/>
              <w:right w:val="single" w:sz="6" w:space="0" w:color="auto"/>
            </w:tcBorders>
          </w:tcPr>
          <w:p w14:paraId="23DDC4FD" w14:textId="77777777" w:rsidR="00544009" w:rsidRPr="00777C3B" w:rsidRDefault="00544009">
            <w:pPr>
              <w:widowControl/>
              <w:jc w:val="center"/>
              <w:rPr>
                <w:color w:val="000000"/>
                <w:sz w:val="18"/>
                <w:szCs w:val="18"/>
              </w:rPr>
            </w:pPr>
            <w:r w:rsidRPr="00777C3B">
              <w:rPr>
                <w:color w:val="000000"/>
                <w:sz w:val="18"/>
                <w:szCs w:val="18"/>
              </w:rPr>
              <w:t>Total Time</w:t>
            </w:r>
          </w:p>
        </w:tc>
        <w:tc>
          <w:tcPr>
            <w:tcW w:w="0" w:type="auto"/>
            <w:tcBorders>
              <w:top w:val="single" w:sz="6" w:space="0" w:color="auto"/>
              <w:left w:val="single" w:sz="6" w:space="0" w:color="auto"/>
              <w:bottom w:val="single" w:sz="6" w:space="0" w:color="auto"/>
              <w:right w:val="single" w:sz="6" w:space="0" w:color="auto"/>
            </w:tcBorders>
          </w:tcPr>
          <w:p w14:paraId="0DDADE5A" w14:textId="77777777" w:rsidR="00544009" w:rsidRPr="00777C3B" w:rsidRDefault="00544009">
            <w:pPr>
              <w:widowControl/>
              <w:jc w:val="center"/>
              <w:rPr>
                <w:b/>
                <w:bCs/>
                <w:color w:val="000000"/>
                <w:sz w:val="18"/>
                <w:szCs w:val="18"/>
              </w:rPr>
            </w:pPr>
            <w:r w:rsidRPr="00777C3B">
              <w:rPr>
                <w:b/>
                <w:bCs/>
                <w:color w:val="000000"/>
                <w:sz w:val="18"/>
                <w:szCs w:val="18"/>
              </w:rPr>
              <w:t>Total Responses (Annualized)</w:t>
            </w:r>
          </w:p>
        </w:tc>
        <w:tc>
          <w:tcPr>
            <w:tcW w:w="0" w:type="auto"/>
            <w:tcBorders>
              <w:top w:val="single" w:sz="6" w:space="0" w:color="auto"/>
              <w:left w:val="single" w:sz="6" w:space="0" w:color="auto"/>
              <w:bottom w:val="single" w:sz="6" w:space="0" w:color="auto"/>
              <w:right w:val="single" w:sz="6" w:space="0" w:color="auto"/>
            </w:tcBorders>
          </w:tcPr>
          <w:p w14:paraId="2090DE44" w14:textId="77777777" w:rsidR="00544009" w:rsidRPr="00777C3B" w:rsidRDefault="00544009">
            <w:pPr>
              <w:widowControl/>
              <w:jc w:val="center"/>
              <w:rPr>
                <w:b/>
                <w:bCs/>
                <w:color w:val="000000"/>
                <w:sz w:val="18"/>
                <w:szCs w:val="18"/>
              </w:rPr>
            </w:pPr>
            <w:r w:rsidRPr="00777C3B">
              <w:rPr>
                <w:b/>
                <w:bCs/>
                <w:color w:val="000000"/>
                <w:sz w:val="18"/>
                <w:szCs w:val="18"/>
              </w:rPr>
              <w:t>Total Time (Annualized)</w:t>
            </w:r>
          </w:p>
        </w:tc>
      </w:tr>
      <w:tr w:rsidR="00777C3B" w:rsidRPr="00CF5B76" w14:paraId="439651F1" w14:textId="77777777" w:rsidTr="00544009">
        <w:trPr>
          <w:trHeight w:val="871"/>
        </w:trPr>
        <w:tc>
          <w:tcPr>
            <w:tcW w:w="0" w:type="auto"/>
            <w:tcBorders>
              <w:top w:val="single" w:sz="6" w:space="0" w:color="auto"/>
              <w:left w:val="single" w:sz="6" w:space="0" w:color="auto"/>
              <w:bottom w:val="single" w:sz="6" w:space="0" w:color="auto"/>
              <w:right w:val="single" w:sz="6" w:space="0" w:color="auto"/>
            </w:tcBorders>
          </w:tcPr>
          <w:p w14:paraId="0233DD9E" w14:textId="0A831882" w:rsidR="00544009" w:rsidRPr="001947E2" w:rsidRDefault="00544009">
            <w:pPr>
              <w:widowControl/>
              <w:rPr>
                <w:color w:val="000000"/>
                <w:sz w:val="18"/>
                <w:szCs w:val="18"/>
              </w:rPr>
            </w:pPr>
            <w:r w:rsidRPr="00CF5B76">
              <w:rPr>
                <w:color w:val="000000"/>
                <w:sz w:val="18"/>
                <w:szCs w:val="18"/>
              </w:rPr>
              <w:t xml:space="preserve">Suppliers that Choose to Grandfather - Round 1 </w:t>
            </w:r>
            <w:r w:rsidR="00CF5B76">
              <w:rPr>
                <w:color w:val="000000"/>
                <w:sz w:val="18"/>
                <w:szCs w:val="18"/>
              </w:rPr>
              <w:t>2017</w:t>
            </w:r>
            <w:r w:rsidRPr="00CF5B76">
              <w:rPr>
                <w:color w:val="000000"/>
                <w:sz w:val="18"/>
                <w:szCs w:val="18"/>
              </w:rPr>
              <w:t xml:space="preserve"> (30-Day Notification to Beneficiary)</w:t>
            </w:r>
          </w:p>
        </w:tc>
        <w:tc>
          <w:tcPr>
            <w:tcW w:w="0" w:type="auto"/>
            <w:tcBorders>
              <w:top w:val="single" w:sz="6" w:space="0" w:color="auto"/>
              <w:left w:val="single" w:sz="6" w:space="0" w:color="auto"/>
              <w:bottom w:val="single" w:sz="6" w:space="0" w:color="auto"/>
              <w:right w:val="single" w:sz="6" w:space="0" w:color="auto"/>
            </w:tcBorders>
          </w:tcPr>
          <w:p w14:paraId="1AC9A070" w14:textId="624FECB2" w:rsidR="00544009" w:rsidRPr="001947E2" w:rsidRDefault="00CF5B76">
            <w:pPr>
              <w:widowControl/>
              <w:jc w:val="center"/>
              <w:rPr>
                <w:color w:val="000000"/>
                <w:sz w:val="18"/>
                <w:szCs w:val="18"/>
              </w:rPr>
            </w:pPr>
            <w:r>
              <w:rPr>
                <w:color w:val="000000"/>
                <w:sz w:val="18"/>
                <w:szCs w:val="18"/>
              </w:rPr>
              <w:t>921</w:t>
            </w:r>
          </w:p>
        </w:tc>
        <w:tc>
          <w:tcPr>
            <w:tcW w:w="0" w:type="auto"/>
            <w:tcBorders>
              <w:top w:val="single" w:sz="6" w:space="0" w:color="auto"/>
              <w:left w:val="single" w:sz="6" w:space="0" w:color="auto"/>
              <w:bottom w:val="single" w:sz="6" w:space="0" w:color="auto"/>
              <w:right w:val="single" w:sz="6" w:space="0" w:color="auto"/>
            </w:tcBorders>
          </w:tcPr>
          <w:p w14:paraId="441C9858" w14:textId="2F384EB8" w:rsidR="00544009" w:rsidRPr="001947E2" w:rsidRDefault="001947E2">
            <w:pPr>
              <w:widowControl/>
              <w:jc w:val="center"/>
              <w:rPr>
                <w:color w:val="000000"/>
                <w:sz w:val="18"/>
                <w:szCs w:val="18"/>
              </w:rPr>
            </w:pPr>
            <w:r>
              <w:rPr>
                <w:color w:val="000000"/>
                <w:sz w:val="18"/>
                <w:szCs w:val="18"/>
              </w:rPr>
              <w:t>98</w:t>
            </w:r>
          </w:p>
        </w:tc>
        <w:tc>
          <w:tcPr>
            <w:tcW w:w="0" w:type="auto"/>
            <w:tcBorders>
              <w:top w:val="single" w:sz="6" w:space="0" w:color="auto"/>
              <w:left w:val="single" w:sz="6" w:space="0" w:color="auto"/>
              <w:bottom w:val="single" w:sz="6" w:space="0" w:color="auto"/>
              <w:right w:val="single" w:sz="6" w:space="0" w:color="auto"/>
            </w:tcBorders>
          </w:tcPr>
          <w:p w14:paraId="180D4688" w14:textId="3030EDE0" w:rsidR="00544009" w:rsidRPr="001947E2" w:rsidRDefault="00CD1E4C" w:rsidP="001947E2">
            <w:pPr>
              <w:widowControl/>
              <w:jc w:val="center"/>
              <w:rPr>
                <w:color w:val="000000"/>
                <w:sz w:val="18"/>
                <w:szCs w:val="18"/>
              </w:rPr>
            </w:pPr>
            <w:r>
              <w:rPr>
                <w:color w:val="000000"/>
                <w:sz w:val="18"/>
                <w:szCs w:val="18"/>
              </w:rPr>
              <w:t>90,258</w:t>
            </w:r>
          </w:p>
        </w:tc>
        <w:tc>
          <w:tcPr>
            <w:tcW w:w="0" w:type="auto"/>
            <w:tcBorders>
              <w:top w:val="single" w:sz="6" w:space="0" w:color="auto"/>
              <w:left w:val="single" w:sz="6" w:space="0" w:color="auto"/>
              <w:bottom w:val="single" w:sz="6" w:space="0" w:color="auto"/>
              <w:right w:val="single" w:sz="6" w:space="0" w:color="auto"/>
            </w:tcBorders>
          </w:tcPr>
          <w:p w14:paraId="50578BB9" w14:textId="4C2E6D56" w:rsidR="00544009" w:rsidRPr="001947E2" w:rsidRDefault="00777C3B" w:rsidP="00777C3B">
            <w:pPr>
              <w:widowControl/>
              <w:jc w:val="center"/>
              <w:rPr>
                <w:color w:val="000000"/>
                <w:sz w:val="18"/>
                <w:szCs w:val="18"/>
              </w:rPr>
            </w:pPr>
            <w:r>
              <w:rPr>
                <w:color w:val="000000"/>
                <w:sz w:val="18"/>
                <w:szCs w:val="18"/>
              </w:rPr>
              <w:t>7,752</w:t>
            </w:r>
          </w:p>
        </w:tc>
        <w:tc>
          <w:tcPr>
            <w:tcW w:w="0" w:type="auto"/>
            <w:tcBorders>
              <w:top w:val="single" w:sz="6" w:space="0" w:color="auto"/>
              <w:left w:val="single" w:sz="6" w:space="0" w:color="auto"/>
              <w:bottom w:val="single" w:sz="6" w:space="0" w:color="auto"/>
              <w:right w:val="single" w:sz="6" w:space="0" w:color="auto"/>
            </w:tcBorders>
          </w:tcPr>
          <w:p w14:paraId="49981A83" w14:textId="2C25612C" w:rsidR="00544009" w:rsidRPr="00777C3B" w:rsidRDefault="00777C3B">
            <w:pPr>
              <w:widowControl/>
              <w:jc w:val="center"/>
              <w:rPr>
                <w:b/>
                <w:bCs/>
                <w:color w:val="000000"/>
                <w:sz w:val="18"/>
                <w:szCs w:val="18"/>
              </w:rPr>
            </w:pPr>
            <w:r>
              <w:rPr>
                <w:b/>
                <w:bCs/>
                <w:color w:val="000000"/>
                <w:sz w:val="18"/>
                <w:szCs w:val="18"/>
              </w:rPr>
              <w:t>33,334</w:t>
            </w:r>
          </w:p>
        </w:tc>
        <w:tc>
          <w:tcPr>
            <w:tcW w:w="0" w:type="auto"/>
            <w:tcBorders>
              <w:top w:val="single" w:sz="6" w:space="0" w:color="auto"/>
              <w:left w:val="single" w:sz="6" w:space="0" w:color="auto"/>
              <w:bottom w:val="single" w:sz="6" w:space="0" w:color="auto"/>
              <w:right w:val="single" w:sz="6" w:space="0" w:color="auto"/>
            </w:tcBorders>
          </w:tcPr>
          <w:p w14:paraId="6B3DF96A" w14:textId="7312DC2D" w:rsidR="00544009" w:rsidRPr="00777C3B" w:rsidRDefault="00777C3B">
            <w:pPr>
              <w:widowControl/>
              <w:jc w:val="center"/>
              <w:rPr>
                <w:b/>
                <w:bCs/>
                <w:color w:val="000000"/>
                <w:sz w:val="18"/>
                <w:szCs w:val="18"/>
              </w:rPr>
            </w:pPr>
            <w:r>
              <w:rPr>
                <w:b/>
                <w:bCs/>
                <w:color w:val="000000"/>
                <w:sz w:val="18"/>
                <w:szCs w:val="18"/>
              </w:rPr>
              <w:t>2,584</w:t>
            </w:r>
          </w:p>
        </w:tc>
      </w:tr>
      <w:tr w:rsidR="00777C3B" w:rsidRPr="00CF5B76" w14:paraId="0DFA7E47" w14:textId="77777777" w:rsidTr="00544009">
        <w:trPr>
          <w:trHeight w:val="871"/>
        </w:trPr>
        <w:tc>
          <w:tcPr>
            <w:tcW w:w="0" w:type="auto"/>
            <w:tcBorders>
              <w:top w:val="single" w:sz="6" w:space="0" w:color="auto"/>
              <w:left w:val="single" w:sz="6" w:space="0" w:color="auto"/>
              <w:bottom w:val="single" w:sz="6" w:space="0" w:color="auto"/>
              <w:right w:val="single" w:sz="6" w:space="0" w:color="auto"/>
            </w:tcBorders>
          </w:tcPr>
          <w:p w14:paraId="63B403D7" w14:textId="2446771E" w:rsidR="00544009" w:rsidRPr="00462028" w:rsidRDefault="00544009">
            <w:pPr>
              <w:widowControl/>
              <w:rPr>
                <w:color w:val="000000"/>
                <w:sz w:val="18"/>
                <w:szCs w:val="18"/>
              </w:rPr>
            </w:pPr>
            <w:r w:rsidRPr="00CF5B76">
              <w:rPr>
                <w:color w:val="000000"/>
                <w:sz w:val="18"/>
                <w:szCs w:val="18"/>
              </w:rPr>
              <w:t xml:space="preserve">Suppliers that Choose Not to Grandfather - Round 1 </w:t>
            </w:r>
            <w:r w:rsidR="00777C3B">
              <w:rPr>
                <w:color w:val="000000"/>
                <w:sz w:val="18"/>
                <w:szCs w:val="18"/>
              </w:rPr>
              <w:t>2017</w:t>
            </w:r>
            <w:r w:rsidRPr="00777C3B">
              <w:rPr>
                <w:color w:val="000000"/>
                <w:sz w:val="18"/>
                <w:szCs w:val="18"/>
              </w:rPr>
              <w:t xml:space="preserve"> (30-Day Notification to Beneficiary)</w:t>
            </w:r>
          </w:p>
        </w:tc>
        <w:tc>
          <w:tcPr>
            <w:tcW w:w="0" w:type="auto"/>
            <w:tcBorders>
              <w:top w:val="single" w:sz="6" w:space="0" w:color="auto"/>
              <w:left w:val="single" w:sz="6" w:space="0" w:color="auto"/>
              <w:bottom w:val="single" w:sz="6" w:space="0" w:color="auto"/>
              <w:right w:val="single" w:sz="6" w:space="0" w:color="auto"/>
            </w:tcBorders>
          </w:tcPr>
          <w:p w14:paraId="0C0433D0" w14:textId="3E5490E4" w:rsidR="00544009" w:rsidRPr="00777C3B" w:rsidRDefault="00544009">
            <w:pPr>
              <w:widowControl/>
              <w:jc w:val="center"/>
              <w:rPr>
                <w:color w:val="000000"/>
                <w:sz w:val="18"/>
                <w:szCs w:val="18"/>
              </w:rPr>
            </w:pPr>
            <w:r w:rsidRPr="00462028">
              <w:rPr>
                <w:color w:val="000000"/>
                <w:sz w:val="18"/>
                <w:szCs w:val="18"/>
              </w:rPr>
              <w:t>1</w:t>
            </w:r>
            <w:r w:rsidR="00777C3B">
              <w:rPr>
                <w:color w:val="000000"/>
                <w:sz w:val="18"/>
                <w:szCs w:val="18"/>
              </w:rPr>
              <w:t>02</w:t>
            </w:r>
          </w:p>
        </w:tc>
        <w:tc>
          <w:tcPr>
            <w:tcW w:w="0" w:type="auto"/>
            <w:tcBorders>
              <w:top w:val="single" w:sz="6" w:space="0" w:color="auto"/>
              <w:left w:val="single" w:sz="6" w:space="0" w:color="auto"/>
              <w:bottom w:val="single" w:sz="6" w:space="0" w:color="auto"/>
              <w:right w:val="single" w:sz="6" w:space="0" w:color="auto"/>
            </w:tcBorders>
          </w:tcPr>
          <w:p w14:paraId="18446AD6" w14:textId="4D47503F" w:rsidR="00544009" w:rsidRPr="00777C3B" w:rsidRDefault="00777C3B">
            <w:pPr>
              <w:widowControl/>
              <w:jc w:val="center"/>
              <w:rPr>
                <w:color w:val="000000"/>
                <w:sz w:val="18"/>
                <w:szCs w:val="18"/>
              </w:rPr>
            </w:pPr>
            <w:r>
              <w:rPr>
                <w:color w:val="000000"/>
                <w:sz w:val="18"/>
                <w:szCs w:val="18"/>
              </w:rPr>
              <w:t>98</w:t>
            </w:r>
          </w:p>
        </w:tc>
        <w:tc>
          <w:tcPr>
            <w:tcW w:w="0" w:type="auto"/>
            <w:tcBorders>
              <w:top w:val="single" w:sz="6" w:space="0" w:color="auto"/>
              <w:left w:val="single" w:sz="6" w:space="0" w:color="auto"/>
              <w:bottom w:val="single" w:sz="6" w:space="0" w:color="auto"/>
              <w:right w:val="single" w:sz="6" w:space="0" w:color="auto"/>
            </w:tcBorders>
          </w:tcPr>
          <w:p w14:paraId="13C35708" w14:textId="43DE5D6C" w:rsidR="00544009" w:rsidRPr="00777C3B" w:rsidRDefault="00777C3B">
            <w:pPr>
              <w:widowControl/>
              <w:jc w:val="center"/>
              <w:rPr>
                <w:color w:val="000000"/>
                <w:sz w:val="18"/>
                <w:szCs w:val="18"/>
              </w:rPr>
            </w:pPr>
            <w:r>
              <w:rPr>
                <w:color w:val="000000"/>
                <w:sz w:val="18"/>
                <w:szCs w:val="18"/>
              </w:rPr>
              <w:t>9,996</w:t>
            </w:r>
          </w:p>
        </w:tc>
        <w:tc>
          <w:tcPr>
            <w:tcW w:w="0" w:type="auto"/>
            <w:tcBorders>
              <w:top w:val="single" w:sz="6" w:space="0" w:color="auto"/>
              <w:left w:val="single" w:sz="6" w:space="0" w:color="auto"/>
              <w:bottom w:val="single" w:sz="6" w:space="0" w:color="auto"/>
              <w:right w:val="single" w:sz="6" w:space="0" w:color="auto"/>
            </w:tcBorders>
          </w:tcPr>
          <w:p w14:paraId="47EE85BA" w14:textId="44B2DE96" w:rsidR="00544009" w:rsidRPr="00D43D61" w:rsidRDefault="00D43D61">
            <w:pPr>
              <w:widowControl/>
              <w:jc w:val="center"/>
              <w:rPr>
                <w:color w:val="000000"/>
                <w:sz w:val="18"/>
                <w:szCs w:val="18"/>
              </w:rPr>
            </w:pPr>
            <w:r>
              <w:rPr>
                <w:color w:val="000000"/>
                <w:sz w:val="18"/>
                <w:szCs w:val="18"/>
              </w:rPr>
              <w:t>855</w:t>
            </w:r>
          </w:p>
        </w:tc>
        <w:tc>
          <w:tcPr>
            <w:tcW w:w="0" w:type="auto"/>
            <w:tcBorders>
              <w:top w:val="single" w:sz="6" w:space="0" w:color="auto"/>
              <w:left w:val="single" w:sz="6" w:space="0" w:color="auto"/>
              <w:bottom w:val="single" w:sz="6" w:space="0" w:color="auto"/>
              <w:right w:val="single" w:sz="6" w:space="0" w:color="auto"/>
            </w:tcBorders>
          </w:tcPr>
          <w:p w14:paraId="248D16C6" w14:textId="566F9888" w:rsidR="00544009" w:rsidRPr="00D43D61" w:rsidRDefault="00D43D61">
            <w:pPr>
              <w:widowControl/>
              <w:jc w:val="center"/>
              <w:rPr>
                <w:b/>
                <w:bCs/>
                <w:color w:val="000000"/>
                <w:sz w:val="18"/>
                <w:szCs w:val="18"/>
              </w:rPr>
            </w:pPr>
            <w:r>
              <w:rPr>
                <w:b/>
                <w:bCs/>
                <w:color w:val="000000"/>
                <w:sz w:val="18"/>
                <w:szCs w:val="18"/>
              </w:rPr>
              <w:t>3,332</w:t>
            </w:r>
          </w:p>
        </w:tc>
        <w:tc>
          <w:tcPr>
            <w:tcW w:w="0" w:type="auto"/>
            <w:tcBorders>
              <w:top w:val="single" w:sz="6" w:space="0" w:color="auto"/>
              <w:left w:val="single" w:sz="6" w:space="0" w:color="auto"/>
              <w:bottom w:val="single" w:sz="6" w:space="0" w:color="auto"/>
              <w:right w:val="single" w:sz="6" w:space="0" w:color="auto"/>
            </w:tcBorders>
          </w:tcPr>
          <w:p w14:paraId="53AF7A7A" w14:textId="123B7FD6" w:rsidR="00544009" w:rsidRPr="00D43D61" w:rsidRDefault="00D43D61">
            <w:pPr>
              <w:widowControl/>
              <w:jc w:val="center"/>
              <w:rPr>
                <w:b/>
                <w:bCs/>
                <w:color w:val="000000"/>
                <w:sz w:val="18"/>
                <w:szCs w:val="18"/>
              </w:rPr>
            </w:pPr>
            <w:r>
              <w:rPr>
                <w:b/>
                <w:bCs/>
                <w:color w:val="000000"/>
                <w:sz w:val="18"/>
                <w:szCs w:val="18"/>
              </w:rPr>
              <w:t>285</w:t>
            </w:r>
          </w:p>
        </w:tc>
      </w:tr>
      <w:tr w:rsidR="00777C3B" w:rsidRPr="00CF5B76" w14:paraId="3CCE98FE" w14:textId="77777777" w:rsidTr="00544009">
        <w:trPr>
          <w:trHeight w:val="871"/>
        </w:trPr>
        <w:tc>
          <w:tcPr>
            <w:tcW w:w="0" w:type="auto"/>
            <w:tcBorders>
              <w:top w:val="single" w:sz="6" w:space="0" w:color="auto"/>
              <w:left w:val="single" w:sz="6" w:space="0" w:color="auto"/>
              <w:bottom w:val="single" w:sz="6" w:space="0" w:color="auto"/>
              <w:right w:val="single" w:sz="6" w:space="0" w:color="auto"/>
            </w:tcBorders>
          </w:tcPr>
          <w:p w14:paraId="5DCB291B" w14:textId="0FA3F3D6" w:rsidR="00544009" w:rsidRPr="00462028" w:rsidRDefault="00544009">
            <w:pPr>
              <w:widowControl/>
              <w:rPr>
                <w:color w:val="000000"/>
                <w:sz w:val="18"/>
                <w:szCs w:val="18"/>
              </w:rPr>
            </w:pPr>
            <w:r w:rsidRPr="00CF5B76">
              <w:rPr>
                <w:color w:val="000000"/>
                <w:sz w:val="18"/>
                <w:szCs w:val="18"/>
              </w:rPr>
              <w:t xml:space="preserve">Suppliers that Choose Not to Grandfather - Round 1 </w:t>
            </w:r>
            <w:r w:rsidR="00B6406B">
              <w:rPr>
                <w:color w:val="000000"/>
                <w:sz w:val="18"/>
                <w:szCs w:val="18"/>
              </w:rPr>
              <w:t>2017</w:t>
            </w:r>
            <w:r w:rsidRPr="00B6406B">
              <w:rPr>
                <w:color w:val="000000"/>
                <w:sz w:val="18"/>
                <w:szCs w:val="18"/>
              </w:rPr>
              <w:t xml:space="preserve"> (10-Day and 2-Day Notifications)</w:t>
            </w:r>
          </w:p>
        </w:tc>
        <w:tc>
          <w:tcPr>
            <w:tcW w:w="0" w:type="auto"/>
            <w:tcBorders>
              <w:top w:val="single" w:sz="6" w:space="0" w:color="auto"/>
              <w:left w:val="single" w:sz="6" w:space="0" w:color="auto"/>
              <w:bottom w:val="single" w:sz="6" w:space="0" w:color="auto"/>
              <w:right w:val="single" w:sz="6" w:space="0" w:color="auto"/>
            </w:tcBorders>
          </w:tcPr>
          <w:p w14:paraId="55F4DD4E" w14:textId="1FCE09F9" w:rsidR="00544009" w:rsidRPr="00B6406B" w:rsidRDefault="00544009">
            <w:pPr>
              <w:widowControl/>
              <w:jc w:val="center"/>
              <w:rPr>
                <w:color w:val="000000"/>
                <w:sz w:val="18"/>
                <w:szCs w:val="18"/>
              </w:rPr>
            </w:pPr>
            <w:r w:rsidRPr="00263287">
              <w:rPr>
                <w:color w:val="000000"/>
                <w:sz w:val="18"/>
                <w:szCs w:val="18"/>
              </w:rPr>
              <w:t>1</w:t>
            </w:r>
            <w:r w:rsidR="00B6406B">
              <w:rPr>
                <w:color w:val="000000"/>
                <w:sz w:val="18"/>
                <w:szCs w:val="18"/>
              </w:rPr>
              <w:t>02</w:t>
            </w:r>
          </w:p>
        </w:tc>
        <w:tc>
          <w:tcPr>
            <w:tcW w:w="0" w:type="auto"/>
            <w:tcBorders>
              <w:top w:val="single" w:sz="6" w:space="0" w:color="auto"/>
              <w:left w:val="single" w:sz="6" w:space="0" w:color="auto"/>
              <w:bottom w:val="single" w:sz="6" w:space="0" w:color="auto"/>
              <w:right w:val="single" w:sz="6" w:space="0" w:color="auto"/>
            </w:tcBorders>
          </w:tcPr>
          <w:p w14:paraId="2DDAD3C7" w14:textId="3E6155E5" w:rsidR="00544009" w:rsidRPr="00B6406B" w:rsidRDefault="00B6406B">
            <w:pPr>
              <w:widowControl/>
              <w:jc w:val="center"/>
              <w:rPr>
                <w:color w:val="000000"/>
                <w:sz w:val="18"/>
                <w:szCs w:val="18"/>
              </w:rPr>
            </w:pPr>
            <w:r>
              <w:rPr>
                <w:color w:val="000000"/>
                <w:sz w:val="18"/>
                <w:szCs w:val="18"/>
              </w:rPr>
              <w:t>98</w:t>
            </w:r>
          </w:p>
        </w:tc>
        <w:tc>
          <w:tcPr>
            <w:tcW w:w="0" w:type="auto"/>
            <w:tcBorders>
              <w:top w:val="single" w:sz="6" w:space="0" w:color="auto"/>
              <w:left w:val="single" w:sz="6" w:space="0" w:color="auto"/>
              <w:bottom w:val="single" w:sz="6" w:space="0" w:color="auto"/>
              <w:right w:val="single" w:sz="6" w:space="0" w:color="auto"/>
            </w:tcBorders>
          </w:tcPr>
          <w:p w14:paraId="3EFB35FC" w14:textId="37291420" w:rsidR="00544009" w:rsidRPr="00462028" w:rsidRDefault="00462028">
            <w:pPr>
              <w:widowControl/>
              <w:jc w:val="center"/>
              <w:rPr>
                <w:color w:val="000000"/>
                <w:sz w:val="18"/>
                <w:szCs w:val="18"/>
              </w:rPr>
            </w:pPr>
            <w:r>
              <w:rPr>
                <w:color w:val="000000"/>
                <w:sz w:val="18"/>
                <w:szCs w:val="18"/>
              </w:rPr>
              <w:t>9,996</w:t>
            </w:r>
          </w:p>
        </w:tc>
        <w:tc>
          <w:tcPr>
            <w:tcW w:w="0" w:type="auto"/>
            <w:tcBorders>
              <w:top w:val="single" w:sz="6" w:space="0" w:color="auto"/>
              <w:left w:val="single" w:sz="6" w:space="0" w:color="auto"/>
              <w:bottom w:val="single" w:sz="6" w:space="0" w:color="auto"/>
              <w:right w:val="single" w:sz="6" w:space="0" w:color="auto"/>
            </w:tcBorders>
          </w:tcPr>
          <w:p w14:paraId="4652E355" w14:textId="3DF5D29D" w:rsidR="00544009" w:rsidRPr="00462028" w:rsidRDefault="00462028">
            <w:pPr>
              <w:widowControl/>
              <w:jc w:val="center"/>
              <w:rPr>
                <w:color w:val="000000"/>
                <w:sz w:val="18"/>
                <w:szCs w:val="18"/>
              </w:rPr>
            </w:pPr>
            <w:r>
              <w:rPr>
                <w:color w:val="000000"/>
                <w:sz w:val="18"/>
                <w:szCs w:val="18"/>
              </w:rPr>
              <w:t>4,998</w:t>
            </w:r>
          </w:p>
        </w:tc>
        <w:tc>
          <w:tcPr>
            <w:tcW w:w="0" w:type="auto"/>
            <w:tcBorders>
              <w:top w:val="single" w:sz="6" w:space="0" w:color="auto"/>
              <w:left w:val="single" w:sz="6" w:space="0" w:color="auto"/>
              <w:bottom w:val="single" w:sz="6" w:space="0" w:color="auto"/>
              <w:right w:val="single" w:sz="6" w:space="0" w:color="auto"/>
            </w:tcBorders>
          </w:tcPr>
          <w:p w14:paraId="74E80519" w14:textId="1A9D9359" w:rsidR="00544009" w:rsidRPr="00462028" w:rsidRDefault="00462028">
            <w:pPr>
              <w:widowControl/>
              <w:jc w:val="center"/>
              <w:rPr>
                <w:b/>
                <w:bCs/>
                <w:color w:val="000000"/>
                <w:sz w:val="18"/>
                <w:szCs w:val="18"/>
              </w:rPr>
            </w:pPr>
            <w:r>
              <w:rPr>
                <w:b/>
                <w:bCs/>
                <w:color w:val="000000"/>
                <w:sz w:val="18"/>
                <w:szCs w:val="18"/>
              </w:rPr>
              <w:t>3,332</w:t>
            </w:r>
          </w:p>
        </w:tc>
        <w:tc>
          <w:tcPr>
            <w:tcW w:w="0" w:type="auto"/>
            <w:tcBorders>
              <w:top w:val="single" w:sz="6" w:space="0" w:color="auto"/>
              <w:left w:val="single" w:sz="6" w:space="0" w:color="auto"/>
              <w:bottom w:val="single" w:sz="6" w:space="0" w:color="auto"/>
              <w:right w:val="single" w:sz="6" w:space="0" w:color="auto"/>
            </w:tcBorders>
          </w:tcPr>
          <w:p w14:paraId="04188C64" w14:textId="2A2A8DA8" w:rsidR="00544009" w:rsidRPr="00462028" w:rsidRDefault="00462028">
            <w:pPr>
              <w:widowControl/>
              <w:jc w:val="center"/>
              <w:rPr>
                <w:b/>
                <w:bCs/>
                <w:color w:val="000000"/>
                <w:sz w:val="18"/>
                <w:szCs w:val="18"/>
              </w:rPr>
            </w:pPr>
            <w:r>
              <w:rPr>
                <w:b/>
                <w:bCs/>
                <w:color w:val="000000"/>
                <w:sz w:val="18"/>
                <w:szCs w:val="18"/>
              </w:rPr>
              <w:t>1,666</w:t>
            </w:r>
          </w:p>
        </w:tc>
      </w:tr>
      <w:tr w:rsidR="00777C3B" w:rsidRPr="00CF5B76" w14:paraId="3E878F8D" w14:textId="77777777" w:rsidTr="00544009">
        <w:trPr>
          <w:trHeight w:val="521"/>
        </w:trPr>
        <w:tc>
          <w:tcPr>
            <w:tcW w:w="0" w:type="auto"/>
            <w:tcBorders>
              <w:top w:val="single" w:sz="6" w:space="0" w:color="auto"/>
              <w:left w:val="single" w:sz="6" w:space="0" w:color="auto"/>
              <w:bottom w:val="single" w:sz="6" w:space="0" w:color="auto"/>
              <w:right w:val="single" w:sz="6" w:space="0" w:color="auto"/>
            </w:tcBorders>
          </w:tcPr>
          <w:p w14:paraId="06021D84" w14:textId="77777777" w:rsidR="00544009" w:rsidRPr="00CF5B76" w:rsidRDefault="00544009">
            <w:pPr>
              <w:widowControl/>
              <w:jc w:val="right"/>
              <w:rPr>
                <w:b/>
                <w:bCs/>
                <w:color w:val="000000"/>
                <w:sz w:val="18"/>
                <w:szCs w:val="18"/>
              </w:rPr>
            </w:pPr>
            <w:r w:rsidRPr="00CF5B76">
              <w:rPr>
                <w:b/>
                <w:bCs/>
                <w:color w:val="000000"/>
                <w:sz w:val="18"/>
                <w:szCs w:val="18"/>
              </w:rPr>
              <w:t>TOTAL</w:t>
            </w:r>
          </w:p>
        </w:tc>
        <w:tc>
          <w:tcPr>
            <w:tcW w:w="0" w:type="auto"/>
            <w:tcBorders>
              <w:top w:val="single" w:sz="6" w:space="0" w:color="auto"/>
              <w:left w:val="single" w:sz="6" w:space="0" w:color="auto"/>
              <w:bottom w:val="single" w:sz="6" w:space="0" w:color="auto"/>
              <w:right w:val="single" w:sz="6" w:space="0" w:color="auto"/>
            </w:tcBorders>
          </w:tcPr>
          <w:p w14:paraId="1A330B8D" w14:textId="77777777" w:rsidR="00544009" w:rsidRPr="00CF5B76" w:rsidRDefault="00544009">
            <w:pPr>
              <w:widowControl/>
              <w:jc w:val="right"/>
              <w:rPr>
                <w:color w:val="000000"/>
                <w:sz w:val="18"/>
                <w:szCs w:val="18"/>
              </w:rPr>
            </w:pPr>
          </w:p>
        </w:tc>
        <w:tc>
          <w:tcPr>
            <w:tcW w:w="0" w:type="auto"/>
            <w:tcBorders>
              <w:top w:val="single" w:sz="6" w:space="0" w:color="auto"/>
              <w:left w:val="single" w:sz="6" w:space="0" w:color="auto"/>
              <w:bottom w:val="single" w:sz="6" w:space="0" w:color="auto"/>
              <w:right w:val="single" w:sz="6" w:space="0" w:color="auto"/>
            </w:tcBorders>
          </w:tcPr>
          <w:p w14:paraId="334ED559" w14:textId="77777777" w:rsidR="00544009" w:rsidRPr="00CF5B76" w:rsidRDefault="00544009">
            <w:pPr>
              <w:widowControl/>
              <w:jc w:val="right"/>
              <w:rPr>
                <w:color w:val="000000"/>
                <w:sz w:val="18"/>
                <w:szCs w:val="18"/>
              </w:rPr>
            </w:pPr>
          </w:p>
        </w:tc>
        <w:tc>
          <w:tcPr>
            <w:tcW w:w="0" w:type="auto"/>
            <w:tcBorders>
              <w:top w:val="single" w:sz="6" w:space="0" w:color="auto"/>
              <w:left w:val="single" w:sz="6" w:space="0" w:color="auto"/>
              <w:bottom w:val="single" w:sz="6" w:space="0" w:color="auto"/>
              <w:right w:val="single" w:sz="6" w:space="0" w:color="auto"/>
            </w:tcBorders>
          </w:tcPr>
          <w:p w14:paraId="725B88DA" w14:textId="77777777" w:rsidR="00544009" w:rsidRPr="00CF5B76" w:rsidRDefault="00544009">
            <w:pPr>
              <w:widowControl/>
              <w:jc w:val="right"/>
              <w:rPr>
                <w:color w:val="000000"/>
                <w:sz w:val="18"/>
                <w:szCs w:val="18"/>
              </w:rPr>
            </w:pPr>
          </w:p>
        </w:tc>
        <w:tc>
          <w:tcPr>
            <w:tcW w:w="0" w:type="auto"/>
            <w:tcBorders>
              <w:top w:val="single" w:sz="6" w:space="0" w:color="auto"/>
              <w:left w:val="single" w:sz="6" w:space="0" w:color="auto"/>
              <w:bottom w:val="single" w:sz="6" w:space="0" w:color="auto"/>
              <w:right w:val="nil"/>
            </w:tcBorders>
          </w:tcPr>
          <w:p w14:paraId="3C9E0503" w14:textId="77777777" w:rsidR="00544009" w:rsidRPr="00CF5B76" w:rsidRDefault="00544009">
            <w:pPr>
              <w:widowControl/>
              <w:jc w:val="right"/>
              <w:rPr>
                <w:color w:val="000000"/>
                <w:sz w:val="18"/>
                <w:szCs w:val="18"/>
              </w:rPr>
            </w:pPr>
          </w:p>
        </w:tc>
        <w:tc>
          <w:tcPr>
            <w:tcW w:w="0" w:type="auto"/>
            <w:tcBorders>
              <w:top w:val="single" w:sz="6" w:space="0" w:color="auto"/>
              <w:left w:val="single" w:sz="6" w:space="0" w:color="auto"/>
              <w:bottom w:val="single" w:sz="6" w:space="0" w:color="auto"/>
              <w:right w:val="single" w:sz="6" w:space="0" w:color="auto"/>
            </w:tcBorders>
          </w:tcPr>
          <w:p w14:paraId="15331AA3" w14:textId="236A44E9" w:rsidR="00544009" w:rsidRPr="00462028" w:rsidRDefault="00462028" w:rsidP="00462028">
            <w:pPr>
              <w:widowControl/>
              <w:jc w:val="center"/>
              <w:rPr>
                <w:b/>
                <w:bCs/>
                <w:color w:val="000000"/>
                <w:sz w:val="18"/>
                <w:szCs w:val="18"/>
              </w:rPr>
            </w:pPr>
            <w:r>
              <w:rPr>
                <w:b/>
                <w:bCs/>
                <w:color w:val="000000"/>
                <w:sz w:val="18"/>
                <w:szCs w:val="18"/>
              </w:rPr>
              <w:t>39,998</w:t>
            </w:r>
          </w:p>
        </w:tc>
        <w:tc>
          <w:tcPr>
            <w:tcW w:w="0" w:type="auto"/>
            <w:tcBorders>
              <w:top w:val="single" w:sz="6" w:space="0" w:color="auto"/>
              <w:left w:val="single" w:sz="6" w:space="0" w:color="auto"/>
              <w:bottom w:val="single" w:sz="6" w:space="0" w:color="auto"/>
              <w:right w:val="single" w:sz="6" w:space="0" w:color="auto"/>
            </w:tcBorders>
          </w:tcPr>
          <w:p w14:paraId="64918AD2" w14:textId="3EE26C7F" w:rsidR="00544009" w:rsidRPr="00462028" w:rsidRDefault="00462028" w:rsidP="00462028">
            <w:pPr>
              <w:widowControl/>
              <w:jc w:val="center"/>
              <w:rPr>
                <w:b/>
                <w:bCs/>
                <w:color w:val="000000"/>
                <w:sz w:val="18"/>
                <w:szCs w:val="18"/>
              </w:rPr>
            </w:pPr>
            <w:r>
              <w:rPr>
                <w:b/>
                <w:bCs/>
                <w:color w:val="000000"/>
                <w:sz w:val="18"/>
                <w:szCs w:val="18"/>
              </w:rPr>
              <w:t>4,535</w:t>
            </w:r>
          </w:p>
        </w:tc>
      </w:tr>
    </w:tbl>
    <w:p w14:paraId="719AF853" w14:textId="6BFE2A3F" w:rsidR="000F5626" w:rsidRDefault="000F56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61357BC4"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13.</w:t>
      </w:r>
      <w:r>
        <w:rPr>
          <w:sz w:val="24"/>
        </w:rPr>
        <w:tab/>
      </w:r>
      <w:r>
        <w:rPr>
          <w:sz w:val="24"/>
          <w:u w:val="single"/>
        </w:rPr>
        <w:t>Capital Costs</w:t>
      </w:r>
    </w:p>
    <w:p w14:paraId="5BD9F288"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33A2D90" w14:textId="77777777" w:rsidR="008F1EB4" w:rsidRDefault="00C64325" w:rsidP="003670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w:t>
      </w:r>
      <w:r w:rsidR="00F87B8C">
        <w:rPr>
          <w:sz w:val="24"/>
        </w:rPr>
        <w:t xml:space="preserve">he </w:t>
      </w:r>
      <w:r w:rsidR="001871C9">
        <w:rPr>
          <w:sz w:val="24"/>
        </w:rPr>
        <w:t xml:space="preserve">suppliers should have the </w:t>
      </w:r>
      <w:r w:rsidR="00F87B8C">
        <w:rPr>
          <w:sz w:val="24"/>
        </w:rPr>
        <w:t xml:space="preserve">equipment necessary to </w:t>
      </w:r>
      <w:r w:rsidR="000A1367">
        <w:rPr>
          <w:sz w:val="24"/>
        </w:rPr>
        <w:t>col</w:t>
      </w:r>
      <w:r w:rsidR="00F87B8C">
        <w:rPr>
          <w:sz w:val="24"/>
        </w:rPr>
        <w:t xml:space="preserve">lect </w:t>
      </w:r>
      <w:r w:rsidR="000A1367">
        <w:rPr>
          <w:sz w:val="24"/>
        </w:rPr>
        <w:t xml:space="preserve">information </w:t>
      </w:r>
      <w:r w:rsidR="008063F0">
        <w:rPr>
          <w:sz w:val="24"/>
        </w:rPr>
        <w:t xml:space="preserve">regarding the </w:t>
      </w:r>
      <w:r w:rsidR="000A1367">
        <w:rPr>
          <w:sz w:val="24"/>
        </w:rPr>
        <w:t>beneficiary’s choice to continue or to not to continue renting equipment from the supplier.  The supplier should also have the equipment necessary to</w:t>
      </w:r>
      <w:r w:rsidR="00F87B8C">
        <w:rPr>
          <w:sz w:val="24"/>
        </w:rPr>
        <w:t xml:space="preserve"> </w:t>
      </w:r>
      <w:r w:rsidR="000A1367">
        <w:rPr>
          <w:sz w:val="24"/>
        </w:rPr>
        <w:t>send the notifications</w:t>
      </w:r>
      <w:r w:rsidR="00F87B8C">
        <w:rPr>
          <w:sz w:val="24"/>
        </w:rPr>
        <w:t xml:space="preserve">. </w:t>
      </w:r>
      <w:r>
        <w:rPr>
          <w:sz w:val="24"/>
        </w:rPr>
        <w:t xml:space="preserve"> </w:t>
      </w:r>
      <w:r w:rsidR="00F87B8C">
        <w:rPr>
          <w:sz w:val="24"/>
        </w:rPr>
        <w:t xml:space="preserve">As a result, there should be no extra capital </w:t>
      </w:r>
      <w:r w:rsidR="006D4171">
        <w:rPr>
          <w:sz w:val="24"/>
        </w:rPr>
        <w:t xml:space="preserve">cost </w:t>
      </w:r>
      <w:r w:rsidR="00F87B8C">
        <w:rPr>
          <w:sz w:val="24"/>
        </w:rPr>
        <w:t>to respondents for r</w:t>
      </w:r>
      <w:r w:rsidR="00D757EF">
        <w:rPr>
          <w:sz w:val="24"/>
        </w:rPr>
        <w:t>ecordkeeping resulting from the</w:t>
      </w:r>
      <w:r w:rsidR="00F87B8C">
        <w:rPr>
          <w:sz w:val="24"/>
        </w:rPr>
        <w:t xml:space="preserve"> collection of </w:t>
      </w:r>
      <w:r w:rsidR="00D757EF">
        <w:rPr>
          <w:sz w:val="24"/>
        </w:rPr>
        <w:t xml:space="preserve">this </w:t>
      </w:r>
      <w:r w:rsidR="00F87B8C">
        <w:rPr>
          <w:sz w:val="24"/>
        </w:rPr>
        <w:t xml:space="preserve">information. </w:t>
      </w:r>
    </w:p>
    <w:p w14:paraId="79F2C533" w14:textId="77777777" w:rsidR="008063F0" w:rsidRDefault="008063F0" w:rsidP="003670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1843833"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14.</w:t>
      </w:r>
      <w:r>
        <w:rPr>
          <w:sz w:val="24"/>
        </w:rPr>
        <w:tab/>
      </w:r>
      <w:r>
        <w:rPr>
          <w:sz w:val="24"/>
          <w:u w:val="single"/>
        </w:rPr>
        <w:t>Cost to Federal Government</w:t>
      </w:r>
    </w:p>
    <w:p w14:paraId="786CF456" w14:textId="77777777" w:rsidR="004F75B7" w:rsidRDefault="004F75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06E6722B" w14:textId="77777777" w:rsidR="00893750" w:rsidRPr="00893750" w:rsidRDefault="00893750" w:rsidP="00893750">
      <w:pPr>
        <w:numPr>
          <w:ilvl w:val="0"/>
          <w:numId w:val="2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Notification to Beneficiaries</w:t>
      </w:r>
    </w:p>
    <w:p w14:paraId="51B696E3" w14:textId="77777777" w:rsidR="004F75B7" w:rsidRDefault="004F75B7" w:rsidP="004F75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4C7764D" w14:textId="77777777" w:rsidR="004F75B7" w:rsidRDefault="00D11C4F" w:rsidP="003670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There will be no cost to the government for this requirement.</w:t>
      </w:r>
    </w:p>
    <w:p w14:paraId="53126122" w14:textId="77777777" w:rsidR="00D7404D" w:rsidRDefault="00D7404D" w:rsidP="003670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325242E"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15.</w:t>
      </w:r>
      <w:r>
        <w:rPr>
          <w:sz w:val="24"/>
        </w:rPr>
        <w:tab/>
      </w:r>
      <w:r>
        <w:rPr>
          <w:sz w:val="24"/>
          <w:u w:val="single"/>
        </w:rPr>
        <w:t>Changes to Burden</w:t>
      </w:r>
    </w:p>
    <w:p w14:paraId="42E9AF7C"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9FDF96D" w14:textId="77777777" w:rsidR="00A20AEA" w:rsidRPr="00893750" w:rsidRDefault="00A20AEA" w:rsidP="00A20AEA">
      <w:pPr>
        <w:numPr>
          <w:ilvl w:val="0"/>
          <w:numId w:val="2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Notification to Beneficiaries</w:t>
      </w:r>
    </w:p>
    <w:p w14:paraId="3F5678C1" w14:textId="77777777" w:rsidR="00D7404D" w:rsidRDefault="00D7404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36359C1" w14:textId="56795D54" w:rsidR="004B56CB" w:rsidRPr="004B56CB" w:rsidRDefault="004B56CB" w:rsidP="004B56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4B56CB">
        <w:rPr>
          <w:color w:val="000000"/>
          <w:sz w:val="24"/>
        </w:rPr>
        <w:t>The burden associated with this ICR is decreasing and adjusted by annualizing the one-time burden estimates.</w:t>
      </w:r>
    </w:p>
    <w:p w14:paraId="4577328E" w14:textId="77777777" w:rsidR="004B56CB" w:rsidRPr="004B56CB" w:rsidRDefault="004B56CB" w:rsidP="004B56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08DB4BBA" w14:textId="69943133" w:rsidR="00246FE9" w:rsidRDefault="00101C2D" w:rsidP="004B56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For this approval period, t</w:t>
      </w:r>
      <w:r w:rsidR="004B56CB" w:rsidRPr="004B56CB">
        <w:rPr>
          <w:color w:val="000000"/>
          <w:sz w:val="24"/>
        </w:rPr>
        <w:t xml:space="preserve">he burden estimates have  been updated </w:t>
      </w:r>
      <w:r>
        <w:rPr>
          <w:color w:val="000000"/>
          <w:sz w:val="24"/>
        </w:rPr>
        <w:t>by</w:t>
      </w:r>
      <w:r w:rsidR="004B56CB" w:rsidRPr="004B56CB">
        <w:rPr>
          <w:color w:val="000000"/>
          <w:sz w:val="24"/>
        </w:rPr>
        <w:t xml:space="preserve"> </w:t>
      </w:r>
      <w:r>
        <w:rPr>
          <w:color w:val="000000"/>
          <w:sz w:val="24"/>
        </w:rPr>
        <w:t>removing the estimates that were related to Round 2 and updating the estimates for the</w:t>
      </w:r>
      <w:r w:rsidR="004B56CB" w:rsidRPr="004B56CB">
        <w:rPr>
          <w:color w:val="000000"/>
          <w:sz w:val="24"/>
        </w:rPr>
        <w:t xml:space="preserve"> implementation of  Round 1 </w:t>
      </w:r>
      <w:r w:rsidR="00274D27">
        <w:rPr>
          <w:color w:val="000000"/>
          <w:sz w:val="24"/>
        </w:rPr>
        <w:t>2017.</w:t>
      </w:r>
      <w:r w:rsidR="004B56CB" w:rsidRPr="004B56CB">
        <w:rPr>
          <w:color w:val="000000"/>
          <w:sz w:val="24"/>
        </w:rPr>
        <w:t xml:space="preserve"> The burden estimates to develop and send the 30-day notification to beneficiaries </w:t>
      </w:r>
      <w:r>
        <w:rPr>
          <w:color w:val="000000"/>
          <w:sz w:val="24"/>
        </w:rPr>
        <w:t xml:space="preserve">for Round 1 </w:t>
      </w:r>
      <w:r w:rsidR="004B56CB" w:rsidRPr="004B56CB">
        <w:rPr>
          <w:color w:val="000000"/>
          <w:sz w:val="24"/>
        </w:rPr>
        <w:t xml:space="preserve">has changed from the previous version because we </w:t>
      </w:r>
      <w:r w:rsidR="004A2752">
        <w:rPr>
          <w:color w:val="000000"/>
          <w:sz w:val="24"/>
        </w:rPr>
        <w:t xml:space="preserve">estimate that there will be more </w:t>
      </w:r>
      <w:r w:rsidR="004A2752" w:rsidRPr="008A204F">
        <w:rPr>
          <w:sz w:val="24"/>
        </w:rPr>
        <w:t xml:space="preserve">beneficiaries who reside in a CBA and </w:t>
      </w:r>
      <w:r w:rsidR="004A2752">
        <w:rPr>
          <w:sz w:val="24"/>
        </w:rPr>
        <w:t>will be</w:t>
      </w:r>
      <w:r w:rsidR="004A2752" w:rsidRPr="008A204F">
        <w:rPr>
          <w:sz w:val="24"/>
        </w:rPr>
        <w:t xml:space="preserve"> renting </w:t>
      </w:r>
      <w:r w:rsidR="004A2752">
        <w:rPr>
          <w:sz w:val="24"/>
        </w:rPr>
        <w:t xml:space="preserve">DME and oxygen </w:t>
      </w:r>
      <w:r w:rsidR="004A2752" w:rsidRPr="008A204F">
        <w:rPr>
          <w:sz w:val="24"/>
        </w:rPr>
        <w:t>competitively bid items at the start of</w:t>
      </w:r>
      <w:r w:rsidR="004A2752">
        <w:rPr>
          <w:sz w:val="24"/>
        </w:rPr>
        <w:t xml:space="preserve"> Round 1 2017.</w:t>
      </w:r>
      <w:r w:rsidR="004B56CB" w:rsidRPr="004B56CB">
        <w:rPr>
          <w:color w:val="000000"/>
          <w:sz w:val="24"/>
        </w:rPr>
        <w:t xml:space="preserve"> </w:t>
      </w:r>
      <w:r w:rsidR="00261368" w:rsidRPr="00261368">
        <w:rPr>
          <w:color w:val="000000"/>
          <w:sz w:val="24"/>
        </w:rPr>
        <w:t xml:space="preserve"> </w:t>
      </w:r>
      <w:r w:rsidR="004B56CB" w:rsidRPr="004B56CB">
        <w:rPr>
          <w:color w:val="000000"/>
          <w:sz w:val="24"/>
        </w:rPr>
        <w:t xml:space="preserve">This </w:t>
      </w:r>
      <w:r>
        <w:rPr>
          <w:color w:val="000000"/>
          <w:sz w:val="24"/>
        </w:rPr>
        <w:t>increases</w:t>
      </w:r>
      <w:r w:rsidR="004B56CB" w:rsidRPr="004B56CB">
        <w:rPr>
          <w:color w:val="000000"/>
          <w:sz w:val="24"/>
        </w:rPr>
        <w:t xml:space="preserve"> the time required to develop and send the notification.  </w:t>
      </w:r>
      <w:r w:rsidR="00261368">
        <w:rPr>
          <w:color w:val="000000"/>
          <w:sz w:val="24"/>
        </w:rPr>
        <w:t>Additionally, the c</w:t>
      </w:r>
      <w:r w:rsidR="00261368" w:rsidRPr="00261368">
        <w:rPr>
          <w:color w:val="000000"/>
          <w:sz w:val="24"/>
        </w:rPr>
        <w:t xml:space="preserve">ost to the </w:t>
      </w:r>
      <w:r w:rsidR="00261368">
        <w:rPr>
          <w:color w:val="000000"/>
          <w:sz w:val="24"/>
        </w:rPr>
        <w:t>s</w:t>
      </w:r>
      <w:r w:rsidR="00261368" w:rsidRPr="00261368">
        <w:rPr>
          <w:color w:val="000000"/>
          <w:sz w:val="24"/>
        </w:rPr>
        <w:t xml:space="preserve">upplier to </w:t>
      </w:r>
      <w:r w:rsidR="009D3AEB">
        <w:rPr>
          <w:color w:val="000000"/>
          <w:sz w:val="24"/>
        </w:rPr>
        <w:t xml:space="preserve">develop and </w:t>
      </w:r>
      <w:r w:rsidR="00261368">
        <w:rPr>
          <w:color w:val="000000"/>
          <w:sz w:val="24"/>
        </w:rPr>
        <w:t>send the notifications has increased as the median hourly wage for clerical staff has increased according to the May 2014</w:t>
      </w:r>
      <w:r w:rsidR="00261368" w:rsidRPr="00261368">
        <w:rPr>
          <w:color w:val="000000"/>
          <w:sz w:val="24"/>
        </w:rPr>
        <w:t xml:space="preserve"> data from the Bureau of Labor Statistics</w:t>
      </w:r>
      <w:r w:rsidR="00261368">
        <w:rPr>
          <w:color w:val="000000"/>
          <w:sz w:val="24"/>
        </w:rPr>
        <w:t>.</w:t>
      </w:r>
      <w:r w:rsidR="00261368" w:rsidRPr="00261368">
        <w:rPr>
          <w:color w:val="000000"/>
          <w:sz w:val="24"/>
        </w:rPr>
        <w:t xml:space="preserve"> </w:t>
      </w:r>
    </w:p>
    <w:p w14:paraId="5FF4E5C0" w14:textId="77777777" w:rsidR="004B56CB" w:rsidRPr="00D01602" w:rsidRDefault="004B56CB" w:rsidP="004B56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11EE605"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16.</w:t>
      </w:r>
      <w:r>
        <w:rPr>
          <w:sz w:val="24"/>
        </w:rPr>
        <w:tab/>
      </w:r>
      <w:r>
        <w:rPr>
          <w:sz w:val="24"/>
          <w:u w:val="single"/>
        </w:rPr>
        <w:t>Publication/Tabulation Dates</w:t>
      </w:r>
    </w:p>
    <w:p w14:paraId="296B1D8B"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D591B2A" w14:textId="77777777" w:rsidR="00246FE9" w:rsidRDefault="00246FE9" w:rsidP="003670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81B58">
        <w:rPr>
          <w:sz w:val="24"/>
        </w:rPr>
        <w:t xml:space="preserve">There are no plans to publish </w:t>
      </w:r>
      <w:r w:rsidR="00D7404D">
        <w:rPr>
          <w:sz w:val="24"/>
        </w:rPr>
        <w:t xml:space="preserve">any of </w:t>
      </w:r>
      <w:r>
        <w:rPr>
          <w:sz w:val="24"/>
        </w:rPr>
        <w:t>the information collection</w:t>
      </w:r>
      <w:r w:rsidR="00D7404D">
        <w:rPr>
          <w:sz w:val="24"/>
        </w:rPr>
        <w:t xml:space="preserve"> detailed in this package</w:t>
      </w:r>
      <w:r>
        <w:rPr>
          <w:sz w:val="24"/>
        </w:rPr>
        <w:t xml:space="preserve">. </w:t>
      </w:r>
    </w:p>
    <w:p w14:paraId="2E73E08B" w14:textId="77777777" w:rsidR="00246FE9" w:rsidRDefault="00246FE9" w:rsidP="003670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E79F682"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17.</w:t>
      </w:r>
      <w:r>
        <w:rPr>
          <w:sz w:val="24"/>
        </w:rPr>
        <w:tab/>
      </w:r>
      <w:r>
        <w:rPr>
          <w:sz w:val="24"/>
          <w:u w:val="single"/>
        </w:rPr>
        <w:t>Expiration Date</w:t>
      </w:r>
    </w:p>
    <w:p w14:paraId="17F2B40B" w14:textId="77777777" w:rsidR="00D7404D" w:rsidRDefault="00D7404D" w:rsidP="00D7404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70A3411" w14:textId="6F82D48C" w:rsidR="00A3436B" w:rsidRDefault="00A3436B" w:rsidP="00A3436B">
      <w:pPr>
        <w:pStyle w:val="CommentText"/>
      </w:pPr>
      <w:r>
        <w:rPr>
          <w:rStyle w:val="CommentReference"/>
        </w:rPr>
        <w:annotationRef/>
      </w:r>
      <w:r>
        <w:t>CMS has provided</w:t>
      </w:r>
      <w:r w:rsidRPr="00DB4761">
        <w:t xml:space="preserve"> an expiration date</w:t>
      </w:r>
      <w:r>
        <w:t xml:space="preserve"> for purposes of approval</w:t>
      </w:r>
      <w:r w:rsidRPr="00DB4761">
        <w:t xml:space="preserve"> however</w:t>
      </w:r>
      <w:r>
        <w:t>,</w:t>
      </w:r>
      <w:r w:rsidRPr="00DB4761">
        <w:t xml:space="preserve"> the form </w:t>
      </w:r>
      <w:r>
        <w:t>is</w:t>
      </w:r>
      <w:r w:rsidRPr="00DB4761">
        <w:t xml:space="preserve"> a sample and suppliers may elect to </w:t>
      </w:r>
      <w:r>
        <w:t>develop their</w:t>
      </w:r>
      <w:r w:rsidRPr="00DB4761">
        <w:t xml:space="preserve"> own forms</w:t>
      </w:r>
      <w:r>
        <w:t xml:space="preserve"> (provided it contains all required elements)</w:t>
      </w:r>
      <w:r w:rsidRPr="00DB4761">
        <w:t xml:space="preserve"> </w:t>
      </w:r>
    </w:p>
    <w:p w14:paraId="77B31591" w14:textId="77777777" w:rsidR="00E829C0" w:rsidRPr="00E829C0" w:rsidRDefault="00E829C0" w:rsidP="00E829C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u w:val="single"/>
        </w:rPr>
      </w:pPr>
      <w:r w:rsidRPr="00E829C0">
        <w:rPr>
          <w:b/>
          <w:sz w:val="24"/>
          <w:u w:val="single"/>
        </w:rPr>
        <w:t>B.</w:t>
      </w:r>
      <w:r w:rsidRPr="00E829C0">
        <w:rPr>
          <w:b/>
          <w:sz w:val="24"/>
          <w:u w:val="single"/>
        </w:rPr>
        <w:tab/>
        <w:t>Collection of Information Employing Statistical Methods</w:t>
      </w:r>
    </w:p>
    <w:p w14:paraId="2C4F4660" w14:textId="77777777" w:rsidR="00E829C0" w:rsidRPr="00E829C0" w:rsidRDefault="00E829C0" w:rsidP="00E829C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84B9D86" w14:textId="77777777" w:rsidR="004B56CB" w:rsidRDefault="00E829C0" w:rsidP="00E829C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829C0">
        <w:rPr>
          <w:sz w:val="24"/>
        </w:rPr>
        <w:t>The use of statistical methods does not apply.</w:t>
      </w:r>
    </w:p>
    <w:p w14:paraId="07E716EB" w14:textId="77777777" w:rsidR="00D57E61" w:rsidRDefault="00D57E61" w:rsidP="00E5778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sectPr w:rsidR="00D57E61" w:rsidSect="001A0FDE">
      <w:footerReference w:type="default" r:id="rId9"/>
      <w:endnotePr>
        <w:numFmt w:val="decimal"/>
      </w:endnotePr>
      <w:type w:val="continuous"/>
      <w:pgSz w:w="12240" w:h="15840"/>
      <w:pgMar w:top="1440" w:right="1080" w:bottom="1440" w:left="1080" w:header="1440" w:footer="144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E07EEB" w14:textId="77777777" w:rsidR="00D25E23" w:rsidRDefault="00D25E23">
      <w:r>
        <w:separator/>
      </w:r>
    </w:p>
  </w:endnote>
  <w:endnote w:type="continuationSeparator" w:id="0">
    <w:p w14:paraId="3A752AB3" w14:textId="77777777" w:rsidR="00D25E23" w:rsidRDefault="00D25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W1)">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9350457"/>
      <w:docPartObj>
        <w:docPartGallery w:val="Page Numbers (Bottom of Page)"/>
        <w:docPartUnique/>
      </w:docPartObj>
    </w:sdtPr>
    <w:sdtEndPr>
      <w:rPr>
        <w:noProof/>
      </w:rPr>
    </w:sdtEndPr>
    <w:sdtContent>
      <w:p w14:paraId="2F100C8A" w14:textId="77777777" w:rsidR="00261368" w:rsidRDefault="00261368">
        <w:pPr>
          <w:pStyle w:val="Footer"/>
          <w:jc w:val="center"/>
        </w:pPr>
        <w:r>
          <w:fldChar w:fldCharType="begin"/>
        </w:r>
        <w:r>
          <w:instrText xml:space="preserve"> PAGE   \* MERGEFORMAT </w:instrText>
        </w:r>
        <w:r>
          <w:fldChar w:fldCharType="separate"/>
        </w:r>
        <w:r w:rsidR="00C5715C">
          <w:rPr>
            <w:noProof/>
          </w:rPr>
          <w:t>1</w:t>
        </w:r>
        <w:r>
          <w:rPr>
            <w:noProof/>
          </w:rPr>
          <w:fldChar w:fldCharType="end"/>
        </w:r>
      </w:p>
    </w:sdtContent>
  </w:sdt>
  <w:p w14:paraId="15BDE70C" w14:textId="77777777" w:rsidR="00261368" w:rsidRDefault="00261368">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65AB31" w14:textId="77777777" w:rsidR="00D25E23" w:rsidRDefault="00D25E23">
      <w:r>
        <w:separator/>
      </w:r>
    </w:p>
  </w:footnote>
  <w:footnote w:type="continuationSeparator" w:id="0">
    <w:p w14:paraId="3766E835" w14:textId="77777777" w:rsidR="00D25E23" w:rsidRDefault="00D25E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47B1C"/>
    <w:multiLevelType w:val="hybridMultilevel"/>
    <w:tmpl w:val="8D58F932"/>
    <w:lvl w:ilvl="0" w:tplc="B9F6B63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AC1A6D"/>
    <w:multiLevelType w:val="hybridMultilevel"/>
    <w:tmpl w:val="EDF682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7E7"/>
    <w:multiLevelType w:val="hybridMultilevel"/>
    <w:tmpl w:val="948A1F98"/>
    <w:lvl w:ilvl="0" w:tplc="04090001">
      <w:start w:val="1"/>
      <w:numFmt w:val="bullet"/>
      <w:lvlText w:val=""/>
      <w:lvlJc w:val="left"/>
      <w:pPr>
        <w:tabs>
          <w:tab w:val="num" w:pos="1080"/>
        </w:tabs>
        <w:ind w:left="108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9F47833"/>
    <w:multiLevelType w:val="hybridMultilevel"/>
    <w:tmpl w:val="BC348B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70350D"/>
    <w:multiLevelType w:val="hybridMultilevel"/>
    <w:tmpl w:val="04DE2D8E"/>
    <w:lvl w:ilvl="0" w:tplc="04090001">
      <w:start w:val="1"/>
      <w:numFmt w:val="bullet"/>
      <w:lvlText w:val=""/>
      <w:lvlJc w:val="left"/>
      <w:pPr>
        <w:tabs>
          <w:tab w:val="num" w:pos="1080"/>
        </w:tabs>
        <w:ind w:left="108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D896C3D"/>
    <w:multiLevelType w:val="hybridMultilevel"/>
    <w:tmpl w:val="FE7C65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AC78A8"/>
    <w:multiLevelType w:val="hybridMultilevel"/>
    <w:tmpl w:val="FE7C65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203C45"/>
    <w:multiLevelType w:val="hybridMultilevel"/>
    <w:tmpl w:val="FE7C65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BD49D5"/>
    <w:multiLevelType w:val="hybridMultilevel"/>
    <w:tmpl w:val="6D92F480"/>
    <w:lvl w:ilvl="0" w:tplc="B9F6B63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EA0EF8"/>
    <w:multiLevelType w:val="hybridMultilevel"/>
    <w:tmpl w:val="EF122A7E"/>
    <w:lvl w:ilvl="0" w:tplc="04090001">
      <w:start w:val="1"/>
      <w:numFmt w:val="bullet"/>
      <w:lvlText w:val=""/>
      <w:lvlJc w:val="left"/>
      <w:pPr>
        <w:tabs>
          <w:tab w:val="num" w:pos="1080"/>
        </w:tabs>
        <w:ind w:left="108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8E25A60"/>
    <w:multiLevelType w:val="hybridMultilevel"/>
    <w:tmpl w:val="FE7C65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2D37B6"/>
    <w:multiLevelType w:val="hybridMultilevel"/>
    <w:tmpl w:val="FE7C65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0A5507"/>
    <w:multiLevelType w:val="hybridMultilevel"/>
    <w:tmpl w:val="FE7C65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9A6455"/>
    <w:multiLevelType w:val="hybridMultilevel"/>
    <w:tmpl w:val="FE7C65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6B5E3A"/>
    <w:multiLevelType w:val="hybridMultilevel"/>
    <w:tmpl w:val="FE7C65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BA0866"/>
    <w:multiLevelType w:val="hybridMultilevel"/>
    <w:tmpl w:val="FE7C65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212CFD"/>
    <w:multiLevelType w:val="hybridMultilevel"/>
    <w:tmpl w:val="FE7C65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5E096F"/>
    <w:multiLevelType w:val="hybridMultilevel"/>
    <w:tmpl w:val="FE7C65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B97DF0"/>
    <w:multiLevelType w:val="hybridMultilevel"/>
    <w:tmpl w:val="FE7C65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171960"/>
    <w:multiLevelType w:val="hybridMultilevel"/>
    <w:tmpl w:val="FE7C65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F85B35"/>
    <w:multiLevelType w:val="hybridMultilevel"/>
    <w:tmpl w:val="FE7C65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076B6F"/>
    <w:multiLevelType w:val="hybridMultilevel"/>
    <w:tmpl w:val="01542E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E975BA8"/>
    <w:multiLevelType w:val="hybridMultilevel"/>
    <w:tmpl w:val="B97C463C"/>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1017E94"/>
    <w:multiLevelType w:val="hybridMultilevel"/>
    <w:tmpl w:val="B37C0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781415"/>
    <w:multiLevelType w:val="hybridMultilevel"/>
    <w:tmpl w:val="FE7C65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2565FC"/>
    <w:multiLevelType w:val="hybridMultilevel"/>
    <w:tmpl w:val="FE7C65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DD6805"/>
    <w:multiLevelType w:val="hybridMultilevel"/>
    <w:tmpl w:val="FE7C65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3569F2"/>
    <w:multiLevelType w:val="hybridMultilevel"/>
    <w:tmpl w:val="50E0F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2B5982"/>
    <w:multiLevelType w:val="hybridMultilevel"/>
    <w:tmpl w:val="FE7C65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0705A3"/>
    <w:multiLevelType w:val="hybridMultilevel"/>
    <w:tmpl w:val="F28ED5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0A17FE2"/>
    <w:multiLevelType w:val="hybridMultilevel"/>
    <w:tmpl w:val="FE7C65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020E72"/>
    <w:multiLevelType w:val="hybridMultilevel"/>
    <w:tmpl w:val="FE7C65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45194D"/>
    <w:multiLevelType w:val="hybridMultilevel"/>
    <w:tmpl w:val="FE7C65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B916FF"/>
    <w:multiLevelType w:val="hybridMultilevel"/>
    <w:tmpl w:val="EE2817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B8F4993"/>
    <w:multiLevelType w:val="hybridMultilevel"/>
    <w:tmpl w:val="BE08B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186131"/>
    <w:multiLevelType w:val="hybridMultilevel"/>
    <w:tmpl w:val="FE7C65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C37D35"/>
    <w:multiLevelType w:val="hybridMultilevel"/>
    <w:tmpl w:val="FE7C65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6E024F"/>
    <w:multiLevelType w:val="hybridMultilevel"/>
    <w:tmpl w:val="FE7C65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8214B2"/>
    <w:multiLevelType w:val="hybridMultilevel"/>
    <w:tmpl w:val="472E1922"/>
    <w:lvl w:ilvl="0" w:tplc="C0CA7A54">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9" w15:restartNumberingAfterBreak="0">
    <w:nsid w:val="74AA7FE2"/>
    <w:multiLevelType w:val="hybridMultilevel"/>
    <w:tmpl w:val="CE8EC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DB59E8"/>
    <w:multiLevelType w:val="hybridMultilevel"/>
    <w:tmpl w:val="9E6AD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5B1B11"/>
    <w:multiLevelType w:val="hybridMultilevel"/>
    <w:tmpl w:val="3D94C9B0"/>
    <w:lvl w:ilvl="0" w:tplc="04090001">
      <w:start w:val="1"/>
      <w:numFmt w:val="bullet"/>
      <w:lvlText w:val=""/>
      <w:lvlJc w:val="left"/>
      <w:pPr>
        <w:tabs>
          <w:tab w:val="num" w:pos="1080"/>
        </w:tabs>
        <w:ind w:left="108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7B78757C"/>
    <w:multiLevelType w:val="hybridMultilevel"/>
    <w:tmpl w:val="FE7C65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0A1A51"/>
    <w:multiLevelType w:val="hybridMultilevel"/>
    <w:tmpl w:val="90B25F2E"/>
    <w:lvl w:ilvl="0" w:tplc="04090001">
      <w:start w:val="1"/>
      <w:numFmt w:val="bullet"/>
      <w:lvlText w:val=""/>
      <w:lvlJc w:val="left"/>
      <w:pPr>
        <w:tabs>
          <w:tab w:val="num" w:pos="1080"/>
        </w:tabs>
        <w:ind w:left="108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8"/>
  </w:num>
  <w:num w:numId="3">
    <w:abstractNumId w:val="24"/>
  </w:num>
  <w:num w:numId="4">
    <w:abstractNumId w:val="10"/>
  </w:num>
  <w:num w:numId="5">
    <w:abstractNumId w:val="37"/>
  </w:num>
  <w:num w:numId="6">
    <w:abstractNumId w:val="28"/>
  </w:num>
  <w:num w:numId="7">
    <w:abstractNumId w:val="5"/>
  </w:num>
  <w:num w:numId="8">
    <w:abstractNumId w:val="6"/>
  </w:num>
  <w:num w:numId="9">
    <w:abstractNumId w:val="13"/>
  </w:num>
  <w:num w:numId="10">
    <w:abstractNumId w:val="19"/>
  </w:num>
  <w:num w:numId="11">
    <w:abstractNumId w:val="15"/>
  </w:num>
  <w:num w:numId="12">
    <w:abstractNumId w:val="30"/>
  </w:num>
  <w:num w:numId="13">
    <w:abstractNumId w:val="26"/>
  </w:num>
  <w:num w:numId="14">
    <w:abstractNumId w:val="20"/>
  </w:num>
  <w:num w:numId="15">
    <w:abstractNumId w:val="32"/>
  </w:num>
  <w:num w:numId="16">
    <w:abstractNumId w:val="31"/>
  </w:num>
  <w:num w:numId="17">
    <w:abstractNumId w:val="18"/>
  </w:num>
  <w:num w:numId="18">
    <w:abstractNumId w:val="14"/>
  </w:num>
  <w:num w:numId="19">
    <w:abstractNumId w:val="12"/>
  </w:num>
  <w:num w:numId="20">
    <w:abstractNumId w:val="25"/>
  </w:num>
  <w:num w:numId="21">
    <w:abstractNumId w:val="35"/>
  </w:num>
  <w:num w:numId="22">
    <w:abstractNumId w:val="38"/>
  </w:num>
  <w:num w:numId="23">
    <w:abstractNumId w:val="34"/>
  </w:num>
  <w:num w:numId="24">
    <w:abstractNumId w:val="42"/>
  </w:num>
  <w:num w:numId="25">
    <w:abstractNumId w:val="36"/>
  </w:num>
  <w:num w:numId="26">
    <w:abstractNumId w:val="16"/>
  </w:num>
  <w:num w:numId="27">
    <w:abstractNumId w:val="7"/>
  </w:num>
  <w:num w:numId="28">
    <w:abstractNumId w:val="11"/>
  </w:num>
  <w:num w:numId="29">
    <w:abstractNumId w:val="27"/>
  </w:num>
  <w:num w:numId="30">
    <w:abstractNumId w:val="4"/>
  </w:num>
  <w:num w:numId="31">
    <w:abstractNumId w:val="9"/>
  </w:num>
  <w:num w:numId="32">
    <w:abstractNumId w:val="22"/>
  </w:num>
  <w:num w:numId="33">
    <w:abstractNumId w:val="21"/>
  </w:num>
  <w:num w:numId="34">
    <w:abstractNumId w:val="41"/>
  </w:num>
  <w:num w:numId="35">
    <w:abstractNumId w:val="43"/>
  </w:num>
  <w:num w:numId="36">
    <w:abstractNumId w:val="2"/>
  </w:num>
  <w:num w:numId="37">
    <w:abstractNumId w:val="40"/>
  </w:num>
  <w:num w:numId="38">
    <w:abstractNumId w:val="39"/>
  </w:num>
  <w:num w:numId="39">
    <w:abstractNumId w:val="23"/>
  </w:num>
  <w:num w:numId="40">
    <w:abstractNumId w:val="17"/>
  </w:num>
  <w:num w:numId="41">
    <w:abstractNumId w:val="1"/>
  </w:num>
  <w:num w:numId="42">
    <w:abstractNumId w:val="3"/>
  </w:num>
  <w:num w:numId="43">
    <w:abstractNumId w:val="33"/>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AF4"/>
    <w:rsid w:val="00012415"/>
    <w:rsid w:val="00024CB1"/>
    <w:rsid w:val="00030E57"/>
    <w:rsid w:val="000326CD"/>
    <w:rsid w:val="000358AE"/>
    <w:rsid w:val="0003738B"/>
    <w:rsid w:val="00041F0D"/>
    <w:rsid w:val="00051934"/>
    <w:rsid w:val="00054568"/>
    <w:rsid w:val="00061B1D"/>
    <w:rsid w:val="00083D34"/>
    <w:rsid w:val="00091D03"/>
    <w:rsid w:val="00093BF0"/>
    <w:rsid w:val="000A1367"/>
    <w:rsid w:val="000A7739"/>
    <w:rsid w:val="000A7832"/>
    <w:rsid w:val="000B0C7A"/>
    <w:rsid w:val="000B4313"/>
    <w:rsid w:val="000B5212"/>
    <w:rsid w:val="000B5D53"/>
    <w:rsid w:val="000B65A4"/>
    <w:rsid w:val="000C10AF"/>
    <w:rsid w:val="000D420F"/>
    <w:rsid w:val="000D6920"/>
    <w:rsid w:val="000E00C4"/>
    <w:rsid w:val="000E0744"/>
    <w:rsid w:val="000E425C"/>
    <w:rsid w:val="000F3399"/>
    <w:rsid w:val="000F3AF4"/>
    <w:rsid w:val="000F5626"/>
    <w:rsid w:val="00101C2D"/>
    <w:rsid w:val="001023CD"/>
    <w:rsid w:val="00107AB2"/>
    <w:rsid w:val="00115D9D"/>
    <w:rsid w:val="00116664"/>
    <w:rsid w:val="00122CC8"/>
    <w:rsid w:val="00143449"/>
    <w:rsid w:val="00153283"/>
    <w:rsid w:val="0015456F"/>
    <w:rsid w:val="00155B25"/>
    <w:rsid w:val="00157477"/>
    <w:rsid w:val="001623E3"/>
    <w:rsid w:val="001714BA"/>
    <w:rsid w:val="001871C9"/>
    <w:rsid w:val="00187EA0"/>
    <w:rsid w:val="00190A00"/>
    <w:rsid w:val="00192423"/>
    <w:rsid w:val="001947E2"/>
    <w:rsid w:val="001974D7"/>
    <w:rsid w:val="001A0FDE"/>
    <w:rsid w:val="001A4394"/>
    <w:rsid w:val="001A45CA"/>
    <w:rsid w:val="001B1EEA"/>
    <w:rsid w:val="001B2E1F"/>
    <w:rsid w:val="001B5B4F"/>
    <w:rsid w:val="001C291D"/>
    <w:rsid w:val="001C5121"/>
    <w:rsid w:val="001E2152"/>
    <w:rsid w:val="001E66A7"/>
    <w:rsid w:val="001F330B"/>
    <w:rsid w:val="001F4A14"/>
    <w:rsid w:val="002001CB"/>
    <w:rsid w:val="00210635"/>
    <w:rsid w:val="002110AC"/>
    <w:rsid w:val="002156CA"/>
    <w:rsid w:val="00232723"/>
    <w:rsid w:val="00234204"/>
    <w:rsid w:val="00235F12"/>
    <w:rsid w:val="00237AEC"/>
    <w:rsid w:val="00246FE9"/>
    <w:rsid w:val="002539E6"/>
    <w:rsid w:val="00255384"/>
    <w:rsid w:val="00255BB7"/>
    <w:rsid w:val="002601EC"/>
    <w:rsid w:val="00261368"/>
    <w:rsid w:val="00263287"/>
    <w:rsid w:val="00267A4E"/>
    <w:rsid w:val="00274D27"/>
    <w:rsid w:val="00290F60"/>
    <w:rsid w:val="00295FFC"/>
    <w:rsid w:val="00296582"/>
    <w:rsid w:val="002A18A2"/>
    <w:rsid w:val="002A6C17"/>
    <w:rsid w:val="002B517E"/>
    <w:rsid w:val="002B7091"/>
    <w:rsid w:val="002C0CFB"/>
    <w:rsid w:val="002C258A"/>
    <w:rsid w:val="002D0FF3"/>
    <w:rsid w:val="002D3734"/>
    <w:rsid w:val="002E23F5"/>
    <w:rsid w:val="002E3CFC"/>
    <w:rsid w:val="002E4D32"/>
    <w:rsid w:val="002F2E19"/>
    <w:rsid w:val="002F2FF5"/>
    <w:rsid w:val="002F3A8A"/>
    <w:rsid w:val="00301104"/>
    <w:rsid w:val="0030504A"/>
    <w:rsid w:val="00306DF3"/>
    <w:rsid w:val="00320CB2"/>
    <w:rsid w:val="003304DF"/>
    <w:rsid w:val="003352BD"/>
    <w:rsid w:val="0034157F"/>
    <w:rsid w:val="0034235C"/>
    <w:rsid w:val="003469D4"/>
    <w:rsid w:val="003532A5"/>
    <w:rsid w:val="00363305"/>
    <w:rsid w:val="00365D47"/>
    <w:rsid w:val="003670CC"/>
    <w:rsid w:val="003752A0"/>
    <w:rsid w:val="00375639"/>
    <w:rsid w:val="00376D86"/>
    <w:rsid w:val="00381CA0"/>
    <w:rsid w:val="003847F9"/>
    <w:rsid w:val="003856C1"/>
    <w:rsid w:val="00387ACA"/>
    <w:rsid w:val="003C4D1E"/>
    <w:rsid w:val="003E1E6F"/>
    <w:rsid w:val="003F0BBE"/>
    <w:rsid w:val="003F29A3"/>
    <w:rsid w:val="00400F71"/>
    <w:rsid w:val="0040512A"/>
    <w:rsid w:val="004051DE"/>
    <w:rsid w:val="0041009E"/>
    <w:rsid w:val="00411E45"/>
    <w:rsid w:val="00416B66"/>
    <w:rsid w:val="00417363"/>
    <w:rsid w:val="00424E1B"/>
    <w:rsid w:val="00426653"/>
    <w:rsid w:val="00441FC2"/>
    <w:rsid w:val="00446C9D"/>
    <w:rsid w:val="00451A93"/>
    <w:rsid w:val="004546AF"/>
    <w:rsid w:val="0046103B"/>
    <w:rsid w:val="00462028"/>
    <w:rsid w:val="004675AE"/>
    <w:rsid w:val="004713E0"/>
    <w:rsid w:val="00482D08"/>
    <w:rsid w:val="0048617E"/>
    <w:rsid w:val="00490D44"/>
    <w:rsid w:val="00491FC0"/>
    <w:rsid w:val="00497EA4"/>
    <w:rsid w:val="004A1C3A"/>
    <w:rsid w:val="004A2752"/>
    <w:rsid w:val="004B56CB"/>
    <w:rsid w:val="004B60F9"/>
    <w:rsid w:val="004B6BC2"/>
    <w:rsid w:val="004C27E5"/>
    <w:rsid w:val="004E0EB8"/>
    <w:rsid w:val="004F1B97"/>
    <w:rsid w:val="004F4155"/>
    <w:rsid w:val="004F4777"/>
    <w:rsid w:val="004F5456"/>
    <w:rsid w:val="004F75B7"/>
    <w:rsid w:val="00507D13"/>
    <w:rsid w:val="00510617"/>
    <w:rsid w:val="00510E42"/>
    <w:rsid w:val="00515CCB"/>
    <w:rsid w:val="00520974"/>
    <w:rsid w:val="00524D72"/>
    <w:rsid w:val="00525FEA"/>
    <w:rsid w:val="00531170"/>
    <w:rsid w:val="00532166"/>
    <w:rsid w:val="00534D6A"/>
    <w:rsid w:val="00535767"/>
    <w:rsid w:val="005363B7"/>
    <w:rsid w:val="005435BE"/>
    <w:rsid w:val="00543F33"/>
    <w:rsid w:val="00544009"/>
    <w:rsid w:val="005440C8"/>
    <w:rsid w:val="00545DBF"/>
    <w:rsid w:val="005563D2"/>
    <w:rsid w:val="00576348"/>
    <w:rsid w:val="00581060"/>
    <w:rsid w:val="00582DAC"/>
    <w:rsid w:val="00584344"/>
    <w:rsid w:val="00586A19"/>
    <w:rsid w:val="00591513"/>
    <w:rsid w:val="005A725F"/>
    <w:rsid w:val="005B1394"/>
    <w:rsid w:val="005B1E66"/>
    <w:rsid w:val="005B2505"/>
    <w:rsid w:val="005C19CB"/>
    <w:rsid w:val="005C3D54"/>
    <w:rsid w:val="005D4ECB"/>
    <w:rsid w:val="005E1B3E"/>
    <w:rsid w:val="005E4CE3"/>
    <w:rsid w:val="005F2DB5"/>
    <w:rsid w:val="005F3E2D"/>
    <w:rsid w:val="005F70D8"/>
    <w:rsid w:val="00601CBE"/>
    <w:rsid w:val="0060358B"/>
    <w:rsid w:val="00606C5E"/>
    <w:rsid w:val="00612856"/>
    <w:rsid w:val="006155BE"/>
    <w:rsid w:val="0061709E"/>
    <w:rsid w:val="006260F2"/>
    <w:rsid w:val="00633728"/>
    <w:rsid w:val="006348AF"/>
    <w:rsid w:val="00652989"/>
    <w:rsid w:val="00657F7C"/>
    <w:rsid w:val="006773E3"/>
    <w:rsid w:val="00691227"/>
    <w:rsid w:val="006933FC"/>
    <w:rsid w:val="00694978"/>
    <w:rsid w:val="006978F1"/>
    <w:rsid w:val="006979F3"/>
    <w:rsid w:val="006A13C2"/>
    <w:rsid w:val="006A232C"/>
    <w:rsid w:val="006A3A4D"/>
    <w:rsid w:val="006B490B"/>
    <w:rsid w:val="006B6D6A"/>
    <w:rsid w:val="006B7567"/>
    <w:rsid w:val="006B7891"/>
    <w:rsid w:val="006C0D27"/>
    <w:rsid w:val="006D1E29"/>
    <w:rsid w:val="006D3A17"/>
    <w:rsid w:val="006D4171"/>
    <w:rsid w:val="006D66D7"/>
    <w:rsid w:val="006E019F"/>
    <w:rsid w:val="006E2A74"/>
    <w:rsid w:val="006E318F"/>
    <w:rsid w:val="006E3E1E"/>
    <w:rsid w:val="006E4273"/>
    <w:rsid w:val="006E6ECC"/>
    <w:rsid w:val="006F2904"/>
    <w:rsid w:val="00703026"/>
    <w:rsid w:val="00703B90"/>
    <w:rsid w:val="007075EF"/>
    <w:rsid w:val="007110D5"/>
    <w:rsid w:val="00721D18"/>
    <w:rsid w:val="00722004"/>
    <w:rsid w:val="00732CAF"/>
    <w:rsid w:val="00735120"/>
    <w:rsid w:val="007520E2"/>
    <w:rsid w:val="00753F29"/>
    <w:rsid w:val="007544C4"/>
    <w:rsid w:val="00760A79"/>
    <w:rsid w:val="00761E99"/>
    <w:rsid w:val="00766FB3"/>
    <w:rsid w:val="007670C8"/>
    <w:rsid w:val="00767DC9"/>
    <w:rsid w:val="00777C3B"/>
    <w:rsid w:val="007818E0"/>
    <w:rsid w:val="007867F6"/>
    <w:rsid w:val="00795FC0"/>
    <w:rsid w:val="0079619C"/>
    <w:rsid w:val="007C1F7A"/>
    <w:rsid w:val="007D3A94"/>
    <w:rsid w:val="007D4470"/>
    <w:rsid w:val="007E35A3"/>
    <w:rsid w:val="007E3F0F"/>
    <w:rsid w:val="007E5187"/>
    <w:rsid w:val="007F31E8"/>
    <w:rsid w:val="008063F0"/>
    <w:rsid w:val="008076D7"/>
    <w:rsid w:val="008121FC"/>
    <w:rsid w:val="00823D7D"/>
    <w:rsid w:val="00842A6C"/>
    <w:rsid w:val="00845689"/>
    <w:rsid w:val="00851A6C"/>
    <w:rsid w:val="00854551"/>
    <w:rsid w:val="008647B1"/>
    <w:rsid w:val="00870D59"/>
    <w:rsid w:val="00882928"/>
    <w:rsid w:val="00883988"/>
    <w:rsid w:val="008846E0"/>
    <w:rsid w:val="00893750"/>
    <w:rsid w:val="008A204F"/>
    <w:rsid w:val="008A69D2"/>
    <w:rsid w:val="008C032E"/>
    <w:rsid w:val="008C3A42"/>
    <w:rsid w:val="008C42A7"/>
    <w:rsid w:val="008C5EC9"/>
    <w:rsid w:val="008C6941"/>
    <w:rsid w:val="008D13B9"/>
    <w:rsid w:val="008D4EE1"/>
    <w:rsid w:val="008E1F78"/>
    <w:rsid w:val="008E7CD3"/>
    <w:rsid w:val="008F1859"/>
    <w:rsid w:val="008F1EB4"/>
    <w:rsid w:val="008F503C"/>
    <w:rsid w:val="00906BBB"/>
    <w:rsid w:val="00907807"/>
    <w:rsid w:val="00912E64"/>
    <w:rsid w:val="00916751"/>
    <w:rsid w:val="009208F3"/>
    <w:rsid w:val="009210A4"/>
    <w:rsid w:val="009221F2"/>
    <w:rsid w:val="00922569"/>
    <w:rsid w:val="009373F9"/>
    <w:rsid w:val="00942355"/>
    <w:rsid w:val="009450B7"/>
    <w:rsid w:val="00950260"/>
    <w:rsid w:val="00954E06"/>
    <w:rsid w:val="00961270"/>
    <w:rsid w:val="00970757"/>
    <w:rsid w:val="00977B95"/>
    <w:rsid w:val="0098378F"/>
    <w:rsid w:val="00984577"/>
    <w:rsid w:val="009903CD"/>
    <w:rsid w:val="00993358"/>
    <w:rsid w:val="009964BF"/>
    <w:rsid w:val="009A0103"/>
    <w:rsid w:val="009A0A58"/>
    <w:rsid w:val="009A101A"/>
    <w:rsid w:val="009C73BB"/>
    <w:rsid w:val="009D0010"/>
    <w:rsid w:val="009D0838"/>
    <w:rsid w:val="009D3AEB"/>
    <w:rsid w:val="009D78BF"/>
    <w:rsid w:val="009E12C9"/>
    <w:rsid w:val="009E64F8"/>
    <w:rsid w:val="009F1432"/>
    <w:rsid w:val="00A03975"/>
    <w:rsid w:val="00A152C4"/>
    <w:rsid w:val="00A20AEA"/>
    <w:rsid w:val="00A30B15"/>
    <w:rsid w:val="00A3138F"/>
    <w:rsid w:val="00A31885"/>
    <w:rsid w:val="00A3436B"/>
    <w:rsid w:val="00A36C08"/>
    <w:rsid w:val="00A40989"/>
    <w:rsid w:val="00A54057"/>
    <w:rsid w:val="00A54903"/>
    <w:rsid w:val="00A61587"/>
    <w:rsid w:val="00A62EE1"/>
    <w:rsid w:val="00A721B4"/>
    <w:rsid w:val="00A77421"/>
    <w:rsid w:val="00A802C7"/>
    <w:rsid w:val="00A817CF"/>
    <w:rsid w:val="00A82AFA"/>
    <w:rsid w:val="00A93224"/>
    <w:rsid w:val="00A9477A"/>
    <w:rsid w:val="00A949FF"/>
    <w:rsid w:val="00AA00D3"/>
    <w:rsid w:val="00AA07CA"/>
    <w:rsid w:val="00AA0F7C"/>
    <w:rsid w:val="00AA2FA9"/>
    <w:rsid w:val="00AA4569"/>
    <w:rsid w:val="00AB0463"/>
    <w:rsid w:val="00AB48F4"/>
    <w:rsid w:val="00AC0A8B"/>
    <w:rsid w:val="00AC17D8"/>
    <w:rsid w:val="00AD2120"/>
    <w:rsid w:val="00AD3547"/>
    <w:rsid w:val="00AD45BE"/>
    <w:rsid w:val="00AD49AE"/>
    <w:rsid w:val="00AE3BD8"/>
    <w:rsid w:val="00AE58CD"/>
    <w:rsid w:val="00AE65DB"/>
    <w:rsid w:val="00AE6FFF"/>
    <w:rsid w:val="00AF5241"/>
    <w:rsid w:val="00AF5298"/>
    <w:rsid w:val="00AF6477"/>
    <w:rsid w:val="00B01599"/>
    <w:rsid w:val="00B0172E"/>
    <w:rsid w:val="00B068D2"/>
    <w:rsid w:val="00B1011D"/>
    <w:rsid w:val="00B12C27"/>
    <w:rsid w:val="00B1612A"/>
    <w:rsid w:val="00B21CDD"/>
    <w:rsid w:val="00B234DE"/>
    <w:rsid w:val="00B23F1E"/>
    <w:rsid w:val="00B25030"/>
    <w:rsid w:val="00B33480"/>
    <w:rsid w:val="00B3611A"/>
    <w:rsid w:val="00B37014"/>
    <w:rsid w:val="00B42AE6"/>
    <w:rsid w:val="00B4732D"/>
    <w:rsid w:val="00B544BA"/>
    <w:rsid w:val="00B63265"/>
    <w:rsid w:val="00B6406B"/>
    <w:rsid w:val="00B73B92"/>
    <w:rsid w:val="00B800DC"/>
    <w:rsid w:val="00B81659"/>
    <w:rsid w:val="00B81EC4"/>
    <w:rsid w:val="00B84CE4"/>
    <w:rsid w:val="00B87121"/>
    <w:rsid w:val="00B8749E"/>
    <w:rsid w:val="00B879DA"/>
    <w:rsid w:val="00B940B7"/>
    <w:rsid w:val="00BB3ECF"/>
    <w:rsid w:val="00BC1BB4"/>
    <w:rsid w:val="00BC2E20"/>
    <w:rsid w:val="00BC3860"/>
    <w:rsid w:val="00BC6328"/>
    <w:rsid w:val="00BD3FA1"/>
    <w:rsid w:val="00BD4F5C"/>
    <w:rsid w:val="00BD75FB"/>
    <w:rsid w:val="00BF312D"/>
    <w:rsid w:val="00BF4586"/>
    <w:rsid w:val="00BF4FBD"/>
    <w:rsid w:val="00C00745"/>
    <w:rsid w:val="00C00ED4"/>
    <w:rsid w:val="00C01341"/>
    <w:rsid w:val="00C04BD9"/>
    <w:rsid w:val="00C21A49"/>
    <w:rsid w:val="00C236F9"/>
    <w:rsid w:val="00C344CB"/>
    <w:rsid w:val="00C402F1"/>
    <w:rsid w:val="00C451C4"/>
    <w:rsid w:val="00C472AF"/>
    <w:rsid w:val="00C5715C"/>
    <w:rsid w:val="00C64325"/>
    <w:rsid w:val="00C66F8A"/>
    <w:rsid w:val="00C72EDA"/>
    <w:rsid w:val="00C8115A"/>
    <w:rsid w:val="00C82D23"/>
    <w:rsid w:val="00C94C65"/>
    <w:rsid w:val="00C94E81"/>
    <w:rsid w:val="00CA3E3A"/>
    <w:rsid w:val="00CB0073"/>
    <w:rsid w:val="00CB1D9C"/>
    <w:rsid w:val="00CB430D"/>
    <w:rsid w:val="00CB5778"/>
    <w:rsid w:val="00CB71A1"/>
    <w:rsid w:val="00CB7960"/>
    <w:rsid w:val="00CC0CB3"/>
    <w:rsid w:val="00CC4974"/>
    <w:rsid w:val="00CC540B"/>
    <w:rsid w:val="00CD1E4C"/>
    <w:rsid w:val="00CD21F9"/>
    <w:rsid w:val="00CD650E"/>
    <w:rsid w:val="00CD69D1"/>
    <w:rsid w:val="00CE0B97"/>
    <w:rsid w:val="00CE732E"/>
    <w:rsid w:val="00CF5B76"/>
    <w:rsid w:val="00D005FE"/>
    <w:rsid w:val="00D01602"/>
    <w:rsid w:val="00D07FBA"/>
    <w:rsid w:val="00D11C4F"/>
    <w:rsid w:val="00D248C2"/>
    <w:rsid w:val="00D250E1"/>
    <w:rsid w:val="00D25E23"/>
    <w:rsid w:val="00D276EB"/>
    <w:rsid w:val="00D30563"/>
    <w:rsid w:val="00D36EE7"/>
    <w:rsid w:val="00D375CE"/>
    <w:rsid w:val="00D3761A"/>
    <w:rsid w:val="00D422DD"/>
    <w:rsid w:val="00D43D61"/>
    <w:rsid w:val="00D46FBF"/>
    <w:rsid w:val="00D54A35"/>
    <w:rsid w:val="00D579FF"/>
    <w:rsid w:val="00D57E61"/>
    <w:rsid w:val="00D60712"/>
    <w:rsid w:val="00D674BA"/>
    <w:rsid w:val="00D72B0A"/>
    <w:rsid w:val="00D7404D"/>
    <w:rsid w:val="00D757EF"/>
    <w:rsid w:val="00D77F9B"/>
    <w:rsid w:val="00D8179F"/>
    <w:rsid w:val="00D82CAD"/>
    <w:rsid w:val="00D83925"/>
    <w:rsid w:val="00DA43FC"/>
    <w:rsid w:val="00DB070F"/>
    <w:rsid w:val="00DB119D"/>
    <w:rsid w:val="00DB1CF3"/>
    <w:rsid w:val="00DB4761"/>
    <w:rsid w:val="00DD790B"/>
    <w:rsid w:val="00DD7B6F"/>
    <w:rsid w:val="00E00083"/>
    <w:rsid w:val="00E0133B"/>
    <w:rsid w:val="00E0133D"/>
    <w:rsid w:val="00E122D1"/>
    <w:rsid w:val="00E2349A"/>
    <w:rsid w:val="00E24131"/>
    <w:rsid w:val="00E37CFD"/>
    <w:rsid w:val="00E41867"/>
    <w:rsid w:val="00E51DB8"/>
    <w:rsid w:val="00E52215"/>
    <w:rsid w:val="00E545CF"/>
    <w:rsid w:val="00E55304"/>
    <w:rsid w:val="00E56CBC"/>
    <w:rsid w:val="00E57781"/>
    <w:rsid w:val="00E6018E"/>
    <w:rsid w:val="00E63330"/>
    <w:rsid w:val="00E63D8F"/>
    <w:rsid w:val="00E81167"/>
    <w:rsid w:val="00E829C0"/>
    <w:rsid w:val="00E85CE9"/>
    <w:rsid w:val="00E87F1A"/>
    <w:rsid w:val="00E9458F"/>
    <w:rsid w:val="00E94EB6"/>
    <w:rsid w:val="00EA0EFA"/>
    <w:rsid w:val="00EA4F7D"/>
    <w:rsid w:val="00EA5AC9"/>
    <w:rsid w:val="00EA5EB7"/>
    <w:rsid w:val="00ED6A9B"/>
    <w:rsid w:val="00EE1804"/>
    <w:rsid w:val="00EE6399"/>
    <w:rsid w:val="00EF0CA6"/>
    <w:rsid w:val="00EF2503"/>
    <w:rsid w:val="00EF42FF"/>
    <w:rsid w:val="00EF4F83"/>
    <w:rsid w:val="00EF505E"/>
    <w:rsid w:val="00EF6237"/>
    <w:rsid w:val="00EF6E49"/>
    <w:rsid w:val="00F13AB5"/>
    <w:rsid w:val="00F16BFD"/>
    <w:rsid w:val="00F44A44"/>
    <w:rsid w:val="00F5109A"/>
    <w:rsid w:val="00F5283B"/>
    <w:rsid w:val="00F54EF1"/>
    <w:rsid w:val="00F74953"/>
    <w:rsid w:val="00F7718C"/>
    <w:rsid w:val="00F82C86"/>
    <w:rsid w:val="00F85851"/>
    <w:rsid w:val="00F87B8C"/>
    <w:rsid w:val="00FB1348"/>
    <w:rsid w:val="00FB1A34"/>
    <w:rsid w:val="00FB47C0"/>
    <w:rsid w:val="00FB7E57"/>
    <w:rsid w:val="00FC3B07"/>
    <w:rsid w:val="00FC7636"/>
    <w:rsid w:val="00FD1135"/>
    <w:rsid w:val="00FD52F2"/>
    <w:rsid w:val="00FF03A7"/>
    <w:rsid w:val="00FF13D2"/>
    <w:rsid w:val="00FF5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74861E6"/>
  <w15:docId w15:val="{13DF8B58-0157-41F3-9D2B-80C57C14A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E66"/>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24131"/>
  </w:style>
  <w:style w:type="paragraph" w:styleId="HTMLPreformatted">
    <w:name w:val="HTML Preformatted"/>
    <w:basedOn w:val="Normal"/>
    <w:link w:val="HTMLPreformattedChar"/>
    <w:uiPriority w:val="99"/>
    <w:unhideWhenUsed/>
    <w:rsid w:val="000B65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uiPriority w:val="99"/>
    <w:rsid w:val="000B65A4"/>
    <w:rPr>
      <w:rFonts w:ascii="Courier New" w:hAnsi="Courier New" w:cs="Courier New"/>
    </w:rPr>
  </w:style>
  <w:style w:type="character" w:styleId="CommentReference">
    <w:name w:val="annotation reference"/>
    <w:basedOn w:val="DefaultParagraphFont"/>
    <w:rsid w:val="007D3A94"/>
    <w:rPr>
      <w:sz w:val="16"/>
      <w:szCs w:val="16"/>
    </w:rPr>
  </w:style>
  <w:style w:type="paragraph" w:styleId="CommentText">
    <w:name w:val="annotation text"/>
    <w:basedOn w:val="Normal"/>
    <w:link w:val="CommentTextChar"/>
    <w:rsid w:val="007D3A94"/>
    <w:rPr>
      <w:szCs w:val="20"/>
    </w:rPr>
  </w:style>
  <w:style w:type="character" w:customStyle="1" w:styleId="CommentTextChar">
    <w:name w:val="Comment Text Char"/>
    <w:basedOn w:val="DefaultParagraphFont"/>
    <w:link w:val="CommentText"/>
    <w:rsid w:val="007D3A94"/>
  </w:style>
  <w:style w:type="paragraph" w:styleId="BalloonText">
    <w:name w:val="Balloon Text"/>
    <w:basedOn w:val="Normal"/>
    <w:link w:val="BalloonTextChar"/>
    <w:rsid w:val="007D3A94"/>
    <w:rPr>
      <w:rFonts w:ascii="Tahoma" w:hAnsi="Tahoma" w:cs="Tahoma"/>
      <w:sz w:val="16"/>
      <w:szCs w:val="16"/>
    </w:rPr>
  </w:style>
  <w:style w:type="character" w:customStyle="1" w:styleId="BalloonTextChar">
    <w:name w:val="Balloon Text Char"/>
    <w:basedOn w:val="DefaultParagraphFont"/>
    <w:link w:val="BalloonText"/>
    <w:rsid w:val="007D3A94"/>
    <w:rPr>
      <w:rFonts w:ascii="Tahoma" w:hAnsi="Tahoma" w:cs="Tahoma"/>
      <w:sz w:val="16"/>
      <w:szCs w:val="16"/>
    </w:rPr>
  </w:style>
  <w:style w:type="paragraph" w:customStyle="1" w:styleId="Default">
    <w:name w:val="Default"/>
    <w:rsid w:val="00054568"/>
    <w:pPr>
      <w:autoSpaceDE w:val="0"/>
      <w:autoSpaceDN w:val="0"/>
      <w:adjustRightInd w:val="0"/>
    </w:pPr>
    <w:rPr>
      <w:rFonts w:ascii="Arial" w:hAnsi="Arial" w:cs="Arial"/>
      <w:color w:val="000000"/>
      <w:sz w:val="24"/>
      <w:szCs w:val="24"/>
    </w:rPr>
  </w:style>
  <w:style w:type="paragraph" w:styleId="Header">
    <w:name w:val="header"/>
    <w:basedOn w:val="Normal"/>
    <w:link w:val="HeaderChar"/>
    <w:rsid w:val="00D7404D"/>
    <w:pPr>
      <w:tabs>
        <w:tab w:val="center" w:pos="4680"/>
        <w:tab w:val="right" w:pos="9360"/>
      </w:tabs>
    </w:pPr>
  </w:style>
  <w:style w:type="character" w:customStyle="1" w:styleId="HeaderChar">
    <w:name w:val="Header Char"/>
    <w:basedOn w:val="DefaultParagraphFont"/>
    <w:link w:val="Header"/>
    <w:rsid w:val="00D7404D"/>
    <w:rPr>
      <w:szCs w:val="24"/>
    </w:rPr>
  </w:style>
  <w:style w:type="paragraph" w:styleId="Footer">
    <w:name w:val="footer"/>
    <w:basedOn w:val="Normal"/>
    <w:link w:val="FooterChar"/>
    <w:uiPriority w:val="99"/>
    <w:rsid w:val="00D7404D"/>
    <w:pPr>
      <w:tabs>
        <w:tab w:val="center" w:pos="4680"/>
        <w:tab w:val="right" w:pos="9360"/>
      </w:tabs>
    </w:pPr>
  </w:style>
  <w:style w:type="character" w:customStyle="1" w:styleId="FooterChar">
    <w:name w:val="Footer Char"/>
    <w:basedOn w:val="DefaultParagraphFont"/>
    <w:link w:val="Footer"/>
    <w:uiPriority w:val="99"/>
    <w:rsid w:val="00D7404D"/>
    <w:rPr>
      <w:szCs w:val="24"/>
    </w:rPr>
  </w:style>
  <w:style w:type="character" w:styleId="Hyperlink">
    <w:name w:val="Hyperlink"/>
    <w:basedOn w:val="DefaultParagraphFont"/>
    <w:rsid w:val="0048617E"/>
    <w:rPr>
      <w:color w:val="0000FF"/>
      <w:u w:val="single"/>
    </w:rPr>
  </w:style>
  <w:style w:type="paragraph" w:styleId="ListParagraph">
    <w:name w:val="List Paragraph"/>
    <w:basedOn w:val="Normal"/>
    <w:uiPriority w:val="34"/>
    <w:qFormat/>
    <w:rsid w:val="00A61587"/>
    <w:pPr>
      <w:ind w:left="720"/>
      <w:contextualSpacing/>
    </w:pPr>
  </w:style>
  <w:style w:type="paragraph" w:styleId="BodyText">
    <w:name w:val="Body Text"/>
    <w:basedOn w:val="Normal"/>
    <w:link w:val="BodyTextChar"/>
    <w:uiPriority w:val="99"/>
    <w:unhideWhenUsed/>
    <w:rsid w:val="00426653"/>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pPr>
    <w:rPr>
      <w:rFonts w:ascii="Courier (W1)" w:hAnsi="Courier (W1)"/>
      <w:b/>
      <w:sz w:val="24"/>
      <w:szCs w:val="20"/>
      <w14:shadow w14:blurRad="50800" w14:dist="38100" w14:dir="2700000" w14:sx="100000" w14:sy="100000" w14:kx="0" w14:ky="0" w14:algn="tl">
        <w14:srgbClr w14:val="000000">
          <w14:alpha w14:val="60000"/>
        </w14:srgbClr>
      </w14:shadow>
    </w:rPr>
  </w:style>
  <w:style w:type="character" w:customStyle="1" w:styleId="BodyTextChar">
    <w:name w:val="Body Text Char"/>
    <w:basedOn w:val="DefaultParagraphFont"/>
    <w:link w:val="BodyText"/>
    <w:uiPriority w:val="99"/>
    <w:rsid w:val="00426653"/>
    <w:rPr>
      <w:rFonts w:ascii="Courier (W1)" w:hAnsi="Courier (W1)"/>
      <w:b/>
      <w:sz w:val="24"/>
      <w14:shadow w14:blurRad="50800" w14:dist="38100" w14:dir="2700000" w14:sx="100000" w14:sy="100000" w14:kx="0" w14:ky="0" w14:algn="tl">
        <w14:srgbClr w14:val="000000">
          <w14:alpha w14:val="60000"/>
        </w14:srgbClr>
      </w14:shadow>
    </w:rPr>
  </w:style>
  <w:style w:type="table" w:styleId="TableGrid">
    <w:name w:val="Table Grid"/>
    <w:basedOn w:val="TableNormal"/>
    <w:rsid w:val="0042665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rsid w:val="006E019F"/>
    <w:rPr>
      <w:b/>
      <w:bCs/>
    </w:rPr>
  </w:style>
  <w:style w:type="character" w:customStyle="1" w:styleId="CommentSubjectChar">
    <w:name w:val="Comment Subject Char"/>
    <w:basedOn w:val="CommentTextChar"/>
    <w:link w:val="CommentSubject"/>
    <w:rsid w:val="006E019F"/>
    <w:rPr>
      <w:b/>
      <w:bCs/>
    </w:rPr>
  </w:style>
  <w:style w:type="paragraph" w:styleId="Revision">
    <w:name w:val="Revision"/>
    <w:hidden/>
    <w:uiPriority w:val="99"/>
    <w:semiHidden/>
    <w:rsid w:val="00EF0CA6"/>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498738">
      <w:bodyDiv w:val="1"/>
      <w:marLeft w:val="0"/>
      <w:marRight w:val="0"/>
      <w:marTop w:val="0"/>
      <w:marBottom w:val="0"/>
      <w:divBdr>
        <w:top w:val="none" w:sz="0" w:space="0" w:color="auto"/>
        <w:left w:val="none" w:sz="0" w:space="0" w:color="auto"/>
        <w:bottom w:val="none" w:sz="0" w:space="0" w:color="auto"/>
        <w:right w:val="none" w:sz="0" w:space="0" w:color="auto"/>
      </w:divBdr>
    </w:div>
    <w:div w:id="1411610855">
      <w:bodyDiv w:val="1"/>
      <w:marLeft w:val="0"/>
      <w:marRight w:val="0"/>
      <w:marTop w:val="0"/>
      <w:marBottom w:val="0"/>
      <w:divBdr>
        <w:top w:val="none" w:sz="0" w:space="0" w:color="auto"/>
        <w:left w:val="none" w:sz="0" w:space="0" w:color="auto"/>
        <w:bottom w:val="none" w:sz="0" w:space="0" w:color="auto"/>
        <w:right w:val="none" w:sz="0" w:space="0" w:color="auto"/>
      </w:divBdr>
    </w:div>
    <w:div w:id="1672947415">
      <w:bodyDiv w:val="1"/>
      <w:marLeft w:val="0"/>
      <w:marRight w:val="0"/>
      <w:marTop w:val="0"/>
      <w:marBottom w:val="0"/>
      <w:divBdr>
        <w:top w:val="none" w:sz="0" w:space="0" w:color="auto"/>
        <w:left w:val="none" w:sz="0" w:space="0" w:color="auto"/>
        <w:bottom w:val="none" w:sz="0" w:space="0" w:color="auto"/>
        <w:right w:val="none" w:sz="0" w:space="0" w:color="auto"/>
      </w:divBdr>
    </w:div>
    <w:div w:id="171319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care.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343D7-CF7C-45AA-971D-D05B55765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3207</Words>
  <Characters>17323</Characters>
  <Application>Microsoft Office Word</Application>
  <DocSecurity>0</DocSecurity>
  <Lines>468</Lines>
  <Paragraphs>79</Paragraphs>
  <ScaleCrop>false</ScaleCrop>
  <HeadingPairs>
    <vt:vector size="2" baseType="variant">
      <vt:variant>
        <vt:lpstr>Title</vt:lpstr>
      </vt:variant>
      <vt:variant>
        <vt:i4>1</vt:i4>
      </vt:variant>
    </vt:vector>
  </HeadingPairs>
  <TitlesOfParts>
    <vt:vector size="1" baseType="lpstr">
      <vt:lpstr>Supporting Statement – Part A</vt:lpstr>
    </vt:vector>
  </TitlesOfParts>
  <Company>CMS</Company>
  <LinksUpToDate>false</LinksUpToDate>
  <CharactersWithSpaces>20451</CharactersWithSpaces>
  <SharedDoc>false</SharedDoc>
  <HLinks>
    <vt:vector size="6" baseType="variant">
      <vt:variant>
        <vt:i4>6094921</vt:i4>
      </vt:variant>
      <vt:variant>
        <vt:i4>0</vt:i4>
      </vt:variant>
      <vt:variant>
        <vt:i4>0</vt:i4>
      </vt:variant>
      <vt:variant>
        <vt:i4>5</vt:i4>
      </vt:variant>
      <vt:variant>
        <vt:lpwstr>http://www.medicare.gov/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A</dc:title>
  <dc:creator>CMS</dc:creator>
  <cp:lastModifiedBy>KAYLA WILLIAMS</cp:lastModifiedBy>
  <cp:revision>3</cp:revision>
  <cp:lastPrinted>2013-06-07T18:00:00Z</cp:lastPrinted>
  <dcterms:created xsi:type="dcterms:W3CDTF">2017-02-10T20:37:00Z</dcterms:created>
  <dcterms:modified xsi:type="dcterms:W3CDTF">2017-02-10T20:39:00Z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-401493166</vt:i4>
  </property>
  <property fmtid="{D5CDD505-2E9C-101B-9397-08002B2CF9AE}" pid="4" name="_EmailSubject">
    <vt:lpwstr>RESENDING:RE: PRA Action Needed for CMS#10309 OMB# 0938-1079 "Grandfathering Provisions of the Medicare DMEPOS Competitive Bidding Program in the Physician Fee Schedule and Other Revisions to Part B for CY 2010"</vt:lpwstr>
  </property>
  <property fmtid="{D5CDD505-2E9C-101B-9397-08002B2CF9AE}" pid="5" name="_AuthorEmail">
    <vt:lpwstr>James.Cowher@cms.hhs.gov</vt:lpwstr>
  </property>
  <property fmtid="{D5CDD505-2E9C-101B-9397-08002B2CF9AE}" pid="6" name="_AuthorEmailDisplayName">
    <vt:lpwstr>Cowher, James M.(CMS/CM)</vt:lpwstr>
  </property>
  <property fmtid="{D5CDD505-2E9C-101B-9397-08002B2CF9AE}" pid="7" name="_PreviousAdHocReviewCycleID">
    <vt:i4>247325527</vt:i4>
  </property>
  <property fmtid="{D5CDD505-2E9C-101B-9397-08002B2CF9AE}" pid="8" name="_ReviewingToolsShownOnce">
    <vt:lpwstr/>
  </property>
</Properties>
</file>