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689B" w14:textId="77777777" w:rsidR="00FC633E" w:rsidRPr="00FC633E" w:rsidRDefault="00FC633E" w:rsidP="005453AD">
      <w:pPr>
        <w:jc w:val="center"/>
        <w:rPr>
          <w:sz w:val="28"/>
          <w:szCs w:val="28"/>
        </w:rPr>
      </w:pPr>
    </w:p>
    <w:p w14:paraId="460BF540" w14:textId="77777777" w:rsidR="00FC633E" w:rsidRDefault="00FC633E" w:rsidP="005453AD">
      <w:pPr>
        <w:jc w:val="center"/>
        <w:rPr>
          <w:b/>
          <w:sz w:val="28"/>
          <w:szCs w:val="28"/>
        </w:rPr>
      </w:pPr>
    </w:p>
    <w:p w14:paraId="53CC644D" w14:textId="77777777" w:rsidR="005453AD" w:rsidRDefault="005453AD" w:rsidP="005453AD">
      <w:pPr>
        <w:jc w:val="center"/>
        <w:rPr>
          <w:b/>
          <w:sz w:val="28"/>
          <w:szCs w:val="28"/>
        </w:rPr>
      </w:pPr>
      <w:r w:rsidRPr="00456179">
        <w:rPr>
          <w:b/>
          <w:sz w:val="28"/>
          <w:szCs w:val="28"/>
        </w:rPr>
        <w:t>SUPPORTING STATEMENT</w:t>
      </w:r>
    </w:p>
    <w:p w14:paraId="6330C5D2" w14:textId="77777777" w:rsidR="00FC633E" w:rsidRDefault="00FC633E" w:rsidP="005453AD">
      <w:pPr>
        <w:jc w:val="center"/>
        <w:rPr>
          <w:b/>
          <w:sz w:val="28"/>
          <w:szCs w:val="28"/>
        </w:rPr>
      </w:pPr>
    </w:p>
    <w:p w14:paraId="6122000C" w14:textId="77777777" w:rsidR="005453AD" w:rsidRDefault="005453AD" w:rsidP="005453AD">
      <w:pPr>
        <w:jc w:val="center"/>
        <w:rPr>
          <w:sz w:val="28"/>
          <w:szCs w:val="28"/>
        </w:rPr>
      </w:pPr>
      <w:r>
        <w:rPr>
          <w:b/>
          <w:sz w:val="28"/>
          <w:szCs w:val="28"/>
        </w:rPr>
        <w:t>Part B</w:t>
      </w:r>
    </w:p>
    <w:p w14:paraId="7068C8BD" w14:textId="77777777" w:rsidR="005453AD" w:rsidRDefault="005453AD" w:rsidP="005453AD">
      <w:pPr>
        <w:jc w:val="center"/>
        <w:rPr>
          <w:sz w:val="28"/>
          <w:szCs w:val="28"/>
        </w:rPr>
      </w:pPr>
    </w:p>
    <w:p w14:paraId="7EE9E894" w14:textId="77777777" w:rsidR="005453AD" w:rsidRDefault="005453AD" w:rsidP="005453AD">
      <w:pPr>
        <w:jc w:val="center"/>
        <w:rPr>
          <w:sz w:val="28"/>
          <w:szCs w:val="28"/>
        </w:rPr>
      </w:pPr>
    </w:p>
    <w:p w14:paraId="6E8C6196" w14:textId="77777777" w:rsidR="005453AD" w:rsidRDefault="005453AD" w:rsidP="005453AD">
      <w:pPr>
        <w:jc w:val="center"/>
        <w:rPr>
          <w:sz w:val="28"/>
          <w:szCs w:val="28"/>
        </w:rPr>
      </w:pPr>
    </w:p>
    <w:p w14:paraId="1A88A005" w14:textId="77777777" w:rsidR="005453AD" w:rsidRDefault="005453AD" w:rsidP="005453AD">
      <w:pPr>
        <w:jc w:val="center"/>
        <w:rPr>
          <w:sz w:val="28"/>
          <w:szCs w:val="28"/>
        </w:rPr>
      </w:pPr>
    </w:p>
    <w:p w14:paraId="066FA248" w14:textId="77777777" w:rsidR="005453AD" w:rsidRDefault="005453AD" w:rsidP="005453AD">
      <w:pPr>
        <w:jc w:val="center"/>
        <w:rPr>
          <w:sz w:val="28"/>
          <w:szCs w:val="28"/>
        </w:rPr>
      </w:pPr>
    </w:p>
    <w:p w14:paraId="03B15C0F" w14:textId="77777777" w:rsidR="005453AD" w:rsidRDefault="005453AD" w:rsidP="005453AD">
      <w:pPr>
        <w:jc w:val="center"/>
        <w:rPr>
          <w:sz w:val="28"/>
          <w:szCs w:val="28"/>
        </w:rPr>
      </w:pPr>
    </w:p>
    <w:p w14:paraId="46254BE5" w14:textId="77777777" w:rsidR="00EE088B" w:rsidRPr="00EE088B" w:rsidRDefault="00EE088B" w:rsidP="00EE088B">
      <w:pPr>
        <w:jc w:val="center"/>
        <w:rPr>
          <w:b/>
          <w:szCs w:val="28"/>
        </w:rPr>
      </w:pPr>
      <w:r w:rsidRPr="00EE088B">
        <w:rPr>
          <w:b/>
          <w:szCs w:val="28"/>
        </w:rPr>
        <w:t>Eisenberg Center Voluntary Customer Survey Generic Clearance</w:t>
      </w:r>
    </w:p>
    <w:p w14:paraId="1FDD5C9F" w14:textId="75D5C95B" w:rsidR="00EE088B" w:rsidRPr="00EE088B" w:rsidRDefault="00EE088B" w:rsidP="00EE088B">
      <w:pPr>
        <w:jc w:val="center"/>
        <w:rPr>
          <w:b/>
          <w:szCs w:val="28"/>
        </w:rPr>
      </w:pPr>
      <w:proofErr w:type="gramStart"/>
      <w:r w:rsidRPr="00EE088B">
        <w:rPr>
          <w:b/>
          <w:szCs w:val="28"/>
        </w:rPr>
        <w:t>for</w:t>
      </w:r>
      <w:proofErr w:type="gramEnd"/>
      <w:r w:rsidRPr="00EE088B">
        <w:rPr>
          <w:b/>
          <w:szCs w:val="28"/>
        </w:rPr>
        <w:t xml:space="preserve"> the Agency for Healthcare Research and Quality</w:t>
      </w:r>
    </w:p>
    <w:p w14:paraId="0A36FDBB" w14:textId="77777777" w:rsidR="005453AD" w:rsidRDefault="005453AD" w:rsidP="005453AD">
      <w:pPr>
        <w:jc w:val="center"/>
        <w:rPr>
          <w:sz w:val="28"/>
          <w:szCs w:val="28"/>
        </w:rPr>
      </w:pPr>
    </w:p>
    <w:p w14:paraId="7AB0AAB9" w14:textId="77777777" w:rsidR="005453AD" w:rsidRDefault="005453AD" w:rsidP="005453AD">
      <w:pPr>
        <w:jc w:val="center"/>
        <w:rPr>
          <w:sz w:val="28"/>
          <w:szCs w:val="28"/>
        </w:rPr>
      </w:pPr>
    </w:p>
    <w:p w14:paraId="66927976" w14:textId="77777777" w:rsidR="005453AD" w:rsidRDefault="005453AD" w:rsidP="005453AD">
      <w:pPr>
        <w:jc w:val="center"/>
        <w:rPr>
          <w:sz w:val="28"/>
          <w:szCs w:val="28"/>
        </w:rPr>
      </w:pPr>
    </w:p>
    <w:p w14:paraId="1C4A8042" w14:textId="77777777" w:rsidR="005453AD" w:rsidRDefault="005453AD" w:rsidP="005453AD">
      <w:pPr>
        <w:jc w:val="center"/>
        <w:rPr>
          <w:sz w:val="28"/>
          <w:szCs w:val="28"/>
        </w:rPr>
      </w:pPr>
    </w:p>
    <w:p w14:paraId="71271607" w14:textId="701F868B" w:rsidR="00FC633E" w:rsidRPr="00C4006D" w:rsidRDefault="008A4D69" w:rsidP="00FC633E">
      <w:pPr>
        <w:jc w:val="center"/>
        <w:rPr>
          <w:i/>
          <w:sz w:val="28"/>
          <w:szCs w:val="28"/>
        </w:rPr>
      </w:pPr>
      <w:r>
        <w:rPr>
          <w:i/>
          <w:sz w:val="28"/>
          <w:szCs w:val="28"/>
        </w:rPr>
        <w:t>February 2</w:t>
      </w:r>
      <w:r w:rsidR="001F5BA6">
        <w:rPr>
          <w:i/>
          <w:sz w:val="28"/>
          <w:szCs w:val="28"/>
        </w:rPr>
        <w:t>4</w:t>
      </w:r>
      <w:r>
        <w:rPr>
          <w:i/>
          <w:sz w:val="28"/>
          <w:szCs w:val="28"/>
        </w:rPr>
        <w:t>, 2016</w:t>
      </w:r>
    </w:p>
    <w:p w14:paraId="0384F146" w14:textId="77777777" w:rsidR="005453AD" w:rsidRDefault="005453AD" w:rsidP="005453AD">
      <w:pPr>
        <w:jc w:val="center"/>
        <w:rPr>
          <w:sz w:val="28"/>
          <w:szCs w:val="28"/>
        </w:rPr>
      </w:pPr>
    </w:p>
    <w:p w14:paraId="1E28BF1B" w14:textId="77777777" w:rsidR="005453AD" w:rsidRDefault="005453AD" w:rsidP="005453AD">
      <w:pPr>
        <w:jc w:val="center"/>
        <w:rPr>
          <w:sz w:val="28"/>
          <w:szCs w:val="28"/>
        </w:rPr>
      </w:pPr>
    </w:p>
    <w:p w14:paraId="1C383CE3" w14:textId="77777777" w:rsidR="005453AD" w:rsidRDefault="005453AD" w:rsidP="005453AD">
      <w:pPr>
        <w:jc w:val="center"/>
        <w:rPr>
          <w:sz w:val="28"/>
          <w:szCs w:val="28"/>
        </w:rPr>
      </w:pPr>
    </w:p>
    <w:p w14:paraId="34848E48" w14:textId="77777777" w:rsidR="005453AD" w:rsidRDefault="005453AD" w:rsidP="005453AD">
      <w:pPr>
        <w:jc w:val="center"/>
        <w:rPr>
          <w:sz w:val="28"/>
          <w:szCs w:val="28"/>
        </w:rPr>
      </w:pPr>
    </w:p>
    <w:p w14:paraId="5C533460" w14:textId="77777777" w:rsidR="005453AD" w:rsidRDefault="005453AD" w:rsidP="005453AD">
      <w:pPr>
        <w:jc w:val="center"/>
        <w:rPr>
          <w:sz w:val="28"/>
          <w:szCs w:val="28"/>
        </w:rPr>
      </w:pPr>
    </w:p>
    <w:p w14:paraId="7F0D2701" w14:textId="77777777" w:rsidR="005453AD" w:rsidRDefault="005453AD" w:rsidP="005453AD">
      <w:pPr>
        <w:jc w:val="center"/>
        <w:rPr>
          <w:sz w:val="28"/>
          <w:szCs w:val="28"/>
        </w:rPr>
      </w:pPr>
    </w:p>
    <w:p w14:paraId="369E534A" w14:textId="77777777" w:rsidR="005453AD" w:rsidRDefault="005453AD" w:rsidP="005453AD">
      <w:pPr>
        <w:jc w:val="center"/>
        <w:rPr>
          <w:sz w:val="28"/>
          <w:szCs w:val="28"/>
        </w:rPr>
      </w:pPr>
    </w:p>
    <w:p w14:paraId="72EE1685" w14:textId="77777777" w:rsidR="005453AD" w:rsidRDefault="005453AD" w:rsidP="005453AD">
      <w:pPr>
        <w:jc w:val="center"/>
        <w:rPr>
          <w:sz w:val="28"/>
          <w:szCs w:val="28"/>
        </w:rPr>
      </w:pPr>
    </w:p>
    <w:p w14:paraId="32E2E7F3" w14:textId="77777777" w:rsidR="005453AD" w:rsidRDefault="005453AD" w:rsidP="005453AD">
      <w:pPr>
        <w:jc w:val="center"/>
        <w:rPr>
          <w:sz w:val="28"/>
          <w:szCs w:val="28"/>
        </w:rPr>
      </w:pPr>
      <w:r w:rsidRPr="00677A0B">
        <w:rPr>
          <w:sz w:val="28"/>
          <w:szCs w:val="28"/>
        </w:rPr>
        <w:t>Agency of Healthcare Research and Quality (AHRQ)</w:t>
      </w:r>
    </w:p>
    <w:p w14:paraId="45E92407" w14:textId="77777777" w:rsidR="005453AD" w:rsidRDefault="005453AD" w:rsidP="005453AD">
      <w:pPr>
        <w:rPr>
          <w:sz w:val="28"/>
          <w:szCs w:val="28"/>
        </w:rPr>
      </w:pPr>
    </w:p>
    <w:p w14:paraId="1C17F6B7" w14:textId="77777777" w:rsidR="005453AD" w:rsidRDefault="005453AD" w:rsidP="005453AD">
      <w:pPr>
        <w:rPr>
          <w:sz w:val="28"/>
          <w:szCs w:val="28"/>
        </w:rPr>
      </w:pPr>
    </w:p>
    <w:p w14:paraId="5E60799C" w14:textId="77777777" w:rsidR="005453AD" w:rsidRDefault="005453AD" w:rsidP="005453AD">
      <w:pPr>
        <w:jc w:val="center"/>
        <w:rPr>
          <w:b/>
        </w:rPr>
      </w:pPr>
      <w:r>
        <w:br w:type="page"/>
      </w:r>
      <w:r w:rsidRPr="001D0454">
        <w:rPr>
          <w:b/>
        </w:rPr>
        <w:lastRenderedPageBreak/>
        <w:t>Table of contents</w:t>
      </w:r>
    </w:p>
    <w:p w14:paraId="3626392D" w14:textId="77777777" w:rsidR="005453AD" w:rsidRDefault="005453AD" w:rsidP="00FC633E"/>
    <w:p w14:paraId="736C5593" w14:textId="77777777" w:rsidR="00FC633E" w:rsidRDefault="00FC633E" w:rsidP="00FC633E">
      <w:pPr>
        <w:tabs>
          <w:tab w:val="left" w:leader="dot" w:pos="8460"/>
        </w:tabs>
      </w:pPr>
      <w:r w:rsidRPr="00FC633E">
        <w:t>B. Collections of Information Employing Statistical Methods</w:t>
      </w:r>
      <w:r>
        <w:tab/>
        <w:t>3</w:t>
      </w:r>
    </w:p>
    <w:p w14:paraId="1E1BEDA1" w14:textId="77777777" w:rsidR="00FC633E" w:rsidRDefault="00FC633E" w:rsidP="00FC633E">
      <w:pPr>
        <w:tabs>
          <w:tab w:val="left" w:pos="360"/>
          <w:tab w:val="left" w:leader="dot" w:pos="8460"/>
        </w:tabs>
      </w:pPr>
      <w:r>
        <w:tab/>
        <w:t xml:space="preserve">1. </w:t>
      </w:r>
      <w:r w:rsidRPr="00FC633E">
        <w:t>Respondent universe and sampling methods</w:t>
      </w:r>
      <w:r>
        <w:tab/>
      </w:r>
      <w:r w:rsidR="00236DAF">
        <w:t>3</w:t>
      </w:r>
    </w:p>
    <w:p w14:paraId="3077EB77" w14:textId="04796AE0" w:rsidR="00FC633E" w:rsidRDefault="00FC633E" w:rsidP="00FC633E">
      <w:pPr>
        <w:tabs>
          <w:tab w:val="left" w:pos="360"/>
          <w:tab w:val="left" w:leader="dot" w:pos="8460"/>
        </w:tabs>
      </w:pPr>
      <w:r>
        <w:tab/>
        <w:t xml:space="preserve">2. </w:t>
      </w:r>
      <w:r w:rsidRPr="00FC633E">
        <w:t>Information Collection Procedures</w:t>
      </w:r>
      <w:r>
        <w:tab/>
      </w:r>
      <w:r w:rsidR="001F5BA6">
        <w:t>5</w:t>
      </w:r>
    </w:p>
    <w:p w14:paraId="039113FE" w14:textId="4105C7E6" w:rsidR="00FC633E" w:rsidRDefault="00FC633E" w:rsidP="00FC633E">
      <w:pPr>
        <w:tabs>
          <w:tab w:val="left" w:pos="360"/>
          <w:tab w:val="left" w:leader="dot" w:pos="8460"/>
        </w:tabs>
      </w:pPr>
      <w:r>
        <w:tab/>
        <w:t xml:space="preserve">3. </w:t>
      </w:r>
      <w:r w:rsidRPr="00FC633E">
        <w:t>Methods to Maximize Response Rates</w:t>
      </w:r>
      <w:r>
        <w:tab/>
      </w:r>
      <w:r w:rsidR="001F5BA6">
        <w:t>6</w:t>
      </w:r>
    </w:p>
    <w:p w14:paraId="6FB8AFFE" w14:textId="15D2A90F" w:rsidR="00FC633E" w:rsidRDefault="00FC633E" w:rsidP="00FC633E">
      <w:pPr>
        <w:tabs>
          <w:tab w:val="left" w:pos="360"/>
          <w:tab w:val="left" w:leader="dot" w:pos="8460"/>
        </w:tabs>
      </w:pPr>
      <w:r>
        <w:tab/>
        <w:t xml:space="preserve">4. </w:t>
      </w:r>
      <w:r w:rsidRPr="00FC633E">
        <w:t>Tests of Procedures</w:t>
      </w:r>
      <w:r>
        <w:tab/>
      </w:r>
      <w:r w:rsidR="001F5BA6">
        <w:t>7</w:t>
      </w:r>
    </w:p>
    <w:p w14:paraId="1B44905F" w14:textId="4DAC6A82" w:rsidR="00FC633E" w:rsidRPr="00FC633E" w:rsidRDefault="00FC633E" w:rsidP="00FC633E">
      <w:pPr>
        <w:tabs>
          <w:tab w:val="left" w:pos="360"/>
          <w:tab w:val="left" w:leader="dot" w:pos="8460"/>
        </w:tabs>
      </w:pPr>
      <w:r>
        <w:tab/>
        <w:t xml:space="preserve">5. </w:t>
      </w:r>
      <w:r w:rsidRPr="00FC633E">
        <w:t>Statistical Consultants</w:t>
      </w:r>
      <w:r>
        <w:tab/>
      </w:r>
      <w:r w:rsidR="001F5BA6">
        <w:t>7</w:t>
      </w:r>
    </w:p>
    <w:p w14:paraId="306351F9" w14:textId="77777777" w:rsidR="00874B68" w:rsidRDefault="00874B68" w:rsidP="00874B68">
      <w:bookmarkStart w:id="0" w:name="_Toc151782198"/>
      <w:bookmarkStart w:id="1" w:name="_Toc158526234"/>
    </w:p>
    <w:p w14:paraId="6D4C7F8B" w14:textId="77777777" w:rsidR="00874B68" w:rsidRDefault="00874B68" w:rsidP="00874B68"/>
    <w:p w14:paraId="2AC5D947" w14:textId="77777777" w:rsidR="00874B68" w:rsidRDefault="00874B68" w:rsidP="00874B68"/>
    <w:p w14:paraId="032D5449" w14:textId="77777777" w:rsidR="00874B68" w:rsidRDefault="00874B68" w:rsidP="00874B68"/>
    <w:p w14:paraId="7D071FAD" w14:textId="77777777" w:rsidR="00874B68" w:rsidRDefault="00874B68" w:rsidP="00874B68"/>
    <w:p w14:paraId="155721AB" w14:textId="77777777" w:rsidR="00874B68" w:rsidRDefault="00874B68" w:rsidP="00874B68"/>
    <w:p w14:paraId="4AB3643A" w14:textId="77777777" w:rsidR="00874B68" w:rsidRDefault="00874B68" w:rsidP="00874B68"/>
    <w:p w14:paraId="5F18ED5E" w14:textId="77777777" w:rsidR="00874B68" w:rsidRDefault="00874B68" w:rsidP="00874B68"/>
    <w:p w14:paraId="5A57295B" w14:textId="77777777" w:rsidR="00874B68" w:rsidRDefault="00874B68" w:rsidP="00874B68"/>
    <w:p w14:paraId="5CDA6BB6" w14:textId="77777777" w:rsidR="00874B68" w:rsidRDefault="00874B68" w:rsidP="00874B68"/>
    <w:p w14:paraId="42631549" w14:textId="77777777" w:rsidR="00874B68" w:rsidRDefault="00874B68" w:rsidP="00874B68"/>
    <w:p w14:paraId="6E346822" w14:textId="77777777" w:rsidR="00874B68" w:rsidRDefault="00874B68" w:rsidP="00874B68"/>
    <w:p w14:paraId="6B8BDFA7" w14:textId="77777777" w:rsidR="00874B68" w:rsidRDefault="00874B68" w:rsidP="00874B68"/>
    <w:p w14:paraId="700FFAE2" w14:textId="77777777" w:rsidR="00874B68" w:rsidRDefault="00874B68" w:rsidP="00874B68"/>
    <w:p w14:paraId="30189BA0" w14:textId="77777777" w:rsidR="00874B68" w:rsidRDefault="00874B68" w:rsidP="00874B68"/>
    <w:p w14:paraId="3B1715C7" w14:textId="77777777" w:rsidR="00874B68" w:rsidRDefault="00874B68" w:rsidP="00874B68"/>
    <w:p w14:paraId="7FAB4629" w14:textId="77777777" w:rsidR="00874B68" w:rsidRDefault="00874B68" w:rsidP="00874B68"/>
    <w:p w14:paraId="68AF8F0C" w14:textId="77777777" w:rsidR="00874B68" w:rsidRDefault="00874B68" w:rsidP="00874B68"/>
    <w:p w14:paraId="320FBED0" w14:textId="77777777" w:rsidR="00874B68" w:rsidRDefault="00874B68" w:rsidP="00874B68"/>
    <w:p w14:paraId="21180A48" w14:textId="77777777" w:rsidR="00874B68" w:rsidRDefault="00874B68" w:rsidP="00874B68"/>
    <w:p w14:paraId="324F2208" w14:textId="77777777" w:rsidR="00874B68" w:rsidRDefault="00874B68" w:rsidP="00874B68"/>
    <w:p w14:paraId="20D95763" w14:textId="77777777" w:rsidR="00874B68" w:rsidRDefault="00874B68" w:rsidP="00874B68"/>
    <w:p w14:paraId="4CFA3992" w14:textId="77777777" w:rsidR="00874B68" w:rsidRDefault="00874B68" w:rsidP="00874B68"/>
    <w:p w14:paraId="367F7041" w14:textId="77777777" w:rsidR="00874B68" w:rsidRDefault="00874B68" w:rsidP="00874B68"/>
    <w:p w14:paraId="52023BC3" w14:textId="77777777" w:rsidR="00874B68" w:rsidRDefault="00874B68" w:rsidP="00874B68"/>
    <w:p w14:paraId="3ABB92FD" w14:textId="77777777" w:rsidR="00874B68" w:rsidRDefault="00874B68" w:rsidP="00874B68"/>
    <w:p w14:paraId="4902C402" w14:textId="77777777" w:rsidR="00874B68" w:rsidRDefault="00874B68" w:rsidP="00874B68"/>
    <w:p w14:paraId="0A26613D" w14:textId="77777777" w:rsidR="00874B68" w:rsidRDefault="00874B68" w:rsidP="00874B68"/>
    <w:p w14:paraId="7D6D12D6" w14:textId="77777777" w:rsidR="00874B68" w:rsidRDefault="00874B68" w:rsidP="00874B68"/>
    <w:p w14:paraId="5C7885FD" w14:textId="77777777" w:rsidR="00874B68" w:rsidRDefault="00874B68" w:rsidP="00874B68"/>
    <w:p w14:paraId="16B92AA2" w14:textId="77777777" w:rsidR="00874B68" w:rsidRDefault="00874B68" w:rsidP="00874B68"/>
    <w:p w14:paraId="58A535A8" w14:textId="77777777" w:rsidR="00874B68" w:rsidRDefault="00874B68" w:rsidP="00874B68"/>
    <w:p w14:paraId="55085FB2" w14:textId="77777777" w:rsidR="00874B68" w:rsidRDefault="00874B68" w:rsidP="00874B68"/>
    <w:p w14:paraId="3D4C1E8F" w14:textId="77777777" w:rsidR="00874B68" w:rsidRDefault="00874B68" w:rsidP="00874B68"/>
    <w:p w14:paraId="2C3D2732" w14:textId="77777777" w:rsidR="00874B68" w:rsidRDefault="00874B68" w:rsidP="00874B68"/>
    <w:p w14:paraId="41157B70" w14:textId="77777777" w:rsidR="002837E3" w:rsidRDefault="002837E3" w:rsidP="005453AD">
      <w:pPr>
        <w:pStyle w:val="Heading1"/>
        <w:rPr>
          <w:sz w:val="24"/>
          <w:szCs w:val="24"/>
        </w:rPr>
      </w:pPr>
    </w:p>
    <w:p w14:paraId="702D3C18" w14:textId="77777777" w:rsidR="005453AD" w:rsidRPr="00FC633E" w:rsidRDefault="005453AD" w:rsidP="005453AD">
      <w:pPr>
        <w:pStyle w:val="Heading1"/>
        <w:rPr>
          <w:sz w:val="24"/>
          <w:szCs w:val="24"/>
        </w:rPr>
      </w:pPr>
      <w:r w:rsidRPr="00FC633E">
        <w:rPr>
          <w:sz w:val="24"/>
          <w:szCs w:val="24"/>
        </w:rPr>
        <w:t>B. Collections of Information Employing Statistical Methods</w:t>
      </w:r>
      <w:bookmarkEnd w:id="0"/>
      <w:bookmarkEnd w:id="1"/>
    </w:p>
    <w:p w14:paraId="12675EB5" w14:textId="77777777" w:rsidR="00874B68" w:rsidRDefault="00874B68" w:rsidP="00874B68"/>
    <w:p w14:paraId="45C4B13F" w14:textId="77777777" w:rsidR="006A09B7" w:rsidRPr="00874B68" w:rsidRDefault="006A09B7" w:rsidP="00874B68"/>
    <w:p w14:paraId="25D09362" w14:textId="77777777" w:rsidR="005453AD" w:rsidRPr="001D0454" w:rsidRDefault="005453AD" w:rsidP="005453AD">
      <w:pPr>
        <w:pStyle w:val="Heading2"/>
        <w:spacing w:before="0" w:after="0"/>
        <w:rPr>
          <w:sz w:val="24"/>
        </w:rPr>
      </w:pPr>
      <w:bookmarkStart w:id="2" w:name="_Toc151782199"/>
      <w:bookmarkStart w:id="3" w:name="_Toc158526235"/>
      <w:r w:rsidRPr="001D0454">
        <w:rPr>
          <w:sz w:val="24"/>
        </w:rPr>
        <w:t>1. Respondent universe and sampling methods</w:t>
      </w:r>
      <w:bookmarkEnd w:id="2"/>
      <w:bookmarkEnd w:id="3"/>
    </w:p>
    <w:p w14:paraId="10CD567A" w14:textId="43D78631" w:rsidR="00186896" w:rsidRDefault="008A6FF7" w:rsidP="00A872C1">
      <w:r>
        <w:t>F</w:t>
      </w:r>
      <w:r w:rsidR="004C568E" w:rsidRPr="004C568E">
        <w:t xml:space="preserve">ormative research </w:t>
      </w:r>
      <w:r>
        <w:t xml:space="preserve">activities will consist of gathering data to guide </w:t>
      </w:r>
      <w:r w:rsidR="004C568E" w:rsidRPr="004C568E">
        <w:t xml:space="preserve">the development and implementation of </w:t>
      </w:r>
      <w:r w:rsidR="004C568E">
        <w:t>products and</w:t>
      </w:r>
      <w:r w:rsidR="007A7678">
        <w:t xml:space="preserve"> activities</w:t>
      </w:r>
      <w:r w:rsidR="004C568E" w:rsidRPr="004C568E">
        <w:t>.</w:t>
      </w:r>
      <w:r w:rsidR="007A7678">
        <w:t xml:space="preserve"> </w:t>
      </w:r>
      <w:r w:rsidR="00183906" w:rsidRPr="00903D3C">
        <w:t>Semi-structured interviews, and in some cases focus groups,</w:t>
      </w:r>
      <w:r w:rsidR="00236DAF" w:rsidRPr="00903D3C">
        <w:t xml:space="preserve"> will be used for </w:t>
      </w:r>
      <w:r w:rsidR="00186896">
        <w:t xml:space="preserve">formative </w:t>
      </w:r>
      <w:r w:rsidR="004C568E">
        <w:t>assessments</w:t>
      </w:r>
      <w:r w:rsidR="00236DAF" w:rsidRPr="00903D3C">
        <w:t xml:space="preserve"> with clinicians</w:t>
      </w:r>
      <w:r w:rsidR="009D5514">
        <w:t>,</w:t>
      </w:r>
      <w:r w:rsidR="00236DAF" w:rsidRPr="00903D3C">
        <w:t xml:space="preserve"> consumers</w:t>
      </w:r>
      <w:r w:rsidR="009D5514">
        <w:t>, and policymakers</w:t>
      </w:r>
      <w:r w:rsidR="00236DAF" w:rsidRPr="00903D3C">
        <w:t xml:space="preserve"> </w:t>
      </w:r>
      <w:r w:rsidR="004C568E">
        <w:t>to inform the</w:t>
      </w:r>
      <w:r w:rsidR="004C568E" w:rsidRPr="00903D3C">
        <w:t xml:space="preserve"> </w:t>
      </w:r>
      <w:r w:rsidR="00236DAF" w:rsidRPr="00903D3C">
        <w:t xml:space="preserve">development of the </w:t>
      </w:r>
      <w:r w:rsidR="00183906" w:rsidRPr="00903D3C">
        <w:t>summary products</w:t>
      </w:r>
      <w:r w:rsidR="00236DAF" w:rsidRPr="00903D3C">
        <w:t xml:space="preserve">. </w:t>
      </w:r>
      <w:r w:rsidR="00186896">
        <w:t xml:space="preserve">Formative interviews will also be conducted for determining optimal dissemination channels for the products, and in relation to a unique dissemination research project to be conducted annually. These interviews are not intended to </w:t>
      </w:r>
      <w:r>
        <w:t xml:space="preserve">yield results </w:t>
      </w:r>
      <w:r w:rsidR="00186896">
        <w:t xml:space="preserve">generalizable to the population at large, but are targeted assessments </w:t>
      </w:r>
      <w:r w:rsidR="007A7678">
        <w:t xml:space="preserve">with selected participants </w:t>
      </w:r>
      <w:r w:rsidR="00186896">
        <w:t xml:space="preserve">meant to </w:t>
      </w:r>
      <w:r w:rsidR="001876C0">
        <w:t>ensure that products and/or activities are targeted, tailored, feasible</w:t>
      </w:r>
      <w:r>
        <w:t>,</w:t>
      </w:r>
      <w:r w:rsidR="001876C0">
        <w:t xml:space="preserve"> and accepted</w:t>
      </w:r>
      <w:r>
        <w:t xml:space="preserve"> by potential users</w:t>
      </w:r>
      <w:r w:rsidR="00186896">
        <w:t xml:space="preserve">. </w:t>
      </w:r>
      <w:r w:rsidR="007A7678">
        <w:t>Formative assessments will employ purposive sampling</w:t>
      </w:r>
      <w:r w:rsidR="001876C0" w:rsidRPr="001876C0">
        <w:t xml:space="preserve"> </w:t>
      </w:r>
      <w:r w:rsidR="001876C0">
        <w:t xml:space="preserve">to </w:t>
      </w:r>
      <w:r w:rsidR="001876C0" w:rsidRPr="001876C0">
        <w:t>deliberately choos</w:t>
      </w:r>
      <w:r w:rsidR="001876C0">
        <w:t>e</w:t>
      </w:r>
      <w:r w:rsidR="001876C0" w:rsidRPr="001876C0">
        <w:t xml:space="preserve"> participants </w:t>
      </w:r>
      <w:r w:rsidR="001876C0">
        <w:t>based on their characteristics (e.g., professional role, knowledge, experience</w:t>
      </w:r>
      <w:r>
        <w:t>, medical condition</w:t>
      </w:r>
      <w:r w:rsidR="001876C0">
        <w:t xml:space="preserve">). </w:t>
      </w:r>
      <w:r w:rsidR="00772735">
        <w:t xml:space="preserve">Different types of purposive sampling </w:t>
      </w:r>
      <w:r w:rsidR="00051B0D">
        <w:t xml:space="preserve">methods </w:t>
      </w:r>
      <w:r w:rsidR="00772735">
        <w:t xml:space="preserve">will be employed based on the purpose of the assessment; for example, maximum variation sampling </w:t>
      </w:r>
      <w:r w:rsidR="009A3DA5">
        <w:t xml:space="preserve">may </w:t>
      </w:r>
      <w:r w:rsidR="00772735">
        <w:t xml:space="preserve">be used in formative interviews with consumers to </w:t>
      </w:r>
      <w:r w:rsidR="00325CE7">
        <w:t>capture a wide range of perspectives</w:t>
      </w:r>
      <w:r w:rsidR="00051B0D">
        <w:t>,</w:t>
      </w:r>
      <w:r w:rsidR="000E25B9">
        <w:t xml:space="preserve"> while expert sampling </w:t>
      </w:r>
      <w:r w:rsidR="009A3DA5">
        <w:t xml:space="preserve">may be </w:t>
      </w:r>
      <w:r w:rsidR="000E25B9">
        <w:t xml:space="preserve">used to </w:t>
      </w:r>
      <w:r w:rsidR="008A4D69">
        <w:t xml:space="preserve">select </w:t>
      </w:r>
      <w:r w:rsidR="000E25B9">
        <w:t>participants for formative interviews with clinicians and policymakers</w:t>
      </w:r>
      <w:r w:rsidR="00325CE7">
        <w:t>.</w:t>
      </w:r>
      <w:r w:rsidR="00772735">
        <w:t xml:space="preserve"> </w:t>
      </w:r>
    </w:p>
    <w:p w14:paraId="307B3826" w14:textId="77777777" w:rsidR="00186896" w:rsidRDefault="00186896" w:rsidP="00A872C1"/>
    <w:p w14:paraId="7851D81F" w14:textId="357C79D3" w:rsidR="00236DAF" w:rsidRDefault="00236DAF" w:rsidP="00A872C1">
      <w:r w:rsidRPr="00903D3C">
        <w:t xml:space="preserve">Once </w:t>
      </w:r>
      <w:r w:rsidR="00183906" w:rsidRPr="00903D3C">
        <w:t>draft summary products</w:t>
      </w:r>
      <w:r w:rsidRPr="00903D3C">
        <w:t xml:space="preserve"> </w:t>
      </w:r>
      <w:r w:rsidR="00183906" w:rsidRPr="00903D3C">
        <w:t xml:space="preserve">have been developed, </w:t>
      </w:r>
      <w:r w:rsidRPr="00903D3C">
        <w:t xml:space="preserve">they will </w:t>
      </w:r>
      <w:r w:rsidR="008A4D69">
        <w:t>undergo pretesting</w:t>
      </w:r>
      <w:r w:rsidR="00AB0B11">
        <w:t xml:space="preserve"> using cognitive interviews</w:t>
      </w:r>
      <w:r w:rsidR="003D718A">
        <w:t xml:space="preserve"> </w:t>
      </w:r>
      <w:r w:rsidR="00015542" w:rsidRPr="00903D3C">
        <w:t xml:space="preserve">with </w:t>
      </w:r>
      <w:r w:rsidR="008A6FF7">
        <w:t xml:space="preserve">10-15 </w:t>
      </w:r>
      <w:r w:rsidR="00015542" w:rsidRPr="00903D3C">
        <w:t>clinicians, policymakers, and</w:t>
      </w:r>
      <w:r w:rsidR="008A6FF7">
        <w:t>/or</w:t>
      </w:r>
      <w:r w:rsidR="00015542" w:rsidRPr="00903D3C">
        <w:t xml:space="preserve"> consumers </w:t>
      </w:r>
      <w:r w:rsidR="00015542">
        <w:t>to</w:t>
      </w:r>
      <w:r w:rsidR="00051B0D">
        <w:t xml:space="preserve"> </w:t>
      </w:r>
      <w:r w:rsidR="00183906" w:rsidRPr="00903D3C">
        <w:t xml:space="preserve">assess </w:t>
      </w:r>
      <w:r w:rsidR="003E4B26" w:rsidRPr="003E4B26">
        <w:t>clarity of presentation and content, understandability,</w:t>
      </w:r>
      <w:r w:rsidR="003E4B26">
        <w:t xml:space="preserve"> and </w:t>
      </w:r>
      <w:r w:rsidRPr="00903D3C">
        <w:t xml:space="preserve">usability. </w:t>
      </w:r>
      <w:r w:rsidR="00AB0B11">
        <w:t>Also refer</w:t>
      </w:r>
      <w:r w:rsidR="00051B0D">
        <w:t>red</w:t>
      </w:r>
      <w:r w:rsidR="00AB0B11">
        <w:t xml:space="preserve"> to as</w:t>
      </w:r>
      <w:r w:rsidR="00AB0B11" w:rsidRPr="00AB0B11">
        <w:t xml:space="preserve"> “think-aloud” interview</w:t>
      </w:r>
      <w:r w:rsidR="008A6FF7">
        <w:t>s</w:t>
      </w:r>
      <w:r w:rsidR="00AB0B11" w:rsidRPr="00AB0B11">
        <w:t xml:space="preserve">, </w:t>
      </w:r>
      <w:r w:rsidR="008A6FF7">
        <w:t xml:space="preserve">these assessments will be used </w:t>
      </w:r>
      <w:r w:rsidR="00AB0B11" w:rsidRPr="00AB0B11">
        <w:t xml:space="preserve">to </w:t>
      </w:r>
      <w:r w:rsidR="00AB0B11">
        <w:t>test</w:t>
      </w:r>
      <w:r w:rsidR="00AB0B11" w:rsidRPr="00AB0B11">
        <w:t xml:space="preserve"> how </w:t>
      </w:r>
      <w:r w:rsidR="00AB0B11">
        <w:t xml:space="preserve">target audiences </w:t>
      </w:r>
      <w:r w:rsidR="00AB0B11" w:rsidRPr="00AB0B11">
        <w:t xml:space="preserve">perceive and interpret </w:t>
      </w:r>
      <w:r w:rsidR="00AB0B11">
        <w:t>the information presented in the summaries</w:t>
      </w:r>
      <w:r w:rsidR="008A4D69">
        <w:t>,</w:t>
      </w:r>
      <w:r w:rsidR="00AB0B11" w:rsidRPr="00AB0B11">
        <w:t xml:space="preserve"> to identify any potential problems in the material</w:t>
      </w:r>
      <w:r w:rsidR="00AB0B11">
        <w:t>s</w:t>
      </w:r>
      <w:r w:rsidR="008A4D69">
        <w:t>, and in some cases to estimate learning that may occur with the product</w:t>
      </w:r>
      <w:r w:rsidR="00AB0B11">
        <w:t>.</w:t>
      </w:r>
      <w:r w:rsidR="008A6FF7">
        <w:t xml:space="preserve"> </w:t>
      </w:r>
      <w:r w:rsidR="00051B0D">
        <w:t>Occasionally two</w:t>
      </w:r>
      <w:r w:rsidRPr="00903D3C">
        <w:t xml:space="preserve"> rounds of interviews </w:t>
      </w:r>
      <w:r w:rsidR="00051B0D">
        <w:t xml:space="preserve">may be </w:t>
      </w:r>
      <w:r w:rsidR="008A6FF7">
        <w:t xml:space="preserve">needed during testing. Potential interviewees will be </w:t>
      </w:r>
      <w:r w:rsidR="00AB0B11">
        <w:t xml:space="preserve">selected through typical case purposive sampling </w:t>
      </w:r>
      <w:r w:rsidR="008A6FF7">
        <w:t xml:space="preserve">approaches with the goal of identifying </w:t>
      </w:r>
      <w:r w:rsidR="00EA277B">
        <w:t xml:space="preserve">a </w:t>
      </w:r>
      <w:r w:rsidR="00573B45">
        <w:t xml:space="preserve">sample </w:t>
      </w:r>
      <w:r w:rsidR="00EA277B">
        <w:t xml:space="preserve">that is </w:t>
      </w:r>
      <w:r w:rsidR="008A6FF7">
        <w:t xml:space="preserve">reflective </w:t>
      </w:r>
      <w:r w:rsidR="00573B45">
        <w:t>of the target audience</w:t>
      </w:r>
      <w:r w:rsidR="00AB0B11">
        <w:t xml:space="preserve"> (</w:t>
      </w:r>
      <w:r w:rsidR="00051B0D">
        <w:t xml:space="preserve">i.e., </w:t>
      </w:r>
      <w:r w:rsidR="00AB0B11">
        <w:t>consumer, clinicians</w:t>
      </w:r>
      <w:r w:rsidR="00051B0D">
        <w:t>, or</w:t>
      </w:r>
      <w:r w:rsidR="00AB0B11">
        <w:t xml:space="preserve"> policymakers)</w:t>
      </w:r>
      <w:r w:rsidR="00B36D3F">
        <w:t>.</w:t>
      </w:r>
      <w:r w:rsidR="00015542">
        <w:t xml:space="preserve"> </w:t>
      </w:r>
      <w:r w:rsidRPr="00903D3C">
        <w:t xml:space="preserve">Participants </w:t>
      </w:r>
      <w:r w:rsidR="00183906" w:rsidRPr="00903D3C">
        <w:t xml:space="preserve">will be </w:t>
      </w:r>
      <w:r w:rsidRPr="00903D3C">
        <w:t xml:space="preserve">recruited </w:t>
      </w:r>
      <w:r w:rsidR="00051B0D">
        <w:t xml:space="preserve">using the procedures described above. </w:t>
      </w:r>
    </w:p>
    <w:p w14:paraId="76DD271F" w14:textId="77777777" w:rsidR="00964FF1" w:rsidRDefault="00964FF1" w:rsidP="00A872C1"/>
    <w:p w14:paraId="3364819E" w14:textId="77777777" w:rsidR="008A4D69" w:rsidRPr="00903D3C" w:rsidRDefault="008A4D69" w:rsidP="008A4D69">
      <w:r w:rsidRPr="00903D3C">
        <w:t xml:space="preserve">Interview participants will be recruited </w:t>
      </w:r>
      <w:r>
        <w:t xml:space="preserve">by either the project PI or </w:t>
      </w:r>
      <w:r w:rsidRPr="00903D3C">
        <w:t>clinics and health systems affiliated with Baylor College of Medicine, the American Institutes of Researc</w:t>
      </w:r>
      <w:r>
        <w:t xml:space="preserve">h, or other contract partners. In some cases interview </w:t>
      </w:r>
      <w:r w:rsidRPr="00903D3C">
        <w:t xml:space="preserve">candidates will be invited through the respective clinic, and </w:t>
      </w:r>
      <w:r>
        <w:t xml:space="preserve">only </w:t>
      </w:r>
      <w:r w:rsidRPr="00903D3C">
        <w:t xml:space="preserve">their </w:t>
      </w:r>
      <w:r>
        <w:t xml:space="preserve">first </w:t>
      </w:r>
      <w:r w:rsidRPr="00903D3C">
        <w:t>names and available time slots forwarded to the Eisenberg Center or a qualified contractor for conducting the assessments</w:t>
      </w:r>
      <w:r>
        <w:t xml:space="preserve"> anonymously.  </w:t>
      </w:r>
    </w:p>
    <w:p w14:paraId="31CD69C9" w14:textId="77777777" w:rsidR="008A4D69" w:rsidRPr="00903D3C" w:rsidRDefault="008A4D69" w:rsidP="008A4D69"/>
    <w:p w14:paraId="1D32C5D4" w14:textId="701F2FE3" w:rsidR="007B671D" w:rsidRPr="002330E2" w:rsidRDefault="002330E2" w:rsidP="00A872C1">
      <w:r>
        <w:rPr>
          <w:bCs/>
          <w:color w:val="000000"/>
        </w:rPr>
        <w:t xml:space="preserve">Evaluation </w:t>
      </w:r>
      <w:r w:rsidRPr="00A56D59">
        <w:rPr>
          <w:bCs/>
          <w:color w:val="000000"/>
        </w:rPr>
        <w:t xml:space="preserve">surveys will be </w:t>
      </w:r>
      <w:r w:rsidR="008A4D69">
        <w:rPr>
          <w:bCs/>
          <w:color w:val="000000"/>
        </w:rPr>
        <w:t xml:space="preserve">administered to </w:t>
      </w:r>
      <w:r w:rsidRPr="00A56D59">
        <w:rPr>
          <w:bCs/>
          <w:color w:val="000000"/>
        </w:rPr>
        <w:t xml:space="preserve">representatives </w:t>
      </w:r>
      <w:r w:rsidR="008A4D69">
        <w:rPr>
          <w:bCs/>
          <w:color w:val="000000"/>
        </w:rPr>
        <w:t xml:space="preserve">of </w:t>
      </w:r>
      <w:r w:rsidRPr="00A56D59">
        <w:rPr>
          <w:bCs/>
          <w:color w:val="000000"/>
        </w:rPr>
        <w:t xml:space="preserve">the </w:t>
      </w:r>
      <w:r>
        <w:rPr>
          <w:bCs/>
          <w:color w:val="000000"/>
        </w:rPr>
        <w:t xml:space="preserve">targeted </w:t>
      </w:r>
      <w:r w:rsidRPr="00A56D59">
        <w:rPr>
          <w:bCs/>
          <w:color w:val="000000"/>
        </w:rPr>
        <w:t>audience</w:t>
      </w:r>
      <w:r>
        <w:rPr>
          <w:bCs/>
          <w:color w:val="000000"/>
        </w:rPr>
        <w:t>s</w:t>
      </w:r>
      <w:r w:rsidRPr="00A56D59">
        <w:rPr>
          <w:bCs/>
          <w:color w:val="000000"/>
        </w:rPr>
        <w:t xml:space="preserve"> (i.e., </w:t>
      </w:r>
      <w:r>
        <w:rPr>
          <w:bCs/>
          <w:color w:val="000000"/>
        </w:rPr>
        <w:t xml:space="preserve">consumer, </w:t>
      </w:r>
      <w:r w:rsidRPr="00A56D59">
        <w:rPr>
          <w:bCs/>
          <w:color w:val="000000"/>
        </w:rPr>
        <w:t xml:space="preserve">clinician, </w:t>
      </w:r>
      <w:proofErr w:type="gramStart"/>
      <w:r w:rsidRPr="00A56D59">
        <w:rPr>
          <w:bCs/>
          <w:color w:val="000000"/>
        </w:rPr>
        <w:t>policymaker</w:t>
      </w:r>
      <w:proofErr w:type="gramEnd"/>
      <w:r w:rsidRPr="00A56D59">
        <w:rPr>
          <w:bCs/>
          <w:color w:val="000000"/>
        </w:rPr>
        <w:t xml:space="preserve">) </w:t>
      </w:r>
      <w:r>
        <w:rPr>
          <w:bCs/>
          <w:color w:val="000000"/>
        </w:rPr>
        <w:t>who have accessed the health information products or the decision aids.</w:t>
      </w:r>
      <w:r w:rsidR="00236DAF" w:rsidRPr="002330E2">
        <w:t xml:space="preserve"> Audience members </w:t>
      </w:r>
      <w:r w:rsidR="00964FF1" w:rsidRPr="002330E2">
        <w:t xml:space="preserve">will </w:t>
      </w:r>
      <w:r w:rsidR="00236DAF" w:rsidRPr="002330E2">
        <w:t xml:space="preserve">self-select through invitations offered on the </w:t>
      </w:r>
      <w:r w:rsidR="00964FF1" w:rsidRPr="002330E2">
        <w:t xml:space="preserve">AHRQ web site </w:t>
      </w:r>
      <w:r>
        <w:t xml:space="preserve">for participation in </w:t>
      </w:r>
      <w:r w:rsidR="00964FF1" w:rsidRPr="002330E2">
        <w:t>the initial survey</w:t>
      </w:r>
      <w:r>
        <w:t>,</w:t>
      </w:r>
      <w:r w:rsidR="00964FF1" w:rsidRPr="002330E2">
        <w:t xml:space="preserve"> </w:t>
      </w:r>
      <w:r w:rsidR="00236DAF" w:rsidRPr="002330E2">
        <w:t xml:space="preserve">or </w:t>
      </w:r>
      <w:r>
        <w:t xml:space="preserve">through an </w:t>
      </w:r>
      <w:r w:rsidR="00236DAF" w:rsidRPr="002330E2">
        <w:t>e-mail notification system</w:t>
      </w:r>
      <w:r w:rsidR="00964FF1" w:rsidRPr="002330E2">
        <w:t xml:space="preserve"> for </w:t>
      </w:r>
      <w:r>
        <w:t xml:space="preserve">participation in </w:t>
      </w:r>
      <w:r w:rsidR="00964FF1" w:rsidRPr="002330E2">
        <w:t>the follow-up survey</w:t>
      </w:r>
      <w:r w:rsidR="00236DAF" w:rsidRPr="002330E2">
        <w:t>.</w:t>
      </w:r>
      <w:r w:rsidR="003F4A32">
        <w:t xml:space="preserve"> </w:t>
      </w:r>
      <w:r w:rsidR="00542A2C" w:rsidRPr="002330E2">
        <w:t xml:space="preserve">To increase the likelihood of gathering </w:t>
      </w:r>
      <w:r w:rsidR="00542A2C" w:rsidRPr="002330E2">
        <w:lastRenderedPageBreak/>
        <w:t>valid data for evaluating the products, a</w:t>
      </w:r>
      <w:r w:rsidR="00964FF1" w:rsidRPr="002330E2">
        <w:t xml:space="preserve"> </w:t>
      </w:r>
      <w:r w:rsidR="007D392F">
        <w:t xml:space="preserve">brief </w:t>
      </w:r>
      <w:r w:rsidR="00542A2C" w:rsidRPr="002330E2">
        <w:t xml:space="preserve">latency </w:t>
      </w:r>
      <w:r w:rsidR="00964FF1" w:rsidRPr="002330E2">
        <w:t xml:space="preserve">period </w:t>
      </w:r>
      <w:r w:rsidR="007D392F">
        <w:t>(e.g., ~2 weeks) will be</w:t>
      </w:r>
      <w:r w:rsidR="00964FF1" w:rsidRPr="002330E2">
        <w:t xml:space="preserve"> selected</w:t>
      </w:r>
      <w:r>
        <w:t xml:space="preserve"> which </w:t>
      </w:r>
      <w:r w:rsidR="007D392F">
        <w:t xml:space="preserve">will </w:t>
      </w:r>
      <w:r w:rsidR="00964FF1" w:rsidRPr="002330E2">
        <w:t>allow time for the respondent to have completed</w:t>
      </w:r>
      <w:r w:rsidR="00542A2C" w:rsidRPr="002330E2">
        <w:t xml:space="preserve"> the process of </w:t>
      </w:r>
      <w:r w:rsidR="00964FF1" w:rsidRPr="002330E2">
        <w:t xml:space="preserve">gathering </w:t>
      </w:r>
      <w:r w:rsidR="00542A2C" w:rsidRPr="002330E2">
        <w:t xml:space="preserve">health </w:t>
      </w:r>
      <w:r w:rsidR="00964FF1" w:rsidRPr="002330E2">
        <w:t xml:space="preserve">information and possibly begun using the information, </w:t>
      </w:r>
      <w:r w:rsidR="00542A2C" w:rsidRPr="002330E2">
        <w:t xml:space="preserve">while still being able to recall the source from which the information was drawn. The initial survey will request an email address, which will allow for matching the initial and follow-up data by respondent to compare intended versus realized uses </w:t>
      </w:r>
      <w:r w:rsidR="007B671D">
        <w:t xml:space="preserve">and perceived value </w:t>
      </w:r>
      <w:r w:rsidR="00542A2C" w:rsidRPr="002330E2">
        <w:t>of the information.</w:t>
      </w:r>
      <w:r w:rsidR="00186896">
        <w:t xml:space="preserve"> </w:t>
      </w:r>
      <w:r w:rsidR="0019282F">
        <w:t xml:space="preserve">The surveys are not expected to yield representative responses from the target populations </w:t>
      </w:r>
      <w:r w:rsidR="00BD076F">
        <w:t>because</w:t>
      </w:r>
      <w:r w:rsidR="0000764D">
        <w:t xml:space="preserve"> </w:t>
      </w:r>
      <w:r w:rsidR="0019282F">
        <w:t>participation is optional with no incentive available</w:t>
      </w:r>
      <w:r w:rsidR="003F4A32">
        <w:t>, and thus nonresponse bias is a potential threat to validity.</w:t>
      </w:r>
      <w:r w:rsidR="0000764D">
        <w:t xml:space="preserve"> </w:t>
      </w:r>
      <w:r w:rsidR="00BD076F">
        <w:t xml:space="preserve">However, the data </w:t>
      </w:r>
      <w:r w:rsidR="0019282F">
        <w:t xml:space="preserve">are expected to provide useful </w:t>
      </w:r>
      <w:r w:rsidR="00BD076F">
        <w:t xml:space="preserve">information </w:t>
      </w:r>
      <w:r w:rsidR="0019282F">
        <w:t xml:space="preserve">given the </w:t>
      </w:r>
      <w:r w:rsidR="00BD076F">
        <w:t xml:space="preserve">assessment </w:t>
      </w:r>
      <w:r w:rsidR="0019282F">
        <w:t>const</w:t>
      </w:r>
      <w:r w:rsidR="00BD076F">
        <w:t>raints imposed</w:t>
      </w:r>
      <w:r w:rsidR="003F4A32">
        <w:t>,</w:t>
      </w:r>
      <w:r w:rsidR="00BD076F">
        <w:t xml:space="preserve"> </w:t>
      </w:r>
      <w:r w:rsidR="004B37A4">
        <w:t xml:space="preserve">such as </w:t>
      </w:r>
      <w:r w:rsidR="003F4A32">
        <w:t xml:space="preserve">the </w:t>
      </w:r>
      <w:r w:rsidR="0019282F">
        <w:t xml:space="preserve">potential </w:t>
      </w:r>
      <w:r w:rsidR="003F4A32">
        <w:t xml:space="preserve">for </w:t>
      </w:r>
      <w:r w:rsidR="0019282F">
        <w:t>selection</w:t>
      </w:r>
      <w:r w:rsidR="003F4A32">
        <w:t xml:space="preserve"> bias to be operative, anticipated </w:t>
      </w:r>
      <w:r w:rsidR="00BD076F">
        <w:t>high level</w:t>
      </w:r>
      <w:r w:rsidR="001B7906">
        <w:t>s</w:t>
      </w:r>
      <w:r w:rsidR="00BD076F">
        <w:t xml:space="preserve"> of </w:t>
      </w:r>
      <w:r w:rsidR="0019282F">
        <w:t>motivation</w:t>
      </w:r>
      <w:r w:rsidR="00BD076F">
        <w:t xml:space="preserve"> </w:t>
      </w:r>
      <w:r w:rsidR="004B37A4">
        <w:t xml:space="preserve">associated with self-directed </w:t>
      </w:r>
      <w:r w:rsidR="001B7906">
        <w:t>searching</w:t>
      </w:r>
      <w:r w:rsidR="00BD076F">
        <w:t xml:space="preserve"> for health information, audience characteristics associated with </w:t>
      </w:r>
      <w:r w:rsidR="004B37A4">
        <w:t xml:space="preserve">availability </w:t>
      </w:r>
      <w:r w:rsidR="00BD076F">
        <w:t xml:space="preserve">of Internet/computer access, </w:t>
      </w:r>
      <w:r w:rsidR="003F4A32">
        <w:t xml:space="preserve">potential confirmation bias, </w:t>
      </w:r>
      <w:r w:rsidR="00BD076F">
        <w:t xml:space="preserve">and </w:t>
      </w:r>
      <w:r w:rsidR="004B37A4">
        <w:t>other limitations</w:t>
      </w:r>
      <w:r w:rsidR="00BD076F">
        <w:t>.</w:t>
      </w:r>
      <w:r w:rsidR="0000764D">
        <w:t xml:space="preserve"> </w:t>
      </w:r>
      <w:r w:rsidR="00186896">
        <w:t xml:space="preserve">Evaluation surveys will be used in the annual dissemination research project to assess success or failures in effective dissemination of the products through the selected channels. </w:t>
      </w:r>
      <w:r w:rsidR="007B671D">
        <w:t xml:space="preserve">Follow-up interviews will be conducted </w:t>
      </w:r>
      <w:r w:rsidR="004538DB">
        <w:t xml:space="preserve">for </w:t>
      </w:r>
      <w:r w:rsidR="007B671D">
        <w:t xml:space="preserve">the summary products, decision aids, and </w:t>
      </w:r>
      <w:r w:rsidR="00186896">
        <w:t>the annual dissemination research project</w:t>
      </w:r>
      <w:r w:rsidR="004538DB">
        <w:t>s</w:t>
      </w:r>
      <w:r w:rsidR="00186896">
        <w:t xml:space="preserve">. These interviews will generally be used to complement the </w:t>
      </w:r>
      <w:r w:rsidR="00765218">
        <w:t xml:space="preserve">evaluation </w:t>
      </w:r>
      <w:r w:rsidR="00186896">
        <w:t>surveys</w:t>
      </w:r>
      <w:r w:rsidR="004B37A4">
        <w:t xml:space="preserve"> </w:t>
      </w:r>
      <w:r w:rsidR="004538DB">
        <w:t xml:space="preserve">by allowing </w:t>
      </w:r>
      <w:r w:rsidR="00765218">
        <w:t xml:space="preserve">for in-depth exploration of </w:t>
      </w:r>
      <w:r w:rsidR="00186896">
        <w:t xml:space="preserve">findings suggested from the survey data. </w:t>
      </w:r>
    </w:p>
    <w:p w14:paraId="3FDC0958" w14:textId="77777777" w:rsidR="00236DAF" w:rsidRPr="002330E2" w:rsidRDefault="00236DAF" w:rsidP="00A872C1"/>
    <w:p w14:paraId="775F38B3" w14:textId="51F09736" w:rsidR="00542A2C" w:rsidRPr="002330E2" w:rsidRDefault="00236DAF" w:rsidP="00A872C1">
      <w:r w:rsidRPr="002330E2">
        <w:t xml:space="preserve">Clinicians </w:t>
      </w:r>
      <w:r w:rsidR="00354B2F">
        <w:t>who</w:t>
      </w:r>
      <w:r w:rsidRPr="002330E2">
        <w:t xml:space="preserve"> have completed CME accrediting requirements and </w:t>
      </w:r>
      <w:r w:rsidR="00354B2F">
        <w:t>wish to obtain</w:t>
      </w:r>
      <w:r w:rsidRPr="002330E2">
        <w:t xml:space="preserve"> CME credit will be asked to complete </w:t>
      </w:r>
      <w:r w:rsidR="00542A2C" w:rsidRPr="002330E2">
        <w:t>a follow-up outcomes assessment s</w:t>
      </w:r>
      <w:r w:rsidRPr="002330E2">
        <w:t xml:space="preserve">urvey </w:t>
      </w:r>
      <w:r w:rsidR="00542A2C" w:rsidRPr="002330E2">
        <w:t xml:space="preserve">2-3 </w:t>
      </w:r>
      <w:r w:rsidRPr="002330E2">
        <w:t xml:space="preserve">months </w:t>
      </w:r>
      <w:r w:rsidR="002330E2" w:rsidRPr="002330E2">
        <w:t xml:space="preserve">following participation in </w:t>
      </w:r>
      <w:r w:rsidRPr="002330E2">
        <w:t>the online activity.</w:t>
      </w:r>
      <w:r w:rsidR="0000764D">
        <w:t xml:space="preserve"> </w:t>
      </w:r>
      <w:r w:rsidR="00542A2C" w:rsidRPr="002330E2">
        <w:t>Because the</w:t>
      </w:r>
      <w:r w:rsidR="00354B2F">
        <w:t xml:space="preserve"> requirements associated with</w:t>
      </w:r>
      <w:r w:rsidR="00542A2C" w:rsidRPr="002330E2">
        <w:t xml:space="preserve"> seeking and </w:t>
      </w:r>
      <w:r w:rsidR="00354B2F">
        <w:t>obtaining</w:t>
      </w:r>
      <w:r w:rsidR="00542A2C" w:rsidRPr="002330E2">
        <w:t xml:space="preserve"> CME credit </w:t>
      </w:r>
      <w:r w:rsidR="00354B2F">
        <w:t>are</w:t>
      </w:r>
      <w:r w:rsidR="00542A2C" w:rsidRPr="002330E2">
        <w:t xml:space="preserve"> more likely to impress upon the learner a more defined memory of the source of the information</w:t>
      </w:r>
      <w:r w:rsidR="002330E2" w:rsidRPr="002330E2">
        <w:t xml:space="preserve"> and </w:t>
      </w:r>
      <w:r w:rsidR="00542A2C" w:rsidRPr="002330E2">
        <w:t xml:space="preserve">learning gained, a 2-3 month period </w:t>
      </w:r>
      <w:r w:rsidR="002330E2" w:rsidRPr="002330E2">
        <w:t xml:space="preserve">was selected to allow sufficient time for implementing and self-evaluating resultant changes in clinical behaviors and </w:t>
      </w:r>
      <w:r w:rsidR="008A4D69">
        <w:t xml:space="preserve">to identify </w:t>
      </w:r>
      <w:r w:rsidR="002330E2" w:rsidRPr="002330E2">
        <w:t>any barriers to implementation.</w:t>
      </w:r>
      <w:r w:rsidR="00542A2C" w:rsidRPr="002330E2">
        <w:t xml:space="preserve"> </w:t>
      </w:r>
      <w:r w:rsidR="00354B2F">
        <w:t xml:space="preserve">The survey will be conducted anonymously to reduce the likelihood of response biases such as the tendency to provide socially desirable responses. </w:t>
      </w:r>
    </w:p>
    <w:p w14:paraId="1B0F3306" w14:textId="77777777" w:rsidR="00A872C1" w:rsidRDefault="00A872C1" w:rsidP="00A872C1"/>
    <w:p w14:paraId="62272ABB" w14:textId="000EF3AA" w:rsidR="003F4A32" w:rsidRDefault="003F4A32" w:rsidP="00A872C1">
      <w:r>
        <w:t xml:space="preserve">Advocacy organizations and AHRQ partners will be asked to provide feedback in the form of surveys and interviews. These data will not be collected anonymously and thus may suffer from </w:t>
      </w:r>
      <w:r w:rsidR="001B7906">
        <w:t xml:space="preserve">social desirability </w:t>
      </w:r>
      <w:r w:rsidR="004F39CC">
        <w:t xml:space="preserve">biases. </w:t>
      </w:r>
      <w:r w:rsidR="008A4D69">
        <w:t xml:space="preserve">Biases </w:t>
      </w:r>
      <w:r w:rsidR="004F39CC">
        <w:t xml:space="preserve">will be minimized by explaining to the participant the purposed uses of the data and the general approach of presenting </w:t>
      </w:r>
      <w:r w:rsidR="008A4D69">
        <w:t xml:space="preserve">the </w:t>
      </w:r>
      <w:r w:rsidR="004F39CC">
        <w:t xml:space="preserve">data </w:t>
      </w:r>
      <w:r w:rsidR="008A4D69">
        <w:t xml:space="preserve">anonymously and </w:t>
      </w:r>
      <w:r w:rsidR="004F39CC">
        <w:t xml:space="preserve">in aggregate whenever possible. </w:t>
      </w:r>
    </w:p>
    <w:p w14:paraId="139F2586" w14:textId="77777777" w:rsidR="00A872C1" w:rsidRDefault="00A872C1" w:rsidP="00A872C1"/>
    <w:p w14:paraId="5B6F3422" w14:textId="77777777" w:rsidR="00236DAF" w:rsidRDefault="00236DAF" w:rsidP="00A872C1">
      <w:r>
        <w:t xml:space="preserve">Given the purposeful nature of the activities, it is unlikely that statistical measures will generally </w:t>
      </w:r>
      <w:r w:rsidR="00903D3C">
        <w:t xml:space="preserve">be </w:t>
      </w:r>
      <w:r>
        <w:t xml:space="preserve">employed, with the possible exception of one or more of the dissemination research projects </w:t>
      </w:r>
      <w:r w:rsidR="00903D3C">
        <w:t xml:space="preserve">to be designed </w:t>
      </w:r>
      <w:r>
        <w:t xml:space="preserve">and implemented </w:t>
      </w:r>
      <w:r w:rsidR="00903D3C">
        <w:t xml:space="preserve">on an annual basis. </w:t>
      </w:r>
      <w:r>
        <w:t>In instances when there will be an existing list of "customers" readily available for sampling (e.g., mailing lists for publications or recipients of particular materials or services within known customer groups), appropriate probability sampling techniques will be used to select samples.</w:t>
      </w:r>
      <w:r w:rsidR="0000764D">
        <w:t xml:space="preserve"> </w:t>
      </w:r>
      <w:r w:rsidR="00903D3C">
        <w:t>Separate clearance will be requested for any project that necessitates determining formal sampling design, power estimation, and statistical analysis.</w:t>
      </w:r>
    </w:p>
    <w:p w14:paraId="542FEDDE" w14:textId="77777777" w:rsidR="00236DAF" w:rsidRDefault="00236DAF" w:rsidP="00A872C1">
      <w:pPr>
        <w:jc w:val="both"/>
        <w:rPr>
          <w:b/>
          <w:bCs/>
          <w:szCs w:val="22"/>
        </w:rPr>
      </w:pPr>
    </w:p>
    <w:p w14:paraId="4DC53E9B" w14:textId="77777777" w:rsidR="00236DAF" w:rsidRDefault="00236DAF" w:rsidP="005453AD">
      <w:pPr>
        <w:jc w:val="both"/>
        <w:rPr>
          <w:b/>
          <w:bCs/>
          <w:szCs w:val="22"/>
        </w:rPr>
      </w:pPr>
    </w:p>
    <w:p w14:paraId="22FF9BCC" w14:textId="77777777" w:rsidR="005453AD" w:rsidRPr="001D0454" w:rsidRDefault="005453AD" w:rsidP="005453AD">
      <w:pPr>
        <w:pStyle w:val="Heading2"/>
        <w:spacing w:before="0" w:after="0"/>
        <w:rPr>
          <w:sz w:val="24"/>
        </w:rPr>
      </w:pPr>
      <w:bookmarkStart w:id="4" w:name="_Toc151782200"/>
      <w:bookmarkStart w:id="5" w:name="_Toc158526236"/>
      <w:r w:rsidRPr="001D0454">
        <w:rPr>
          <w:sz w:val="24"/>
        </w:rPr>
        <w:lastRenderedPageBreak/>
        <w:t>2. Information Collection Procedures</w:t>
      </w:r>
      <w:bookmarkEnd w:id="4"/>
      <w:bookmarkEnd w:id="5"/>
    </w:p>
    <w:p w14:paraId="1C0AD852" w14:textId="77777777" w:rsidR="00AE7A32" w:rsidRDefault="00AE7A32" w:rsidP="00236DAF"/>
    <w:p w14:paraId="640C85E0" w14:textId="77777777" w:rsidR="00236DAF" w:rsidRDefault="00236DAF" w:rsidP="00236DAF">
      <w:r>
        <w:t>All information collections will be conducted in a manner that is consistent with the following guidelines:</w:t>
      </w:r>
    </w:p>
    <w:p w14:paraId="4F78BBB0" w14:textId="77777777" w:rsidR="00236DAF" w:rsidRDefault="00236DAF" w:rsidP="00236DAF"/>
    <w:p w14:paraId="65C53C8E" w14:textId="77777777" w:rsidR="00236DAF" w:rsidRDefault="00236DAF" w:rsidP="00236DAF">
      <w:pPr>
        <w:pStyle w:val="1AutoList2"/>
        <w:numPr>
          <w:ilvl w:val="0"/>
          <w:numId w:val="7"/>
        </w:numPr>
        <w:rPr>
          <w:rFonts w:ascii="Times New Roman" w:hAnsi="Times New Roman"/>
        </w:rPr>
      </w:pPr>
      <w:r>
        <w:rPr>
          <w:rFonts w:ascii="Times New Roman" w:hAnsi="Times New Roman"/>
        </w:rPr>
        <w:t>Participation will be completely voluntary, and non-participation will have no effect on eligibility for or receipt of future AHRQ-sponsored health services research.</w:t>
      </w:r>
    </w:p>
    <w:p w14:paraId="5AB109D2" w14:textId="77777777" w:rsidR="00236DAF" w:rsidRDefault="00236DAF" w:rsidP="00236DAF"/>
    <w:p w14:paraId="54D2AF41" w14:textId="77777777" w:rsidR="00236DAF" w:rsidRDefault="00236DAF" w:rsidP="00236DAF">
      <w:pPr>
        <w:pStyle w:val="1AutoList2"/>
        <w:numPr>
          <w:ilvl w:val="0"/>
          <w:numId w:val="6"/>
        </w:numPr>
        <w:rPr>
          <w:rFonts w:ascii="Times New Roman" w:hAnsi="Times New Roman"/>
        </w:rPr>
      </w:pPr>
      <w:r>
        <w:rPr>
          <w:rFonts w:ascii="Times New Roman" w:hAnsi="Times New Roman"/>
        </w:rPr>
        <w:t>Appropriate sample sizes will be determined for each activity to ensure that burden is minimized while reliable estimates are produced</w:t>
      </w:r>
      <w:r w:rsidR="001B7906">
        <w:rPr>
          <w:rFonts w:ascii="Times New Roman" w:hAnsi="Times New Roman"/>
        </w:rPr>
        <w:t xml:space="preserve"> to the extent possible under </w:t>
      </w:r>
      <w:r w:rsidR="00093D6D">
        <w:rPr>
          <w:rFonts w:ascii="Times New Roman" w:hAnsi="Times New Roman"/>
        </w:rPr>
        <w:t xml:space="preserve">purposive </w:t>
      </w:r>
      <w:r w:rsidR="001B7906">
        <w:rPr>
          <w:rFonts w:ascii="Times New Roman" w:hAnsi="Times New Roman"/>
        </w:rPr>
        <w:t>sampling designs</w:t>
      </w:r>
      <w:r>
        <w:rPr>
          <w:rFonts w:ascii="Times New Roman" w:hAnsi="Times New Roman"/>
        </w:rPr>
        <w:t>.</w:t>
      </w:r>
    </w:p>
    <w:p w14:paraId="319A3505" w14:textId="77777777" w:rsidR="00236DAF" w:rsidRDefault="00236DAF" w:rsidP="00236DAF"/>
    <w:p w14:paraId="03F0C395" w14:textId="77777777" w:rsidR="00236DAF" w:rsidRPr="00942DAE" w:rsidRDefault="00236DAF" w:rsidP="00236DAF">
      <w:pPr>
        <w:pStyle w:val="1AutoList2"/>
        <w:numPr>
          <w:ilvl w:val="0"/>
          <w:numId w:val="6"/>
        </w:numPr>
        <w:rPr>
          <w:rFonts w:ascii="Times New Roman" w:hAnsi="Times New Roman"/>
        </w:rPr>
      </w:pPr>
      <w:r w:rsidRPr="00942DAE">
        <w:rPr>
          <w:rFonts w:ascii="Times New Roman" w:hAnsi="Times New Roman"/>
        </w:rPr>
        <w:t>Information collection</w:t>
      </w:r>
      <w:r w:rsidR="001B7906">
        <w:rPr>
          <w:rFonts w:ascii="Times New Roman" w:hAnsi="Times New Roman"/>
        </w:rPr>
        <w:t>s</w:t>
      </w:r>
      <w:r w:rsidRPr="00942DAE">
        <w:rPr>
          <w:rFonts w:ascii="Times New Roman" w:hAnsi="Times New Roman"/>
        </w:rPr>
        <w:t xml:space="preserve"> will be limited to </w:t>
      </w:r>
      <w:r w:rsidR="001B7906">
        <w:rPr>
          <w:rFonts w:ascii="Times New Roman" w:hAnsi="Times New Roman"/>
        </w:rPr>
        <w:t>those</w:t>
      </w:r>
      <w:r w:rsidRPr="00942DAE">
        <w:rPr>
          <w:rFonts w:ascii="Times New Roman" w:hAnsi="Times New Roman"/>
        </w:rPr>
        <w:t xml:space="preserve"> needed to assess customer reaction to </w:t>
      </w:r>
      <w:r>
        <w:rPr>
          <w:rFonts w:ascii="Times New Roman" w:hAnsi="Times New Roman"/>
        </w:rPr>
        <w:t>planned or currently available products</w:t>
      </w:r>
      <w:r w:rsidR="001C37E5">
        <w:rPr>
          <w:rFonts w:ascii="Times New Roman" w:hAnsi="Times New Roman"/>
        </w:rPr>
        <w:t xml:space="preserve">, </w:t>
      </w:r>
      <w:r w:rsidRPr="00942DAE">
        <w:rPr>
          <w:rFonts w:ascii="Times New Roman" w:hAnsi="Times New Roman"/>
        </w:rPr>
        <w:t>services</w:t>
      </w:r>
      <w:r w:rsidR="001C37E5">
        <w:rPr>
          <w:rFonts w:ascii="Times New Roman" w:hAnsi="Times New Roman"/>
        </w:rPr>
        <w:t>, and collaborations</w:t>
      </w:r>
      <w:r w:rsidRPr="00942DAE">
        <w:rPr>
          <w:rFonts w:ascii="Times New Roman" w:hAnsi="Times New Roman"/>
        </w:rPr>
        <w:t>.</w:t>
      </w:r>
      <w:r w:rsidR="0000764D">
        <w:rPr>
          <w:rFonts w:ascii="Times New Roman" w:hAnsi="Times New Roman"/>
        </w:rPr>
        <w:t xml:space="preserve"> </w:t>
      </w:r>
    </w:p>
    <w:p w14:paraId="468BD889" w14:textId="77777777" w:rsidR="00236DAF" w:rsidRPr="00942DAE" w:rsidRDefault="00236DAF" w:rsidP="00236DAF">
      <w:pPr>
        <w:pStyle w:val="1AutoList2"/>
        <w:ind w:left="0" w:firstLine="0"/>
        <w:rPr>
          <w:rFonts w:ascii="Times New Roman" w:hAnsi="Times New Roman"/>
        </w:rPr>
      </w:pPr>
    </w:p>
    <w:p w14:paraId="7DFEDC74" w14:textId="77777777" w:rsidR="00236DAF" w:rsidRDefault="00236DAF" w:rsidP="00236DAF">
      <w:pPr>
        <w:pStyle w:val="1AutoList2"/>
        <w:numPr>
          <w:ilvl w:val="0"/>
          <w:numId w:val="6"/>
        </w:numPr>
        <w:rPr>
          <w:rFonts w:ascii="Times New Roman" w:hAnsi="Times New Roman"/>
        </w:rPr>
      </w:pPr>
      <w:r>
        <w:rPr>
          <w:rFonts w:ascii="Times New Roman" w:hAnsi="Times New Roman"/>
        </w:rPr>
        <w:t>Given the voluntary nature of the information collections, efforts will be made to obtain the highest possible response rates.</w:t>
      </w:r>
      <w:r w:rsidR="0000764D">
        <w:rPr>
          <w:rFonts w:ascii="Times New Roman" w:hAnsi="Times New Roman"/>
        </w:rPr>
        <w:t xml:space="preserve"> </w:t>
      </w:r>
      <w:r>
        <w:rPr>
          <w:rFonts w:ascii="Times New Roman" w:hAnsi="Times New Roman"/>
        </w:rPr>
        <w:t xml:space="preserve">Efforts will also be made to assess non-response bias </w:t>
      </w:r>
      <w:r w:rsidR="001C37E5">
        <w:rPr>
          <w:rFonts w:ascii="Times New Roman" w:hAnsi="Times New Roman"/>
        </w:rPr>
        <w:t>as</w:t>
      </w:r>
      <w:r>
        <w:rPr>
          <w:rFonts w:ascii="Times New Roman" w:hAnsi="Times New Roman"/>
        </w:rPr>
        <w:t xml:space="preserve"> feasible.</w:t>
      </w:r>
      <w:r w:rsidR="0000764D">
        <w:rPr>
          <w:rFonts w:ascii="Times New Roman" w:hAnsi="Times New Roman"/>
        </w:rPr>
        <w:t xml:space="preserve"> </w:t>
      </w:r>
      <w:r>
        <w:rPr>
          <w:rFonts w:ascii="Times New Roman" w:hAnsi="Times New Roman"/>
        </w:rPr>
        <w:t xml:space="preserve"> </w:t>
      </w:r>
    </w:p>
    <w:p w14:paraId="355C426E" w14:textId="77777777" w:rsidR="00236DAF" w:rsidRDefault="00236DAF" w:rsidP="00236DAF"/>
    <w:p w14:paraId="2F6D4C34" w14:textId="77777777" w:rsidR="005453AD" w:rsidRDefault="005453AD" w:rsidP="005453AD"/>
    <w:p w14:paraId="0F11435B" w14:textId="77777777" w:rsidR="00236DAF" w:rsidRDefault="00236DAF" w:rsidP="005453AD"/>
    <w:p w14:paraId="2451B315" w14:textId="77777777" w:rsidR="005453AD" w:rsidRPr="001D0454" w:rsidRDefault="005453AD" w:rsidP="005453AD">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14:paraId="5BF63BB8" w14:textId="77777777" w:rsidR="005453AD" w:rsidRDefault="005453AD" w:rsidP="005453AD">
      <w:pPr>
        <w:jc w:val="both"/>
        <w:rPr>
          <w:highlight w:val="lightGray"/>
        </w:rPr>
      </w:pPr>
    </w:p>
    <w:p w14:paraId="105DF9CF" w14:textId="77777777" w:rsidR="00236DAF" w:rsidRDefault="00236DAF" w:rsidP="00236DAF">
      <w:r>
        <w:t>The design of each information collection will include approaches to maximize response rates</w:t>
      </w:r>
      <w:r w:rsidR="001B7906">
        <w:t xml:space="preserve"> when feasible</w:t>
      </w:r>
      <w:r>
        <w:t>, while retaining the voluntary nature of the effort, consistent with appropriate survey methodology.</w:t>
      </w:r>
      <w:r w:rsidR="0000764D">
        <w:t xml:space="preserve"> </w:t>
      </w:r>
      <w:r w:rsidR="001B7906">
        <w:t xml:space="preserve">Remuneration will be provided to consumers, clinicians, policymakers, and health system/hospital/clinic personnel for assessment activities in which significant time investments are required. Clinician non-respondents to outcomes assessment surveys will be sent a single follow-up reminder, which the Eisenberg Center has found in prior internal research (unpublished work) improved response rate for this audience by 10-11%, without engendering negative perceptions of the contacting organization. </w:t>
      </w:r>
    </w:p>
    <w:p w14:paraId="00452643" w14:textId="77777777" w:rsidR="00236DAF" w:rsidRDefault="00236DAF" w:rsidP="005453AD">
      <w:pPr>
        <w:jc w:val="both"/>
        <w:rPr>
          <w:highlight w:val="lightGray"/>
        </w:rPr>
      </w:pPr>
    </w:p>
    <w:p w14:paraId="77D98452" w14:textId="77777777" w:rsidR="00236DAF" w:rsidRDefault="00236DAF" w:rsidP="005453AD">
      <w:pPr>
        <w:jc w:val="both"/>
        <w:rPr>
          <w:highlight w:val="lightGray"/>
        </w:rPr>
      </w:pPr>
    </w:p>
    <w:p w14:paraId="6EB62F87" w14:textId="77777777" w:rsidR="005453AD" w:rsidRPr="00A265FD" w:rsidRDefault="005453AD" w:rsidP="005453AD">
      <w:pPr>
        <w:pStyle w:val="Heading2"/>
        <w:spacing w:before="0" w:after="0"/>
        <w:rPr>
          <w:sz w:val="24"/>
        </w:rPr>
      </w:pPr>
      <w:bookmarkStart w:id="8" w:name="_Toc151782202"/>
      <w:bookmarkStart w:id="9" w:name="_Toc158526238"/>
      <w:r w:rsidRPr="001D0454">
        <w:rPr>
          <w:sz w:val="24"/>
        </w:rPr>
        <w:t>4. Tests of Procedures</w:t>
      </w:r>
      <w:bookmarkStart w:id="10" w:name="_Toc151782203"/>
      <w:bookmarkStart w:id="11" w:name="_Toc158526239"/>
      <w:bookmarkEnd w:id="8"/>
      <w:bookmarkEnd w:id="9"/>
    </w:p>
    <w:p w14:paraId="39134743" w14:textId="77777777" w:rsidR="00236DAF" w:rsidRDefault="00236DAF" w:rsidP="00236DAF">
      <w:r>
        <w:t>It is anticipated that most information collections will begin with efforts by Eisenberg Center staff or in some cases by</w:t>
      </w:r>
      <w:r w:rsidR="009E4689">
        <w:t xml:space="preserve"> interview or</w:t>
      </w:r>
      <w:r>
        <w:t xml:space="preserve"> focus groups to identify the views/concerns of </w:t>
      </w:r>
      <w:r w:rsidR="009E4689">
        <w:t xml:space="preserve">potential </w:t>
      </w:r>
      <w:r>
        <w:t>customers.</w:t>
      </w:r>
      <w:r w:rsidR="0000764D">
        <w:t xml:space="preserve"> </w:t>
      </w:r>
      <w:r w:rsidR="001B7906">
        <w:t xml:space="preserve">Formal pretesting will be carried out </w:t>
      </w:r>
      <w:r w:rsidR="001C37E5">
        <w:t xml:space="preserve">using fewer than 10 participants and </w:t>
      </w:r>
      <w:r w:rsidR="001B7906">
        <w:t>in a manner consistent with the specific assessment mechanism (e.g., survey design, interview protocol).</w:t>
      </w:r>
    </w:p>
    <w:p w14:paraId="33A19DA6" w14:textId="77777777" w:rsidR="00236DAF" w:rsidRDefault="00236DAF" w:rsidP="00236DAF"/>
    <w:p w14:paraId="5A29A7A5" w14:textId="77777777" w:rsidR="005453AD" w:rsidRDefault="005453AD" w:rsidP="00F34C93">
      <w:pPr>
        <w:pStyle w:val="Heading2"/>
        <w:rPr>
          <w:sz w:val="24"/>
        </w:rPr>
      </w:pPr>
      <w:r w:rsidRPr="001D0454">
        <w:rPr>
          <w:sz w:val="24"/>
        </w:rPr>
        <w:t>5. Statistical Consultants</w:t>
      </w:r>
      <w:bookmarkEnd w:id="10"/>
      <w:bookmarkEnd w:id="11"/>
    </w:p>
    <w:p w14:paraId="67197078" w14:textId="77777777" w:rsidR="00AE7A32" w:rsidRDefault="00AE7A32" w:rsidP="00F34C93"/>
    <w:p w14:paraId="128AF8E9" w14:textId="77777777" w:rsidR="00236DAF" w:rsidRPr="00F34C93" w:rsidRDefault="00236DAF" w:rsidP="00F34C93">
      <w:bookmarkStart w:id="12" w:name="_GoBack"/>
      <w:bookmarkEnd w:id="12"/>
      <w:r>
        <w:t>Input from statisticians regarding the development, design, conduct, and analysis of information collections will be sought if needed.</w:t>
      </w:r>
      <w:r w:rsidR="0000764D">
        <w:t xml:space="preserve"> </w:t>
      </w:r>
      <w:r>
        <w:t xml:space="preserve">This statistical expertise will be </w:t>
      </w:r>
      <w:r>
        <w:lastRenderedPageBreak/>
        <w:t>available from AHRQ statisticians/contractors.</w:t>
      </w:r>
      <w:r w:rsidR="0000764D">
        <w:t xml:space="preserve"> </w:t>
      </w:r>
      <w:r>
        <w:t>Technical assistance in survey design and statistics may, in some cases, be sought through The National Center for Health Statistics.</w:t>
      </w:r>
    </w:p>
    <w:sectPr w:rsidR="00236DAF" w:rsidRPr="00F34C93"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7BC27B" w15:done="0"/>
  <w15:commentEx w15:paraId="7EF599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CB221" w14:textId="77777777" w:rsidR="00162BE1" w:rsidRDefault="00162BE1">
      <w:r>
        <w:separator/>
      </w:r>
    </w:p>
  </w:endnote>
  <w:endnote w:type="continuationSeparator" w:id="0">
    <w:p w14:paraId="563E52B7" w14:textId="77777777" w:rsidR="00162BE1" w:rsidRDefault="0016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DAE5C" w14:textId="77777777" w:rsidR="00AB0B11" w:rsidRDefault="00AB0B11"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B6F8A8" w14:textId="77777777" w:rsidR="00AB0B11" w:rsidRDefault="00AB0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E9AB" w14:textId="77777777" w:rsidR="00AB0B11" w:rsidRDefault="00AB0B11"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A32">
      <w:rPr>
        <w:rStyle w:val="PageNumber"/>
        <w:noProof/>
      </w:rPr>
      <w:t>2</w:t>
    </w:r>
    <w:r>
      <w:rPr>
        <w:rStyle w:val="PageNumber"/>
      </w:rPr>
      <w:fldChar w:fldCharType="end"/>
    </w:r>
  </w:p>
  <w:p w14:paraId="7D9C16DD" w14:textId="77777777" w:rsidR="00AB0B11" w:rsidRDefault="00AB0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EAE3F" w14:textId="77777777" w:rsidR="00162BE1" w:rsidRDefault="00162BE1">
      <w:r>
        <w:separator/>
      </w:r>
    </w:p>
  </w:footnote>
  <w:footnote w:type="continuationSeparator" w:id="0">
    <w:p w14:paraId="32EBB0C8" w14:textId="77777777" w:rsidR="00162BE1" w:rsidRDefault="00162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Jason">
    <w15:presenceInfo w15:providerId="AD" w15:userId="S-1-5-21-117609710-220523388-725345543-9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764D"/>
    <w:rsid w:val="00007C23"/>
    <w:rsid w:val="0001418A"/>
    <w:rsid w:val="00015542"/>
    <w:rsid w:val="00020605"/>
    <w:rsid w:val="00022B2F"/>
    <w:rsid w:val="00023905"/>
    <w:rsid w:val="00025084"/>
    <w:rsid w:val="0002688B"/>
    <w:rsid w:val="00027931"/>
    <w:rsid w:val="000375C3"/>
    <w:rsid w:val="00040D98"/>
    <w:rsid w:val="0004144A"/>
    <w:rsid w:val="00042F92"/>
    <w:rsid w:val="00050229"/>
    <w:rsid w:val="00051B0D"/>
    <w:rsid w:val="00053B30"/>
    <w:rsid w:val="000733EB"/>
    <w:rsid w:val="0008338A"/>
    <w:rsid w:val="00084D1F"/>
    <w:rsid w:val="00093D6D"/>
    <w:rsid w:val="00094936"/>
    <w:rsid w:val="00094C18"/>
    <w:rsid w:val="000A3642"/>
    <w:rsid w:val="000B246F"/>
    <w:rsid w:val="000B2925"/>
    <w:rsid w:val="000B51D2"/>
    <w:rsid w:val="000C052D"/>
    <w:rsid w:val="000C26A4"/>
    <w:rsid w:val="000C273C"/>
    <w:rsid w:val="000D68E0"/>
    <w:rsid w:val="000E25B9"/>
    <w:rsid w:val="000E5B21"/>
    <w:rsid w:val="000F1C4B"/>
    <w:rsid w:val="001264EF"/>
    <w:rsid w:val="001277A0"/>
    <w:rsid w:val="00133642"/>
    <w:rsid w:val="0013418E"/>
    <w:rsid w:val="00144014"/>
    <w:rsid w:val="00144FC9"/>
    <w:rsid w:val="00160B30"/>
    <w:rsid w:val="001623B4"/>
    <w:rsid w:val="00162BE1"/>
    <w:rsid w:val="00172665"/>
    <w:rsid w:val="001826BD"/>
    <w:rsid w:val="00183906"/>
    <w:rsid w:val="00184281"/>
    <w:rsid w:val="00186896"/>
    <w:rsid w:val="001876C0"/>
    <w:rsid w:val="001914B6"/>
    <w:rsid w:val="0019282F"/>
    <w:rsid w:val="00193D98"/>
    <w:rsid w:val="001961A5"/>
    <w:rsid w:val="001A5FF7"/>
    <w:rsid w:val="001B5D6F"/>
    <w:rsid w:val="001B7906"/>
    <w:rsid w:val="001C37E5"/>
    <w:rsid w:val="001C3D9E"/>
    <w:rsid w:val="001C78FD"/>
    <w:rsid w:val="001D0A76"/>
    <w:rsid w:val="001F5BA6"/>
    <w:rsid w:val="001F5E2E"/>
    <w:rsid w:val="00202661"/>
    <w:rsid w:val="0020740B"/>
    <w:rsid w:val="00220C60"/>
    <w:rsid w:val="00222258"/>
    <w:rsid w:val="00224620"/>
    <w:rsid w:val="002330E2"/>
    <w:rsid w:val="002343F0"/>
    <w:rsid w:val="0023595D"/>
    <w:rsid w:val="00236DAF"/>
    <w:rsid w:val="00240615"/>
    <w:rsid w:val="00243021"/>
    <w:rsid w:val="00246C9D"/>
    <w:rsid w:val="00250F6D"/>
    <w:rsid w:val="00260A01"/>
    <w:rsid w:val="00262FCA"/>
    <w:rsid w:val="00265C70"/>
    <w:rsid w:val="00266D37"/>
    <w:rsid w:val="00274E60"/>
    <w:rsid w:val="00277CEA"/>
    <w:rsid w:val="002837E3"/>
    <w:rsid w:val="002A0CB6"/>
    <w:rsid w:val="002A5262"/>
    <w:rsid w:val="002B0F78"/>
    <w:rsid w:val="002B51BE"/>
    <w:rsid w:val="002F344F"/>
    <w:rsid w:val="003004BA"/>
    <w:rsid w:val="00307CE1"/>
    <w:rsid w:val="00314B99"/>
    <w:rsid w:val="0031502F"/>
    <w:rsid w:val="00325BC9"/>
    <w:rsid w:val="00325CE7"/>
    <w:rsid w:val="003338AE"/>
    <w:rsid w:val="00353007"/>
    <w:rsid w:val="00354B2F"/>
    <w:rsid w:val="00365067"/>
    <w:rsid w:val="00367D62"/>
    <w:rsid w:val="00381C57"/>
    <w:rsid w:val="00383034"/>
    <w:rsid w:val="00384745"/>
    <w:rsid w:val="00393005"/>
    <w:rsid w:val="00396B62"/>
    <w:rsid w:val="003B376A"/>
    <w:rsid w:val="003B3C70"/>
    <w:rsid w:val="003B7C56"/>
    <w:rsid w:val="003C1C77"/>
    <w:rsid w:val="003C3103"/>
    <w:rsid w:val="003C312C"/>
    <w:rsid w:val="003C6E1D"/>
    <w:rsid w:val="003C73E8"/>
    <w:rsid w:val="003D369A"/>
    <w:rsid w:val="003D3B9C"/>
    <w:rsid w:val="003D6AE8"/>
    <w:rsid w:val="003D718A"/>
    <w:rsid w:val="003E2F9C"/>
    <w:rsid w:val="003E4B26"/>
    <w:rsid w:val="003E5535"/>
    <w:rsid w:val="003F223C"/>
    <w:rsid w:val="003F4A32"/>
    <w:rsid w:val="003F4F2F"/>
    <w:rsid w:val="00413710"/>
    <w:rsid w:val="00415138"/>
    <w:rsid w:val="00422B2A"/>
    <w:rsid w:val="004230CE"/>
    <w:rsid w:val="00426BAE"/>
    <w:rsid w:val="00431F3A"/>
    <w:rsid w:val="0043295B"/>
    <w:rsid w:val="00451EBF"/>
    <w:rsid w:val="004538DB"/>
    <w:rsid w:val="004543F7"/>
    <w:rsid w:val="00460D1B"/>
    <w:rsid w:val="00461D98"/>
    <w:rsid w:val="00474DB9"/>
    <w:rsid w:val="0048457F"/>
    <w:rsid w:val="0049545C"/>
    <w:rsid w:val="00497C66"/>
    <w:rsid w:val="004A0508"/>
    <w:rsid w:val="004A111A"/>
    <w:rsid w:val="004A58E2"/>
    <w:rsid w:val="004B06E4"/>
    <w:rsid w:val="004B37A4"/>
    <w:rsid w:val="004B5BD6"/>
    <w:rsid w:val="004B64D5"/>
    <w:rsid w:val="004C568E"/>
    <w:rsid w:val="004C7F3B"/>
    <w:rsid w:val="004D6C5F"/>
    <w:rsid w:val="004F153D"/>
    <w:rsid w:val="004F39CC"/>
    <w:rsid w:val="004F7C29"/>
    <w:rsid w:val="0050069A"/>
    <w:rsid w:val="0050472C"/>
    <w:rsid w:val="00506B7C"/>
    <w:rsid w:val="00520D8D"/>
    <w:rsid w:val="00534519"/>
    <w:rsid w:val="00536106"/>
    <w:rsid w:val="00542A2C"/>
    <w:rsid w:val="00543AF4"/>
    <w:rsid w:val="005453AD"/>
    <w:rsid w:val="00552C85"/>
    <w:rsid w:val="00555B00"/>
    <w:rsid w:val="00555B8A"/>
    <w:rsid w:val="00573B45"/>
    <w:rsid w:val="005772BD"/>
    <w:rsid w:val="005B7E1A"/>
    <w:rsid w:val="005C5779"/>
    <w:rsid w:val="005E3686"/>
    <w:rsid w:val="005E5170"/>
    <w:rsid w:val="005F08FA"/>
    <w:rsid w:val="005F6627"/>
    <w:rsid w:val="006051E2"/>
    <w:rsid w:val="00607E4C"/>
    <w:rsid w:val="006106C1"/>
    <w:rsid w:val="0061519B"/>
    <w:rsid w:val="00620AC7"/>
    <w:rsid w:val="00631667"/>
    <w:rsid w:val="00635512"/>
    <w:rsid w:val="0063714F"/>
    <w:rsid w:val="00656C4F"/>
    <w:rsid w:val="0065798D"/>
    <w:rsid w:val="0066058A"/>
    <w:rsid w:val="006653E4"/>
    <w:rsid w:val="00666C20"/>
    <w:rsid w:val="00670882"/>
    <w:rsid w:val="006751F3"/>
    <w:rsid w:val="006804F1"/>
    <w:rsid w:val="0069068A"/>
    <w:rsid w:val="00694254"/>
    <w:rsid w:val="00697067"/>
    <w:rsid w:val="006A09B7"/>
    <w:rsid w:val="006A23A7"/>
    <w:rsid w:val="006B417B"/>
    <w:rsid w:val="006B65D6"/>
    <w:rsid w:val="006C0C47"/>
    <w:rsid w:val="006C1256"/>
    <w:rsid w:val="006D2949"/>
    <w:rsid w:val="006D2A3E"/>
    <w:rsid w:val="006D548C"/>
    <w:rsid w:val="006F62A0"/>
    <w:rsid w:val="007017C8"/>
    <w:rsid w:val="00701B9B"/>
    <w:rsid w:val="007033D7"/>
    <w:rsid w:val="00714C76"/>
    <w:rsid w:val="007257EA"/>
    <w:rsid w:val="00726E4F"/>
    <w:rsid w:val="0072702F"/>
    <w:rsid w:val="007519A8"/>
    <w:rsid w:val="00752720"/>
    <w:rsid w:val="00765218"/>
    <w:rsid w:val="00766ABD"/>
    <w:rsid w:val="00772735"/>
    <w:rsid w:val="00772E70"/>
    <w:rsid w:val="00775880"/>
    <w:rsid w:val="00777546"/>
    <w:rsid w:val="007855F5"/>
    <w:rsid w:val="00790A3B"/>
    <w:rsid w:val="00792830"/>
    <w:rsid w:val="00793E46"/>
    <w:rsid w:val="007A011B"/>
    <w:rsid w:val="007A17F0"/>
    <w:rsid w:val="007A7678"/>
    <w:rsid w:val="007B042B"/>
    <w:rsid w:val="007B671D"/>
    <w:rsid w:val="007C0D40"/>
    <w:rsid w:val="007C39E4"/>
    <w:rsid w:val="007C49D3"/>
    <w:rsid w:val="007C5905"/>
    <w:rsid w:val="007D392F"/>
    <w:rsid w:val="007D53AA"/>
    <w:rsid w:val="007F2387"/>
    <w:rsid w:val="007F2F72"/>
    <w:rsid w:val="00812673"/>
    <w:rsid w:val="00826B80"/>
    <w:rsid w:val="00834A30"/>
    <w:rsid w:val="008452A3"/>
    <w:rsid w:val="00852C36"/>
    <w:rsid w:val="00854B3A"/>
    <w:rsid w:val="00864C0A"/>
    <w:rsid w:val="00871DAE"/>
    <w:rsid w:val="00873091"/>
    <w:rsid w:val="008741AB"/>
    <w:rsid w:val="00874B68"/>
    <w:rsid w:val="00890667"/>
    <w:rsid w:val="0089215C"/>
    <w:rsid w:val="00892197"/>
    <w:rsid w:val="008933F8"/>
    <w:rsid w:val="00894559"/>
    <w:rsid w:val="00894CB3"/>
    <w:rsid w:val="00895461"/>
    <w:rsid w:val="008A1887"/>
    <w:rsid w:val="008A4D69"/>
    <w:rsid w:val="008A5586"/>
    <w:rsid w:val="008A6FF7"/>
    <w:rsid w:val="008B59A2"/>
    <w:rsid w:val="008B5CFB"/>
    <w:rsid w:val="008C5771"/>
    <w:rsid w:val="008C7EA8"/>
    <w:rsid w:val="008E06B8"/>
    <w:rsid w:val="008E0DFC"/>
    <w:rsid w:val="008E5F75"/>
    <w:rsid w:val="008F18CD"/>
    <w:rsid w:val="008F197F"/>
    <w:rsid w:val="008F23F5"/>
    <w:rsid w:val="008F6C41"/>
    <w:rsid w:val="008F74FC"/>
    <w:rsid w:val="0090111B"/>
    <w:rsid w:val="00903D3C"/>
    <w:rsid w:val="00915652"/>
    <w:rsid w:val="00916AA3"/>
    <w:rsid w:val="0093202A"/>
    <w:rsid w:val="00944F8E"/>
    <w:rsid w:val="009607AD"/>
    <w:rsid w:val="00962495"/>
    <w:rsid w:val="009631D2"/>
    <w:rsid w:val="00964FF1"/>
    <w:rsid w:val="009659F5"/>
    <w:rsid w:val="00986127"/>
    <w:rsid w:val="00986FB6"/>
    <w:rsid w:val="009A12A8"/>
    <w:rsid w:val="009A13F5"/>
    <w:rsid w:val="009A1506"/>
    <w:rsid w:val="009A3DA5"/>
    <w:rsid w:val="009B7B44"/>
    <w:rsid w:val="009C00DB"/>
    <w:rsid w:val="009D5514"/>
    <w:rsid w:val="009D5632"/>
    <w:rsid w:val="009D5E90"/>
    <w:rsid w:val="009E070F"/>
    <w:rsid w:val="009E226C"/>
    <w:rsid w:val="009E4689"/>
    <w:rsid w:val="009E749B"/>
    <w:rsid w:val="009F0517"/>
    <w:rsid w:val="009F5807"/>
    <w:rsid w:val="00A00D79"/>
    <w:rsid w:val="00A04FB9"/>
    <w:rsid w:val="00A15B3E"/>
    <w:rsid w:val="00A15E19"/>
    <w:rsid w:val="00A175C7"/>
    <w:rsid w:val="00A35E11"/>
    <w:rsid w:val="00A400AF"/>
    <w:rsid w:val="00A433E3"/>
    <w:rsid w:val="00A4499C"/>
    <w:rsid w:val="00A51A46"/>
    <w:rsid w:val="00A872C1"/>
    <w:rsid w:val="00AB0020"/>
    <w:rsid w:val="00AB0B11"/>
    <w:rsid w:val="00AB5F7C"/>
    <w:rsid w:val="00AB72C0"/>
    <w:rsid w:val="00AC6AA6"/>
    <w:rsid w:val="00AC7A69"/>
    <w:rsid w:val="00AD7038"/>
    <w:rsid w:val="00AE5089"/>
    <w:rsid w:val="00AE7A32"/>
    <w:rsid w:val="00AF135C"/>
    <w:rsid w:val="00AF4804"/>
    <w:rsid w:val="00B03A17"/>
    <w:rsid w:val="00B0771A"/>
    <w:rsid w:val="00B36D3F"/>
    <w:rsid w:val="00B4384C"/>
    <w:rsid w:val="00B47BB0"/>
    <w:rsid w:val="00B50549"/>
    <w:rsid w:val="00B51988"/>
    <w:rsid w:val="00B51FC6"/>
    <w:rsid w:val="00B6413F"/>
    <w:rsid w:val="00B73EBB"/>
    <w:rsid w:val="00B75953"/>
    <w:rsid w:val="00B767FC"/>
    <w:rsid w:val="00B81108"/>
    <w:rsid w:val="00B81128"/>
    <w:rsid w:val="00B83341"/>
    <w:rsid w:val="00B91F14"/>
    <w:rsid w:val="00B9477A"/>
    <w:rsid w:val="00BA2394"/>
    <w:rsid w:val="00BA3FA4"/>
    <w:rsid w:val="00BB24C6"/>
    <w:rsid w:val="00BB46DF"/>
    <w:rsid w:val="00BD02B7"/>
    <w:rsid w:val="00BD076F"/>
    <w:rsid w:val="00BE46D9"/>
    <w:rsid w:val="00BF1A41"/>
    <w:rsid w:val="00C21143"/>
    <w:rsid w:val="00C418BD"/>
    <w:rsid w:val="00C5556A"/>
    <w:rsid w:val="00C67B2A"/>
    <w:rsid w:val="00C70152"/>
    <w:rsid w:val="00C76DEC"/>
    <w:rsid w:val="00C819BF"/>
    <w:rsid w:val="00C828BE"/>
    <w:rsid w:val="00C84426"/>
    <w:rsid w:val="00C94DE8"/>
    <w:rsid w:val="00CA149B"/>
    <w:rsid w:val="00CA2FB9"/>
    <w:rsid w:val="00CA6A4B"/>
    <w:rsid w:val="00CB2F8B"/>
    <w:rsid w:val="00CB660A"/>
    <w:rsid w:val="00CB7615"/>
    <w:rsid w:val="00CC3A9B"/>
    <w:rsid w:val="00CC42B4"/>
    <w:rsid w:val="00CC72ED"/>
    <w:rsid w:val="00CD03FF"/>
    <w:rsid w:val="00CD269E"/>
    <w:rsid w:val="00CE49C8"/>
    <w:rsid w:val="00CE74B4"/>
    <w:rsid w:val="00D10174"/>
    <w:rsid w:val="00D1193F"/>
    <w:rsid w:val="00D224DD"/>
    <w:rsid w:val="00D2506E"/>
    <w:rsid w:val="00D254A2"/>
    <w:rsid w:val="00D3003B"/>
    <w:rsid w:val="00D360FA"/>
    <w:rsid w:val="00D3751D"/>
    <w:rsid w:val="00D42682"/>
    <w:rsid w:val="00D43EDA"/>
    <w:rsid w:val="00D459FF"/>
    <w:rsid w:val="00D45ABC"/>
    <w:rsid w:val="00D47F26"/>
    <w:rsid w:val="00D67DD8"/>
    <w:rsid w:val="00D77619"/>
    <w:rsid w:val="00D83209"/>
    <w:rsid w:val="00DB042D"/>
    <w:rsid w:val="00DB4DF8"/>
    <w:rsid w:val="00DC3784"/>
    <w:rsid w:val="00DD691C"/>
    <w:rsid w:val="00DE0C8F"/>
    <w:rsid w:val="00DE0C9B"/>
    <w:rsid w:val="00DE5C7A"/>
    <w:rsid w:val="00DF2AE2"/>
    <w:rsid w:val="00E00AFB"/>
    <w:rsid w:val="00E059FC"/>
    <w:rsid w:val="00E1093E"/>
    <w:rsid w:val="00E11A8D"/>
    <w:rsid w:val="00E204F2"/>
    <w:rsid w:val="00E24AFA"/>
    <w:rsid w:val="00E2602E"/>
    <w:rsid w:val="00E33E06"/>
    <w:rsid w:val="00E35BA9"/>
    <w:rsid w:val="00E466CE"/>
    <w:rsid w:val="00E4724E"/>
    <w:rsid w:val="00E524A1"/>
    <w:rsid w:val="00E54BE4"/>
    <w:rsid w:val="00E5761E"/>
    <w:rsid w:val="00E61391"/>
    <w:rsid w:val="00E67148"/>
    <w:rsid w:val="00E734A9"/>
    <w:rsid w:val="00E75ADF"/>
    <w:rsid w:val="00E8231E"/>
    <w:rsid w:val="00E87504"/>
    <w:rsid w:val="00E8787A"/>
    <w:rsid w:val="00E92A8D"/>
    <w:rsid w:val="00E95E30"/>
    <w:rsid w:val="00EA20B6"/>
    <w:rsid w:val="00EA2777"/>
    <w:rsid w:val="00EA277B"/>
    <w:rsid w:val="00EA5256"/>
    <w:rsid w:val="00EA73B4"/>
    <w:rsid w:val="00EB1431"/>
    <w:rsid w:val="00EB2F7F"/>
    <w:rsid w:val="00EB608D"/>
    <w:rsid w:val="00ED13F6"/>
    <w:rsid w:val="00EE088B"/>
    <w:rsid w:val="00EE1A8B"/>
    <w:rsid w:val="00EF15A6"/>
    <w:rsid w:val="00F01D8D"/>
    <w:rsid w:val="00F07BE5"/>
    <w:rsid w:val="00F102B7"/>
    <w:rsid w:val="00F2241C"/>
    <w:rsid w:val="00F253F0"/>
    <w:rsid w:val="00F332EC"/>
    <w:rsid w:val="00F34C93"/>
    <w:rsid w:val="00F429B2"/>
    <w:rsid w:val="00F43735"/>
    <w:rsid w:val="00F47BB1"/>
    <w:rsid w:val="00F61E26"/>
    <w:rsid w:val="00F709AD"/>
    <w:rsid w:val="00F72A6E"/>
    <w:rsid w:val="00F760C2"/>
    <w:rsid w:val="00F82E6F"/>
    <w:rsid w:val="00F877D8"/>
    <w:rsid w:val="00F91489"/>
    <w:rsid w:val="00F963FE"/>
    <w:rsid w:val="00FB13AD"/>
    <w:rsid w:val="00FB7518"/>
    <w:rsid w:val="00FC12A3"/>
    <w:rsid w:val="00FC224E"/>
    <w:rsid w:val="00FC633E"/>
    <w:rsid w:val="00FD3D7E"/>
    <w:rsid w:val="00FD5A20"/>
    <w:rsid w:val="00FE299D"/>
    <w:rsid w:val="00FE2ABC"/>
    <w:rsid w:val="00FE2F78"/>
    <w:rsid w:val="00FE3549"/>
    <w:rsid w:val="00FE5BCD"/>
    <w:rsid w:val="00FF6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0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1AutoList2">
    <w:name w:val="1AutoList2"/>
    <w:rsid w:val="00236DAF"/>
    <w:pPr>
      <w:tabs>
        <w:tab w:val="left" w:pos="720"/>
      </w:tabs>
      <w:ind w:left="720" w:hanging="720"/>
    </w:pPr>
    <w:rPr>
      <w:rFonts w:ascii="Courier 10cpi" w:hAnsi="Courier 10cpi"/>
      <w:snapToGrid w:val="0"/>
      <w:sz w:val="24"/>
    </w:rPr>
  </w:style>
  <w:style w:type="character" w:styleId="CommentReference">
    <w:name w:val="annotation reference"/>
    <w:rsid w:val="000E25B9"/>
    <w:rPr>
      <w:sz w:val="16"/>
      <w:szCs w:val="16"/>
    </w:rPr>
  </w:style>
  <w:style w:type="paragraph" w:styleId="CommentText">
    <w:name w:val="annotation text"/>
    <w:basedOn w:val="Normal"/>
    <w:link w:val="CommentTextChar"/>
    <w:rsid w:val="000E25B9"/>
    <w:rPr>
      <w:sz w:val="20"/>
      <w:szCs w:val="20"/>
    </w:rPr>
  </w:style>
  <w:style w:type="character" w:customStyle="1" w:styleId="CommentTextChar">
    <w:name w:val="Comment Text Char"/>
    <w:basedOn w:val="DefaultParagraphFont"/>
    <w:link w:val="CommentText"/>
    <w:rsid w:val="000E25B9"/>
  </w:style>
  <w:style w:type="paragraph" w:styleId="CommentSubject">
    <w:name w:val="annotation subject"/>
    <w:basedOn w:val="CommentText"/>
    <w:next w:val="CommentText"/>
    <w:link w:val="CommentSubjectChar"/>
    <w:rsid w:val="000E25B9"/>
    <w:rPr>
      <w:b/>
      <w:bCs/>
    </w:rPr>
  </w:style>
  <w:style w:type="character" w:customStyle="1" w:styleId="CommentSubjectChar">
    <w:name w:val="Comment Subject Char"/>
    <w:link w:val="CommentSubject"/>
    <w:rsid w:val="000E25B9"/>
    <w:rPr>
      <w:b/>
      <w:bCs/>
    </w:rPr>
  </w:style>
  <w:style w:type="paragraph" w:styleId="BalloonText">
    <w:name w:val="Balloon Text"/>
    <w:basedOn w:val="Normal"/>
    <w:link w:val="BalloonTextChar"/>
    <w:rsid w:val="000E25B9"/>
    <w:rPr>
      <w:rFonts w:ascii="Tahoma" w:hAnsi="Tahoma" w:cs="Tahoma"/>
      <w:sz w:val="16"/>
      <w:szCs w:val="16"/>
    </w:rPr>
  </w:style>
  <w:style w:type="character" w:customStyle="1" w:styleId="BalloonTextChar">
    <w:name w:val="Balloon Text Char"/>
    <w:link w:val="BalloonText"/>
    <w:rsid w:val="000E25B9"/>
    <w:rPr>
      <w:rFonts w:ascii="Tahoma" w:hAnsi="Tahoma" w:cs="Tahoma"/>
      <w:sz w:val="16"/>
      <w:szCs w:val="16"/>
    </w:rPr>
  </w:style>
  <w:style w:type="paragraph" w:styleId="Header">
    <w:name w:val="header"/>
    <w:basedOn w:val="Normal"/>
    <w:link w:val="HeaderChar"/>
    <w:rsid w:val="008A4D69"/>
    <w:pPr>
      <w:tabs>
        <w:tab w:val="center" w:pos="4680"/>
        <w:tab w:val="right" w:pos="9360"/>
      </w:tabs>
    </w:pPr>
  </w:style>
  <w:style w:type="character" w:customStyle="1" w:styleId="HeaderChar">
    <w:name w:val="Header Char"/>
    <w:basedOn w:val="DefaultParagraphFont"/>
    <w:link w:val="Header"/>
    <w:rsid w:val="008A4D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1AutoList2">
    <w:name w:val="1AutoList2"/>
    <w:rsid w:val="00236DAF"/>
    <w:pPr>
      <w:tabs>
        <w:tab w:val="left" w:pos="720"/>
      </w:tabs>
      <w:ind w:left="720" w:hanging="720"/>
    </w:pPr>
    <w:rPr>
      <w:rFonts w:ascii="Courier 10cpi" w:hAnsi="Courier 10cpi"/>
      <w:snapToGrid w:val="0"/>
      <w:sz w:val="24"/>
    </w:rPr>
  </w:style>
  <w:style w:type="character" w:styleId="CommentReference">
    <w:name w:val="annotation reference"/>
    <w:rsid w:val="000E25B9"/>
    <w:rPr>
      <w:sz w:val="16"/>
      <w:szCs w:val="16"/>
    </w:rPr>
  </w:style>
  <w:style w:type="paragraph" w:styleId="CommentText">
    <w:name w:val="annotation text"/>
    <w:basedOn w:val="Normal"/>
    <w:link w:val="CommentTextChar"/>
    <w:rsid w:val="000E25B9"/>
    <w:rPr>
      <w:sz w:val="20"/>
      <w:szCs w:val="20"/>
    </w:rPr>
  </w:style>
  <w:style w:type="character" w:customStyle="1" w:styleId="CommentTextChar">
    <w:name w:val="Comment Text Char"/>
    <w:basedOn w:val="DefaultParagraphFont"/>
    <w:link w:val="CommentText"/>
    <w:rsid w:val="000E25B9"/>
  </w:style>
  <w:style w:type="paragraph" w:styleId="CommentSubject">
    <w:name w:val="annotation subject"/>
    <w:basedOn w:val="CommentText"/>
    <w:next w:val="CommentText"/>
    <w:link w:val="CommentSubjectChar"/>
    <w:rsid w:val="000E25B9"/>
    <w:rPr>
      <w:b/>
      <w:bCs/>
    </w:rPr>
  </w:style>
  <w:style w:type="character" w:customStyle="1" w:styleId="CommentSubjectChar">
    <w:name w:val="Comment Subject Char"/>
    <w:link w:val="CommentSubject"/>
    <w:rsid w:val="000E25B9"/>
    <w:rPr>
      <w:b/>
      <w:bCs/>
    </w:rPr>
  </w:style>
  <w:style w:type="paragraph" w:styleId="BalloonText">
    <w:name w:val="Balloon Text"/>
    <w:basedOn w:val="Normal"/>
    <w:link w:val="BalloonTextChar"/>
    <w:rsid w:val="000E25B9"/>
    <w:rPr>
      <w:rFonts w:ascii="Tahoma" w:hAnsi="Tahoma" w:cs="Tahoma"/>
      <w:sz w:val="16"/>
      <w:szCs w:val="16"/>
    </w:rPr>
  </w:style>
  <w:style w:type="character" w:customStyle="1" w:styleId="BalloonTextChar">
    <w:name w:val="Balloon Text Char"/>
    <w:link w:val="BalloonText"/>
    <w:rsid w:val="000E25B9"/>
    <w:rPr>
      <w:rFonts w:ascii="Tahoma" w:hAnsi="Tahoma" w:cs="Tahoma"/>
      <w:sz w:val="16"/>
      <w:szCs w:val="16"/>
    </w:rPr>
  </w:style>
  <w:style w:type="paragraph" w:styleId="Header">
    <w:name w:val="header"/>
    <w:basedOn w:val="Normal"/>
    <w:link w:val="HeaderChar"/>
    <w:rsid w:val="008A4D69"/>
    <w:pPr>
      <w:tabs>
        <w:tab w:val="center" w:pos="4680"/>
        <w:tab w:val="right" w:pos="9360"/>
      </w:tabs>
    </w:pPr>
  </w:style>
  <w:style w:type="character" w:customStyle="1" w:styleId="HeaderChar">
    <w:name w:val="Header Char"/>
    <w:basedOn w:val="DefaultParagraphFont"/>
    <w:link w:val="Header"/>
    <w:rsid w:val="008A4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1346</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Company>DHHS</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Windows User</cp:lastModifiedBy>
  <cp:revision>3</cp:revision>
  <cp:lastPrinted>2007-07-09T21:45:00Z</cp:lastPrinted>
  <dcterms:created xsi:type="dcterms:W3CDTF">2016-08-12T18:46:00Z</dcterms:created>
  <dcterms:modified xsi:type="dcterms:W3CDTF">2016-08-12T18:48:00Z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8" name="EktExpiryType">
    <vt:i4>1</vt:i4>
  </property>
  <property fmtid="{D5CDD505-2E9C-101B-9397-08002B2CF9AE}" pid="9" name="EktDateCreated">
    <vt:filetime>2013-09-25T15:43:40Z</vt:filetime>
  </property>
  <property fmtid="{D5CDD505-2E9C-101B-9397-08002B2CF9AE}" pid="10" name="EktDateModified">
    <vt:filetime>2013-09-25T15:43:41Z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39424</vt:i4>
  </property>
  <property fmtid="{D5CDD505-2E9C-101B-9397-08002B2CF9AE}" pid="14" name="EktSearchable">
    <vt:i4>1</vt:i4>
  </property>
  <property fmtid="{D5CDD505-2E9C-101B-9397-08002B2CF9AE}" pid="15" name="EktEDescription">
    <vt:lpwstr>Summary &amp;lt;p&amp;gt;(Supporting Statement Template and Instructions; instructions are in italics)      SUPPORTING STATEMENT    Part B              (Insert project title here)          (Insert date: month and year)                  Agency of Healthcare Resear</vt:lpwstr>
  </property>
</Properties>
</file>