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DD89" w14:textId="77777777" w:rsidR="009B633D" w:rsidRDefault="009B633D" w:rsidP="009B633D">
      <w:pPr>
        <w:jc w:val="center"/>
        <w:rPr>
          <w:sz w:val="28"/>
          <w:szCs w:val="28"/>
        </w:rPr>
      </w:pPr>
    </w:p>
    <w:p w14:paraId="5079CC2D" w14:textId="77777777" w:rsidR="009B633D" w:rsidRDefault="009B633D" w:rsidP="009B633D">
      <w:pPr>
        <w:jc w:val="center"/>
        <w:rPr>
          <w:sz w:val="28"/>
          <w:szCs w:val="28"/>
        </w:rPr>
      </w:pPr>
    </w:p>
    <w:p w14:paraId="6B9ABA7A" w14:textId="77777777" w:rsidR="009B633D" w:rsidRDefault="00456179" w:rsidP="009B633D">
      <w:pPr>
        <w:jc w:val="center"/>
        <w:rPr>
          <w:b/>
          <w:sz w:val="28"/>
          <w:szCs w:val="28"/>
        </w:rPr>
      </w:pPr>
      <w:r w:rsidRPr="00456179">
        <w:rPr>
          <w:b/>
          <w:sz w:val="28"/>
          <w:szCs w:val="28"/>
        </w:rPr>
        <w:t>SUPPORTING STATEMENT</w:t>
      </w:r>
    </w:p>
    <w:p w14:paraId="29F0DC3F" w14:textId="77777777" w:rsidR="00635119" w:rsidRDefault="00635119" w:rsidP="009B633D">
      <w:pPr>
        <w:jc w:val="center"/>
        <w:rPr>
          <w:b/>
          <w:sz w:val="28"/>
          <w:szCs w:val="28"/>
        </w:rPr>
      </w:pPr>
    </w:p>
    <w:p w14:paraId="183E3588" w14:textId="77777777" w:rsidR="009B633D" w:rsidRDefault="00456179" w:rsidP="009B633D">
      <w:pPr>
        <w:jc w:val="center"/>
        <w:rPr>
          <w:sz w:val="28"/>
          <w:szCs w:val="28"/>
        </w:rPr>
      </w:pPr>
      <w:r>
        <w:rPr>
          <w:b/>
          <w:sz w:val="28"/>
          <w:szCs w:val="28"/>
        </w:rPr>
        <w:t>Part A</w:t>
      </w:r>
    </w:p>
    <w:p w14:paraId="25985150" w14:textId="77777777" w:rsidR="009B633D" w:rsidRDefault="009B633D" w:rsidP="009B633D">
      <w:pPr>
        <w:jc w:val="center"/>
        <w:rPr>
          <w:sz w:val="28"/>
          <w:szCs w:val="28"/>
        </w:rPr>
      </w:pPr>
    </w:p>
    <w:p w14:paraId="5F7438A9" w14:textId="5E666C66" w:rsidR="009B633D" w:rsidRDefault="009B633D" w:rsidP="009B633D">
      <w:pPr>
        <w:jc w:val="center"/>
        <w:rPr>
          <w:sz w:val="28"/>
          <w:szCs w:val="28"/>
        </w:rPr>
      </w:pPr>
    </w:p>
    <w:p w14:paraId="08AE99FE" w14:textId="77777777" w:rsidR="009B633D" w:rsidRDefault="009B633D" w:rsidP="009B633D">
      <w:pPr>
        <w:jc w:val="center"/>
        <w:rPr>
          <w:sz w:val="28"/>
          <w:szCs w:val="28"/>
        </w:rPr>
      </w:pPr>
    </w:p>
    <w:p w14:paraId="2D565CA6" w14:textId="77777777" w:rsidR="009B633D" w:rsidRDefault="009B633D" w:rsidP="009B633D">
      <w:pPr>
        <w:jc w:val="center"/>
        <w:rPr>
          <w:sz w:val="28"/>
          <w:szCs w:val="28"/>
        </w:rPr>
      </w:pPr>
    </w:p>
    <w:p w14:paraId="652D08B2" w14:textId="77777777" w:rsidR="009B633D" w:rsidRDefault="009B633D" w:rsidP="009B633D">
      <w:pPr>
        <w:jc w:val="center"/>
        <w:rPr>
          <w:sz w:val="28"/>
          <w:szCs w:val="28"/>
        </w:rPr>
      </w:pPr>
    </w:p>
    <w:p w14:paraId="0BB37DF1" w14:textId="77777777" w:rsidR="008E1BAF" w:rsidRPr="00EE088B" w:rsidRDefault="008E1BAF" w:rsidP="008E1BAF">
      <w:pPr>
        <w:jc w:val="center"/>
        <w:rPr>
          <w:b/>
          <w:szCs w:val="28"/>
        </w:rPr>
      </w:pPr>
      <w:r w:rsidRPr="00EE088B">
        <w:rPr>
          <w:b/>
          <w:szCs w:val="28"/>
        </w:rPr>
        <w:t>Eisenberg Center Voluntary Customer Survey Generic Clearance</w:t>
      </w:r>
    </w:p>
    <w:p w14:paraId="7FF341E4" w14:textId="77777777" w:rsidR="008E1BAF" w:rsidRPr="00EE088B" w:rsidRDefault="008E1BAF" w:rsidP="008E1BAF">
      <w:pPr>
        <w:jc w:val="center"/>
        <w:rPr>
          <w:b/>
          <w:szCs w:val="28"/>
        </w:rPr>
      </w:pPr>
      <w:proofErr w:type="gramStart"/>
      <w:r w:rsidRPr="00EE088B">
        <w:rPr>
          <w:b/>
          <w:szCs w:val="28"/>
        </w:rPr>
        <w:t>for</w:t>
      </w:r>
      <w:proofErr w:type="gramEnd"/>
      <w:r w:rsidRPr="00EE088B">
        <w:rPr>
          <w:b/>
          <w:szCs w:val="28"/>
        </w:rPr>
        <w:t xml:space="preserve"> the Agency for Healthcare Research and Quality</w:t>
      </w:r>
    </w:p>
    <w:p w14:paraId="3233C2A3" w14:textId="77777777" w:rsidR="009B633D" w:rsidRDefault="009B633D" w:rsidP="009B633D">
      <w:pPr>
        <w:jc w:val="center"/>
        <w:rPr>
          <w:sz w:val="28"/>
          <w:szCs w:val="28"/>
        </w:rPr>
      </w:pPr>
    </w:p>
    <w:p w14:paraId="06BEB5F8" w14:textId="77777777" w:rsidR="00296079" w:rsidRDefault="00296079" w:rsidP="009B633D">
      <w:pPr>
        <w:jc w:val="center"/>
        <w:rPr>
          <w:sz w:val="28"/>
          <w:szCs w:val="28"/>
        </w:rPr>
      </w:pPr>
    </w:p>
    <w:p w14:paraId="5D579AE6" w14:textId="77777777" w:rsidR="009B633D" w:rsidRDefault="009B633D" w:rsidP="009B633D">
      <w:pPr>
        <w:jc w:val="center"/>
        <w:rPr>
          <w:sz w:val="28"/>
          <w:szCs w:val="28"/>
        </w:rPr>
      </w:pPr>
    </w:p>
    <w:p w14:paraId="04DE3F0D" w14:textId="77777777" w:rsidR="009B633D" w:rsidRDefault="009B633D" w:rsidP="009B633D">
      <w:pPr>
        <w:jc w:val="center"/>
        <w:rPr>
          <w:sz w:val="28"/>
          <w:szCs w:val="28"/>
        </w:rPr>
      </w:pPr>
    </w:p>
    <w:p w14:paraId="5D2592DD" w14:textId="74AADAEF" w:rsidR="009B633D" w:rsidRPr="00C4006D" w:rsidRDefault="00BB1C2F" w:rsidP="009B633D">
      <w:pPr>
        <w:jc w:val="center"/>
        <w:rPr>
          <w:i/>
          <w:sz w:val="28"/>
          <w:szCs w:val="28"/>
        </w:rPr>
      </w:pPr>
      <w:r>
        <w:rPr>
          <w:b/>
          <w:sz w:val="28"/>
          <w:szCs w:val="28"/>
        </w:rPr>
        <w:t>Version</w:t>
      </w:r>
      <w:r w:rsidR="00FF42BD">
        <w:rPr>
          <w:b/>
          <w:sz w:val="28"/>
          <w:szCs w:val="28"/>
        </w:rPr>
        <w:t>:</w:t>
      </w:r>
      <w:r w:rsidR="00296079">
        <w:rPr>
          <w:b/>
          <w:sz w:val="28"/>
          <w:szCs w:val="28"/>
        </w:rPr>
        <w:t xml:space="preserve">  </w:t>
      </w:r>
      <w:r w:rsidR="00832A44">
        <w:rPr>
          <w:i/>
          <w:sz w:val="28"/>
          <w:szCs w:val="28"/>
        </w:rPr>
        <w:t>August 12, 2016</w:t>
      </w:r>
    </w:p>
    <w:p w14:paraId="05800A85" w14:textId="77777777" w:rsidR="009B633D" w:rsidRDefault="009B633D" w:rsidP="009B633D">
      <w:pPr>
        <w:jc w:val="center"/>
        <w:rPr>
          <w:i/>
          <w:sz w:val="28"/>
          <w:szCs w:val="28"/>
        </w:rPr>
      </w:pPr>
    </w:p>
    <w:p w14:paraId="1C2048D1" w14:textId="77777777" w:rsidR="009B633D" w:rsidRDefault="009B633D" w:rsidP="009B633D">
      <w:pPr>
        <w:jc w:val="center"/>
        <w:rPr>
          <w:sz w:val="28"/>
          <w:szCs w:val="28"/>
        </w:rPr>
      </w:pPr>
    </w:p>
    <w:p w14:paraId="1D962BC1" w14:textId="77777777" w:rsidR="009B633D" w:rsidRDefault="009B633D" w:rsidP="009B633D">
      <w:pPr>
        <w:jc w:val="center"/>
        <w:rPr>
          <w:sz w:val="28"/>
          <w:szCs w:val="28"/>
        </w:rPr>
      </w:pPr>
    </w:p>
    <w:p w14:paraId="25195CF0" w14:textId="77777777" w:rsidR="009B633D" w:rsidRDefault="009B633D" w:rsidP="009B633D">
      <w:pPr>
        <w:jc w:val="center"/>
        <w:rPr>
          <w:sz w:val="28"/>
          <w:szCs w:val="28"/>
        </w:rPr>
      </w:pPr>
    </w:p>
    <w:p w14:paraId="590F2426" w14:textId="77777777" w:rsidR="009B633D" w:rsidRDefault="009B633D" w:rsidP="009B633D">
      <w:pPr>
        <w:jc w:val="center"/>
        <w:rPr>
          <w:sz w:val="28"/>
          <w:szCs w:val="28"/>
        </w:rPr>
      </w:pPr>
    </w:p>
    <w:p w14:paraId="34EAB227" w14:textId="77777777" w:rsidR="009B633D" w:rsidRDefault="009B633D" w:rsidP="009B633D">
      <w:pPr>
        <w:jc w:val="center"/>
        <w:rPr>
          <w:sz w:val="28"/>
          <w:szCs w:val="28"/>
        </w:rPr>
      </w:pPr>
      <w:r w:rsidRPr="00677A0B">
        <w:rPr>
          <w:sz w:val="28"/>
          <w:szCs w:val="28"/>
        </w:rPr>
        <w:t>Agency of Healthcare Research and Quality (AHRQ)</w:t>
      </w:r>
    </w:p>
    <w:p w14:paraId="2AC14EAC" w14:textId="77777777" w:rsidR="009B633D" w:rsidRDefault="009B633D">
      <w:pPr>
        <w:rPr>
          <w:sz w:val="28"/>
          <w:szCs w:val="28"/>
        </w:rPr>
      </w:pPr>
    </w:p>
    <w:p w14:paraId="54F3E16B" w14:textId="77777777" w:rsidR="009B633D" w:rsidRDefault="009B633D">
      <w:pPr>
        <w:rPr>
          <w:sz w:val="28"/>
          <w:szCs w:val="28"/>
        </w:rPr>
      </w:pPr>
    </w:p>
    <w:p w14:paraId="2B1BA3E8" w14:textId="4D8C2520" w:rsidR="009B633D" w:rsidRDefault="009B633D" w:rsidP="008C580E">
      <w:pPr>
        <w:rPr>
          <w:b/>
        </w:rPr>
      </w:pPr>
      <w:r>
        <w:br w:type="page"/>
      </w:r>
      <w:r w:rsidRPr="001D0454">
        <w:rPr>
          <w:b/>
        </w:rPr>
        <w:lastRenderedPageBreak/>
        <w:t>Table of contents</w:t>
      </w:r>
    </w:p>
    <w:p w14:paraId="5E6BD38C" w14:textId="77777777" w:rsidR="00EB58F3" w:rsidRDefault="00EB58F3" w:rsidP="009B633D">
      <w:pPr>
        <w:jc w:val="center"/>
        <w:rPr>
          <w:b/>
        </w:rPr>
      </w:pPr>
    </w:p>
    <w:p w14:paraId="699F7AA6" w14:textId="77777777" w:rsidR="00EB58F3" w:rsidRDefault="008C580E" w:rsidP="007B3A8E">
      <w:pPr>
        <w:tabs>
          <w:tab w:val="left" w:leader="dot" w:pos="8280"/>
        </w:tabs>
      </w:pPr>
      <w:r w:rsidRPr="008C580E">
        <w:t>A. Justification</w:t>
      </w:r>
      <w:r w:rsidR="007B3A8E">
        <w:tab/>
        <w:t>3</w:t>
      </w:r>
    </w:p>
    <w:p w14:paraId="26311583"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441308F3" w14:textId="2A21EA07" w:rsidR="007B3A8E" w:rsidRDefault="007B3A8E" w:rsidP="007B3A8E">
      <w:pPr>
        <w:tabs>
          <w:tab w:val="left" w:pos="360"/>
          <w:tab w:val="left" w:leader="dot" w:pos="8280"/>
        </w:tabs>
      </w:pPr>
      <w:r>
        <w:tab/>
        <w:t xml:space="preserve">2. </w:t>
      </w:r>
      <w:r w:rsidR="006014DB">
        <w:t>Purpose and use of i</w:t>
      </w:r>
      <w:r w:rsidRPr="007B3A8E">
        <w:t>nformation</w:t>
      </w:r>
      <w:r>
        <w:tab/>
      </w:r>
      <w:r w:rsidR="0011132A">
        <w:t>6</w:t>
      </w:r>
    </w:p>
    <w:p w14:paraId="294B1B42" w14:textId="144E6F7A" w:rsidR="007B3A8E" w:rsidRDefault="007B3A8E" w:rsidP="007B3A8E">
      <w:pPr>
        <w:tabs>
          <w:tab w:val="left" w:pos="360"/>
          <w:tab w:val="left" w:leader="dot" w:pos="8280"/>
        </w:tabs>
      </w:pPr>
      <w:r>
        <w:tab/>
        <w:t xml:space="preserve">3. </w:t>
      </w:r>
      <w:r w:rsidRPr="007B3A8E">
        <w:t>Use of Improved Information Technology</w:t>
      </w:r>
      <w:r>
        <w:tab/>
      </w:r>
      <w:r w:rsidR="00DF6B35">
        <w:t>7</w:t>
      </w:r>
    </w:p>
    <w:p w14:paraId="416189AB" w14:textId="32D732F9" w:rsidR="007B3A8E" w:rsidRDefault="007B3A8E" w:rsidP="007B3A8E">
      <w:pPr>
        <w:tabs>
          <w:tab w:val="left" w:pos="360"/>
          <w:tab w:val="left" w:leader="dot" w:pos="8280"/>
        </w:tabs>
      </w:pPr>
      <w:r>
        <w:tab/>
        <w:t xml:space="preserve">4. </w:t>
      </w:r>
      <w:r w:rsidRPr="007B3A8E">
        <w:t>Efforts to Identify Duplication</w:t>
      </w:r>
      <w:r>
        <w:tab/>
      </w:r>
      <w:r w:rsidR="0011132A">
        <w:t>7</w:t>
      </w:r>
    </w:p>
    <w:p w14:paraId="55EB4507" w14:textId="07B2B62E" w:rsidR="007B3A8E" w:rsidRDefault="007B3A8E" w:rsidP="007B3A8E">
      <w:pPr>
        <w:tabs>
          <w:tab w:val="left" w:pos="360"/>
          <w:tab w:val="left" w:leader="dot" w:pos="8280"/>
        </w:tabs>
      </w:pPr>
      <w:r>
        <w:tab/>
        <w:t xml:space="preserve">5. </w:t>
      </w:r>
      <w:r w:rsidR="00556066" w:rsidRPr="00556066">
        <w:t>Involvement of Small Entities</w:t>
      </w:r>
      <w:r w:rsidR="00556066">
        <w:tab/>
      </w:r>
      <w:r w:rsidR="0011132A">
        <w:t>7</w:t>
      </w:r>
    </w:p>
    <w:p w14:paraId="3DC40A90" w14:textId="21CCC5F4" w:rsidR="00556066" w:rsidRDefault="00556066" w:rsidP="007B3A8E">
      <w:pPr>
        <w:tabs>
          <w:tab w:val="left" w:pos="360"/>
          <w:tab w:val="left" w:leader="dot" w:pos="8280"/>
        </w:tabs>
      </w:pPr>
      <w:r>
        <w:tab/>
        <w:t xml:space="preserve">6. </w:t>
      </w:r>
      <w:r w:rsidRPr="00556066">
        <w:t>Consequences if Information Collected Less Frequently</w:t>
      </w:r>
      <w:r>
        <w:tab/>
      </w:r>
      <w:r w:rsidR="0011132A">
        <w:t>7</w:t>
      </w:r>
    </w:p>
    <w:p w14:paraId="24D61B2B" w14:textId="271635B9" w:rsidR="00556066" w:rsidRDefault="00556066" w:rsidP="007B3A8E">
      <w:pPr>
        <w:tabs>
          <w:tab w:val="left" w:pos="360"/>
          <w:tab w:val="left" w:leader="dot" w:pos="8280"/>
        </w:tabs>
      </w:pPr>
      <w:r>
        <w:tab/>
        <w:t xml:space="preserve">7. </w:t>
      </w:r>
      <w:r w:rsidRPr="00556066">
        <w:t>Special Circumstances</w:t>
      </w:r>
      <w:r>
        <w:tab/>
      </w:r>
      <w:r w:rsidR="0011132A">
        <w:t>8</w:t>
      </w:r>
    </w:p>
    <w:p w14:paraId="44DD06D4" w14:textId="1BF5A726" w:rsidR="00556066" w:rsidRDefault="00556066" w:rsidP="007B3A8E">
      <w:pPr>
        <w:tabs>
          <w:tab w:val="left" w:pos="360"/>
          <w:tab w:val="left" w:leader="dot" w:pos="8280"/>
        </w:tabs>
      </w:pPr>
      <w:r>
        <w:tab/>
        <w:t xml:space="preserve">8. </w:t>
      </w:r>
      <w:r w:rsidRPr="00556066">
        <w:t>Consultation outside the Agency</w:t>
      </w:r>
      <w:r>
        <w:tab/>
      </w:r>
      <w:r w:rsidR="0011132A">
        <w:t>8</w:t>
      </w:r>
    </w:p>
    <w:p w14:paraId="6E5BD46B" w14:textId="19A3D5A5" w:rsidR="00556066" w:rsidRDefault="00556066" w:rsidP="007B3A8E">
      <w:pPr>
        <w:tabs>
          <w:tab w:val="left" w:pos="360"/>
          <w:tab w:val="left" w:leader="dot" w:pos="8280"/>
        </w:tabs>
      </w:pPr>
      <w:r>
        <w:tab/>
        <w:t xml:space="preserve">9. </w:t>
      </w:r>
      <w:r w:rsidRPr="00556066">
        <w:t>Payments/Gifts to Respondents</w:t>
      </w:r>
      <w:r>
        <w:tab/>
      </w:r>
      <w:r w:rsidR="0011132A">
        <w:t>8</w:t>
      </w:r>
    </w:p>
    <w:p w14:paraId="53F1122B" w14:textId="620A9568" w:rsidR="00556066" w:rsidRDefault="00556066" w:rsidP="007B3A8E">
      <w:pPr>
        <w:tabs>
          <w:tab w:val="left" w:pos="360"/>
          <w:tab w:val="left" w:leader="dot" w:pos="8280"/>
        </w:tabs>
      </w:pPr>
      <w:r>
        <w:tab/>
        <w:t xml:space="preserve">10. </w:t>
      </w:r>
      <w:r w:rsidRPr="00556066">
        <w:t>Assurance of Confidentiality</w:t>
      </w:r>
      <w:r>
        <w:tab/>
      </w:r>
      <w:r w:rsidR="00DF6B35">
        <w:t>1</w:t>
      </w:r>
      <w:r w:rsidR="0011132A">
        <w:t>0</w:t>
      </w:r>
    </w:p>
    <w:p w14:paraId="6252DADA" w14:textId="251474FA" w:rsidR="00556066" w:rsidRDefault="00556066" w:rsidP="007B3A8E">
      <w:pPr>
        <w:tabs>
          <w:tab w:val="left" w:pos="360"/>
          <w:tab w:val="left" w:leader="dot" w:pos="8280"/>
        </w:tabs>
      </w:pPr>
      <w:r>
        <w:tab/>
        <w:t xml:space="preserve">11. </w:t>
      </w:r>
      <w:r w:rsidRPr="00556066">
        <w:t>Questions of a Sensitive Nature</w:t>
      </w:r>
      <w:r>
        <w:tab/>
      </w:r>
      <w:r w:rsidR="00DF6B35">
        <w:t>1</w:t>
      </w:r>
      <w:r w:rsidR="0011132A">
        <w:t>0</w:t>
      </w:r>
    </w:p>
    <w:p w14:paraId="1FA2D83B" w14:textId="52691116" w:rsidR="00556066" w:rsidRDefault="00556066" w:rsidP="007B3A8E">
      <w:pPr>
        <w:tabs>
          <w:tab w:val="left" w:pos="360"/>
          <w:tab w:val="left" w:leader="dot" w:pos="8280"/>
        </w:tabs>
      </w:pPr>
      <w:r>
        <w:tab/>
        <w:t xml:space="preserve">12. </w:t>
      </w:r>
      <w:r w:rsidRPr="00556066">
        <w:t>Estimates of Annualized Burden Hours and Costs</w:t>
      </w:r>
      <w:r>
        <w:tab/>
      </w:r>
      <w:r w:rsidR="0011132A">
        <w:t>10</w:t>
      </w:r>
    </w:p>
    <w:p w14:paraId="454E0CA6" w14:textId="4DF79FFE"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DF6B35">
        <w:t>1</w:t>
      </w:r>
      <w:r w:rsidR="0011132A">
        <w:t>3</w:t>
      </w:r>
    </w:p>
    <w:p w14:paraId="5E482581" w14:textId="4C70D5C0" w:rsidR="00556066" w:rsidRDefault="00556066" w:rsidP="007B3A8E">
      <w:pPr>
        <w:tabs>
          <w:tab w:val="left" w:pos="360"/>
          <w:tab w:val="left" w:leader="dot" w:pos="8280"/>
        </w:tabs>
      </w:pPr>
      <w:r>
        <w:tab/>
        <w:t xml:space="preserve">14. </w:t>
      </w:r>
      <w:r w:rsidRPr="00556066">
        <w:t>Estimates of Annualized Cost to the Government</w:t>
      </w:r>
      <w:r>
        <w:tab/>
      </w:r>
      <w:r w:rsidR="0011132A">
        <w:t>14</w:t>
      </w:r>
    </w:p>
    <w:p w14:paraId="10D3A09B" w14:textId="3424DDB2" w:rsidR="00556066" w:rsidRDefault="00556066" w:rsidP="007B3A8E">
      <w:pPr>
        <w:tabs>
          <w:tab w:val="left" w:pos="360"/>
          <w:tab w:val="left" w:leader="dot" w:pos="8280"/>
        </w:tabs>
      </w:pPr>
      <w:r>
        <w:tab/>
        <w:t xml:space="preserve">15. </w:t>
      </w:r>
      <w:r w:rsidRPr="00556066">
        <w:t>Changes in Hour Burden</w:t>
      </w:r>
      <w:r>
        <w:tab/>
      </w:r>
      <w:r w:rsidR="00DF6B35">
        <w:t>1</w:t>
      </w:r>
      <w:r w:rsidR="0011132A">
        <w:t>4</w:t>
      </w:r>
    </w:p>
    <w:p w14:paraId="21C50C83" w14:textId="65639F20" w:rsidR="006014DB" w:rsidRDefault="006014DB" w:rsidP="007B3A8E">
      <w:pPr>
        <w:tabs>
          <w:tab w:val="left" w:pos="360"/>
          <w:tab w:val="left" w:leader="dot" w:pos="8280"/>
        </w:tabs>
      </w:pPr>
      <w:r>
        <w:tab/>
        <w:t xml:space="preserve">16. </w:t>
      </w:r>
      <w:r w:rsidRPr="006014DB">
        <w:t>Time Schedule, Publication and Analysis Plans</w:t>
      </w:r>
      <w:r>
        <w:tab/>
      </w:r>
      <w:r w:rsidR="00DF6B35">
        <w:t>1</w:t>
      </w:r>
      <w:r w:rsidR="0011132A">
        <w:t>5</w:t>
      </w:r>
    </w:p>
    <w:p w14:paraId="1F7DCBE4" w14:textId="3C04BC53" w:rsidR="006014DB" w:rsidRDefault="006014DB" w:rsidP="007B3A8E">
      <w:pPr>
        <w:tabs>
          <w:tab w:val="left" w:pos="360"/>
          <w:tab w:val="left" w:leader="dot" w:pos="8280"/>
        </w:tabs>
      </w:pPr>
      <w:r>
        <w:tab/>
        <w:t xml:space="preserve">17. </w:t>
      </w:r>
      <w:r w:rsidRPr="006014DB">
        <w:t>Exemption for Display of Expiration Date</w:t>
      </w:r>
      <w:r>
        <w:tab/>
      </w:r>
      <w:r w:rsidR="0011132A">
        <w:t>16</w:t>
      </w:r>
    </w:p>
    <w:p w14:paraId="3803BC8D" w14:textId="35F72542" w:rsidR="00556066" w:rsidRPr="00556066" w:rsidRDefault="006014DB" w:rsidP="007B3A8E">
      <w:pPr>
        <w:tabs>
          <w:tab w:val="left" w:pos="360"/>
          <w:tab w:val="left" w:leader="dot" w:pos="8280"/>
        </w:tabs>
      </w:pPr>
      <w:r>
        <w:tab/>
      </w:r>
      <w:r w:rsidR="00904CC3">
        <w:t>List of Attachments</w:t>
      </w:r>
      <w:r w:rsidR="00904CC3">
        <w:tab/>
      </w:r>
      <w:r w:rsidR="0011132A">
        <w:t>16</w:t>
      </w:r>
    </w:p>
    <w:p w14:paraId="02653515" w14:textId="77777777" w:rsidR="00556066" w:rsidRPr="00556066" w:rsidRDefault="00556066" w:rsidP="007B3A8E">
      <w:pPr>
        <w:tabs>
          <w:tab w:val="left" w:pos="360"/>
          <w:tab w:val="left" w:leader="dot" w:pos="8280"/>
        </w:tabs>
      </w:pPr>
      <w:r>
        <w:tab/>
      </w:r>
    </w:p>
    <w:p w14:paraId="7FB22185" w14:textId="77777777" w:rsidR="009B633D" w:rsidRDefault="009B633D" w:rsidP="009B633D">
      <w:pPr>
        <w:jc w:val="center"/>
        <w:rPr>
          <w:b/>
        </w:rPr>
      </w:pPr>
    </w:p>
    <w:p w14:paraId="6FBCE2AD"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3C510541" w14:textId="77777777" w:rsidR="009B633D" w:rsidRPr="001D0454" w:rsidRDefault="009B633D" w:rsidP="009B633D">
      <w:pPr>
        <w:jc w:val="center"/>
        <w:rPr>
          <w:b/>
        </w:rPr>
      </w:pPr>
      <w:r>
        <w:rPr>
          <w:b/>
        </w:rPr>
        <w:fldChar w:fldCharType="end"/>
      </w:r>
    </w:p>
    <w:p w14:paraId="0B435294" w14:textId="77777777"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14:paraId="30C3A194" w14:textId="77777777" w:rsidR="009B633D" w:rsidRPr="006014DB" w:rsidRDefault="009B633D" w:rsidP="009B633D"/>
    <w:p w14:paraId="5C1A6BE0" w14:textId="77777777"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14:paraId="7CA96AA8" w14:textId="77777777" w:rsidR="006014DB" w:rsidRDefault="006014DB" w:rsidP="006014DB"/>
    <w:p w14:paraId="0A6D99A8" w14:textId="77777777" w:rsidR="000A140E" w:rsidRDefault="000A140E" w:rsidP="000A140E">
      <w:r>
        <w:t xml:space="preserve">The mission of the Agency for Healthcare Research and Quality (AHRQ) set out in its authorizing legislation, The Healthcare Research and Quality Act of 1999 (see </w:t>
      </w:r>
      <w:r w:rsidR="008573ED"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r w:rsidR="0048659F">
        <w:t xml:space="preserve"> </w:t>
      </w:r>
      <w:r>
        <w:t>AHRQ shall promote health care quality improvement by conducting and supporting:</w:t>
      </w:r>
    </w:p>
    <w:p w14:paraId="29AC87CB" w14:textId="77777777" w:rsidR="00606400" w:rsidRDefault="00606400" w:rsidP="00606400">
      <w:pPr>
        <w:tabs>
          <w:tab w:val="left" w:pos="360"/>
        </w:tabs>
      </w:pPr>
      <w:r>
        <w:tab/>
      </w:r>
    </w:p>
    <w:p w14:paraId="5AE22E57" w14:textId="77777777"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14:paraId="3218B744" w14:textId="77777777" w:rsidR="00325B9C" w:rsidRDefault="00325B9C" w:rsidP="00606400">
      <w:pPr>
        <w:tabs>
          <w:tab w:val="left" w:pos="360"/>
        </w:tabs>
        <w:ind w:left="360"/>
      </w:pPr>
    </w:p>
    <w:p w14:paraId="793B889C" w14:textId="77777777"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patients, consumers, practitioners</w:t>
      </w:r>
      <w:r w:rsidR="00AB5F2A">
        <w:t>, providers, purchasers, policy</w:t>
      </w:r>
      <w:r w:rsidR="00B645ED">
        <w:t xml:space="preserve">makers, and </w:t>
      </w:r>
      <w:r w:rsidR="00B645ED">
        <w:tab/>
        <w:t>educators; and</w:t>
      </w:r>
    </w:p>
    <w:p w14:paraId="7BF4D1DD" w14:textId="77777777" w:rsidR="00B645ED" w:rsidRDefault="00B645ED" w:rsidP="00606400">
      <w:pPr>
        <w:tabs>
          <w:tab w:val="left" w:pos="360"/>
        </w:tabs>
        <w:ind w:left="360"/>
      </w:pPr>
    </w:p>
    <w:p w14:paraId="7A23FB99" w14:textId="77777777" w:rsidR="00B645ED" w:rsidRDefault="00B645ED" w:rsidP="00606400">
      <w:pPr>
        <w:tabs>
          <w:tab w:val="left" w:pos="360"/>
        </w:tabs>
        <w:ind w:left="360"/>
      </w:pPr>
      <w:r>
        <w:t>3.</w:t>
      </w:r>
      <w:r>
        <w:tab/>
      </w:r>
      <w:proofErr w:type="gramStart"/>
      <w:r>
        <w:t>initiatives</w:t>
      </w:r>
      <w:proofErr w:type="gramEnd"/>
      <w:r>
        <w:t xml:space="preserve"> to advance private and public efforts to improve health care quality.</w:t>
      </w:r>
    </w:p>
    <w:p w14:paraId="51782793" w14:textId="77777777" w:rsidR="00B645ED" w:rsidRDefault="00B645ED" w:rsidP="00B645ED">
      <w:pPr>
        <w:tabs>
          <w:tab w:val="left" w:pos="360"/>
        </w:tabs>
      </w:pPr>
    </w:p>
    <w:p w14:paraId="09930A26"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68F8FBD0" w14:textId="77777777" w:rsidR="008450C0" w:rsidRDefault="008450C0" w:rsidP="00B645ED">
      <w:pPr>
        <w:tabs>
          <w:tab w:val="left" w:pos="360"/>
        </w:tabs>
      </w:pPr>
    </w:p>
    <w:p w14:paraId="631295F9" w14:textId="7FACAA87" w:rsidR="00296079" w:rsidRDefault="00CB38BE" w:rsidP="00B616E2">
      <w:r>
        <w:t>T</w:t>
      </w:r>
      <w:r w:rsidR="00296079">
        <w:t xml:space="preserve">he Agency for Healthcare Research and Quality (AHRQ) requests that the Office of Management and Budget (OMB) renew under the Paperwork Reduction Act of 1995 AHRQ’s Generic Clearance to collect information from users of work products and services initiated by </w:t>
      </w:r>
      <w:r w:rsidR="00ED61CA">
        <w:t xml:space="preserve">AHRQ’s </w:t>
      </w:r>
      <w:r w:rsidR="00296079">
        <w:t>John M. Eisenberg</w:t>
      </w:r>
      <w:r w:rsidR="006F1F82">
        <w:t xml:space="preserve"> Center for</w:t>
      </w:r>
      <w:r w:rsidR="00296079">
        <w:t xml:space="preserve"> Clinical Decisions and Communications Science (</w:t>
      </w:r>
      <w:r w:rsidR="00296079">
        <w:rPr>
          <w:iCs/>
          <w:lang w:val="en"/>
        </w:rPr>
        <w:t>Eisenberg</w:t>
      </w:r>
      <w:r w:rsidR="00296079">
        <w:t xml:space="preserve"> Center).</w:t>
      </w:r>
      <w:r w:rsidR="006211CF" w:rsidRPr="006211CF">
        <w:rPr>
          <w:iCs/>
          <w:lang w:val="en"/>
        </w:rPr>
        <w:t xml:space="preserve"> </w:t>
      </w:r>
      <w:r w:rsidR="009A590C">
        <w:rPr>
          <w:iCs/>
          <w:lang w:val="en"/>
        </w:rPr>
        <w:t xml:space="preserve">The </w:t>
      </w:r>
      <w:r w:rsidR="00296079">
        <w:rPr>
          <w:iCs/>
          <w:lang w:val="en"/>
        </w:rPr>
        <w:t>Eisenberg Center is an innovative effort aimed at improving communication of findings to a variety of audiences (“customers”), including consumers, cli</w:t>
      </w:r>
      <w:r w:rsidR="00AB5F2A">
        <w:rPr>
          <w:iCs/>
          <w:lang w:val="en"/>
        </w:rPr>
        <w:t>nicians, and health care policy</w:t>
      </w:r>
      <w:r w:rsidR="00296079">
        <w:rPr>
          <w:iCs/>
          <w:lang w:val="en"/>
        </w:rPr>
        <w:t>makers.</w:t>
      </w:r>
      <w:r w:rsidR="0048659F">
        <w:rPr>
          <w:iCs/>
          <w:lang w:val="en"/>
        </w:rPr>
        <w:t xml:space="preserve"> </w:t>
      </w:r>
      <w:r w:rsidR="00296079">
        <w:rPr>
          <w:iCs/>
          <w:lang w:val="en"/>
        </w:rPr>
        <w:t xml:space="preserve">The </w:t>
      </w:r>
      <w:smartTag w:uri="urn:schemas-microsoft-com:office:smarttags" w:element="place">
        <w:smartTag w:uri="urn:schemas-microsoft-com:office:smarttags" w:element="PlaceName">
          <w:r w:rsidR="00296079">
            <w:rPr>
              <w:iCs/>
              <w:lang w:val="en"/>
            </w:rPr>
            <w:t>Eisenberg</w:t>
          </w:r>
        </w:smartTag>
        <w:r w:rsidR="00296079">
          <w:rPr>
            <w:iCs/>
            <w:lang w:val="en"/>
          </w:rPr>
          <w:t xml:space="preserve"> </w:t>
        </w:r>
        <w:smartTag w:uri="urn:schemas-microsoft-com:office:smarttags" w:element="PlaceType">
          <w:r w:rsidR="00296079">
            <w:rPr>
              <w:iCs/>
              <w:lang w:val="en"/>
            </w:rPr>
            <w:t>Center</w:t>
          </w:r>
        </w:smartTag>
      </w:smartTag>
      <w:r w:rsidR="00296079">
        <w:rPr>
          <w:iCs/>
          <w:lang w:val="en"/>
        </w:rPr>
        <w:t xml:space="preserve"> compiles research results into a variety of useful formats for customer stakeholders.</w:t>
      </w:r>
      <w:r w:rsidR="0048659F">
        <w:rPr>
          <w:iCs/>
          <w:lang w:val="en"/>
        </w:rPr>
        <w:t xml:space="preserve"> </w:t>
      </w:r>
      <w:r w:rsidR="00296079">
        <w:t xml:space="preserve"> </w:t>
      </w:r>
    </w:p>
    <w:p w14:paraId="5B1066A5" w14:textId="77777777" w:rsidR="00296079" w:rsidRPr="00C4006D" w:rsidRDefault="00296079" w:rsidP="006014DB"/>
    <w:p w14:paraId="1F3EA514" w14:textId="77777777" w:rsidR="00527BBD" w:rsidRDefault="00527BBD" w:rsidP="006014DB">
      <w:r>
        <w:t>This research has the following goals:</w:t>
      </w:r>
    </w:p>
    <w:p w14:paraId="414FC1A3" w14:textId="77777777" w:rsidR="00527BBD" w:rsidRDefault="00527BBD" w:rsidP="00527BBD">
      <w:pPr>
        <w:tabs>
          <w:tab w:val="left" w:pos="360"/>
        </w:tabs>
        <w:ind w:left="360" w:hanging="360"/>
      </w:pPr>
      <w:r>
        <w:t>1)</w:t>
      </w:r>
      <w:r>
        <w:tab/>
      </w:r>
      <w:r w:rsidR="006211CF">
        <w:t>Conduct research into effective communication of research findings in order to improve the usability and rapid incorporation of findings into medical practice</w:t>
      </w:r>
      <w:r w:rsidR="006F1F82">
        <w:t xml:space="preserve"> and decision making</w:t>
      </w:r>
      <w:r w:rsidR="006211CF">
        <w:t xml:space="preserve">. </w:t>
      </w:r>
    </w:p>
    <w:p w14:paraId="2BC46E19" w14:textId="4ECD1102" w:rsidR="00527BBD" w:rsidRDefault="00527BBD" w:rsidP="00527BBD">
      <w:pPr>
        <w:tabs>
          <w:tab w:val="left" w:pos="360"/>
        </w:tabs>
        <w:ind w:left="360" w:hanging="360"/>
      </w:pPr>
      <w:r>
        <w:t>2)</w:t>
      </w:r>
      <w:r>
        <w:tab/>
      </w:r>
      <w:r w:rsidR="006211CF">
        <w:t>Conduct research into effective strategies for disseminating evidence-based products, tools, and resources to consumers, clinicians</w:t>
      </w:r>
      <w:r w:rsidR="003F0F23">
        <w:t>,</w:t>
      </w:r>
      <w:r w:rsidR="006211CF">
        <w:t xml:space="preserve"> and other health care professionals, and policymakers.</w:t>
      </w:r>
      <w:r w:rsidR="0048659F">
        <w:t xml:space="preserve"> </w:t>
      </w:r>
    </w:p>
    <w:p w14:paraId="29C06D6E" w14:textId="77777777" w:rsidR="006F1F82" w:rsidRDefault="00527BBD" w:rsidP="006F1F82">
      <w:pPr>
        <w:tabs>
          <w:tab w:val="left" w:pos="360"/>
        </w:tabs>
        <w:ind w:left="360" w:hanging="360"/>
      </w:pPr>
      <w:r>
        <w:lastRenderedPageBreak/>
        <w:t>3)</w:t>
      </w:r>
      <w:r>
        <w:tab/>
      </w:r>
      <w:r w:rsidR="006211CF">
        <w:t xml:space="preserve">Evaluate outcomes </w:t>
      </w:r>
      <w:r w:rsidR="00F05A89">
        <w:t xml:space="preserve">reported by clinicians and other healthcare professionals </w:t>
      </w:r>
      <w:r w:rsidR="007F5256">
        <w:t xml:space="preserve">resulting from </w:t>
      </w:r>
      <w:r w:rsidR="00F05A89">
        <w:t xml:space="preserve">participation in continuing medical education (CME) </w:t>
      </w:r>
      <w:r w:rsidR="007F5256">
        <w:t xml:space="preserve">initiatives and </w:t>
      </w:r>
      <w:r w:rsidR="00F05A89">
        <w:t xml:space="preserve">activities. </w:t>
      </w:r>
    </w:p>
    <w:p w14:paraId="5632DF37" w14:textId="77777777" w:rsidR="00F05A89" w:rsidRPr="00527BBD" w:rsidRDefault="00F05A89" w:rsidP="00527BBD">
      <w:pPr>
        <w:tabs>
          <w:tab w:val="left" w:pos="360"/>
        </w:tabs>
        <w:ind w:left="360" w:hanging="360"/>
      </w:pPr>
      <w:r>
        <w:t>4)</w:t>
      </w:r>
      <w:r w:rsidR="0048659F">
        <w:t xml:space="preserve"> </w:t>
      </w:r>
      <w:r w:rsidR="0048659F">
        <w:tab/>
      </w:r>
      <w:r>
        <w:t>Conduct research into factors associated with successful collaboration between AHRQ</w:t>
      </w:r>
      <w:r w:rsidR="00CB4161">
        <w:t xml:space="preserve"> and partnering institutions and organizations in </w:t>
      </w:r>
      <w:r w:rsidR="006F1F82">
        <w:t xml:space="preserve">synthesizing, translating, and </w:t>
      </w:r>
      <w:r w:rsidR="00CB4161">
        <w:t xml:space="preserve">disseminating evidence-based research. </w:t>
      </w:r>
    </w:p>
    <w:p w14:paraId="78AA1B0B" w14:textId="77777777" w:rsidR="00527BBD" w:rsidRDefault="00527BBD" w:rsidP="006014DB"/>
    <w:p w14:paraId="30DC5B93" w14:textId="583FDB3B" w:rsidR="00211721" w:rsidRDefault="00211721" w:rsidP="00FB6393">
      <w:r>
        <w:t xml:space="preserve">Clearance is being requested to cover a three-year period in which differing numbers of products and research activities may be conducted </w:t>
      </w:r>
      <w:r w:rsidR="00ED61CA">
        <w:t xml:space="preserve">during </w:t>
      </w:r>
      <w:r>
        <w:t xml:space="preserve">each year. </w:t>
      </w:r>
      <w:r w:rsidR="00FB6393" w:rsidRPr="004A32D3">
        <w:t>The collections proposed include activities to assist in the development of materials to be disseminated through the Eisenberg Center and to provide feedback to AHRQ on the extent to which these products meet customer needs. Th</w:t>
      </w:r>
      <w:r w:rsidR="00FB6393">
        <w:t xml:space="preserve">ese materials include </w:t>
      </w:r>
      <w:r w:rsidR="006F1F82">
        <w:t>s</w:t>
      </w:r>
      <w:r w:rsidR="00FB6393">
        <w:t xml:space="preserve">ummary documents that summarize and translate the findings of </w:t>
      </w:r>
      <w:r w:rsidR="006F1F82">
        <w:t>research reports</w:t>
      </w:r>
      <w:r w:rsidR="00FB6393">
        <w:t xml:space="preserve"> for various decision-making audiences, such as consumers, clinicians, or policymakers. </w:t>
      </w:r>
      <w:r w:rsidR="00FB6393" w:rsidRPr="00FA3FA0">
        <w:t xml:space="preserve">The </w:t>
      </w:r>
      <w:r w:rsidR="00CB33EC">
        <w:t>summaries</w:t>
      </w:r>
      <w:r w:rsidR="00CB33EC" w:rsidRPr="00FA3FA0">
        <w:t xml:space="preserve"> </w:t>
      </w:r>
      <w:r w:rsidR="00FB6393" w:rsidRPr="00FA3FA0">
        <w:t>are designed to help these decision makers</w:t>
      </w:r>
      <w:r w:rsidR="00FB6393">
        <w:t xml:space="preserve"> use research evidence</w:t>
      </w:r>
      <w:r w:rsidR="00FB6393" w:rsidRPr="00FA3FA0">
        <w:t xml:space="preserve"> to maximize the benefits of health care, minimize harm, and optimize the use of health care resources.</w:t>
      </w:r>
      <w:r w:rsidR="00FB6393">
        <w:t xml:space="preserve"> In addition, each year</w:t>
      </w:r>
      <w:r w:rsidR="00ED61CA">
        <w:t>,</w:t>
      </w:r>
      <w:r w:rsidR="00FB6393">
        <w:t xml:space="preserve"> a unique </w:t>
      </w:r>
      <w:r w:rsidR="00237977">
        <w:t xml:space="preserve">research </w:t>
      </w:r>
      <w:r w:rsidR="00FB6393">
        <w:t>project will be undertaken to study successful approaches to disseminating AHRQ products in various health care settings and clinical environments. Also</w:t>
      </w:r>
      <w:r w:rsidR="00ED61CA">
        <w:t>,</w:t>
      </w:r>
      <w:r w:rsidR="00FB6393">
        <w:t xml:space="preserve"> each year the Eisenberg Center </w:t>
      </w:r>
      <w:r w:rsidR="00FB6393" w:rsidRPr="008D4EEB">
        <w:t xml:space="preserve">will develop </w:t>
      </w:r>
      <w:r w:rsidR="00FB6393">
        <w:t>one interactive decision aid</w:t>
      </w:r>
      <w:r w:rsidR="00FB6393" w:rsidRPr="008D4EEB">
        <w:t xml:space="preserve"> for clinical problems identified from selected </w:t>
      </w:r>
      <w:r w:rsidR="00237977">
        <w:t>research reports</w:t>
      </w:r>
      <w:r w:rsidR="00FB6393" w:rsidRPr="008D4EEB">
        <w:t>.</w:t>
      </w:r>
      <w:r w:rsidR="00FB6393">
        <w:t xml:space="preserve"> The intent is for the </w:t>
      </w:r>
      <w:r w:rsidR="00FB6393" w:rsidRPr="008D4EEB">
        <w:t xml:space="preserve">decision aid </w:t>
      </w:r>
      <w:r w:rsidR="00FB6393">
        <w:t xml:space="preserve">to </w:t>
      </w:r>
      <w:r w:rsidR="00FB6393" w:rsidRPr="008D4EEB">
        <w:t xml:space="preserve">increase the </w:t>
      </w:r>
      <w:r w:rsidR="00237977">
        <w:t>customer</w:t>
      </w:r>
      <w:r w:rsidR="00FB6393" w:rsidRPr="008D4EEB">
        <w:t>’s knowledge of the health condition, options, and risk/benefits</w:t>
      </w:r>
      <w:r w:rsidR="003F0F23">
        <w:t>;</w:t>
      </w:r>
      <w:r w:rsidR="00FB6393" w:rsidRPr="008D4EEB">
        <w:t xml:space="preserve"> lead to greater assurance in making a decision</w:t>
      </w:r>
      <w:r w:rsidR="003F0F23">
        <w:t>;</w:t>
      </w:r>
      <w:r w:rsidR="00FB6393" w:rsidRPr="008D4EEB">
        <w:t xml:space="preserve"> increase the congruence between values and choices</w:t>
      </w:r>
      <w:r w:rsidR="003F0F23">
        <w:t>;</w:t>
      </w:r>
      <w:r w:rsidR="00FB6393" w:rsidRPr="008D4EEB">
        <w:t xml:space="preserve"> and enhance involvement in the decision making process. </w:t>
      </w:r>
      <w:r w:rsidR="00FB6393">
        <w:t>Information collections conducted under this generic clearance are not required by regulation and will not be used to regulate or sanction customers.</w:t>
      </w:r>
      <w:r w:rsidR="0048659F">
        <w:t xml:space="preserve"> </w:t>
      </w:r>
      <w:r w:rsidR="00CB33EC">
        <w:t xml:space="preserve">Data collections </w:t>
      </w:r>
      <w:r w:rsidR="00FB6393">
        <w:t>will be entirely voluntary, and information provided by respondents will be combined and summarized so that no individually identifiable information will be released.</w:t>
      </w:r>
    </w:p>
    <w:p w14:paraId="10B1E382" w14:textId="77777777" w:rsidR="00FB6393" w:rsidRDefault="00FB6393" w:rsidP="00FB6393"/>
    <w:p w14:paraId="1371A22F" w14:textId="7BA789B9" w:rsidR="005A5F16" w:rsidRDefault="005A5F16" w:rsidP="005A5F16">
      <w:r>
        <w:t xml:space="preserve">The data collections listed below will be implemented to achieve project goals. </w:t>
      </w:r>
      <w:r w:rsidRPr="00FA0AE8">
        <w:rPr>
          <w:i/>
        </w:rPr>
        <w:t>Note:</w:t>
      </w:r>
      <w:r>
        <w:t xml:space="preserve"> Assessments such as interviews and surveys are here denoted </w:t>
      </w:r>
      <w:r w:rsidRPr="00BF55FD">
        <w:rPr>
          <w:i/>
        </w:rPr>
        <w:t>formative</w:t>
      </w:r>
      <w:r>
        <w:t xml:space="preserve"> if conducted prior to product development or determination of dissemination channels; </w:t>
      </w:r>
      <w:r w:rsidR="009A590C">
        <w:rPr>
          <w:i/>
        </w:rPr>
        <w:t xml:space="preserve">usability testing or </w:t>
      </w:r>
      <w:r w:rsidRPr="00BF55FD">
        <w:rPr>
          <w:i/>
        </w:rPr>
        <w:t>pretesting</w:t>
      </w:r>
      <w:r>
        <w:t xml:space="preserve"> if conducted while reviewing a draft product, proposed dissemination approach, or other proposed content/strategy; and </w:t>
      </w:r>
      <w:r w:rsidRPr="00BF55FD">
        <w:rPr>
          <w:i/>
        </w:rPr>
        <w:t>evaluation</w:t>
      </w:r>
      <w:r>
        <w:t xml:space="preserve"> if conducted for summative evaluation or to assess satisfaction after the product has been in use or the dissemination campaign, learning activity, or other initiative undertaken.</w:t>
      </w:r>
    </w:p>
    <w:p w14:paraId="0967A225" w14:textId="77777777" w:rsidR="005A5F16" w:rsidRDefault="005A5F16" w:rsidP="005A5F16"/>
    <w:p w14:paraId="67C41A57" w14:textId="77777777" w:rsidR="00527BBD" w:rsidRDefault="005A5F16" w:rsidP="005A5F16">
      <w:r>
        <w:t>Data collections will include the following:</w:t>
      </w:r>
    </w:p>
    <w:p w14:paraId="69335E95" w14:textId="7EFF245D" w:rsidR="006D7C14" w:rsidRDefault="00BF55FD" w:rsidP="0008655D">
      <w:pPr>
        <w:tabs>
          <w:tab w:val="left" w:pos="360"/>
        </w:tabs>
        <w:spacing w:after="120"/>
        <w:ind w:left="360" w:hanging="360"/>
      </w:pPr>
      <w:r>
        <w:t>1</w:t>
      </w:r>
      <w:r w:rsidR="00527BBD">
        <w:t>)</w:t>
      </w:r>
      <w:r w:rsidR="006D7C14">
        <w:tab/>
      </w:r>
      <w:r w:rsidR="00321677">
        <w:t>Interviews</w:t>
      </w:r>
      <w:r w:rsidR="006D7C14">
        <w:t xml:space="preserve"> for Product </w:t>
      </w:r>
      <w:r w:rsidR="00660BDF">
        <w:t xml:space="preserve">and Decision Aid </w:t>
      </w:r>
      <w:r w:rsidR="006D7C14">
        <w:t>Development, Testing, and Use</w:t>
      </w:r>
      <w:r w:rsidR="00321677">
        <w:t>.</w:t>
      </w:r>
      <w:r w:rsidR="0048659F">
        <w:t xml:space="preserve"> </w:t>
      </w:r>
      <w:r w:rsidR="00DA5096">
        <w:t>Individual i</w:t>
      </w:r>
      <w:r w:rsidR="00321677">
        <w:t xml:space="preserve">nterviews will be conducted with </w:t>
      </w:r>
      <w:r w:rsidR="00DA5096">
        <w:t>clinical professionals, patients</w:t>
      </w:r>
      <w:r w:rsidR="00892BB5">
        <w:t>,</w:t>
      </w:r>
      <w:r w:rsidR="00DA5096">
        <w:t xml:space="preserve"> or other health care consumers, or health policymakers</w:t>
      </w:r>
      <w:r w:rsidR="00321677">
        <w:t>.</w:t>
      </w:r>
      <w:r w:rsidR="0048659F">
        <w:t xml:space="preserve"> </w:t>
      </w:r>
      <w:r w:rsidR="00A0658E">
        <w:t xml:space="preserve">In some cases focus groups may be substituted for patient interviews. </w:t>
      </w:r>
      <w:r w:rsidR="00977D6F">
        <w:t xml:space="preserve">These formative and pretesting/cognitive interviews will allow for </w:t>
      </w:r>
      <w:r w:rsidR="002878DF">
        <w:t>(</w:t>
      </w:r>
      <w:r w:rsidR="00321677">
        <w:t xml:space="preserve">1) </w:t>
      </w:r>
      <w:r w:rsidR="00977D6F">
        <w:t xml:space="preserve">collecting </w:t>
      </w:r>
      <w:r w:rsidR="00321677">
        <w:t xml:space="preserve">input </w:t>
      </w:r>
      <w:r w:rsidR="00977D6F">
        <w:t xml:space="preserve">from target audiences </w:t>
      </w:r>
      <w:r w:rsidR="00321677">
        <w:t xml:space="preserve">regarding the development of </w:t>
      </w:r>
      <w:r w:rsidR="00A0658E">
        <w:t>summary products and decision aids</w:t>
      </w:r>
      <w:r w:rsidR="006D7C14">
        <w:t>;</w:t>
      </w:r>
      <w:r w:rsidR="00321677">
        <w:t xml:space="preserve"> </w:t>
      </w:r>
      <w:r w:rsidR="002878DF">
        <w:t>(</w:t>
      </w:r>
      <w:r w:rsidR="00321677">
        <w:t>2) determin</w:t>
      </w:r>
      <w:r w:rsidR="00977D6F">
        <w:t>ing</w:t>
      </w:r>
      <w:r w:rsidR="00321677">
        <w:t xml:space="preserve"> if intended information and messages are being delivered effectively through products that are </w:t>
      </w:r>
      <w:r w:rsidR="00977D6F">
        <w:t xml:space="preserve">developed </w:t>
      </w:r>
      <w:r w:rsidR="00321677">
        <w:t>and disseminated through the Eisenberg Center</w:t>
      </w:r>
      <w:r w:rsidR="006D7C14">
        <w:t>;</w:t>
      </w:r>
      <w:r w:rsidR="00321677">
        <w:t xml:space="preserve"> </w:t>
      </w:r>
      <w:r w:rsidR="002878DF">
        <w:t>(</w:t>
      </w:r>
      <w:r w:rsidR="00321677">
        <w:t xml:space="preserve">3) </w:t>
      </w:r>
      <w:r w:rsidR="00977D6F">
        <w:t>assessing whether</w:t>
      </w:r>
      <w:r w:rsidR="00321677">
        <w:t xml:space="preserve"> changes in topical knowledge levels can be identified following exposure to Eisenberg Center informat</w:t>
      </w:r>
      <w:r w:rsidR="00892BB5">
        <w:t>ional or instructional products</w:t>
      </w:r>
      <w:r w:rsidR="003F0F23">
        <w:t xml:space="preserve"> or </w:t>
      </w:r>
      <w:r w:rsidR="00977D6F">
        <w:t>aids</w:t>
      </w:r>
      <w:r w:rsidR="00892BB5">
        <w:t xml:space="preserve">; </w:t>
      </w:r>
      <w:r w:rsidR="00977D6F">
        <w:t xml:space="preserve">(4) </w:t>
      </w:r>
      <w:r w:rsidR="00321677">
        <w:t>identify</w:t>
      </w:r>
      <w:r w:rsidR="00977D6F">
        <w:t>ing</w:t>
      </w:r>
      <w:r w:rsidR="00321677">
        <w:t xml:space="preserve"> </w:t>
      </w:r>
      <w:r w:rsidR="003F0F23">
        <w:t xml:space="preserve">product </w:t>
      </w:r>
      <w:r w:rsidR="00321677">
        <w:t xml:space="preserve">strengths and weaknesses </w:t>
      </w:r>
      <w:r w:rsidR="00977D6F">
        <w:t xml:space="preserve">to facilitate </w:t>
      </w:r>
      <w:r w:rsidR="00321677">
        <w:t>improvements that are practical and feasible</w:t>
      </w:r>
      <w:r w:rsidR="006D7C14">
        <w:t>; and</w:t>
      </w:r>
      <w:r w:rsidR="00892BB5">
        <w:t xml:space="preserve"> </w:t>
      </w:r>
      <w:r w:rsidR="00977D6F">
        <w:t xml:space="preserve">(5) </w:t>
      </w:r>
      <w:r w:rsidR="006D7C14">
        <w:t>assess</w:t>
      </w:r>
      <w:r w:rsidR="00977D6F">
        <w:t>ing</w:t>
      </w:r>
      <w:r w:rsidR="006D7C14">
        <w:t xml:space="preserve"> decision </w:t>
      </w:r>
      <w:r w:rsidR="006D7C14">
        <w:lastRenderedPageBreak/>
        <w:t>support from the perspective of each audience</w:t>
      </w:r>
      <w:r w:rsidR="00321677">
        <w:t>.</w:t>
      </w:r>
      <w:r w:rsidR="0048659F">
        <w:t xml:space="preserve">  </w:t>
      </w:r>
      <w:r w:rsidR="00C46081">
        <w:t>In addition</w:t>
      </w:r>
      <w:r w:rsidR="001F2F73">
        <w:t xml:space="preserve">, the Eisenberg Center will conduct a new research project annually </w:t>
      </w:r>
      <w:r w:rsidR="001F2F73" w:rsidRPr="001F2F73">
        <w:t>to inform the enhancement of existing health information products</w:t>
      </w:r>
      <w:r w:rsidR="001F2F73">
        <w:t xml:space="preserve">, beyond what is currently being provided. The accompanying assessments will likely consist of interviews conducted with target audience members and may be integrated into the existing product interviews discussed above. </w:t>
      </w:r>
      <w:r w:rsidR="00FF00C7" w:rsidRPr="00B12376">
        <w:t xml:space="preserve">See </w:t>
      </w:r>
      <w:r w:rsidR="00FF00C7" w:rsidRPr="00521F56">
        <w:rPr>
          <w:b/>
        </w:rPr>
        <w:t>Attachment</w:t>
      </w:r>
      <w:r w:rsidR="00C37761" w:rsidRPr="00521F56">
        <w:rPr>
          <w:b/>
        </w:rPr>
        <w:t>s</w:t>
      </w:r>
      <w:r w:rsidR="00FF00C7" w:rsidRPr="00521F56">
        <w:rPr>
          <w:b/>
        </w:rPr>
        <w:t xml:space="preserve"> </w:t>
      </w:r>
      <w:r w:rsidR="00090ECD" w:rsidRPr="00521F56">
        <w:rPr>
          <w:b/>
        </w:rPr>
        <w:t>A – F</w:t>
      </w:r>
      <w:r w:rsidR="00090ECD" w:rsidRPr="00B12376">
        <w:t xml:space="preserve"> </w:t>
      </w:r>
      <w:r w:rsidR="00201DFE">
        <w:t xml:space="preserve">for assessment formats to be used in </w:t>
      </w:r>
      <w:r w:rsidR="00090ECD" w:rsidRPr="00B12376">
        <w:t xml:space="preserve">product development and testing of summary products, and </w:t>
      </w:r>
      <w:r w:rsidR="00090ECD" w:rsidRPr="00521F56">
        <w:rPr>
          <w:b/>
        </w:rPr>
        <w:t>Attachments G – H</w:t>
      </w:r>
      <w:r w:rsidR="00090ECD" w:rsidRPr="00B12376">
        <w:t xml:space="preserve"> for development and testing of decision aids.</w:t>
      </w:r>
      <w:r w:rsidR="00090ECD">
        <w:rPr>
          <w:highlight w:val="yellow"/>
        </w:rPr>
        <w:t xml:space="preserve"> </w:t>
      </w:r>
    </w:p>
    <w:p w14:paraId="72C0784E" w14:textId="1D2306C3" w:rsidR="00527BBD" w:rsidRDefault="00FB6393" w:rsidP="0008655D">
      <w:pPr>
        <w:tabs>
          <w:tab w:val="left" w:pos="360"/>
        </w:tabs>
        <w:spacing w:after="120"/>
        <w:ind w:left="360" w:hanging="360"/>
      </w:pPr>
      <w:r>
        <w:t>2</w:t>
      </w:r>
      <w:r w:rsidR="006D7C14">
        <w:t>)</w:t>
      </w:r>
      <w:r w:rsidR="006D7C14">
        <w:tab/>
        <w:t>Interviews for Dissemination Activities.</w:t>
      </w:r>
      <w:r w:rsidR="0048659F">
        <w:t xml:space="preserve"> </w:t>
      </w:r>
      <w:r w:rsidR="006D7C14">
        <w:t>I</w:t>
      </w:r>
      <w:r w:rsidR="00DA5096">
        <w:t>nterviews will be conducted with leadership and staff of health systems</w:t>
      </w:r>
      <w:r w:rsidR="00270F65">
        <w:t xml:space="preserve">, hospitals, </w:t>
      </w:r>
      <w:r w:rsidR="00660BDF">
        <w:t>and/</w:t>
      </w:r>
      <w:r w:rsidR="00270F65">
        <w:t>or clinics</w:t>
      </w:r>
      <w:r w:rsidR="00DA5096">
        <w:t xml:space="preserve"> in which dissemination activities are conducted to explore, prior to initiating the project, those pathways </w:t>
      </w:r>
      <w:r w:rsidR="006D7C14">
        <w:t xml:space="preserve">holding </w:t>
      </w:r>
      <w:r w:rsidR="00DA5096">
        <w:t>the greatest potential for successful uptake of the AHRQ materials</w:t>
      </w:r>
      <w:r w:rsidR="00270F65">
        <w:t xml:space="preserve">. Interviews will be </w:t>
      </w:r>
      <w:r w:rsidR="00DA5096">
        <w:t xml:space="preserve">conducted </w:t>
      </w:r>
      <w:r w:rsidR="00660BDF">
        <w:t xml:space="preserve">again </w:t>
      </w:r>
      <w:r w:rsidR="00DA5096">
        <w:t xml:space="preserve">after project conclusion </w:t>
      </w:r>
      <w:r w:rsidR="004360D8">
        <w:t xml:space="preserve">with administrators </w:t>
      </w:r>
      <w:r w:rsidR="003F0F23">
        <w:t xml:space="preserve">and </w:t>
      </w:r>
      <w:r w:rsidR="00977D6F">
        <w:t xml:space="preserve">product </w:t>
      </w:r>
      <w:r w:rsidR="004360D8">
        <w:t xml:space="preserve">users (e.g., consumers, clinicians) </w:t>
      </w:r>
      <w:r w:rsidR="00DA5096">
        <w:t xml:space="preserve">to </w:t>
      </w:r>
      <w:r w:rsidR="004360D8">
        <w:t xml:space="preserve">assess success of dissemination efforts, perceptions around product access, </w:t>
      </w:r>
      <w:r w:rsidR="00D603EC">
        <w:t xml:space="preserve">challenges </w:t>
      </w:r>
      <w:r w:rsidR="006D7C14">
        <w:t>that arose</w:t>
      </w:r>
      <w:r w:rsidR="004360D8">
        <w:t xml:space="preserve">, and </w:t>
      </w:r>
      <w:r w:rsidR="006D7C14">
        <w:t>strategies to facilitate</w:t>
      </w:r>
      <w:r w:rsidR="00DA5096">
        <w:t xml:space="preserve"> future successful dissemination</w:t>
      </w:r>
      <w:r w:rsidR="006D7C14">
        <w:t xml:space="preserve"> initiatives</w:t>
      </w:r>
      <w:r w:rsidR="00DA5096">
        <w:t xml:space="preserve">. </w:t>
      </w:r>
    </w:p>
    <w:p w14:paraId="5CD4440B" w14:textId="6D2ACEE0" w:rsidR="00527BBD" w:rsidRDefault="00527BBD" w:rsidP="0008655D">
      <w:pPr>
        <w:tabs>
          <w:tab w:val="left" w:pos="360"/>
        </w:tabs>
        <w:spacing w:after="120"/>
        <w:ind w:left="360" w:hanging="360"/>
      </w:pPr>
      <w:r>
        <w:t>3)</w:t>
      </w:r>
      <w:r>
        <w:tab/>
      </w:r>
      <w:r w:rsidR="00321677">
        <w:t>Survey for Decision Aids.</w:t>
      </w:r>
      <w:r w:rsidR="0048659F">
        <w:t xml:space="preserve"> </w:t>
      </w:r>
      <w:r w:rsidR="00321677" w:rsidRPr="00E63C87">
        <w:t xml:space="preserve">Following delivery of the decision aid, a </w:t>
      </w:r>
      <w:r w:rsidR="00321677">
        <w:t xml:space="preserve">user survey </w:t>
      </w:r>
      <w:r w:rsidR="00321677" w:rsidRPr="00E63C87">
        <w:t xml:space="preserve">will be completed to explore subjects’ impressions of the tool, including ease of use, clarity of presentation, length, balance of information, rating of interactive features, and overall satisfaction. </w:t>
      </w:r>
      <w:r w:rsidR="00321677">
        <w:t xml:space="preserve">Both clinicians and patients/consumers will be surveyed. </w:t>
      </w:r>
      <w:r w:rsidR="00321677" w:rsidRPr="00E63C87">
        <w:t xml:space="preserve">For patients, the </w:t>
      </w:r>
      <w:r w:rsidR="00321677">
        <w:t>customer satisfaction survey</w:t>
      </w:r>
      <w:r w:rsidR="00321677" w:rsidRPr="00E63C87">
        <w:t xml:space="preserve"> </w:t>
      </w:r>
      <w:r w:rsidR="00565613">
        <w:t>may</w:t>
      </w:r>
      <w:r w:rsidR="00565613" w:rsidRPr="00E63C87">
        <w:t xml:space="preserve"> </w:t>
      </w:r>
      <w:r w:rsidR="00321677" w:rsidRPr="00E63C87">
        <w:t xml:space="preserve">include decisional outcome measures (e.g., decisional conflict, desire for involvement in decision-making), measures of attitudes and self-efficacy, and indicators of choice intention or actual choice made. </w:t>
      </w:r>
      <w:r w:rsidR="00321677" w:rsidRPr="000E6F98">
        <w:t xml:space="preserve">If the aid is evaluated within a clinical context, measures of physician-patient interaction will also be considered. Additionally, clinicians may be interviewed about the impact of the aid on </w:t>
      </w:r>
      <w:r w:rsidR="00237977">
        <w:t xml:space="preserve">decision making, </w:t>
      </w:r>
      <w:r w:rsidR="00321677" w:rsidRPr="000E6F98">
        <w:t>clinical flow</w:t>
      </w:r>
      <w:r w:rsidR="00237977">
        <w:t>, and patient outcomes</w:t>
      </w:r>
      <w:r w:rsidR="00321677" w:rsidRPr="000E6F98">
        <w:t>.</w:t>
      </w:r>
      <w:r w:rsidR="00FF00C7">
        <w:t xml:space="preserve"> </w:t>
      </w:r>
    </w:p>
    <w:p w14:paraId="56432FA3" w14:textId="1D4AA2E3" w:rsidR="006D7C14" w:rsidRDefault="006D7C14" w:rsidP="0008655D">
      <w:pPr>
        <w:tabs>
          <w:tab w:val="left" w:pos="360"/>
        </w:tabs>
        <w:spacing w:after="120"/>
        <w:ind w:left="360" w:hanging="360"/>
      </w:pPr>
      <w:r>
        <w:t>4)</w:t>
      </w:r>
      <w:r>
        <w:tab/>
      </w:r>
      <w:r w:rsidR="00AC46D5">
        <w:t>Survey</w:t>
      </w:r>
      <w:r w:rsidR="009F33B0">
        <w:t xml:space="preserve"> </w:t>
      </w:r>
      <w:r>
        <w:t xml:space="preserve">for Summary </w:t>
      </w:r>
      <w:r w:rsidR="009F33B0">
        <w:t xml:space="preserve">Products (initial, </w:t>
      </w:r>
      <w:r w:rsidR="00237977">
        <w:t>follow up</w:t>
      </w:r>
      <w:r w:rsidR="009F33B0">
        <w:t>)</w:t>
      </w:r>
      <w:r>
        <w:t>.</w:t>
      </w:r>
      <w:r w:rsidR="0048659F">
        <w:t xml:space="preserve"> </w:t>
      </w:r>
      <w:r w:rsidR="00F80E13">
        <w:t>Very b</w:t>
      </w:r>
      <w:r w:rsidR="00AC46D5">
        <w:t>rief</w:t>
      </w:r>
      <w:r>
        <w:t xml:space="preserve"> surveys will be offered to health care profe</w:t>
      </w:r>
      <w:r w:rsidR="00AB5F2A">
        <w:t>ssionals, consumers, and policy</w:t>
      </w:r>
      <w:r>
        <w:t xml:space="preserve">makers that use the online </w:t>
      </w:r>
      <w:r w:rsidR="00565613">
        <w:t>summaries</w:t>
      </w:r>
      <w:r w:rsidR="00660BDF">
        <w:t>. Immediately u</w:t>
      </w:r>
      <w:r w:rsidR="00AC46D5">
        <w:t xml:space="preserve">pon accessing </w:t>
      </w:r>
      <w:r w:rsidR="00565613">
        <w:t>the</w:t>
      </w:r>
      <w:r w:rsidR="00ED5950">
        <w:t xml:space="preserve"> summaries</w:t>
      </w:r>
      <w:r w:rsidR="005A5F16">
        <w:t xml:space="preserve">, </w:t>
      </w:r>
      <w:r w:rsidR="00AC46D5">
        <w:t xml:space="preserve">visitors will be asked to complete a brief survey assessing for whom they </w:t>
      </w:r>
      <w:r w:rsidR="00660BDF">
        <w:t>were seeking</w:t>
      </w:r>
      <w:r w:rsidR="00AC46D5">
        <w:t xml:space="preserve"> information, how </w:t>
      </w:r>
      <w:r w:rsidR="00660BDF">
        <w:t>the product</w:t>
      </w:r>
      <w:r w:rsidR="00AC46D5">
        <w:t xml:space="preserve"> might be used, and an email address for a follow</w:t>
      </w:r>
      <w:r w:rsidR="00660BDF">
        <w:t>-</w:t>
      </w:r>
      <w:r w:rsidR="00AC46D5">
        <w:t xml:space="preserve">up survey. </w:t>
      </w:r>
      <w:r w:rsidR="003F0F23">
        <w:t>R</w:t>
      </w:r>
      <w:r w:rsidR="00AC46D5">
        <w:t>espondent</w:t>
      </w:r>
      <w:r w:rsidR="00660BDF">
        <w:t>s</w:t>
      </w:r>
      <w:r w:rsidR="00AC46D5">
        <w:t xml:space="preserve"> will </w:t>
      </w:r>
      <w:r w:rsidR="00F512FE">
        <w:t>subsequently</w:t>
      </w:r>
      <w:r w:rsidR="003F0F23">
        <w:t xml:space="preserve"> </w:t>
      </w:r>
      <w:r w:rsidR="00AC46D5">
        <w:t>be sent an email asking them to complete a</w:t>
      </w:r>
      <w:r w:rsidR="003F0F23">
        <w:t xml:space="preserve"> follow-up</w:t>
      </w:r>
      <w:r w:rsidR="00AC46D5">
        <w:t xml:space="preserve"> online survey</w:t>
      </w:r>
      <w:r w:rsidR="00660BDF">
        <w:t xml:space="preserve"> assessing</w:t>
      </w:r>
      <w:r w:rsidR="00AC46D5">
        <w:t xml:space="preserve"> how the information has been used</w:t>
      </w:r>
      <w:r w:rsidR="00660BDF">
        <w:t>, whether it influenced</w:t>
      </w:r>
      <w:r w:rsidR="00AC46D5">
        <w:t xml:space="preserve"> health care practices</w:t>
      </w:r>
      <w:r w:rsidR="00660BDF">
        <w:t>,</w:t>
      </w:r>
      <w:r w:rsidR="00AC46D5">
        <w:t xml:space="preserve"> and any barriers to use or suggestions for improvement. </w:t>
      </w:r>
      <w:r w:rsidR="00A65241">
        <w:t xml:space="preserve">See </w:t>
      </w:r>
      <w:r w:rsidR="00A65241" w:rsidRPr="00A65241">
        <w:rPr>
          <w:b/>
        </w:rPr>
        <w:t>Attachment K</w:t>
      </w:r>
      <w:r w:rsidR="00A65241">
        <w:t xml:space="preserve">. </w:t>
      </w:r>
    </w:p>
    <w:p w14:paraId="6A8771A7" w14:textId="42DF1ABB" w:rsidR="004A0070" w:rsidRDefault="004A0070" w:rsidP="0008655D">
      <w:pPr>
        <w:tabs>
          <w:tab w:val="left" w:pos="360"/>
        </w:tabs>
        <w:spacing w:after="120"/>
        <w:ind w:left="360" w:hanging="360"/>
      </w:pPr>
      <w:r>
        <w:t>5)</w:t>
      </w:r>
      <w:r>
        <w:tab/>
        <w:t>Survey of Patient and Consumer Advocacy Organizations.</w:t>
      </w:r>
      <w:r w:rsidR="0048659F">
        <w:t xml:space="preserve"> </w:t>
      </w:r>
      <w:r w:rsidRPr="004A0070">
        <w:t xml:space="preserve">Each </w:t>
      </w:r>
      <w:r>
        <w:t xml:space="preserve">project </w:t>
      </w:r>
      <w:r w:rsidRPr="004A0070">
        <w:t>year, representatives from consumer and patient advocacy organizations will be invited to attend a meeting and participate in ongoing activities to facilitate engagement in AHRQ systematic review, translation, and dissemination activities.</w:t>
      </w:r>
      <w:r>
        <w:t xml:space="preserve"> </w:t>
      </w:r>
      <w:r w:rsidRPr="004A0070">
        <w:t xml:space="preserve">Surveys by phone or online questionnaire will be used to assess the quality of the in-person meeting and ongoing activities, the impact and value of engaging with AHRQ, the value of research and translation products for the target audiences, how partners and their constituents are using the products, </w:t>
      </w:r>
      <w:r>
        <w:t xml:space="preserve">and </w:t>
      </w:r>
      <w:r w:rsidRPr="004A0070">
        <w:t xml:space="preserve">ways to make the products </w:t>
      </w:r>
      <w:r w:rsidR="007D4CFA">
        <w:t xml:space="preserve">and partnerships with AHRQ </w:t>
      </w:r>
      <w:r w:rsidRPr="004A0070">
        <w:t>more useful for pa</w:t>
      </w:r>
      <w:r>
        <w:t>r</w:t>
      </w:r>
      <w:r w:rsidR="00D15929">
        <w:t xml:space="preserve">tners and have a broader reach. </w:t>
      </w:r>
    </w:p>
    <w:p w14:paraId="69201405" w14:textId="44CA1230" w:rsidR="009F33B0" w:rsidRDefault="00FB6393" w:rsidP="0008655D">
      <w:pPr>
        <w:tabs>
          <w:tab w:val="left" w:pos="360"/>
        </w:tabs>
        <w:spacing w:after="120"/>
        <w:ind w:left="360" w:hanging="360"/>
      </w:pPr>
      <w:r>
        <w:lastRenderedPageBreak/>
        <w:t>6</w:t>
      </w:r>
      <w:r w:rsidR="009F33B0">
        <w:t>)</w:t>
      </w:r>
      <w:r w:rsidR="009F33B0">
        <w:tab/>
        <w:t>Survey of AHRQ Partners.</w:t>
      </w:r>
      <w:r w:rsidR="0048659F">
        <w:t xml:space="preserve"> </w:t>
      </w:r>
      <w:r w:rsidR="009F33B0" w:rsidRPr="004A0070">
        <w:t xml:space="preserve">AHRQ, through the </w:t>
      </w:r>
      <w:r w:rsidR="007D4CFA">
        <w:t>Evidence-based Practice Center (</w:t>
      </w:r>
      <w:r w:rsidR="009F33B0" w:rsidRPr="004A0070">
        <w:t>EPC</w:t>
      </w:r>
      <w:r w:rsidR="007D4CFA">
        <w:t>)</w:t>
      </w:r>
      <w:r w:rsidR="009F33B0" w:rsidRPr="004A0070">
        <w:t xml:space="preserve"> Program and E</w:t>
      </w:r>
      <w:r w:rsidR="007D4CFA">
        <w:t xml:space="preserve">isenberg </w:t>
      </w:r>
      <w:r w:rsidR="009F33B0" w:rsidRPr="004A0070">
        <w:t>C</w:t>
      </w:r>
      <w:r w:rsidR="007D4CFA">
        <w:t>enter</w:t>
      </w:r>
      <w:r w:rsidR="009F33B0" w:rsidRPr="004A0070">
        <w:t>, partners with organizations when developing, translating, and/or disseminating research reports and related products.</w:t>
      </w:r>
      <w:r w:rsidR="0048659F">
        <w:t xml:space="preserve"> </w:t>
      </w:r>
      <w:r w:rsidR="009F33B0" w:rsidRPr="004A0070">
        <w:t>AHRQ partners include developers of clinical practice guidelines, payers, other Government agencies, private companies, consumer and patient advocacy groups, and health care systems.</w:t>
      </w:r>
      <w:r w:rsidR="009F33B0">
        <w:t xml:space="preserve"> </w:t>
      </w:r>
      <w:r w:rsidR="009F33B0" w:rsidRPr="00690E32">
        <w:t>Surveys by phone or online questionnaire</w:t>
      </w:r>
      <w:r w:rsidR="002A44D7">
        <w:t>, followed by targeted interviews,</w:t>
      </w:r>
      <w:r w:rsidR="009F33B0" w:rsidRPr="00690E32">
        <w:t xml:space="preserve"> will be used to assess the impact and value of AHRQ research products for the target audiences, determine how partners are using the products, and identify ways to make the products</w:t>
      </w:r>
      <w:r w:rsidR="007D4CFA">
        <w:t xml:space="preserve"> and partnerships</w:t>
      </w:r>
      <w:r w:rsidR="009F33B0" w:rsidRPr="00690E32">
        <w:t xml:space="preserve"> more useful for partners and have a broader reach.</w:t>
      </w:r>
      <w:r w:rsidR="009F33B0">
        <w:t xml:space="preserve"> </w:t>
      </w:r>
    </w:p>
    <w:p w14:paraId="0EACE36E" w14:textId="77777777" w:rsidR="009F33B0" w:rsidRPr="0008655D" w:rsidRDefault="00FB6393" w:rsidP="0008655D">
      <w:pPr>
        <w:tabs>
          <w:tab w:val="left" w:pos="360"/>
        </w:tabs>
        <w:spacing w:after="120"/>
        <w:ind w:left="360" w:hanging="360"/>
      </w:pPr>
      <w:r>
        <w:t>7</w:t>
      </w:r>
      <w:r w:rsidR="009F33B0">
        <w:t>)</w:t>
      </w:r>
      <w:r w:rsidR="009F33B0">
        <w:tab/>
        <w:t>CME Outcomes Survey.</w:t>
      </w:r>
      <w:r w:rsidR="0048659F">
        <w:t xml:space="preserve"> </w:t>
      </w:r>
      <w:r w:rsidR="009F33B0" w:rsidRPr="004A0070">
        <w:t>AHRQ</w:t>
      </w:r>
      <w:r w:rsidR="005A5F16">
        <w:t xml:space="preserve"> through the Eisenberg Center will</w:t>
      </w:r>
      <w:r w:rsidR="00A724BE">
        <w:t xml:space="preserve"> offer AMA PRA Category 1 continuing medical education (CME) credit for certain products that it develops. Clinicians wishing to claim credit must complete </w:t>
      </w:r>
      <w:proofErr w:type="gramStart"/>
      <w:r w:rsidR="00A724BE">
        <w:t>a</w:t>
      </w:r>
      <w:r w:rsidR="00F80E13">
        <w:t>n</w:t>
      </w:r>
      <w:r w:rsidR="00A724BE">
        <w:t xml:space="preserve"> outcomes</w:t>
      </w:r>
      <w:proofErr w:type="gramEnd"/>
      <w:r w:rsidR="00A724BE">
        <w:t xml:space="preserve"> </w:t>
      </w:r>
      <w:r w:rsidR="00A724BE" w:rsidRPr="0008655D">
        <w:t>assessment survey</w:t>
      </w:r>
      <w:r w:rsidR="00D14CCC" w:rsidRPr="0008655D">
        <w:t xml:space="preserve"> delivered online</w:t>
      </w:r>
      <w:r w:rsidR="00F80E13">
        <w:t xml:space="preserve"> two months after completing the activity</w:t>
      </w:r>
      <w:r w:rsidR="00D14CCC" w:rsidRPr="0008655D">
        <w:t xml:space="preserve">. </w:t>
      </w:r>
      <w:r w:rsidR="00FF00C7" w:rsidRPr="0008655D">
        <w:rPr>
          <w:b/>
        </w:rPr>
        <w:t xml:space="preserve">Attachment </w:t>
      </w:r>
      <w:r w:rsidR="00A65241">
        <w:rPr>
          <w:b/>
        </w:rPr>
        <w:t>L</w:t>
      </w:r>
      <w:r w:rsidR="00201DFE" w:rsidRPr="0008655D">
        <w:t xml:space="preserve"> illustrates the assessment content and format of these surveys</w:t>
      </w:r>
      <w:r w:rsidR="00FF00C7" w:rsidRPr="0008655D">
        <w:t xml:space="preserve">. </w:t>
      </w:r>
    </w:p>
    <w:p w14:paraId="199D9DBF" w14:textId="7C77881A" w:rsidR="009F33B0" w:rsidRDefault="00FB6393" w:rsidP="0008655D">
      <w:pPr>
        <w:tabs>
          <w:tab w:val="left" w:pos="360"/>
        </w:tabs>
        <w:spacing w:after="120"/>
        <w:ind w:left="360" w:hanging="360"/>
      </w:pPr>
      <w:r w:rsidRPr="0008655D">
        <w:t>8)</w:t>
      </w:r>
      <w:r w:rsidRPr="0008655D">
        <w:tab/>
        <w:t xml:space="preserve">Interviews and Surveys for Dissemination Research Project. Each project year the Eisenberg Center will propose and conduct a </w:t>
      </w:r>
      <w:r w:rsidR="004B604F" w:rsidRPr="0008655D">
        <w:t>unique</w:t>
      </w:r>
      <w:r w:rsidRPr="0008655D">
        <w:t xml:space="preserve"> research project aimed at</w:t>
      </w:r>
      <w:r>
        <w:t xml:space="preserve"> disseminating products. As part of that project, formative interviews </w:t>
      </w:r>
      <w:r w:rsidR="00977D6F">
        <w:t xml:space="preserve">and potentially cognitive testing </w:t>
      </w:r>
      <w:r>
        <w:t>will be conducted with consumers, clinicians, and administrators from participating health systems, hospitals, and/or clinics for purposes of assessing current dissemination initiatives, similar products available to their consumers, ways to optimize dissemination, and other indicators as determined by the project aims. These three audiences may also be asked to complete follow-up surveys and/or participate in interviews to document project outcomes and lessons learned from the study.</w:t>
      </w:r>
    </w:p>
    <w:p w14:paraId="3C24EF7F" w14:textId="77777777" w:rsidR="00CB38BE" w:rsidRDefault="00CB38BE" w:rsidP="00CB38BE"/>
    <w:p w14:paraId="7004A444" w14:textId="4CA78AD3" w:rsidR="00527BBD" w:rsidRDefault="00527BBD" w:rsidP="002E4DEB">
      <w:r w:rsidRPr="00527BBD">
        <w:t>This study is being conducted by AHRQ through its contractor,</w:t>
      </w:r>
      <w:r w:rsidR="00296079">
        <w:t xml:space="preserve"> </w:t>
      </w:r>
      <w:r w:rsidR="007D4CFA">
        <w:t>Baylor College of Medicine</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14:paraId="68E5DB3B" w14:textId="77777777" w:rsidR="00931981" w:rsidRPr="001949E9" w:rsidRDefault="00931981" w:rsidP="00931981">
      <w:pPr>
        <w:spacing w:line="360" w:lineRule="auto"/>
        <w:rPr>
          <w:bCs/>
        </w:rPr>
      </w:pPr>
      <w:r w:rsidRPr="001949E9">
        <w:rPr>
          <w:bCs/>
        </w:rPr>
        <w:t>In accordance with OMB guidelines for generic clearances for voluntary customer surveys and Executive Order 12862, AHRQ has established an independent review process to assure the development, implementation, and analysis of high quality customer surveys within AHRQ.  Specifically, AHRQ understands that each activity conducted must be submitted to OMB with a supporting statement and accompanying instruments.  Information collection may not proceed until approved by OMB.</w:t>
      </w:r>
    </w:p>
    <w:p w14:paraId="7D1EA954" w14:textId="77777777" w:rsidR="00296079" w:rsidRDefault="00296079" w:rsidP="006014DB"/>
    <w:p w14:paraId="1C52F99F" w14:textId="77777777"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14:paraId="000F99CB" w14:textId="77777777" w:rsidR="00DE1F34" w:rsidRDefault="00DE1F34" w:rsidP="008E406C">
      <w:pPr>
        <w:spacing w:before="100" w:beforeAutospacing="1"/>
      </w:pPr>
      <w:r w:rsidRPr="00DE1F34">
        <w:t>Th</w:t>
      </w:r>
      <w:r>
        <w:t>e</w:t>
      </w:r>
      <w:r w:rsidRPr="00DE1F34">
        <w:t xml:space="preserve"> information </w:t>
      </w:r>
      <w:r>
        <w:t xml:space="preserve">obtained using the data collection </w:t>
      </w:r>
      <w:r w:rsidR="00C80F83">
        <w:t>strategies</w:t>
      </w:r>
      <w:r>
        <w:t xml:space="preserve"> described above </w:t>
      </w:r>
      <w:r w:rsidRPr="00DE1F34">
        <w:t xml:space="preserve">will be used to develop, improve and/or maintain high quality </w:t>
      </w:r>
      <w:r w:rsidR="008E406C">
        <w:t xml:space="preserve">health care informational </w:t>
      </w:r>
      <w:r w:rsidRPr="00DE1F34">
        <w:t xml:space="preserve">products and services to lay </w:t>
      </w:r>
      <w:r w:rsidR="00C80F83">
        <w:t xml:space="preserve">public </w:t>
      </w:r>
      <w:r w:rsidRPr="00DE1F34">
        <w:t xml:space="preserve">and health </w:t>
      </w:r>
      <w:r w:rsidR="00C80F83">
        <w:t xml:space="preserve">care </w:t>
      </w:r>
      <w:r w:rsidRPr="00DE1F34">
        <w:t>professional</w:t>
      </w:r>
      <w:r w:rsidR="00C80F83">
        <w:t>s</w:t>
      </w:r>
      <w:r w:rsidRPr="00DE1F34">
        <w:t xml:space="preserve">. </w:t>
      </w:r>
      <w:r w:rsidR="00E070F9">
        <w:t xml:space="preserve">Each product </w:t>
      </w:r>
      <w:r w:rsidR="00C80F83">
        <w:t xml:space="preserve">previously </w:t>
      </w:r>
      <w:r w:rsidR="00E070F9">
        <w:lastRenderedPageBreak/>
        <w:t xml:space="preserve">developed by the Eisenberg Center was proposed, drafted, tested, and revised with heavy reliance on data collected in a manner similar to those </w:t>
      </w:r>
      <w:r w:rsidR="00C80F83">
        <w:t>approaches</w:t>
      </w:r>
      <w:r w:rsidR="00E070F9">
        <w:t xml:space="preserve"> </w:t>
      </w:r>
      <w:r w:rsidR="00C80F83">
        <w:t>described</w:t>
      </w:r>
      <w:r w:rsidR="00E070F9">
        <w:t xml:space="preserve"> in this clearance. </w:t>
      </w:r>
      <w:r w:rsidR="00C80F83">
        <w:t>This includes data collected at the formative stage when ideas for the product and its information parameters are being developed, through draft testing and revision</w:t>
      </w:r>
      <w:r w:rsidR="00C5357E">
        <w:t>s</w:t>
      </w:r>
      <w:r w:rsidR="00C80F83">
        <w:t xml:space="preserve">, and finally </w:t>
      </w:r>
      <w:r w:rsidR="00C5357E">
        <w:t xml:space="preserve">to </w:t>
      </w:r>
      <w:r w:rsidR="00C80F83">
        <w:t xml:space="preserve">product implementation and evaluation of </w:t>
      </w:r>
      <w:r w:rsidR="00C5357E">
        <w:t xml:space="preserve">its </w:t>
      </w:r>
      <w:r w:rsidR="00C80F83">
        <w:t xml:space="preserve">usefulness in practice. </w:t>
      </w:r>
      <w:r w:rsidR="008E406C">
        <w:t xml:space="preserve">Work on implementing and evaluating dissemination strategies and approaches will complement the development activities in optimizing delivery to the targeted audiences. </w:t>
      </w:r>
    </w:p>
    <w:p w14:paraId="718BA456" w14:textId="77777777" w:rsidR="008E406C" w:rsidRDefault="008E406C" w:rsidP="008E406C"/>
    <w:p w14:paraId="152C5BCD" w14:textId="77777777" w:rsidR="009B633D" w:rsidRPr="00983636" w:rsidRDefault="009B633D" w:rsidP="009B633D">
      <w:pPr>
        <w:pStyle w:val="Heading2"/>
        <w:rPr>
          <w:sz w:val="24"/>
        </w:rPr>
      </w:pPr>
      <w:bookmarkStart w:id="6" w:name="_Toc151782178"/>
      <w:bookmarkStart w:id="7" w:name="_Toc158526218"/>
      <w:r w:rsidRPr="00983636">
        <w:rPr>
          <w:sz w:val="24"/>
        </w:rPr>
        <w:t>3. Use of Improved Information Technology</w:t>
      </w:r>
      <w:bookmarkEnd w:id="6"/>
      <w:bookmarkEnd w:id="7"/>
    </w:p>
    <w:p w14:paraId="75F3E6EA" w14:textId="77777777" w:rsidR="00F147D1" w:rsidRDefault="00F147D1" w:rsidP="009B633D">
      <w:pPr>
        <w:jc w:val="both"/>
        <w:rPr>
          <w:i/>
        </w:rPr>
      </w:pPr>
    </w:p>
    <w:p w14:paraId="28EE9CF7" w14:textId="77777777" w:rsidR="00F147D1" w:rsidRDefault="00E41DE3" w:rsidP="00F147D1">
      <w:r>
        <w:t xml:space="preserve">Information </w:t>
      </w:r>
      <w:r w:rsidR="00F147D1">
        <w:t>technology will be used</w:t>
      </w:r>
      <w:r>
        <w:t xml:space="preserve"> for data collections</w:t>
      </w:r>
      <w:r w:rsidR="00F147D1">
        <w:t xml:space="preserve"> </w:t>
      </w:r>
      <w:r>
        <w:t xml:space="preserve">(e.g., online surveys) </w:t>
      </w:r>
      <w:r w:rsidR="00F147D1">
        <w:t>whenever possible to reduce the burden on the public.</w:t>
      </w:r>
      <w:r w:rsidR="0048659F">
        <w:t xml:space="preserve"> </w:t>
      </w:r>
      <w:r w:rsidR="00F147D1">
        <w:t>In some instances, however, the most appropriate methodology will involve written or oral responses to brief questionnaires</w:t>
      </w:r>
      <w:r w:rsidR="008E406C">
        <w:t xml:space="preserve"> and interview questions</w:t>
      </w:r>
      <w:r w:rsidR="00F147D1">
        <w:t>.</w:t>
      </w:r>
      <w:r w:rsidR="0048659F">
        <w:t xml:space="preserve"> </w:t>
      </w:r>
      <w:r w:rsidR="00F147D1">
        <w:t xml:space="preserve">Individuals may also be asked to </w:t>
      </w:r>
      <w:r w:rsidR="00D647AB">
        <w:t xml:space="preserve">use or </w:t>
      </w:r>
      <w:r w:rsidR="00F147D1">
        <w:t>interact with computer and/or Internet technologies to assess functionality and ease of use</w:t>
      </w:r>
      <w:r w:rsidR="00ED5950">
        <w:t xml:space="preserve"> of electronic materials, tools and and/or</w:t>
      </w:r>
      <w:r w:rsidR="00871DD3">
        <w:t xml:space="preserve"> </w:t>
      </w:r>
      <w:r w:rsidR="00ED5950">
        <w:t>systems.</w:t>
      </w:r>
      <w:r w:rsidR="0048659F">
        <w:t xml:space="preserve"> </w:t>
      </w:r>
      <w:r w:rsidR="00F147D1">
        <w:t>In some cases, respondents will be asked to review and rate and/or comment on materials prepared using text and graphics to deliver messages about one or more therapies of interest.</w:t>
      </w:r>
    </w:p>
    <w:p w14:paraId="6508703E" w14:textId="77777777" w:rsidR="00F147D1" w:rsidRPr="007E4359" w:rsidRDefault="00F147D1" w:rsidP="009B633D">
      <w:pPr>
        <w:jc w:val="both"/>
        <w:rPr>
          <w:i/>
        </w:rPr>
      </w:pPr>
    </w:p>
    <w:p w14:paraId="0FC6E36D" w14:textId="77777777" w:rsidR="009B633D" w:rsidRDefault="009B633D" w:rsidP="009B633D">
      <w:pPr>
        <w:pStyle w:val="Heading2"/>
        <w:rPr>
          <w:sz w:val="24"/>
        </w:rPr>
      </w:pPr>
      <w:bookmarkStart w:id="8" w:name="_Toc151782179"/>
      <w:bookmarkStart w:id="9" w:name="_Toc158526219"/>
      <w:r w:rsidRPr="00983636">
        <w:rPr>
          <w:sz w:val="24"/>
        </w:rPr>
        <w:t>4. Efforts to Identify Duplication</w:t>
      </w:r>
      <w:bookmarkEnd w:id="8"/>
      <w:bookmarkEnd w:id="9"/>
    </w:p>
    <w:p w14:paraId="78CDA1C9" w14:textId="77777777" w:rsidR="00ED61CA" w:rsidRDefault="00ED61CA" w:rsidP="007E4359">
      <w:pPr>
        <w:rPr>
          <w:i/>
        </w:rPr>
      </w:pPr>
    </w:p>
    <w:p w14:paraId="48E3634C" w14:textId="77777777" w:rsidR="007E4359" w:rsidRDefault="00F147D1" w:rsidP="007E4359">
      <w:r>
        <w:t>Each survey or other data collection instrument will be designed to reflect the specific information needs, decision support opportunities, and dissemination pathways appropriate to the customer population served.</w:t>
      </w:r>
      <w:r w:rsidR="0048659F">
        <w:t xml:space="preserve"> </w:t>
      </w:r>
      <w:r>
        <w:t>During the development of these voluntary instruments and other data gathering tools, groups within and outside of AHRQ will be consulted</w:t>
      </w:r>
      <w:r w:rsidR="008E406C">
        <w:t xml:space="preserve"> as needed</w:t>
      </w:r>
      <w:r>
        <w:t>.</w:t>
      </w:r>
      <w:r w:rsidR="0048659F">
        <w:t xml:space="preserve"> </w:t>
      </w:r>
      <w:r>
        <w:t>Plans to conduct information gathering will be reviewed prior to implementation, and any potential duplication will be identified in the review and approval process.</w:t>
      </w:r>
    </w:p>
    <w:p w14:paraId="5665345F" w14:textId="77777777" w:rsidR="008E406C" w:rsidRDefault="008E406C" w:rsidP="007E4359"/>
    <w:p w14:paraId="03971195" w14:textId="77777777" w:rsidR="009B633D" w:rsidRPr="00983636" w:rsidRDefault="009B633D" w:rsidP="009B633D">
      <w:pPr>
        <w:pStyle w:val="Heading2"/>
        <w:rPr>
          <w:sz w:val="24"/>
        </w:rPr>
      </w:pPr>
      <w:bookmarkStart w:id="10" w:name="_Toc151782180"/>
      <w:bookmarkStart w:id="11" w:name="_Toc158526220"/>
      <w:r w:rsidRPr="00983636">
        <w:rPr>
          <w:sz w:val="24"/>
        </w:rPr>
        <w:t>5. Involvement of Small Entities</w:t>
      </w:r>
      <w:bookmarkEnd w:id="10"/>
      <w:bookmarkEnd w:id="11"/>
    </w:p>
    <w:p w14:paraId="6A4D8E37" w14:textId="77777777" w:rsidR="00F147D1" w:rsidRDefault="00F147D1" w:rsidP="00F147D1">
      <w:pPr>
        <w:spacing w:before="100" w:beforeAutospacing="1" w:after="100" w:afterAutospacing="1"/>
      </w:pPr>
      <w:r>
        <w:t>The survey instruments and procedures for completing the instruments will be designed to minimize the burden on all respondents and will not have a significant impact on small businesses or other small entities.</w:t>
      </w:r>
      <w:r w:rsidR="0048659F">
        <w:t xml:space="preserve"> </w:t>
      </w:r>
      <w:r w:rsidR="008E406C">
        <w:t xml:space="preserve">Questionnaires </w:t>
      </w:r>
      <w:r w:rsidR="002E4DEB">
        <w:t>will be</w:t>
      </w:r>
      <w:r w:rsidR="008E406C">
        <w:t xml:space="preserve"> brief, yet of a sufficient length to collect the necessary data.</w:t>
      </w:r>
      <w:r w:rsidR="0048659F">
        <w:t xml:space="preserve"> </w:t>
      </w:r>
      <w:r>
        <w:t>The burden is entirely voluntary.</w:t>
      </w:r>
      <w:r w:rsidR="0048659F">
        <w:t xml:space="preserve"> </w:t>
      </w:r>
    </w:p>
    <w:p w14:paraId="3C55B490" w14:textId="77777777" w:rsidR="008E406C" w:rsidRPr="00F60488" w:rsidRDefault="008E406C" w:rsidP="002E4DEB">
      <w:pPr>
        <w:spacing w:before="100" w:beforeAutospacing="1"/>
        <w:rPr>
          <w:i/>
        </w:rPr>
      </w:pPr>
    </w:p>
    <w:p w14:paraId="3EFCD752" w14:textId="77777777" w:rsidR="009B633D" w:rsidRPr="00983636" w:rsidRDefault="009B633D" w:rsidP="002E4DEB">
      <w:pPr>
        <w:pStyle w:val="Heading2"/>
        <w:spacing w:before="0"/>
        <w:rPr>
          <w:sz w:val="24"/>
        </w:rPr>
      </w:pPr>
      <w:bookmarkStart w:id="12" w:name="_Toc151782181"/>
      <w:bookmarkStart w:id="13" w:name="_Toc158526221"/>
      <w:r w:rsidRPr="00983636">
        <w:rPr>
          <w:sz w:val="24"/>
        </w:rPr>
        <w:t>6. Consequences if Information Collected Less Frequently</w:t>
      </w:r>
      <w:bookmarkEnd w:id="12"/>
      <w:bookmarkEnd w:id="13"/>
    </w:p>
    <w:p w14:paraId="0F039E00" w14:textId="77777777" w:rsidR="00F147D1" w:rsidRDefault="00F147D1" w:rsidP="002E4DEB">
      <w:pPr>
        <w:spacing w:before="100" w:beforeAutospacing="1"/>
      </w:pPr>
      <w:bookmarkStart w:id="14" w:name="_Toc151782182"/>
      <w:bookmarkStart w:id="15" w:name="_Toc158526222"/>
      <w:r>
        <w:t xml:space="preserve">The proposed information collections are appropriate vehicles to examine customer experiences and perceptions with regard to products and services developed by the </w:t>
      </w:r>
      <w:smartTag w:uri="urn:schemas-microsoft-com:office:smarttags" w:element="place">
        <w:smartTag w:uri="urn:schemas-microsoft-com:office:smarttags" w:element="PlaceName">
          <w:r>
            <w:rPr>
              <w:iCs/>
              <w:lang w:val="en"/>
            </w:rPr>
            <w:t>Eisenberg</w:t>
          </w:r>
        </w:smartTag>
        <w:r>
          <w:t xml:space="preserve"> </w:t>
        </w:r>
        <w:smartTag w:uri="urn:schemas-microsoft-com:office:smarttags" w:element="PlaceType">
          <w:r>
            <w:t>Center</w:t>
          </w:r>
        </w:smartTag>
      </w:smartTag>
      <w:r>
        <w:t xml:space="preserve"> and its ability to communicate effectively with</w:t>
      </w:r>
      <w:r>
        <w:rPr>
          <w:iCs/>
          <w:lang w:val="en"/>
        </w:rPr>
        <w:t xml:space="preserve"> a variety of audiences</w:t>
      </w:r>
      <w:r>
        <w:t>.</w:t>
      </w:r>
      <w:r w:rsidR="0048659F">
        <w:t xml:space="preserve"> </w:t>
      </w:r>
      <w:r>
        <w:t xml:space="preserve">Collection of data on a less frequent basis would reduce the practical utility of the information and would inhibit the Eisenberg Center’s ability to: </w:t>
      </w:r>
      <w:r w:rsidR="002878DF">
        <w:t>(</w:t>
      </w:r>
      <w:r>
        <w:t xml:space="preserve">1) determine how well </w:t>
      </w:r>
      <w:r>
        <w:lastRenderedPageBreak/>
        <w:t xml:space="preserve">its products and services are meeting customers’ current and anticipated needs; </w:t>
      </w:r>
      <w:r w:rsidR="002878DF">
        <w:t>(</w:t>
      </w:r>
      <w:r>
        <w:t xml:space="preserve">2) identify problem areas with existing products and services and determine what improvements should be made to improve these products and services; and </w:t>
      </w:r>
      <w:r w:rsidR="002878DF">
        <w:t>(</w:t>
      </w:r>
      <w:r>
        <w:t>3) identify and develop new products and services.</w:t>
      </w:r>
      <w:r w:rsidR="0048659F">
        <w:t xml:space="preserve"> </w:t>
      </w:r>
      <w:r>
        <w:t xml:space="preserve">The importance of frequent interaction and data collection with targeted audiences was reflected in the request for applications issued in the contracting process, which specifically mandated formative, operational, and assessment data collection efforts related to the </w:t>
      </w:r>
      <w:smartTag w:uri="urn:schemas-microsoft-com:office:smarttags" w:element="place">
        <w:smartTag w:uri="urn:schemas-microsoft-com:office:smarttags" w:element="PlaceName">
          <w:r>
            <w:t>Eisenberg</w:t>
          </w:r>
        </w:smartTag>
        <w:r>
          <w:t xml:space="preserve"> </w:t>
        </w:r>
        <w:smartTag w:uri="urn:schemas-microsoft-com:office:smarttags" w:element="PlaceType">
          <w:r>
            <w:t>Center</w:t>
          </w:r>
        </w:smartTag>
      </w:smartTag>
      <w:r>
        <w:t xml:space="preserve"> and its products.</w:t>
      </w:r>
      <w:r w:rsidR="0048659F">
        <w:t xml:space="preserve"> </w:t>
      </w:r>
    </w:p>
    <w:p w14:paraId="18D12FA9" w14:textId="77777777" w:rsidR="002E4DEB" w:rsidRPr="00FB6500" w:rsidRDefault="002E4DEB" w:rsidP="002E4DEB">
      <w:pPr>
        <w:spacing w:before="100" w:beforeAutospacing="1"/>
        <w:rPr>
          <w:b/>
          <w:i/>
        </w:rPr>
      </w:pPr>
    </w:p>
    <w:p w14:paraId="2C1E1FB7" w14:textId="77777777" w:rsidR="009B633D" w:rsidRDefault="009B633D" w:rsidP="002E4DEB">
      <w:pPr>
        <w:pStyle w:val="Heading2"/>
        <w:spacing w:before="0"/>
        <w:rPr>
          <w:sz w:val="24"/>
        </w:rPr>
      </w:pPr>
      <w:r w:rsidRPr="00412C6F">
        <w:rPr>
          <w:sz w:val="24"/>
        </w:rPr>
        <w:t>7. Special Circumstances</w:t>
      </w:r>
      <w:bookmarkEnd w:id="14"/>
      <w:bookmarkEnd w:id="15"/>
    </w:p>
    <w:p w14:paraId="478FE3F1" w14:textId="41EFB7D3" w:rsidR="00FB6500" w:rsidRPr="00FB6500" w:rsidRDefault="00FB6500" w:rsidP="00FB6500">
      <w:pPr>
        <w:rPr>
          <w:i/>
        </w:rPr>
      </w:pPr>
    </w:p>
    <w:p w14:paraId="76287AFA" w14:textId="77777777" w:rsidR="009B633D" w:rsidRDefault="009B633D" w:rsidP="009B633D">
      <w:pPr>
        <w:spacing w:before="120"/>
      </w:pPr>
      <w:r w:rsidRPr="004F03D2">
        <w:t>This request is consistent with the general information collection guid</w:t>
      </w:r>
      <w:r>
        <w:t>elines of 5 CFR 1320.5(d</w:t>
      </w:r>
      <w:proofErr w:type="gramStart"/>
      <w:r>
        <w:t>)(</w:t>
      </w:r>
      <w:proofErr w:type="gramEnd"/>
      <w:r>
        <w:t>2).  No special circumstances apply.</w:t>
      </w:r>
    </w:p>
    <w:p w14:paraId="0A02AE47" w14:textId="77777777" w:rsidR="004E3A1B" w:rsidRDefault="009B633D" w:rsidP="004E3A1B">
      <w:pPr>
        <w:pStyle w:val="Heading2"/>
        <w:rPr>
          <w:sz w:val="24"/>
          <w:szCs w:val="24"/>
        </w:rPr>
      </w:pPr>
      <w:bookmarkStart w:id="16" w:name="_Toc151782183"/>
      <w:bookmarkStart w:id="17" w:name="_Toc158526223"/>
      <w:r w:rsidRPr="00412C6F">
        <w:rPr>
          <w:sz w:val="24"/>
        </w:rPr>
        <w:t>8.</w:t>
      </w:r>
      <w:r w:rsidRPr="004E3A1B">
        <w:rPr>
          <w:sz w:val="24"/>
          <w:szCs w:val="24"/>
        </w:rPr>
        <w:t xml:space="preserve"> </w:t>
      </w:r>
      <w:bookmarkEnd w:id="16"/>
      <w:bookmarkEnd w:id="17"/>
      <w:r w:rsidR="004E3A1B" w:rsidRPr="004E3A1B">
        <w:rPr>
          <w:sz w:val="24"/>
          <w:szCs w:val="24"/>
        </w:rPr>
        <w:t>Federal Register Notice and Outside Consultations</w:t>
      </w:r>
    </w:p>
    <w:p w14:paraId="23E48B2C" w14:textId="77777777" w:rsidR="004E3A1B" w:rsidRDefault="004E3A1B" w:rsidP="004E3A1B"/>
    <w:p w14:paraId="11BBE55D" w14:textId="77777777"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14:paraId="67882045" w14:textId="30853484" w:rsidR="007C1ECB" w:rsidRPr="007C1ECB" w:rsidRDefault="007C1ECB" w:rsidP="004E3A1B"/>
    <w:p w14:paraId="6C4AD8B2" w14:textId="17D968FE" w:rsidR="004E3A1B" w:rsidRPr="004E3A1B" w:rsidRDefault="00A30D9A" w:rsidP="004E3A1B">
      <w:bookmarkStart w:id="18" w:name="OLE_LINK3"/>
      <w:bookmarkStart w:id="19" w:name="OLE_LINK4"/>
      <w:r>
        <w:t xml:space="preserve">As required by </w:t>
      </w:r>
      <w:r w:rsidR="0037771B">
        <w:t>5 CFR 1320.8(d), n</w:t>
      </w:r>
      <w:r w:rsidR="009374DF" w:rsidRPr="007B4120">
        <w:t>otice was published in the Federal Register on</w:t>
      </w:r>
      <w:r w:rsidR="00FE6474">
        <w:t xml:space="preserve">       May 27, 2016, </w:t>
      </w:r>
      <w:r w:rsidR="003C5981">
        <w:t>on p</w:t>
      </w:r>
      <w:r w:rsidR="00FE6474" w:rsidRPr="00FE6474">
        <w:t>age 3367</w:t>
      </w:r>
      <w:r w:rsidR="00FE6474">
        <w:t>5</w:t>
      </w:r>
      <w:r w:rsidR="009374DF" w:rsidRPr="007B4120">
        <w:t xml:space="preserve"> for 60 days</w:t>
      </w:r>
      <w:r w:rsidR="00016560">
        <w:t xml:space="preserve"> </w:t>
      </w:r>
      <w:r w:rsidR="00620B93">
        <w:t>(see A</w:t>
      </w:r>
      <w:r w:rsidR="00EE4455">
        <w:t xml:space="preserve">ttachment </w:t>
      </w:r>
      <w:r w:rsidR="00EE4455" w:rsidRPr="00EE4455">
        <w:rPr>
          <w:i/>
        </w:rPr>
        <w:t>X</w:t>
      </w:r>
      <w:r w:rsidR="00016560">
        <w:t>)</w:t>
      </w:r>
      <w:r w:rsidR="009374DF">
        <w:t xml:space="preserve">.  </w:t>
      </w:r>
      <w:bookmarkEnd w:id="18"/>
      <w:bookmarkEnd w:id="19"/>
      <w:r w:rsidR="003C5981">
        <w:t xml:space="preserve">No substantive comments were received.  </w:t>
      </w:r>
    </w:p>
    <w:p w14:paraId="0E681882" w14:textId="77777777"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14:paraId="65DD8A76" w14:textId="5285A9A0" w:rsidR="00F147D1" w:rsidRPr="00F147D1" w:rsidRDefault="00F147D1" w:rsidP="00F147D1">
      <w:pPr>
        <w:spacing w:before="100" w:beforeAutospacing="1" w:after="100" w:afterAutospacing="1"/>
      </w:pPr>
      <w:bookmarkStart w:id="20" w:name="_Toc457285506"/>
      <w:bookmarkStart w:id="21" w:name="_Toc58725294"/>
      <w:bookmarkStart w:id="22" w:name="_Toc151782184"/>
      <w:bookmarkStart w:id="23" w:name="_Toc158526224"/>
      <w:r w:rsidRPr="00F147D1">
        <w:t xml:space="preserve">The Eisenberg Center will consult </w:t>
      </w:r>
      <w:r>
        <w:t xml:space="preserve">as needed </w:t>
      </w:r>
      <w:r w:rsidRPr="00F147D1">
        <w:t xml:space="preserve">with AHRQ’s in-house statistical staff, </w:t>
      </w:r>
      <w:r w:rsidR="005A0BAB">
        <w:t>Evidence</w:t>
      </w:r>
      <w:r w:rsidR="00195D66">
        <w:t>-b</w:t>
      </w:r>
      <w:r w:rsidR="005A0BAB">
        <w:t xml:space="preserve">ased Practice Centers (EPCs), </w:t>
      </w:r>
      <w:r w:rsidRPr="00F147D1">
        <w:t>other Federal agencies, and other organizations</w:t>
      </w:r>
      <w:r w:rsidR="005A0BAB">
        <w:t xml:space="preserve"> who may also be involved in similar or related efforts </w:t>
      </w:r>
      <w:r w:rsidRPr="00F147D1">
        <w:t>to identify areas of interest and concern to customers.</w:t>
      </w:r>
      <w:r w:rsidR="0048659F">
        <w:t xml:space="preserve"> </w:t>
      </w:r>
      <w:r w:rsidRPr="00F147D1">
        <w:t>As appropriate, panels of outside experts may be established to assist in design and implementation of the surveys.</w:t>
      </w:r>
    </w:p>
    <w:p w14:paraId="7F15ADB4" w14:textId="77777777" w:rsidR="0038217D" w:rsidRPr="0038217D" w:rsidRDefault="009B633D" w:rsidP="0038217D">
      <w:pPr>
        <w:pStyle w:val="Heading2"/>
        <w:rPr>
          <w:sz w:val="24"/>
        </w:rPr>
      </w:pPr>
      <w:r w:rsidRPr="00412C6F">
        <w:t>9. Payments/Gifts to Respondents</w:t>
      </w:r>
      <w:bookmarkEnd w:id="20"/>
      <w:bookmarkEnd w:id="21"/>
      <w:bookmarkEnd w:id="22"/>
      <w:bookmarkEnd w:id="23"/>
    </w:p>
    <w:p w14:paraId="099551AC" w14:textId="77777777" w:rsidR="004A7CD5" w:rsidRPr="00FB6500" w:rsidRDefault="004A7CD5" w:rsidP="004A7CD5">
      <w:pPr>
        <w:rPr>
          <w:i/>
        </w:rPr>
      </w:pPr>
    </w:p>
    <w:p w14:paraId="3E7DD5F8" w14:textId="77777777" w:rsidR="00406360" w:rsidRDefault="00406360" w:rsidP="00406360">
      <w:r>
        <w:t xml:space="preserve">No remuneration to respondents for written, telephone, web, or other forms of surveys or interviews will be given, except as follows. On a case-by-case basis, consideration will be given for modest remuneration for participants in focus groups and semi-structured interviews. </w:t>
      </w:r>
      <w:r w:rsidRPr="005B3BFE">
        <w:t xml:space="preserve">This remuneration is meant to reimburse the participants for their time and </w:t>
      </w:r>
      <w:r>
        <w:t xml:space="preserve">expenses including potential </w:t>
      </w:r>
      <w:r w:rsidRPr="005B3BFE">
        <w:t>travel</w:t>
      </w:r>
      <w:r>
        <w:t xml:space="preserve"> to and from the testing facility</w:t>
      </w:r>
      <w:r w:rsidRPr="005B3BFE">
        <w:t>.</w:t>
      </w:r>
      <w:r>
        <w:t xml:space="preserve">  Maximum honoraria amounts of $50 will be paid to consumers participating in interviews or focus groups, while honoraria amounts of up to $250 will be paid to expert physicians, policymakers, and health system managers and administrators for performing complex testing processes. These individuals have limited time availability and are accustomed to receiving similar levels of recompense for their valuable input, which is essential to effective product development and testing. To ensure an equitable process, identical</w:t>
      </w:r>
      <w:r w:rsidRPr="005B3BFE">
        <w:t xml:space="preserve"> </w:t>
      </w:r>
      <w:r>
        <w:t>financial incentives</w:t>
      </w:r>
      <w:r w:rsidRPr="005B3BFE">
        <w:t xml:space="preserve"> will be offered to all </w:t>
      </w:r>
      <w:r>
        <w:t xml:space="preserve">individuals </w:t>
      </w:r>
      <w:r w:rsidRPr="005B3BFE">
        <w:t>participating in a specific activity</w:t>
      </w:r>
      <w:r>
        <w:t>, and participants will be allowed to drop out of the study at any time without loss of incentive</w:t>
      </w:r>
      <w:r w:rsidRPr="005B3BFE">
        <w:t>.</w:t>
      </w:r>
      <w:r>
        <w:t xml:space="preserve"> </w:t>
      </w:r>
      <w:r>
        <w:t xml:space="preserve">Factors influencing the rate of remuneration will include: (1) the participant’s </w:t>
      </w:r>
      <w:r>
        <w:lastRenderedPageBreak/>
        <w:t xml:space="preserve">qualifications/demonstrated expertise; (2) projected time allocation and any preparations required for the activity; (3) urgency of gathering data and the implications with regard to incentivizing participants; and (4) projected likelihood of loss of income or other costs to participants (e.g., child care costs, travel expenses) that are associated with participation. </w:t>
      </w:r>
    </w:p>
    <w:p w14:paraId="7C8665FA" w14:textId="77777777" w:rsidR="00406360" w:rsidRDefault="00406360" w:rsidP="00406360"/>
    <w:p w14:paraId="4B0334AF" w14:textId="77777777" w:rsidR="00406360" w:rsidRDefault="00406360" w:rsidP="00406360">
      <w:r>
        <w:t xml:space="preserve">Remuneration for interviews and other activities demanding participant time is a recognized standard industry practice, without which it would be difficult to achieve appropriate and adequate participation. </w:t>
      </w:r>
      <w:r w:rsidRPr="00E32021">
        <w:t xml:space="preserve">Although </w:t>
      </w:r>
      <w:r>
        <w:t xml:space="preserve">the published literature is </w:t>
      </w:r>
      <w:r w:rsidRPr="00E32021">
        <w:t xml:space="preserve">somewhat mixed in </w:t>
      </w:r>
      <w:r>
        <w:t xml:space="preserve">terms of quantifying </w:t>
      </w:r>
      <w:r w:rsidRPr="00E32021">
        <w:t xml:space="preserve">the extent to which financial remuneration motivates participation </w:t>
      </w:r>
      <w:r>
        <w:t xml:space="preserve">in surveys or interviews as well as </w:t>
      </w:r>
      <w:r w:rsidRPr="00E32021">
        <w:t xml:space="preserve">the </w:t>
      </w:r>
      <w:r>
        <w:t xml:space="preserve">incentives required </w:t>
      </w:r>
      <w:r w:rsidRPr="00E32021">
        <w:t xml:space="preserve">to obtain high response rates, a meta-analysis </w:t>
      </w:r>
      <w:r>
        <w:t>conducted</w:t>
      </w:r>
      <w:r w:rsidRPr="00E32021">
        <w:t xml:space="preserve"> by</w:t>
      </w:r>
      <w:r>
        <w:t xml:space="preserve"> Eleanor</w:t>
      </w:r>
      <w:r w:rsidRPr="00E32021">
        <w:t xml:space="preserve"> Singer and colleagues </w:t>
      </w:r>
      <w:r>
        <w:t xml:space="preserve">on </w:t>
      </w:r>
      <w:r w:rsidRPr="00E32021">
        <w:t>face-to-face and telephone surveys</w:t>
      </w:r>
      <w:r>
        <w:t xml:space="preserve"> </w:t>
      </w:r>
      <w:r w:rsidRPr="00E32021">
        <w:t>found that paying incentive</w:t>
      </w:r>
      <w:r>
        <w:t>s</w:t>
      </w:r>
      <w:r w:rsidRPr="00E32021">
        <w:t xml:space="preserve"> </w:t>
      </w:r>
      <w:r>
        <w:t>produced</w:t>
      </w:r>
      <w:r w:rsidRPr="00E32021">
        <w:t xml:space="preserve"> </w:t>
      </w:r>
      <w:r>
        <w:t xml:space="preserve">a </w:t>
      </w:r>
      <w:r w:rsidRPr="00E32021">
        <w:t xml:space="preserve">positive </w:t>
      </w:r>
      <w:r>
        <w:t xml:space="preserve">and statistically significant </w:t>
      </w:r>
      <w:r w:rsidRPr="00E32021">
        <w:t>effect.</w:t>
      </w:r>
      <w:r>
        <w:rPr>
          <w:rStyle w:val="FootnoteReference"/>
        </w:rPr>
        <w:footnoteReference w:id="1"/>
      </w:r>
      <w:r w:rsidRPr="00E32021">
        <w:t xml:space="preserve"> The </w:t>
      </w:r>
      <w:r>
        <w:t xml:space="preserve">effect was </w:t>
      </w:r>
      <w:r w:rsidRPr="00E32021">
        <w:t xml:space="preserve">linear (i.e., modeling a curvilinear term </w:t>
      </w:r>
      <w:r>
        <w:t xml:space="preserve">failed to produce significant </w:t>
      </w:r>
      <w:r w:rsidRPr="00E32021">
        <w:t xml:space="preserve">results), leading the authors to conclude (p. 223), “Within the limits of incentives and response rates occurring in these experiments, more money results in higher response rates.”  Increasing the </w:t>
      </w:r>
      <w:r>
        <w:t xml:space="preserve">participation </w:t>
      </w:r>
      <w:r w:rsidRPr="00E32021">
        <w:t>burden on respondent</w:t>
      </w:r>
      <w:r>
        <w:t xml:space="preserve">s </w:t>
      </w:r>
      <w:r w:rsidRPr="00E32021">
        <w:t>resulted in even stronger effects</w:t>
      </w:r>
      <w:r>
        <w:t xml:space="preserve"> for monetary motivation (which suggests</w:t>
      </w:r>
      <w:r w:rsidRPr="00E32021">
        <w:t xml:space="preserve"> </w:t>
      </w:r>
      <w:r>
        <w:t xml:space="preserve">that </w:t>
      </w:r>
      <w:r w:rsidRPr="00E32021">
        <w:t>a disproportionately greater compensation rate</w:t>
      </w:r>
      <w:r>
        <w:t xml:space="preserve"> may be required for the longer interviews typically conducted by the Eisenberg Center)</w:t>
      </w:r>
      <w:r w:rsidRPr="00E32021">
        <w:t xml:space="preserve">. </w:t>
      </w:r>
      <w:r>
        <w:t>Further</w:t>
      </w:r>
      <w:r w:rsidRPr="00E32021">
        <w:t>, the authors found that</w:t>
      </w:r>
      <w:r>
        <w:t xml:space="preserve"> the</w:t>
      </w:r>
      <w:r w:rsidRPr="00E32021">
        <w:t xml:space="preserve"> data </w:t>
      </w:r>
      <w:r>
        <w:t xml:space="preserve">from </w:t>
      </w:r>
      <w:r w:rsidRPr="00E32021">
        <w:t xml:space="preserve">some, but not all, </w:t>
      </w:r>
      <w:r>
        <w:t xml:space="preserve">included </w:t>
      </w:r>
      <w:r w:rsidRPr="00E32021">
        <w:t xml:space="preserve">studies </w:t>
      </w:r>
      <w:r>
        <w:t xml:space="preserve">produced results consistent with the conclusion: </w:t>
      </w:r>
      <w:r w:rsidRPr="00E32021">
        <w:t>“paying an incentive may be useful in obtaining higher numbers of respondents in demographic categories that might otherwise tend to be underrepresented in sample surveys (e.g., low income or nonwhite race).”</w:t>
      </w:r>
    </w:p>
    <w:p w14:paraId="550909FF" w14:textId="77777777" w:rsidR="00406360" w:rsidRDefault="00406360" w:rsidP="00406360"/>
    <w:p w14:paraId="56D14F1B" w14:textId="77777777" w:rsidR="00406360" w:rsidRDefault="00406360" w:rsidP="00406360">
      <w:r>
        <w:t xml:space="preserve">The maximum payment ranges specified here have been determined in light of both the empirically-defined principles summarized above and the responsiveness observed among those invited to participate in identical work conducted by the Eisenberg Center during the prior 5-year contract period. Lesser payments were offered in some instances and were not found to produce the responsiveness desired, nor </w:t>
      </w:r>
      <w:proofErr w:type="gramStart"/>
      <w:r>
        <w:t>to motivate highly qualified</w:t>
      </w:r>
      <w:proofErr w:type="gramEnd"/>
      <w:r>
        <w:t xml:space="preserve"> clinicians, senior-level administrators, and various content experts to integrate these types of assessment activities into their already overtaxed schedules. The maximum amounts proposed here are meant to compensate for their efforts (e.g., a priori review of products to be discussed during an interview, along with the accompanying literature base as necessary) using a rate equal to or slightly exceeding their typical hourly rates for work performed. If significantly lower payments were substituted, recruits would likely consist of highly motivated participants, and hence the potential for volunteerism bias to result in perspectives not generalizable to the targeted populations at large. With respect to consumers, in some cases the Eisenberg Center wishes to identify and form a “panel” that would be queried on multiple occasions to provide feedback (e.g., in reaction to ongoing product modifications). If no or minimal incentives are offered, consumers will be less likely to commit to ongoing participation in these assessments unless predisposed to volunteer. In addition, some Eisenberg Center work requires accessing and recruiting from exceptionally unique subpopulations, often with a compressed lead-time. This process would be hampered if minimal compensation amounts were offered. </w:t>
      </w:r>
    </w:p>
    <w:p w14:paraId="36D4A5FC" w14:textId="77777777" w:rsidR="00406360" w:rsidRDefault="00406360" w:rsidP="00406360"/>
    <w:p w14:paraId="16F092F6" w14:textId="77777777" w:rsidR="00406360" w:rsidRDefault="00406360" w:rsidP="00406360">
      <w:r>
        <w:t>Nor do the participants and circumstances proposed under this clearance fall into the categories defined by Ruth Grant as potentially causing undue influence or coercion.</w:t>
      </w:r>
      <w:r>
        <w:rPr>
          <w:rStyle w:val="FootnoteReference"/>
        </w:rPr>
        <w:footnoteReference w:id="2"/>
      </w:r>
      <w:r>
        <w:t xml:space="preserve"> Specific proposed remuneration will be included in the supporting statement for activities specified under this generic clearance. </w:t>
      </w:r>
    </w:p>
    <w:p w14:paraId="2DC29E3D" w14:textId="77777777" w:rsidR="00F147D1" w:rsidRPr="00825DA9" w:rsidRDefault="00F147D1" w:rsidP="009B633D">
      <w:pPr>
        <w:jc w:val="both"/>
        <w:rPr>
          <w:i/>
        </w:rPr>
      </w:pPr>
    </w:p>
    <w:p w14:paraId="1E3D5F35" w14:textId="77777777"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14:paraId="62399312" w14:textId="24CA5526" w:rsidR="00F147D1" w:rsidRDefault="00F147D1" w:rsidP="00ED61CA">
      <w:pPr>
        <w:spacing w:before="100" w:beforeAutospacing="1" w:after="100" w:afterAutospacing="1"/>
      </w:pPr>
      <w:r w:rsidRPr="006535FA">
        <w:t xml:space="preserve">Individuals and organizations will be assured of the confidentiality of their replies under </w:t>
      </w:r>
      <w:r w:rsidRPr="0083145C">
        <w:t>Sections 944(c) and 308(d) of the Public Health Service Act [42 U.S.C. 299c-3(c) and 42 U.S.C. 242m(d)]</w:t>
      </w:r>
      <w:r w:rsidRPr="006535FA">
        <w:t xml:space="preserve">.  They will be told the purposes for which the information is collected and that, in accordance with this statute, any identifiable information about them will not be used or disclosed for any other purpose. </w:t>
      </w:r>
    </w:p>
    <w:p w14:paraId="55CBF686" w14:textId="77777777" w:rsidR="00F147D1" w:rsidRPr="006535FA" w:rsidRDefault="00F147D1" w:rsidP="00F147D1"/>
    <w:p w14:paraId="0CBD5C7B" w14:textId="6CC94B52" w:rsidR="00F147D1" w:rsidRDefault="00F147D1" w:rsidP="00F147D1">
      <w:r>
        <w:t xml:space="preserve">Respondents will be advised that surveys and/or other data collection activities in which they may be asked to participate are entirely voluntary, and that any information they provide will be combined and summarized with information provided by others and no individually identifiable information will be released.  In instances where respondent identifiers are needed (e.g., continuing medical education [CME] follow-up), information collection will fully comply with all respects of the Privacy Act.  </w:t>
      </w:r>
    </w:p>
    <w:p w14:paraId="01315618" w14:textId="77777777" w:rsidR="00ED61CA" w:rsidRDefault="00ED61CA" w:rsidP="00ED61CA">
      <w:pPr>
        <w:pStyle w:val="Heading2"/>
        <w:spacing w:before="0" w:after="0"/>
        <w:rPr>
          <w:sz w:val="24"/>
        </w:rPr>
      </w:pPr>
      <w:bookmarkStart w:id="26" w:name="_Toc151782186"/>
      <w:bookmarkStart w:id="27" w:name="_Toc158526226"/>
    </w:p>
    <w:p w14:paraId="5791A071" w14:textId="77777777" w:rsidR="009B633D" w:rsidRPr="00412C6F" w:rsidRDefault="009B633D" w:rsidP="009B633D">
      <w:pPr>
        <w:pStyle w:val="Heading2"/>
        <w:rPr>
          <w:sz w:val="24"/>
        </w:rPr>
      </w:pPr>
      <w:r w:rsidRPr="00412C6F">
        <w:rPr>
          <w:sz w:val="24"/>
        </w:rPr>
        <w:t>11. Questions of a Sensitive Nature</w:t>
      </w:r>
      <w:bookmarkEnd w:id="26"/>
      <w:bookmarkEnd w:id="27"/>
    </w:p>
    <w:p w14:paraId="6703ED2D" w14:textId="77777777" w:rsidR="00BB7136" w:rsidRDefault="00BB7136" w:rsidP="00ED0EBB">
      <w:pPr>
        <w:rPr>
          <w:i/>
        </w:rPr>
      </w:pPr>
    </w:p>
    <w:p w14:paraId="1CAED3A8" w14:textId="77777777" w:rsidR="00F147D1" w:rsidRDefault="00F147D1" w:rsidP="00F147D1">
      <w:r>
        <w:t xml:space="preserve">No questions of a sensitive nature are anticipated under this generic clearance. </w:t>
      </w:r>
    </w:p>
    <w:p w14:paraId="79FA949E" w14:textId="77777777" w:rsidR="00F147D1" w:rsidRDefault="00F147D1" w:rsidP="00ED0EBB">
      <w:pPr>
        <w:rPr>
          <w:i/>
        </w:rPr>
      </w:pPr>
    </w:p>
    <w:p w14:paraId="1D246145" w14:textId="77777777"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14:paraId="7B43247E" w14:textId="77777777" w:rsidR="00AA788A" w:rsidRDefault="00AA788A" w:rsidP="007D4F9F">
      <w:pPr>
        <w:rPr>
          <w:rStyle w:val="Strong"/>
          <w:b w:val="0"/>
          <w:i/>
        </w:rPr>
      </w:pPr>
    </w:p>
    <w:p w14:paraId="2E26170F" w14:textId="77777777" w:rsidR="00A56D59" w:rsidRPr="00A56D59" w:rsidRDefault="00A56D59" w:rsidP="00A56D59">
      <w:pPr>
        <w:rPr>
          <w:bCs/>
          <w:color w:val="000000"/>
        </w:rPr>
      </w:pPr>
      <w:bookmarkStart w:id="30" w:name="OLE_LINK1"/>
      <w:bookmarkStart w:id="31" w:name="OLE_LINK2"/>
      <w:r w:rsidRPr="00A56D59">
        <w:rPr>
          <w:bCs/>
          <w:color w:val="000000"/>
        </w:rPr>
        <w:t>Exhibit 1 shows the estimated total burden for the respondents' time to participate in this research.</w:t>
      </w:r>
      <w:r w:rsidR="0048659F">
        <w:rPr>
          <w:bCs/>
          <w:color w:val="000000"/>
        </w:rPr>
        <w:t xml:space="preserve"> </w:t>
      </w:r>
      <w:r w:rsidRPr="00A56D59">
        <w:rPr>
          <w:bCs/>
          <w:color w:val="000000"/>
        </w:rPr>
        <w:t xml:space="preserve">These estimates assume a maximum of </w:t>
      </w:r>
      <w:r w:rsidR="00C04429">
        <w:rPr>
          <w:bCs/>
          <w:color w:val="000000"/>
        </w:rPr>
        <w:t>141</w:t>
      </w:r>
      <w:r w:rsidRPr="00A56D59">
        <w:rPr>
          <w:bCs/>
          <w:color w:val="000000"/>
        </w:rPr>
        <w:t xml:space="preserve"> Summary </w:t>
      </w:r>
      <w:r w:rsidR="00C04429">
        <w:rPr>
          <w:bCs/>
          <w:color w:val="000000"/>
        </w:rPr>
        <w:t xml:space="preserve">products </w:t>
      </w:r>
      <w:r w:rsidRPr="00A56D59">
        <w:rPr>
          <w:bCs/>
          <w:color w:val="000000"/>
        </w:rPr>
        <w:t xml:space="preserve">over 3 years </w:t>
      </w:r>
      <w:r w:rsidR="00C04429">
        <w:rPr>
          <w:bCs/>
          <w:color w:val="000000"/>
        </w:rPr>
        <w:t>with</w:t>
      </w:r>
      <w:r w:rsidRPr="00A56D59">
        <w:rPr>
          <w:bCs/>
          <w:color w:val="000000"/>
        </w:rPr>
        <w:t xml:space="preserve"> separate </w:t>
      </w:r>
      <w:r w:rsidR="00C04429">
        <w:rPr>
          <w:bCs/>
          <w:color w:val="000000"/>
        </w:rPr>
        <w:t xml:space="preserve">products developed </w:t>
      </w:r>
      <w:r w:rsidRPr="00A56D59">
        <w:rPr>
          <w:bCs/>
          <w:color w:val="000000"/>
        </w:rPr>
        <w:t>for clinicians, policymakers</w:t>
      </w:r>
      <w:r w:rsidR="00C04429">
        <w:rPr>
          <w:bCs/>
          <w:color w:val="000000"/>
        </w:rPr>
        <w:t>,</w:t>
      </w:r>
      <w:r w:rsidRPr="00A56D59">
        <w:rPr>
          <w:bCs/>
          <w:color w:val="000000"/>
        </w:rPr>
        <w:t xml:space="preserve"> and consumers.</w:t>
      </w:r>
    </w:p>
    <w:p w14:paraId="064F781D" w14:textId="77777777" w:rsidR="00A56D59" w:rsidRPr="00A56D59" w:rsidRDefault="00A56D59" w:rsidP="00A56D59">
      <w:pPr>
        <w:rPr>
          <w:bCs/>
          <w:color w:val="000000"/>
        </w:rPr>
      </w:pPr>
    </w:p>
    <w:p w14:paraId="31BFB176" w14:textId="77777777" w:rsidR="00A56D59" w:rsidRPr="00A56D59" w:rsidRDefault="00022D00" w:rsidP="00A56D59">
      <w:pPr>
        <w:rPr>
          <w:bCs/>
          <w:color w:val="000000"/>
        </w:rPr>
      </w:pPr>
      <w:r>
        <w:rPr>
          <w:bCs/>
          <w:color w:val="000000"/>
        </w:rPr>
        <w:t>Formative interviews, and in some cases focus groups,</w:t>
      </w:r>
      <w:r w:rsidR="00A56D59" w:rsidRPr="00A56D59">
        <w:rPr>
          <w:bCs/>
          <w:color w:val="000000"/>
        </w:rPr>
        <w:t xml:space="preserve"> </w:t>
      </w:r>
      <w:r>
        <w:rPr>
          <w:bCs/>
          <w:color w:val="000000"/>
        </w:rPr>
        <w:t xml:space="preserve">will </w:t>
      </w:r>
      <w:r w:rsidR="00A56D59" w:rsidRPr="00A56D59">
        <w:rPr>
          <w:bCs/>
          <w:color w:val="000000"/>
        </w:rPr>
        <w:t xml:space="preserve">be used </w:t>
      </w:r>
      <w:r>
        <w:rPr>
          <w:bCs/>
          <w:color w:val="000000"/>
        </w:rPr>
        <w:t xml:space="preserve">to conduct </w:t>
      </w:r>
      <w:r w:rsidR="00A56D59" w:rsidRPr="00A56D59">
        <w:rPr>
          <w:bCs/>
          <w:color w:val="000000"/>
        </w:rPr>
        <w:t xml:space="preserve">needs assessment and will be </w:t>
      </w:r>
      <w:r>
        <w:rPr>
          <w:bCs/>
          <w:color w:val="000000"/>
        </w:rPr>
        <w:t xml:space="preserve">held </w:t>
      </w:r>
      <w:r w:rsidR="00A56D59" w:rsidRPr="00A56D59">
        <w:rPr>
          <w:bCs/>
          <w:color w:val="000000"/>
        </w:rPr>
        <w:t xml:space="preserve">with clinicians and consumers for development of the </w:t>
      </w:r>
      <w:r>
        <w:rPr>
          <w:bCs/>
          <w:color w:val="000000"/>
        </w:rPr>
        <w:t>products</w:t>
      </w:r>
      <w:r w:rsidR="00F704BD">
        <w:rPr>
          <w:bCs/>
          <w:color w:val="000000"/>
        </w:rPr>
        <w:t xml:space="preserve"> and decision aids</w:t>
      </w:r>
      <w:r w:rsidR="00A56D59" w:rsidRPr="00A56D59">
        <w:rPr>
          <w:bCs/>
          <w:color w:val="000000"/>
        </w:rPr>
        <w:t xml:space="preserve">, and additionally with policymakers for those </w:t>
      </w:r>
      <w:r>
        <w:rPr>
          <w:bCs/>
          <w:color w:val="000000"/>
        </w:rPr>
        <w:t>products</w:t>
      </w:r>
      <w:r w:rsidR="00A56D59" w:rsidRPr="00A56D59">
        <w:rPr>
          <w:bCs/>
          <w:color w:val="000000"/>
        </w:rPr>
        <w:t xml:space="preserve"> in which policy recommendations are applicable.</w:t>
      </w:r>
      <w:r w:rsidR="0048659F">
        <w:rPr>
          <w:bCs/>
          <w:color w:val="000000"/>
        </w:rPr>
        <w:t xml:space="preserve"> </w:t>
      </w:r>
      <w:r>
        <w:rPr>
          <w:bCs/>
          <w:color w:val="000000"/>
        </w:rPr>
        <w:t xml:space="preserve">Interviews </w:t>
      </w:r>
      <w:r w:rsidR="00A56D59" w:rsidRPr="00A56D59">
        <w:rPr>
          <w:bCs/>
          <w:color w:val="000000"/>
        </w:rPr>
        <w:t xml:space="preserve">will be conducted with no more than </w:t>
      </w:r>
      <w:r>
        <w:rPr>
          <w:bCs/>
          <w:color w:val="000000"/>
        </w:rPr>
        <w:t>2,115</w:t>
      </w:r>
      <w:r w:rsidR="00A56D59" w:rsidRPr="00A56D59">
        <w:rPr>
          <w:bCs/>
          <w:color w:val="000000"/>
        </w:rPr>
        <w:t xml:space="preserve"> persons</w:t>
      </w:r>
      <w:r w:rsidR="00F704BD">
        <w:rPr>
          <w:bCs/>
          <w:color w:val="000000"/>
        </w:rPr>
        <w:t xml:space="preserve"> for product development, 180 persons for decision aid development, and </w:t>
      </w:r>
      <w:r w:rsidR="00BB5E52">
        <w:rPr>
          <w:bCs/>
          <w:color w:val="000000"/>
        </w:rPr>
        <w:t>180</w:t>
      </w:r>
      <w:r w:rsidR="00F704BD">
        <w:rPr>
          <w:bCs/>
          <w:color w:val="000000"/>
        </w:rPr>
        <w:t xml:space="preserve"> persons for development of dissemination initiatives</w:t>
      </w:r>
      <w:r w:rsidR="00A56D59" w:rsidRPr="00A56D59">
        <w:rPr>
          <w:bCs/>
          <w:color w:val="000000"/>
        </w:rPr>
        <w:t xml:space="preserve"> over 3 years</w:t>
      </w:r>
      <w:r w:rsidR="00F704BD">
        <w:rPr>
          <w:bCs/>
          <w:color w:val="000000"/>
        </w:rPr>
        <w:t>,</w:t>
      </w:r>
      <w:r w:rsidR="00A56D59" w:rsidRPr="00A56D59">
        <w:rPr>
          <w:bCs/>
          <w:color w:val="000000"/>
        </w:rPr>
        <w:t xml:space="preserve"> and </w:t>
      </w:r>
      <w:r>
        <w:rPr>
          <w:bCs/>
          <w:color w:val="000000"/>
        </w:rPr>
        <w:t xml:space="preserve">each </w:t>
      </w:r>
      <w:r w:rsidR="00A56D59" w:rsidRPr="00A56D59">
        <w:rPr>
          <w:bCs/>
          <w:color w:val="000000"/>
        </w:rPr>
        <w:t xml:space="preserve">will last about </w:t>
      </w:r>
      <w:r>
        <w:rPr>
          <w:bCs/>
          <w:color w:val="000000"/>
        </w:rPr>
        <w:t>60 minutes</w:t>
      </w:r>
      <w:r w:rsidR="00A56D59" w:rsidRPr="00A56D59">
        <w:rPr>
          <w:bCs/>
          <w:color w:val="000000"/>
        </w:rPr>
        <w:t>.</w:t>
      </w:r>
      <w:r w:rsidR="0048659F">
        <w:rPr>
          <w:bCs/>
          <w:color w:val="000000"/>
        </w:rPr>
        <w:t xml:space="preserve"> </w:t>
      </w:r>
    </w:p>
    <w:p w14:paraId="2207D18D" w14:textId="77777777" w:rsidR="00A56D59" w:rsidRPr="00A56D59" w:rsidRDefault="00A56D59" w:rsidP="00A56D59">
      <w:pPr>
        <w:rPr>
          <w:bCs/>
          <w:color w:val="000000"/>
        </w:rPr>
      </w:pPr>
    </w:p>
    <w:p w14:paraId="20FEC99B" w14:textId="36DA6EB9" w:rsidR="00A56D59" w:rsidRPr="00A56D59" w:rsidRDefault="00A56D59" w:rsidP="00A56D59">
      <w:pPr>
        <w:rPr>
          <w:bCs/>
          <w:color w:val="000000"/>
        </w:rPr>
      </w:pPr>
      <w:r w:rsidRPr="00A56D59">
        <w:rPr>
          <w:bCs/>
          <w:color w:val="000000"/>
        </w:rPr>
        <w:t xml:space="preserve">Once the </w:t>
      </w:r>
      <w:r w:rsidR="00022D00">
        <w:rPr>
          <w:bCs/>
          <w:color w:val="000000"/>
        </w:rPr>
        <w:t xml:space="preserve">products </w:t>
      </w:r>
      <w:r w:rsidRPr="00A56D59">
        <w:rPr>
          <w:bCs/>
          <w:color w:val="000000"/>
        </w:rPr>
        <w:t xml:space="preserve">are developed they will be subjected to in-person or telephone interviews for purposes of usability and product </w:t>
      </w:r>
      <w:r w:rsidR="00AB5F2A">
        <w:rPr>
          <w:bCs/>
          <w:color w:val="000000"/>
        </w:rPr>
        <w:t>testing with clinicians, policy</w:t>
      </w:r>
      <w:r w:rsidRPr="00A56D59">
        <w:rPr>
          <w:bCs/>
          <w:color w:val="000000"/>
        </w:rPr>
        <w:t xml:space="preserve">makers and </w:t>
      </w:r>
      <w:r w:rsidRPr="00A56D59">
        <w:rPr>
          <w:bCs/>
          <w:color w:val="000000"/>
        </w:rPr>
        <w:lastRenderedPageBreak/>
        <w:t>consumers.</w:t>
      </w:r>
      <w:r w:rsidR="0048659F">
        <w:rPr>
          <w:bCs/>
          <w:color w:val="000000"/>
        </w:rPr>
        <w:t xml:space="preserve"> </w:t>
      </w:r>
      <w:r w:rsidRPr="00A56D59">
        <w:rPr>
          <w:bCs/>
          <w:color w:val="000000"/>
        </w:rPr>
        <w:t xml:space="preserve">In-person/telephone interviews will be conducted with about </w:t>
      </w:r>
      <w:r w:rsidR="00022D00">
        <w:rPr>
          <w:bCs/>
          <w:color w:val="000000"/>
        </w:rPr>
        <w:t>2,115</w:t>
      </w:r>
      <w:r w:rsidRPr="00A56D59">
        <w:rPr>
          <w:bCs/>
          <w:color w:val="000000"/>
        </w:rPr>
        <w:t xml:space="preserve"> persons</w:t>
      </w:r>
      <w:r w:rsidR="00F704BD">
        <w:rPr>
          <w:bCs/>
          <w:color w:val="000000"/>
        </w:rPr>
        <w:t xml:space="preserve"> for products and 180 persons for decision aids</w:t>
      </w:r>
      <w:r w:rsidRPr="00A56D59">
        <w:rPr>
          <w:bCs/>
          <w:color w:val="000000"/>
        </w:rPr>
        <w:t xml:space="preserve"> over 3 years and will take about</w:t>
      </w:r>
      <w:r w:rsidR="00022D00">
        <w:rPr>
          <w:bCs/>
          <w:color w:val="000000"/>
        </w:rPr>
        <w:t xml:space="preserve"> 60 minutes </w:t>
      </w:r>
      <w:r w:rsidRPr="00A56D59">
        <w:rPr>
          <w:bCs/>
          <w:color w:val="000000"/>
        </w:rPr>
        <w:t>on average.</w:t>
      </w:r>
      <w:r w:rsidR="0048659F">
        <w:rPr>
          <w:bCs/>
          <w:color w:val="000000"/>
        </w:rPr>
        <w:t xml:space="preserve"> </w:t>
      </w:r>
      <w:r w:rsidR="00BB5E52">
        <w:rPr>
          <w:bCs/>
          <w:color w:val="000000"/>
        </w:rPr>
        <w:t>A</w:t>
      </w:r>
      <w:r w:rsidRPr="00A56D59">
        <w:rPr>
          <w:bCs/>
          <w:color w:val="000000"/>
        </w:rPr>
        <w:t xml:space="preserve"> second round of interviews </w:t>
      </w:r>
      <w:r w:rsidR="00BB5E52">
        <w:rPr>
          <w:bCs/>
          <w:color w:val="000000"/>
        </w:rPr>
        <w:t xml:space="preserve">will be </w:t>
      </w:r>
      <w:r w:rsidRPr="00A56D59">
        <w:rPr>
          <w:bCs/>
          <w:color w:val="000000"/>
        </w:rPr>
        <w:t xml:space="preserve">conducted </w:t>
      </w:r>
      <w:r w:rsidR="00BB5E52">
        <w:rPr>
          <w:bCs/>
          <w:color w:val="000000"/>
        </w:rPr>
        <w:t xml:space="preserve">only </w:t>
      </w:r>
      <w:r w:rsidRPr="00A56D59">
        <w:rPr>
          <w:bCs/>
          <w:color w:val="000000"/>
        </w:rPr>
        <w:t>occasion</w:t>
      </w:r>
      <w:r w:rsidR="00AB5F2A">
        <w:rPr>
          <w:bCs/>
          <w:color w:val="000000"/>
        </w:rPr>
        <w:t xml:space="preserve">ally with </w:t>
      </w:r>
      <w:r w:rsidR="00BB5E52">
        <w:rPr>
          <w:bCs/>
          <w:color w:val="000000"/>
        </w:rPr>
        <w:t>one or more of the targeted populations if necessary due to substantial product revisions</w:t>
      </w:r>
      <w:r w:rsidRPr="00A56D59">
        <w:rPr>
          <w:bCs/>
          <w:color w:val="000000"/>
        </w:rPr>
        <w:t xml:space="preserve">. </w:t>
      </w:r>
      <w:r w:rsidR="00ED733C">
        <w:rPr>
          <w:bCs/>
          <w:color w:val="000000"/>
        </w:rPr>
        <w:t>These interviews may also be used to inform product enhancements in relation to the annual enhancement study. B</w:t>
      </w:r>
      <w:r w:rsidR="00BB5E52">
        <w:rPr>
          <w:bCs/>
          <w:color w:val="000000"/>
        </w:rPr>
        <w:t xml:space="preserve">ecause </w:t>
      </w:r>
      <w:r w:rsidR="00ED733C">
        <w:rPr>
          <w:bCs/>
          <w:color w:val="000000"/>
        </w:rPr>
        <w:t xml:space="preserve">these specifications </w:t>
      </w:r>
      <w:r w:rsidR="00BB5E52">
        <w:rPr>
          <w:bCs/>
          <w:color w:val="000000"/>
        </w:rPr>
        <w:t xml:space="preserve">cannot be determined in advance, clearance is being requested for two testing rounds with every product and every audience. </w:t>
      </w:r>
    </w:p>
    <w:p w14:paraId="6989040E" w14:textId="77777777" w:rsidR="00A56D59" w:rsidRPr="00A56D59" w:rsidRDefault="00A56D59" w:rsidP="00A56D59">
      <w:pPr>
        <w:rPr>
          <w:bCs/>
          <w:color w:val="000000"/>
        </w:rPr>
      </w:pPr>
    </w:p>
    <w:p w14:paraId="486D6CE2" w14:textId="77777777" w:rsidR="004360D8" w:rsidRDefault="00F704BD" w:rsidP="00A56D59">
      <w:pPr>
        <w:rPr>
          <w:bCs/>
          <w:color w:val="000000"/>
        </w:rPr>
      </w:pPr>
      <w:r>
        <w:rPr>
          <w:bCs/>
          <w:color w:val="000000"/>
        </w:rPr>
        <w:t xml:space="preserve">Evaluation </w:t>
      </w:r>
      <w:r w:rsidR="00A56D59" w:rsidRPr="00A56D59">
        <w:rPr>
          <w:bCs/>
          <w:color w:val="000000"/>
        </w:rPr>
        <w:t xml:space="preserve">surveys will be conducted with approximately </w:t>
      </w:r>
      <w:r>
        <w:rPr>
          <w:bCs/>
          <w:color w:val="000000"/>
        </w:rPr>
        <w:t>6,000</w:t>
      </w:r>
      <w:r w:rsidR="00A56D59" w:rsidRPr="00A56D59">
        <w:rPr>
          <w:bCs/>
          <w:color w:val="000000"/>
        </w:rPr>
        <w:t xml:space="preserve"> representatives </w:t>
      </w:r>
      <w:r>
        <w:rPr>
          <w:bCs/>
          <w:color w:val="000000"/>
        </w:rPr>
        <w:t>across</w:t>
      </w:r>
      <w:r w:rsidR="00A56D59" w:rsidRPr="00A56D59">
        <w:rPr>
          <w:bCs/>
          <w:color w:val="000000"/>
        </w:rPr>
        <w:t xml:space="preserve"> the </w:t>
      </w:r>
      <w:r>
        <w:rPr>
          <w:bCs/>
          <w:color w:val="000000"/>
        </w:rPr>
        <w:t xml:space="preserve">targeted </w:t>
      </w:r>
      <w:r w:rsidR="00A56D59" w:rsidRPr="00A56D59">
        <w:rPr>
          <w:bCs/>
          <w:color w:val="000000"/>
        </w:rPr>
        <w:t>audience</w:t>
      </w:r>
      <w:r>
        <w:rPr>
          <w:bCs/>
          <w:color w:val="000000"/>
        </w:rPr>
        <w:t>s</w:t>
      </w:r>
      <w:r w:rsidR="00A56D59" w:rsidRPr="00A56D59">
        <w:rPr>
          <w:bCs/>
          <w:color w:val="000000"/>
        </w:rPr>
        <w:t xml:space="preserve"> (i.e., </w:t>
      </w:r>
      <w:r>
        <w:rPr>
          <w:bCs/>
          <w:color w:val="000000"/>
        </w:rPr>
        <w:t xml:space="preserve">consumer, </w:t>
      </w:r>
      <w:r w:rsidR="00A56D59" w:rsidRPr="00A56D59">
        <w:rPr>
          <w:bCs/>
          <w:color w:val="000000"/>
        </w:rPr>
        <w:t xml:space="preserve">clinician, </w:t>
      </w:r>
      <w:proofErr w:type="gramStart"/>
      <w:r w:rsidR="00A56D59" w:rsidRPr="00A56D59">
        <w:rPr>
          <w:bCs/>
          <w:color w:val="000000"/>
        </w:rPr>
        <w:t>policymaker</w:t>
      </w:r>
      <w:proofErr w:type="gramEnd"/>
      <w:r w:rsidR="00A56D59" w:rsidRPr="00A56D59">
        <w:rPr>
          <w:bCs/>
          <w:color w:val="000000"/>
        </w:rPr>
        <w:t xml:space="preserve">) </w:t>
      </w:r>
      <w:r>
        <w:rPr>
          <w:bCs/>
          <w:color w:val="000000"/>
        </w:rPr>
        <w:t xml:space="preserve">for the health information products and 2,400 persons who have used the decision aids over the 3-year period. The product surveys will take about 5 minutes to complete, and the decision aid surveys about 10 minutes. A </w:t>
      </w:r>
      <w:r w:rsidR="004B604F">
        <w:rPr>
          <w:bCs/>
          <w:color w:val="000000"/>
        </w:rPr>
        <w:t xml:space="preserve">follow-up </w:t>
      </w:r>
      <w:r>
        <w:rPr>
          <w:bCs/>
          <w:color w:val="000000"/>
        </w:rPr>
        <w:t xml:space="preserve">survey will be completed for the product evaluations, which </w:t>
      </w:r>
      <w:r w:rsidR="004B604F">
        <w:rPr>
          <w:bCs/>
          <w:color w:val="000000"/>
        </w:rPr>
        <w:t xml:space="preserve">will also last about 5 minutes, while a subset of 180 of those having used the decision aids will be asked to participate in a follow-up evaluation interview lasting an hour. </w:t>
      </w:r>
    </w:p>
    <w:p w14:paraId="28F6E987" w14:textId="77777777" w:rsidR="004360D8" w:rsidRDefault="004360D8" w:rsidP="00A56D59">
      <w:pPr>
        <w:rPr>
          <w:bCs/>
          <w:color w:val="000000"/>
        </w:rPr>
      </w:pPr>
    </w:p>
    <w:p w14:paraId="2369A833" w14:textId="3CE1C636" w:rsidR="004B604F" w:rsidRPr="00A56D59" w:rsidRDefault="004B604F" w:rsidP="00A56D59">
      <w:pPr>
        <w:rPr>
          <w:bCs/>
          <w:color w:val="000000"/>
        </w:rPr>
      </w:pPr>
      <w:r>
        <w:rPr>
          <w:bCs/>
          <w:color w:val="000000"/>
        </w:rPr>
        <w:t>Those involved in or targeted by the dissemination initiatives will be asked to participate in evaluation interviews</w:t>
      </w:r>
      <w:r w:rsidR="00BB5E52">
        <w:rPr>
          <w:bCs/>
          <w:color w:val="000000"/>
        </w:rPr>
        <w:t xml:space="preserve">, which </w:t>
      </w:r>
      <w:r>
        <w:rPr>
          <w:bCs/>
          <w:color w:val="000000"/>
        </w:rPr>
        <w:t xml:space="preserve">will </w:t>
      </w:r>
      <w:r w:rsidR="004360D8">
        <w:rPr>
          <w:bCs/>
          <w:color w:val="000000"/>
        </w:rPr>
        <w:t>include up to 480</w:t>
      </w:r>
      <w:r>
        <w:rPr>
          <w:bCs/>
          <w:color w:val="000000"/>
        </w:rPr>
        <w:t xml:space="preserve"> persons completing interview</w:t>
      </w:r>
      <w:r w:rsidR="004360D8">
        <w:rPr>
          <w:bCs/>
          <w:color w:val="000000"/>
        </w:rPr>
        <w:t>s across the 3 project years</w:t>
      </w:r>
      <w:r>
        <w:rPr>
          <w:bCs/>
          <w:color w:val="000000"/>
        </w:rPr>
        <w:t>.</w:t>
      </w:r>
      <w:r w:rsidR="004360D8">
        <w:rPr>
          <w:bCs/>
          <w:color w:val="000000"/>
        </w:rPr>
        <w:t xml:space="preserve"> </w:t>
      </w:r>
      <w:r w:rsidR="004360D8" w:rsidRPr="004360D8">
        <w:rPr>
          <w:bCs/>
          <w:i/>
          <w:color w:val="000000"/>
        </w:rPr>
        <w:t>Note:</w:t>
      </w:r>
      <w:r w:rsidR="004360D8">
        <w:rPr>
          <w:bCs/>
          <w:color w:val="000000"/>
        </w:rPr>
        <w:t xml:space="preserve"> Because the timing of interviews with persons at the 6 total partner organizations has not yet been finalized, </w:t>
      </w:r>
      <w:r w:rsidR="00195D66">
        <w:rPr>
          <w:bCs/>
          <w:color w:val="000000"/>
        </w:rPr>
        <w:t>AHRQ</w:t>
      </w:r>
      <w:r w:rsidR="004360D8">
        <w:rPr>
          <w:bCs/>
          <w:color w:val="000000"/>
        </w:rPr>
        <w:t xml:space="preserve"> is requesting that all dissemination-related interviews be approved for the first project year. For simplicity, the interviews are presented </w:t>
      </w:r>
      <w:r w:rsidR="00B43712">
        <w:rPr>
          <w:bCs/>
          <w:color w:val="000000"/>
        </w:rPr>
        <w:t xml:space="preserve">as annualized </w:t>
      </w:r>
      <w:r w:rsidR="004360D8">
        <w:rPr>
          <w:bCs/>
          <w:color w:val="000000"/>
        </w:rPr>
        <w:t xml:space="preserve">in Exhibits 1 and 2. </w:t>
      </w:r>
    </w:p>
    <w:p w14:paraId="2766834C" w14:textId="77777777" w:rsidR="00A56D59" w:rsidRDefault="00A56D59" w:rsidP="00A56D59">
      <w:pPr>
        <w:rPr>
          <w:bCs/>
          <w:color w:val="000000"/>
        </w:rPr>
      </w:pPr>
    </w:p>
    <w:p w14:paraId="22C7BB20" w14:textId="13713C4E" w:rsidR="004B604F" w:rsidRDefault="004B604F" w:rsidP="00A56D59">
      <w:r>
        <w:rPr>
          <w:bCs/>
          <w:color w:val="000000"/>
        </w:rPr>
        <w:t xml:space="preserve">The unique </w:t>
      </w:r>
      <w:r w:rsidR="00ED733C">
        <w:rPr>
          <w:bCs/>
          <w:color w:val="000000"/>
        </w:rPr>
        <w:t xml:space="preserve">dissemination </w:t>
      </w:r>
      <w:r>
        <w:rPr>
          <w:bCs/>
          <w:color w:val="000000"/>
        </w:rPr>
        <w:t xml:space="preserve">research project to be proposed and completed annually will include </w:t>
      </w:r>
      <w:r w:rsidR="00BA6030">
        <w:rPr>
          <w:bCs/>
          <w:color w:val="000000"/>
        </w:rPr>
        <w:t>135 f</w:t>
      </w:r>
      <w:r>
        <w:t xml:space="preserve">ormative interviews with consumers, clinicians, and </w:t>
      </w:r>
      <w:r w:rsidR="00BA6030">
        <w:t xml:space="preserve">administrators, with each lasting 1 hour. Follow-up evaluation surveys and interviews will be conducted with </w:t>
      </w:r>
      <w:r w:rsidR="00EA6B30">
        <w:t>360</w:t>
      </w:r>
      <w:r w:rsidR="00BA6030">
        <w:t xml:space="preserve"> and 180 persons, respectively. </w:t>
      </w:r>
    </w:p>
    <w:p w14:paraId="63627D29" w14:textId="77777777" w:rsidR="00BA6030" w:rsidRDefault="00BA6030" w:rsidP="00A56D59"/>
    <w:p w14:paraId="5468731F" w14:textId="77777777" w:rsidR="00BA6030" w:rsidRPr="00A56D59" w:rsidRDefault="00BA6030" w:rsidP="00A56D59">
      <w:pPr>
        <w:rPr>
          <w:bCs/>
          <w:color w:val="000000"/>
        </w:rPr>
      </w:pPr>
      <w:r>
        <w:rPr>
          <w:bCs/>
          <w:color w:val="000000"/>
        </w:rPr>
        <w:t xml:space="preserve">AHRQ partners will be asked to complete surveys and interviews in relation to their prior or ongoing collaborative work with AHRQ. These will include 150 persons completing surveys and 60 follow-up interviews. Similar types of surveys designed with the goal of improving products and expanding their research will be completed by 90 representatives of advocacy organizations across the 3 years, with each survey lasting about 10 minutes. </w:t>
      </w:r>
    </w:p>
    <w:p w14:paraId="46155550" w14:textId="77777777" w:rsidR="004B604F" w:rsidRDefault="004B604F" w:rsidP="00A56D59">
      <w:pPr>
        <w:rPr>
          <w:bCs/>
          <w:color w:val="000000"/>
        </w:rPr>
      </w:pPr>
    </w:p>
    <w:p w14:paraId="3B76AADD" w14:textId="77777777" w:rsidR="00A56D59" w:rsidRPr="00A56D59" w:rsidRDefault="00A56D59" w:rsidP="00A56D59">
      <w:pPr>
        <w:rPr>
          <w:bCs/>
          <w:color w:val="000000"/>
        </w:rPr>
      </w:pPr>
      <w:r w:rsidRPr="00A56D59">
        <w:rPr>
          <w:bCs/>
          <w:color w:val="000000"/>
        </w:rPr>
        <w:t xml:space="preserve">Clinicians that have completed CME accrediting requirements and are requesting CME credit will be asked to complete </w:t>
      </w:r>
      <w:r w:rsidR="00BA6030">
        <w:rPr>
          <w:bCs/>
          <w:color w:val="000000"/>
        </w:rPr>
        <w:t xml:space="preserve">a </w:t>
      </w:r>
      <w:r w:rsidRPr="00A56D59">
        <w:rPr>
          <w:bCs/>
          <w:color w:val="000000"/>
        </w:rPr>
        <w:t xml:space="preserve">follow-up </w:t>
      </w:r>
      <w:r w:rsidR="00BA6030">
        <w:rPr>
          <w:bCs/>
          <w:color w:val="000000"/>
        </w:rPr>
        <w:t>o</w:t>
      </w:r>
      <w:r w:rsidR="004B604F">
        <w:rPr>
          <w:bCs/>
          <w:color w:val="000000"/>
        </w:rPr>
        <w:t xml:space="preserve">utcomes </w:t>
      </w:r>
      <w:r w:rsidR="00BA6030">
        <w:rPr>
          <w:bCs/>
          <w:color w:val="000000"/>
        </w:rPr>
        <w:t>s</w:t>
      </w:r>
      <w:r w:rsidR="004B604F">
        <w:rPr>
          <w:bCs/>
          <w:color w:val="000000"/>
        </w:rPr>
        <w:t>urvey</w:t>
      </w:r>
      <w:r w:rsidRPr="00A56D59">
        <w:rPr>
          <w:bCs/>
          <w:color w:val="000000"/>
        </w:rPr>
        <w:t xml:space="preserve"> </w:t>
      </w:r>
      <w:r w:rsidR="004B604F">
        <w:rPr>
          <w:bCs/>
          <w:color w:val="000000"/>
        </w:rPr>
        <w:t xml:space="preserve">two </w:t>
      </w:r>
      <w:r w:rsidRPr="00A56D59">
        <w:rPr>
          <w:bCs/>
          <w:color w:val="000000"/>
        </w:rPr>
        <w:t>months following completion of the online activity.</w:t>
      </w:r>
      <w:r w:rsidR="0048659F">
        <w:rPr>
          <w:bCs/>
          <w:color w:val="000000"/>
        </w:rPr>
        <w:t xml:space="preserve"> </w:t>
      </w:r>
      <w:r w:rsidRPr="00A56D59">
        <w:rPr>
          <w:bCs/>
          <w:color w:val="000000"/>
        </w:rPr>
        <w:t>Th</w:t>
      </w:r>
      <w:r w:rsidR="004B604F">
        <w:rPr>
          <w:bCs/>
          <w:color w:val="000000"/>
        </w:rPr>
        <w:t xml:space="preserve">ese </w:t>
      </w:r>
      <w:r w:rsidRPr="00A56D59">
        <w:rPr>
          <w:bCs/>
          <w:color w:val="000000"/>
        </w:rPr>
        <w:t xml:space="preserve">will be completed </w:t>
      </w:r>
      <w:r w:rsidR="004B604F">
        <w:rPr>
          <w:bCs/>
          <w:color w:val="000000"/>
        </w:rPr>
        <w:t>by no more than 27,000</w:t>
      </w:r>
      <w:r w:rsidRPr="00A56D59">
        <w:rPr>
          <w:bCs/>
          <w:color w:val="000000"/>
        </w:rPr>
        <w:t xml:space="preserve"> clinicians over 3 years and will require 5 minutes to complete. </w:t>
      </w:r>
    </w:p>
    <w:p w14:paraId="5285C117" w14:textId="77777777" w:rsidR="00A56D59" w:rsidRPr="00A56D59" w:rsidRDefault="00A56D59" w:rsidP="00A56D59">
      <w:pPr>
        <w:rPr>
          <w:bCs/>
          <w:color w:val="000000"/>
        </w:rPr>
      </w:pPr>
    </w:p>
    <w:p w14:paraId="074C013C" w14:textId="01EEB132" w:rsidR="004B604F" w:rsidRDefault="00A56D59" w:rsidP="00A56D59">
      <w:pPr>
        <w:rPr>
          <w:bCs/>
          <w:color w:val="000000"/>
        </w:rPr>
      </w:pPr>
      <w:r w:rsidRPr="00DF6B35">
        <w:rPr>
          <w:bCs/>
          <w:color w:val="000000"/>
        </w:rPr>
        <w:t>The total bu</w:t>
      </w:r>
      <w:r w:rsidR="004B604F" w:rsidRPr="00DF6B35">
        <w:rPr>
          <w:bCs/>
          <w:color w:val="000000"/>
        </w:rPr>
        <w:t>rden</w:t>
      </w:r>
      <w:r w:rsidR="007A1F41" w:rsidRPr="00DF6B35">
        <w:rPr>
          <w:bCs/>
          <w:color w:val="000000"/>
        </w:rPr>
        <w:t xml:space="preserve"> hours are estimated to be </w:t>
      </w:r>
      <w:r w:rsidR="00ED733C" w:rsidRPr="00431E7B">
        <w:rPr>
          <w:bCs/>
          <w:color w:val="000000"/>
        </w:rPr>
        <w:t>13,875</w:t>
      </w:r>
      <w:r w:rsidR="004B604F" w:rsidRPr="00DF6B35">
        <w:rPr>
          <w:bCs/>
          <w:color w:val="000000"/>
        </w:rPr>
        <w:t xml:space="preserve"> annually or </w:t>
      </w:r>
      <w:r w:rsidR="00ED733C" w:rsidRPr="00431E7B">
        <w:rPr>
          <w:bCs/>
          <w:color w:val="000000"/>
        </w:rPr>
        <w:t>41,625</w:t>
      </w:r>
      <w:r w:rsidRPr="00DF6B35">
        <w:rPr>
          <w:bCs/>
          <w:color w:val="000000"/>
        </w:rPr>
        <w:t xml:space="preserve"> over </w:t>
      </w:r>
      <w:r w:rsidR="004B604F" w:rsidRPr="00DF6B35">
        <w:rPr>
          <w:bCs/>
          <w:color w:val="000000"/>
        </w:rPr>
        <w:t xml:space="preserve">3 </w:t>
      </w:r>
      <w:r w:rsidRPr="00DF6B35">
        <w:rPr>
          <w:bCs/>
          <w:color w:val="000000"/>
        </w:rPr>
        <w:t>years.</w:t>
      </w:r>
      <w:r w:rsidR="004B604F">
        <w:rPr>
          <w:bCs/>
          <w:color w:val="000000"/>
        </w:rPr>
        <w:t xml:space="preserve"> </w:t>
      </w:r>
    </w:p>
    <w:p w14:paraId="48E55431" w14:textId="77777777" w:rsidR="00ED61CA" w:rsidRDefault="00ED61CA" w:rsidP="00A56D59">
      <w:pPr>
        <w:rPr>
          <w:bCs/>
          <w:color w:val="000000"/>
        </w:rPr>
      </w:pPr>
    </w:p>
    <w:bookmarkEnd w:id="30"/>
    <w:bookmarkEnd w:id="31"/>
    <w:p w14:paraId="12F9EF4B" w14:textId="77777777" w:rsidR="00B6020B" w:rsidRDefault="00B6020B" w:rsidP="00484FD8">
      <w:pPr>
        <w:rPr>
          <w:b/>
          <w:bCs/>
          <w:color w:val="000000"/>
        </w:rPr>
      </w:pPr>
    </w:p>
    <w:p w14:paraId="195DD2BF" w14:textId="77777777" w:rsidR="00B6020B" w:rsidRDefault="00B6020B" w:rsidP="00484FD8">
      <w:pPr>
        <w:rPr>
          <w:b/>
          <w:bCs/>
          <w:color w:val="000000"/>
        </w:rPr>
      </w:pPr>
    </w:p>
    <w:p w14:paraId="3F6AA0F2" w14:textId="77777777" w:rsidR="00B6020B" w:rsidRDefault="00B6020B" w:rsidP="00484FD8">
      <w:pPr>
        <w:rPr>
          <w:b/>
          <w:bCs/>
          <w:color w:val="000000"/>
        </w:rPr>
      </w:pPr>
    </w:p>
    <w:p w14:paraId="78AD44E8" w14:textId="77777777" w:rsidR="00B6020B" w:rsidRDefault="00B6020B" w:rsidP="00484FD8">
      <w:pPr>
        <w:rPr>
          <w:b/>
          <w:bCs/>
          <w:color w:val="000000"/>
        </w:rPr>
      </w:pPr>
    </w:p>
    <w:p w14:paraId="2A396A79" w14:textId="77777777" w:rsidR="00B6020B" w:rsidRDefault="00B6020B" w:rsidP="00484FD8">
      <w:pPr>
        <w:rPr>
          <w:b/>
          <w:bCs/>
          <w:color w:val="000000"/>
        </w:rPr>
      </w:pPr>
    </w:p>
    <w:p w14:paraId="3FD3A7F1" w14:textId="77777777" w:rsidR="00484FD8" w:rsidRPr="00DA043B" w:rsidRDefault="00484FD8" w:rsidP="00484FD8">
      <w:pPr>
        <w:rPr>
          <w:b/>
          <w:bCs/>
          <w:color w:val="000000"/>
        </w:rPr>
      </w:pPr>
      <w:proofErr w:type="gramStart"/>
      <w:r>
        <w:rPr>
          <w:b/>
          <w:bCs/>
          <w:color w:val="000000"/>
        </w:rPr>
        <w:t>Exhibit 1.</w:t>
      </w:r>
      <w:proofErr w:type="gramEnd"/>
      <w:r>
        <w:rPr>
          <w:b/>
          <w:bCs/>
          <w:color w:val="000000"/>
        </w:rPr>
        <w:t>  Estimated annualized burden hours</w:t>
      </w:r>
    </w:p>
    <w:tbl>
      <w:tblPr>
        <w:tblW w:w="0" w:type="auto"/>
        <w:tblInd w:w="108" w:type="dxa"/>
        <w:tblCellMar>
          <w:left w:w="0" w:type="dxa"/>
          <w:right w:w="0" w:type="dxa"/>
        </w:tblCellMar>
        <w:tblLook w:val="0000" w:firstRow="0" w:lastRow="0" w:firstColumn="0" w:lastColumn="0" w:noHBand="0" w:noVBand="0"/>
      </w:tblPr>
      <w:tblGrid>
        <w:gridCol w:w="3575"/>
        <w:gridCol w:w="1348"/>
        <w:gridCol w:w="1347"/>
        <w:gridCol w:w="1254"/>
        <w:gridCol w:w="988"/>
      </w:tblGrid>
      <w:tr w:rsidR="00484FD8" w14:paraId="510890A0" w14:textId="77777777" w:rsidTr="00A10D65">
        <w:tc>
          <w:tcPr>
            <w:tcW w:w="35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DE8F22" w14:textId="77777777" w:rsidR="00484FD8" w:rsidRDefault="00484FD8" w:rsidP="00A10D65">
            <w:pPr>
              <w:jc w:val="center"/>
            </w:pPr>
            <w:r>
              <w:rPr>
                <w:color w:val="000000"/>
                <w:sz w:val="20"/>
                <w:szCs w:val="20"/>
              </w:rPr>
              <w:t>Form Name</w:t>
            </w:r>
          </w:p>
        </w:tc>
        <w:tc>
          <w:tcPr>
            <w:tcW w:w="13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25E93D" w14:textId="77777777" w:rsidR="00484FD8" w:rsidRDefault="00484FD8" w:rsidP="00A10D65">
            <w:pPr>
              <w:jc w:val="center"/>
            </w:pPr>
            <w:r>
              <w:rPr>
                <w:color w:val="000000"/>
                <w:sz w:val="20"/>
                <w:szCs w:val="20"/>
              </w:rPr>
              <w:t>Number of respondents</w:t>
            </w:r>
          </w:p>
        </w:tc>
        <w:tc>
          <w:tcPr>
            <w:tcW w:w="13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71937D" w14:textId="77777777" w:rsidR="00484FD8" w:rsidRPr="00E97584" w:rsidRDefault="00484FD8" w:rsidP="00A10D65">
            <w:pPr>
              <w:jc w:val="center"/>
              <w:rPr>
                <w:sz w:val="20"/>
                <w:szCs w:val="20"/>
              </w:rPr>
            </w:pPr>
            <w:r w:rsidRPr="00E97584">
              <w:rPr>
                <w:sz w:val="20"/>
                <w:szCs w:val="20"/>
              </w:rPr>
              <w:t>Number of responses per respondent</w:t>
            </w:r>
          </w:p>
        </w:tc>
        <w:tc>
          <w:tcPr>
            <w:tcW w:w="1254" w:type="dxa"/>
            <w:tcBorders>
              <w:top w:val="single" w:sz="8" w:space="0" w:color="auto"/>
              <w:left w:val="nil"/>
              <w:bottom w:val="single" w:sz="8" w:space="0" w:color="auto"/>
              <w:right w:val="single" w:sz="8" w:space="0" w:color="auto"/>
            </w:tcBorders>
            <w:vAlign w:val="center"/>
          </w:tcPr>
          <w:p w14:paraId="0B340372" w14:textId="77777777" w:rsidR="00484FD8" w:rsidRDefault="00484FD8" w:rsidP="00A10D65">
            <w:pPr>
              <w:jc w:val="center"/>
            </w:pPr>
            <w:r>
              <w:rPr>
                <w:color w:val="000000"/>
                <w:sz w:val="20"/>
                <w:szCs w:val="20"/>
              </w:rPr>
              <w:t>Hours per response</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74E881" w14:textId="77777777" w:rsidR="00484FD8" w:rsidRDefault="00484FD8" w:rsidP="00A10D65">
            <w:pPr>
              <w:jc w:val="center"/>
            </w:pPr>
            <w:r>
              <w:rPr>
                <w:color w:val="000000"/>
                <w:sz w:val="20"/>
                <w:szCs w:val="20"/>
              </w:rPr>
              <w:t>Total burden hours</w:t>
            </w:r>
          </w:p>
        </w:tc>
      </w:tr>
      <w:tr w:rsidR="00484FD8" w14:paraId="6BA89543"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A13C51" w14:textId="77777777" w:rsidR="00484FD8" w:rsidRPr="003A26F9" w:rsidRDefault="00484FD8" w:rsidP="00A10D65">
            <w:pPr>
              <w:rPr>
                <w:bCs/>
                <w:color w:val="000000"/>
                <w:sz w:val="20"/>
                <w:szCs w:val="20"/>
              </w:rPr>
            </w:pPr>
            <w:r w:rsidRPr="003A26F9">
              <w:rPr>
                <w:bCs/>
                <w:color w:val="000000"/>
                <w:sz w:val="20"/>
                <w:szCs w:val="20"/>
              </w:rPr>
              <w:t>Product Formative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3C25F" w14:textId="77777777" w:rsidR="00484FD8" w:rsidRPr="00757FB8" w:rsidRDefault="00484FD8" w:rsidP="00A10D65">
            <w:pPr>
              <w:jc w:val="center"/>
            </w:pPr>
            <w:r w:rsidRPr="00757FB8">
              <w:t>705</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949346"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35E2B953" w14:textId="77777777" w:rsidR="00484FD8" w:rsidRPr="00B46A9F" w:rsidRDefault="00484FD8" w:rsidP="00A10D65">
            <w:pPr>
              <w:jc w:val="center"/>
            </w:pPr>
            <w:r>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EC7746" w14:textId="77777777" w:rsidR="00484FD8" w:rsidRPr="003E0803" w:rsidRDefault="00484FD8" w:rsidP="00A10D65">
            <w:pPr>
              <w:jc w:val="center"/>
            </w:pPr>
            <w:r w:rsidRPr="003E0803">
              <w:t>705</w:t>
            </w:r>
          </w:p>
        </w:tc>
      </w:tr>
      <w:tr w:rsidR="00484FD8" w14:paraId="5B3B4708"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732D91" w14:textId="77777777" w:rsidR="00484FD8" w:rsidRPr="003A26F9" w:rsidRDefault="00484FD8" w:rsidP="00A10D65">
            <w:pPr>
              <w:rPr>
                <w:bCs/>
                <w:color w:val="000000"/>
                <w:sz w:val="20"/>
                <w:szCs w:val="20"/>
              </w:rPr>
            </w:pPr>
            <w:r w:rsidRPr="003A26F9">
              <w:rPr>
                <w:bCs/>
                <w:color w:val="000000"/>
                <w:sz w:val="20"/>
                <w:szCs w:val="20"/>
              </w:rPr>
              <w:lastRenderedPageBreak/>
              <w:t>Product Pretesting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A7E1AE" w14:textId="77777777" w:rsidR="00484FD8" w:rsidRPr="00757FB8" w:rsidRDefault="00484FD8" w:rsidP="00A10D65">
            <w:pPr>
              <w:jc w:val="center"/>
            </w:pPr>
            <w:r w:rsidRPr="00757FB8">
              <w:t>705</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89870E" w14:textId="77777777" w:rsidR="00484FD8" w:rsidRPr="00707FB5" w:rsidRDefault="00484FD8" w:rsidP="00A10D65">
            <w:pPr>
              <w:jc w:val="center"/>
            </w:pPr>
            <w:r>
              <w:t>2</w:t>
            </w:r>
          </w:p>
        </w:tc>
        <w:tc>
          <w:tcPr>
            <w:tcW w:w="1254" w:type="dxa"/>
            <w:tcBorders>
              <w:top w:val="nil"/>
              <w:left w:val="nil"/>
              <w:bottom w:val="single" w:sz="8" w:space="0" w:color="auto"/>
              <w:right w:val="single" w:sz="8" w:space="0" w:color="auto"/>
            </w:tcBorders>
          </w:tcPr>
          <w:p w14:paraId="440F22CA" w14:textId="77777777" w:rsidR="00484FD8" w:rsidRPr="00B46A9F" w:rsidRDefault="00484FD8" w:rsidP="00A10D65">
            <w:pPr>
              <w:jc w:val="center"/>
            </w:pPr>
            <w:r>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B67F38" w14:textId="77777777" w:rsidR="00484FD8" w:rsidRPr="003E0803" w:rsidRDefault="00484FD8" w:rsidP="00A10D65">
            <w:pPr>
              <w:jc w:val="center"/>
            </w:pPr>
            <w:r>
              <w:t>1,410</w:t>
            </w:r>
          </w:p>
        </w:tc>
      </w:tr>
      <w:tr w:rsidR="00484FD8" w14:paraId="79B6BFED"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20E6E2" w14:textId="77777777" w:rsidR="00484FD8" w:rsidRPr="003A26F9" w:rsidRDefault="00484FD8" w:rsidP="00A10D65">
            <w:pPr>
              <w:rPr>
                <w:bCs/>
                <w:color w:val="000000"/>
                <w:sz w:val="20"/>
                <w:szCs w:val="20"/>
              </w:rPr>
            </w:pPr>
            <w:r w:rsidRPr="003A26F9">
              <w:rPr>
                <w:bCs/>
                <w:color w:val="000000"/>
                <w:sz w:val="20"/>
                <w:szCs w:val="20"/>
              </w:rPr>
              <w:t>Product Evaluation Surveys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4631EF" w14:textId="77777777" w:rsidR="00484FD8" w:rsidRPr="00757FB8" w:rsidRDefault="00484FD8" w:rsidP="00A10D65">
            <w:pPr>
              <w:jc w:val="center"/>
            </w:pPr>
            <w:r w:rsidRPr="00757FB8">
              <w:t>2,000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F682C0" w14:textId="77777777" w:rsidR="00484FD8" w:rsidRPr="00707FB5" w:rsidRDefault="00484FD8" w:rsidP="00A10D65">
            <w:pPr>
              <w:jc w:val="center"/>
            </w:pPr>
            <w:r w:rsidRPr="00707FB5">
              <w:t>2</w:t>
            </w:r>
          </w:p>
        </w:tc>
        <w:tc>
          <w:tcPr>
            <w:tcW w:w="1254" w:type="dxa"/>
            <w:tcBorders>
              <w:top w:val="nil"/>
              <w:left w:val="nil"/>
              <w:bottom w:val="single" w:sz="8" w:space="0" w:color="auto"/>
              <w:right w:val="single" w:sz="8" w:space="0" w:color="auto"/>
            </w:tcBorders>
          </w:tcPr>
          <w:p w14:paraId="1C02F34B" w14:textId="77777777" w:rsidR="00484FD8" w:rsidRPr="00B46A9F" w:rsidRDefault="00484FD8" w:rsidP="00A10D65">
            <w:pPr>
              <w:jc w:val="center"/>
            </w:pPr>
            <w:r>
              <w:t>5/60</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3C3B2B" w14:textId="77777777" w:rsidR="00484FD8" w:rsidRPr="003E0803" w:rsidRDefault="00484FD8" w:rsidP="00A10D65">
            <w:pPr>
              <w:jc w:val="center"/>
            </w:pPr>
            <w:r w:rsidRPr="003E0803">
              <w:t>333</w:t>
            </w:r>
          </w:p>
        </w:tc>
      </w:tr>
      <w:tr w:rsidR="00484FD8" w14:paraId="105110B2"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EDE918" w14:textId="77777777" w:rsidR="00484FD8" w:rsidRPr="003A26F9" w:rsidRDefault="00484FD8" w:rsidP="00A10D65">
            <w:pPr>
              <w:rPr>
                <w:bCs/>
                <w:color w:val="000000"/>
                <w:sz w:val="20"/>
                <w:szCs w:val="20"/>
              </w:rPr>
            </w:pPr>
            <w:r w:rsidRPr="003A26F9">
              <w:rPr>
                <w:bCs/>
                <w:color w:val="000000"/>
                <w:sz w:val="20"/>
                <w:szCs w:val="20"/>
              </w:rPr>
              <w:t>Dissemination Formative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14439E" w14:textId="77777777" w:rsidR="00484FD8" w:rsidRPr="00757FB8" w:rsidRDefault="00484FD8" w:rsidP="00A10D65">
            <w:pPr>
              <w:jc w:val="center"/>
            </w:pPr>
            <w:r>
              <w:t>40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72CEA8"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6F6EB6BB" w14:textId="77777777" w:rsidR="00484FD8" w:rsidRDefault="00484FD8" w:rsidP="00A10D65">
            <w:pPr>
              <w:jc w:val="center"/>
            </w:pPr>
            <w:r w:rsidRPr="006E72DA">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650A84" w14:textId="77777777" w:rsidR="00484FD8" w:rsidRPr="003E0803" w:rsidRDefault="00484FD8" w:rsidP="00A10D65">
            <w:pPr>
              <w:jc w:val="center"/>
            </w:pPr>
            <w:r>
              <w:t>40</w:t>
            </w:r>
          </w:p>
        </w:tc>
      </w:tr>
      <w:tr w:rsidR="00484FD8" w14:paraId="6206ADBA"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FA2C9F" w14:textId="77777777" w:rsidR="00484FD8" w:rsidRPr="003A26F9" w:rsidRDefault="00484FD8" w:rsidP="00A10D65">
            <w:pPr>
              <w:rPr>
                <w:bCs/>
                <w:color w:val="000000"/>
                <w:sz w:val="20"/>
                <w:szCs w:val="20"/>
              </w:rPr>
            </w:pPr>
            <w:r w:rsidRPr="003A26F9">
              <w:rPr>
                <w:bCs/>
                <w:color w:val="000000"/>
                <w:sz w:val="20"/>
                <w:szCs w:val="20"/>
              </w:rPr>
              <w:t>Dissemination Evaluation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E8CD3" w14:textId="77777777" w:rsidR="00484FD8" w:rsidRPr="00757FB8" w:rsidRDefault="00484FD8" w:rsidP="00A10D65">
            <w:pPr>
              <w:jc w:val="center"/>
            </w:pPr>
            <w:r>
              <w:t>120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BD7C47"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635592C5" w14:textId="77777777" w:rsidR="00484FD8" w:rsidRDefault="00484FD8" w:rsidP="00A10D65">
            <w:pPr>
              <w:jc w:val="center"/>
            </w:pPr>
            <w:r w:rsidRPr="006E72DA">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EC8DBE" w14:textId="77777777" w:rsidR="00484FD8" w:rsidRPr="003E0803" w:rsidRDefault="00484FD8" w:rsidP="00A10D65">
            <w:pPr>
              <w:jc w:val="center"/>
            </w:pPr>
            <w:r>
              <w:t>120</w:t>
            </w:r>
          </w:p>
        </w:tc>
      </w:tr>
      <w:tr w:rsidR="00484FD8" w14:paraId="284652DB"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43B481" w14:textId="77777777" w:rsidR="00484FD8" w:rsidRPr="003A26F9" w:rsidRDefault="00484FD8" w:rsidP="00A10D65">
            <w:pPr>
              <w:rPr>
                <w:bCs/>
                <w:color w:val="000000"/>
                <w:sz w:val="20"/>
                <w:szCs w:val="20"/>
              </w:rPr>
            </w:pPr>
            <w:r w:rsidRPr="003A26F9">
              <w:rPr>
                <w:bCs/>
                <w:color w:val="000000"/>
                <w:sz w:val="20"/>
                <w:szCs w:val="20"/>
              </w:rPr>
              <w:t>Decision Aid Formative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707CFA" w14:textId="77777777" w:rsidR="00484FD8" w:rsidRPr="00757FB8" w:rsidRDefault="00484FD8" w:rsidP="00A10D65">
            <w:pPr>
              <w:jc w:val="center"/>
            </w:pPr>
            <w:r w:rsidRPr="00757FB8">
              <w:t>60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773A91"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200EABEA" w14:textId="77777777" w:rsidR="00484FD8" w:rsidRDefault="00484FD8" w:rsidP="00A10D65">
            <w:pPr>
              <w:jc w:val="center"/>
            </w:pPr>
            <w:r w:rsidRPr="006E72DA">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E5E9C6" w14:textId="77777777" w:rsidR="00484FD8" w:rsidRPr="003E0803" w:rsidRDefault="00484FD8" w:rsidP="00A10D65">
            <w:pPr>
              <w:jc w:val="center"/>
            </w:pPr>
            <w:r w:rsidRPr="003E0803">
              <w:t>60</w:t>
            </w:r>
          </w:p>
        </w:tc>
      </w:tr>
      <w:tr w:rsidR="00484FD8" w14:paraId="786A4202"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E5740D" w14:textId="77777777" w:rsidR="00484FD8" w:rsidRPr="003A26F9" w:rsidRDefault="00484FD8" w:rsidP="00A10D65">
            <w:pPr>
              <w:rPr>
                <w:bCs/>
                <w:color w:val="000000"/>
                <w:sz w:val="20"/>
                <w:szCs w:val="20"/>
              </w:rPr>
            </w:pPr>
            <w:r w:rsidRPr="003A26F9">
              <w:rPr>
                <w:bCs/>
                <w:color w:val="000000"/>
                <w:sz w:val="20"/>
                <w:szCs w:val="20"/>
              </w:rPr>
              <w:t>Decision Aid Pretesting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A1DE0D" w14:textId="77777777" w:rsidR="00484FD8" w:rsidRPr="00757FB8" w:rsidRDefault="00484FD8" w:rsidP="00A10D65">
            <w:pPr>
              <w:jc w:val="center"/>
            </w:pPr>
            <w:r w:rsidRPr="00757FB8">
              <w:t>60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D095ED"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4A149304" w14:textId="77777777" w:rsidR="00484FD8" w:rsidRDefault="00484FD8" w:rsidP="00A10D65">
            <w:pPr>
              <w:jc w:val="center"/>
            </w:pPr>
            <w:r w:rsidRPr="006E72DA">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58EC34" w14:textId="77777777" w:rsidR="00484FD8" w:rsidRPr="003E0803" w:rsidRDefault="00484FD8" w:rsidP="00A10D65">
            <w:pPr>
              <w:jc w:val="center"/>
            </w:pPr>
            <w:r w:rsidRPr="003E0803">
              <w:t>60</w:t>
            </w:r>
          </w:p>
        </w:tc>
      </w:tr>
      <w:tr w:rsidR="00484FD8" w14:paraId="02B9C230"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732CA2" w14:textId="77777777" w:rsidR="00484FD8" w:rsidRPr="003A26F9" w:rsidRDefault="00484FD8" w:rsidP="00A10D65">
            <w:pPr>
              <w:rPr>
                <w:bCs/>
                <w:color w:val="000000"/>
                <w:sz w:val="20"/>
                <w:szCs w:val="20"/>
              </w:rPr>
            </w:pPr>
            <w:r w:rsidRPr="003A26F9">
              <w:rPr>
                <w:bCs/>
                <w:color w:val="000000"/>
                <w:sz w:val="20"/>
                <w:szCs w:val="20"/>
              </w:rPr>
              <w:t>Decision Aid Evaluation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83F787" w14:textId="77777777" w:rsidR="00484FD8" w:rsidRPr="00757FB8" w:rsidRDefault="00484FD8" w:rsidP="00A10D65">
            <w:pPr>
              <w:jc w:val="center"/>
            </w:pPr>
            <w:r w:rsidRPr="00757FB8">
              <w:t>60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BBC41F"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1B5F9715" w14:textId="77777777" w:rsidR="00484FD8" w:rsidRDefault="00484FD8" w:rsidP="00A10D65">
            <w:pPr>
              <w:jc w:val="center"/>
            </w:pPr>
            <w:r w:rsidRPr="006E72DA">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33AE7D" w14:textId="77777777" w:rsidR="00484FD8" w:rsidRPr="003E0803" w:rsidRDefault="00484FD8" w:rsidP="00A10D65">
            <w:pPr>
              <w:jc w:val="center"/>
            </w:pPr>
            <w:r w:rsidRPr="003E0803">
              <w:t>60</w:t>
            </w:r>
          </w:p>
        </w:tc>
      </w:tr>
      <w:tr w:rsidR="00484FD8" w14:paraId="4511488F"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5B5792" w14:textId="77777777" w:rsidR="00484FD8" w:rsidRPr="003A26F9" w:rsidRDefault="00484FD8" w:rsidP="00A10D65">
            <w:pPr>
              <w:rPr>
                <w:bCs/>
                <w:color w:val="000000"/>
                <w:sz w:val="20"/>
                <w:szCs w:val="20"/>
              </w:rPr>
            </w:pPr>
            <w:r w:rsidRPr="003A26F9">
              <w:rPr>
                <w:bCs/>
                <w:color w:val="000000"/>
                <w:sz w:val="20"/>
                <w:szCs w:val="20"/>
              </w:rPr>
              <w:t>Decision Aid Evaluation Surveys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3B555B" w14:textId="77777777" w:rsidR="00484FD8" w:rsidRPr="00757FB8" w:rsidRDefault="00484FD8" w:rsidP="00A10D65">
            <w:pPr>
              <w:jc w:val="center"/>
            </w:pPr>
            <w:r w:rsidRPr="00757FB8">
              <w:t>800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466253"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0436AA9A" w14:textId="77777777" w:rsidR="00484FD8" w:rsidRPr="00B46A9F" w:rsidRDefault="00484FD8" w:rsidP="00A10D65">
            <w:pPr>
              <w:jc w:val="center"/>
            </w:pPr>
            <w:r>
              <w:t>10/60</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3B7C03" w14:textId="77777777" w:rsidR="00484FD8" w:rsidRPr="003E0803" w:rsidRDefault="00484FD8" w:rsidP="00A10D65">
            <w:pPr>
              <w:jc w:val="center"/>
            </w:pPr>
            <w:r w:rsidRPr="003E0803">
              <w:t>133</w:t>
            </w:r>
          </w:p>
        </w:tc>
      </w:tr>
      <w:tr w:rsidR="00484FD8" w14:paraId="75693730"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19606E" w14:textId="77777777" w:rsidR="00484FD8" w:rsidRPr="003A26F9" w:rsidRDefault="00484FD8" w:rsidP="00A10D65">
            <w:pPr>
              <w:rPr>
                <w:bCs/>
                <w:color w:val="000000"/>
                <w:sz w:val="20"/>
                <w:szCs w:val="20"/>
              </w:rPr>
            </w:pPr>
            <w:r w:rsidRPr="003A26F9">
              <w:rPr>
                <w:bCs/>
                <w:color w:val="000000"/>
                <w:sz w:val="20"/>
                <w:szCs w:val="20"/>
              </w:rPr>
              <w:t>Research Project Formative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952491" w14:textId="77777777" w:rsidR="00484FD8" w:rsidRPr="00757FB8" w:rsidRDefault="00484FD8" w:rsidP="00A10D65">
            <w:pPr>
              <w:jc w:val="center"/>
            </w:pPr>
            <w:r w:rsidRPr="00757FB8">
              <w:t>45</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A8A8E3"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7C6400FA" w14:textId="77777777" w:rsidR="00484FD8" w:rsidRPr="00B46A9F" w:rsidRDefault="00484FD8" w:rsidP="00A10D65">
            <w:pPr>
              <w:jc w:val="center"/>
            </w:pPr>
            <w:r>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8661F8" w14:textId="77777777" w:rsidR="00484FD8" w:rsidRPr="003E0803" w:rsidRDefault="00484FD8" w:rsidP="00A10D65">
            <w:pPr>
              <w:jc w:val="center"/>
            </w:pPr>
            <w:r w:rsidRPr="003E0803">
              <w:t>45</w:t>
            </w:r>
          </w:p>
        </w:tc>
      </w:tr>
      <w:tr w:rsidR="00484FD8" w14:paraId="577DFB81"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77334F" w14:textId="77777777" w:rsidR="00484FD8" w:rsidRPr="003A26F9" w:rsidRDefault="00484FD8" w:rsidP="00A10D65">
            <w:pPr>
              <w:rPr>
                <w:bCs/>
                <w:color w:val="000000"/>
                <w:sz w:val="20"/>
                <w:szCs w:val="20"/>
              </w:rPr>
            </w:pPr>
            <w:r w:rsidRPr="003A26F9">
              <w:rPr>
                <w:bCs/>
                <w:color w:val="000000"/>
                <w:sz w:val="20"/>
                <w:szCs w:val="20"/>
              </w:rPr>
              <w:t>Research Project Evaluation Surveys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F835BD" w14:textId="77777777" w:rsidR="00484FD8" w:rsidRPr="00757FB8" w:rsidRDefault="00484FD8" w:rsidP="00A10D65">
            <w:pPr>
              <w:jc w:val="center"/>
            </w:pPr>
            <w:r>
              <w:t>120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327DE8"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74151CD9" w14:textId="77777777" w:rsidR="00484FD8" w:rsidRPr="00B46A9F" w:rsidRDefault="00484FD8" w:rsidP="00A10D65">
            <w:pPr>
              <w:jc w:val="center"/>
            </w:pPr>
            <w:r>
              <w:t>10/60</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009C6D" w14:textId="77777777" w:rsidR="00484FD8" w:rsidRPr="003E0803" w:rsidRDefault="00484FD8" w:rsidP="00A10D65">
            <w:pPr>
              <w:jc w:val="center"/>
            </w:pPr>
            <w:r>
              <w:t>20</w:t>
            </w:r>
          </w:p>
        </w:tc>
      </w:tr>
      <w:tr w:rsidR="00484FD8" w14:paraId="014C983E"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267203" w14:textId="77777777" w:rsidR="00484FD8" w:rsidRPr="003A26F9" w:rsidRDefault="00484FD8" w:rsidP="00A10D65">
            <w:pPr>
              <w:rPr>
                <w:bCs/>
                <w:color w:val="000000"/>
                <w:sz w:val="20"/>
                <w:szCs w:val="20"/>
              </w:rPr>
            </w:pPr>
            <w:r w:rsidRPr="003A26F9">
              <w:rPr>
                <w:bCs/>
                <w:color w:val="000000"/>
                <w:sz w:val="20"/>
                <w:szCs w:val="20"/>
              </w:rPr>
              <w:t>Research Project Evaluation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F09104" w14:textId="77777777" w:rsidR="00484FD8" w:rsidRPr="00757FB8" w:rsidRDefault="00484FD8" w:rsidP="00A10D65">
            <w:pPr>
              <w:jc w:val="center"/>
            </w:pPr>
            <w:r w:rsidRPr="00757FB8">
              <w:t>60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F81B91"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6C469710" w14:textId="77777777" w:rsidR="00484FD8" w:rsidRPr="00B46A9F" w:rsidRDefault="00484FD8" w:rsidP="00A10D65">
            <w:pPr>
              <w:jc w:val="center"/>
            </w:pPr>
            <w:r>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1E37B9" w14:textId="77777777" w:rsidR="00484FD8" w:rsidRPr="003E0803" w:rsidRDefault="00484FD8" w:rsidP="00A10D65">
            <w:pPr>
              <w:jc w:val="center"/>
            </w:pPr>
            <w:r w:rsidRPr="003E0803">
              <w:t>60</w:t>
            </w:r>
          </w:p>
        </w:tc>
      </w:tr>
      <w:tr w:rsidR="00484FD8" w14:paraId="03473EA3"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792284" w14:textId="77777777" w:rsidR="00484FD8" w:rsidRPr="003A26F9" w:rsidRDefault="00484FD8" w:rsidP="00A10D65">
            <w:pPr>
              <w:rPr>
                <w:bCs/>
                <w:color w:val="000000"/>
                <w:sz w:val="20"/>
                <w:szCs w:val="20"/>
              </w:rPr>
            </w:pPr>
            <w:r w:rsidRPr="003A26F9">
              <w:rPr>
                <w:bCs/>
                <w:color w:val="000000"/>
                <w:sz w:val="20"/>
                <w:szCs w:val="20"/>
              </w:rPr>
              <w:t>Partnership Evaluation Surveys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2E114D" w14:textId="77777777" w:rsidR="00484FD8" w:rsidRPr="00757FB8" w:rsidRDefault="00484FD8" w:rsidP="00A10D65">
            <w:pPr>
              <w:jc w:val="center"/>
            </w:pPr>
            <w:r>
              <w:t>5</w:t>
            </w:r>
            <w:r w:rsidRPr="00757FB8">
              <w:t>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5A72D6"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6EF480F6" w14:textId="77777777" w:rsidR="00484FD8" w:rsidRPr="00B46A9F" w:rsidRDefault="00484FD8" w:rsidP="00A10D65">
            <w:pPr>
              <w:jc w:val="center"/>
            </w:pPr>
            <w:r>
              <w:t>10/60</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045BEC" w14:textId="77777777" w:rsidR="00484FD8" w:rsidRPr="003E0803" w:rsidRDefault="00484FD8" w:rsidP="00A10D65">
            <w:pPr>
              <w:jc w:val="center"/>
            </w:pPr>
            <w:r>
              <w:t>8</w:t>
            </w:r>
          </w:p>
        </w:tc>
      </w:tr>
      <w:tr w:rsidR="00484FD8" w14:paraId="336BFA7B"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3A94C8" w14:textId="77777777" w:rsidR="00484FD8" w:rsidRPr="003A26F9" w:rsidRDefault="00484FD8" w:rsidP="00A10D65">
            <w:pPr>
              <w:rPr>
                <w:bCs/>
                <w:color w:val="000000"/>
                <w:sz w:val="20"/>
                <w:szCs w:val="20"/>
              </w:rPr>
            </w:pPr>
            <w:r w:rsidRPr="003A26F9">
              <w:rPr>
                <w:bCs/>
                <w:color w:val="000000"/>
                <w:sz w:val="20"/>
                <w:szCs w:val="20"/>
              </w:rPr>
              <w:t>Partnership Evaluation Interviews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6AA4E2" w14:textId="77777777" w:rsidR="00484FD8" w:rsidRPr="00757FB8" w:rsidRDefault="00484FD8" w:rsidP="00A10D65">
            <w:pPr>
              <w:jc w:val="center"/>
            </w:pPr>
            <w:r>
              <w:t>20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4455FB"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23A35CE5" w14:textId="77777777" w:rsidR="00484FD8" w:rsidRPr="00B46A9F" w:rsidRDefault="00484FD8" w:rsidP="00A10D65">
            <w:pPr>
              <w:jc w:val="center"/>
            </w:pPr>
            <w:r>
              <w:t>1</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2F8772" w14:textId="77777777" w:rsidR="00484FD8" w:rsidRPr="003E0803" w:rsidRDefault="00484FD8" w:rsidP="00A10D65">
            <w:pPr>
              <w:jc w:val="center"/>
            </w:pPr>
            <w:r>
              <w:t>20</w:t>
            </w:r>
          </w:p>
        </w:tc>
      </w:tr>
      <w:tr w:rsidR="00484FD8" w14:paraId="2DB6890F"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7500E5" w14:textId="77777777" w:rsidR="00484FD8" w:rsidRPr="003A26F9" w:rsidRDefault="00484FD8" w:rsidP="00A10D65">
            <w:pPr>
              <w:rPr>
                <w:bCs/>
                <w:color w:val="000000"/>
                <w:sz w:val="20"/>
                <w:szCs w:val="20"/>
              </w:rPr>
            </w:pPr>
            <w:r w:rsidRPr="003A26F9">
              <w:rPr>
                <w:bCs/>
                <w:color w:val="000000"/>
                <w:sz w:val="20"/>
                <w:szCs w:val="20"/>
              </w:rPr>
              <w:t>Advocacy Meeting Evaluation Surveys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B04495" w14:textId="77777777" w:rsidR="00484FD8" w:rsidRPr="00757FB8" w:rsidRDefault="00484FD8" w:rsidP="00A10D65">
            <w:pPr>
              <w:jc w:val="center"/>
            </w:pPr>
            <w:r w:rsidRPr="00757FB8">
              <w:t>30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43D77B"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21AE4AE0" w14:textId="77777777" w:rsidR="00484FD8" w:rsidRPr="00B46A9F" w:rsidRDefault="00484FD8" w:rsidP="00A10D65">
            <w:pPr>
              <w:jc w:val="center"/>
            </w:pPr>
            <w:r>
              <w:t>10/60</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7B27E7" w14:textId="77777777" w:rsidR="00484FD8" w:rsidRPr="003E0803" w:rsidRDefault="00484FD8" w:rsidP="00A10D65">
            <w:pPr>
              <w:jc w:val="center"/>
            </w:pPr>
            <w:r>
              <w:t>5</w:t>
            </w:r>
          </w:p>
        </w:tc>
      </w:tr>
      <w:tr w:rsidR="00484FD8" w14:paraId="44E31849"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B4CA82" w14:textId="77777777" w:rsidR="00484FD8" w:rsidRPr="003A26F9" w:rsidRDefault="00484FD8" w:rsidP="00A10D65">
            <w:pPr>
              <w:rPr>
                <w:bCs/>
                <w:color w:val="000000"/>
                <w:sz w:val="20"/>
                <w:szCs w:val="20"/>
              </w:rPr>
            </w:pPr>
            <w:r w:rsidRPr="003A26F9">
              <w:rPr>
                <w:bCs/>
                <w:color w:val="000000"/>
                <w:sz w:val="20"/>
                <w:szCs w:val="20"/>
              </w:rPr>
              <w:t xml:space="preserve">CME </w:t>
            </w:r>
            <w:r>
              <w:rPr>
                <w:bCs/>
                <w:color w:val="000000"/>
                <w:sz w:val="20"/>
                <w:szCs w:val="20"/>
              </w:rPr>
              <w:t>Outcomes</w:t>
            </w:r>
            <w:r w:rsidRPr="003A26F9">
              <w:rPr>
                <w:bCs/>
                <w:color w:val="000000"/>
                <w:sz w:val="20"/>
                <w:szCs w:val="20"/>
              </w:rPr>
              <w:t xml:space="preserve"> Surveys</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C9B0B3" w14:textId="77777777" w:rsidR="00484FD8" w:rsidRPr="00757FB8" w:rsidRDefault="00484FD8" w:rsidP="00A10D65">
            <w:pPr>
              <w:jc w:val="center"/>
            </w:pPr>
            <w:r w:rsidRPr="00757FB8">
              <w:t>9,000</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8C83D7" w14:textId="77777777" w:rsidR="00484FD8" w:rsidRPr="00707FB5" w:rsidRDefault="00484FD8" w:rsidP="00A10D65">
            <w:pPr>
              <w:jc w:val="center"/>
            </w:pPr>
            <w:r w:rsidRPr="00707FB5">
              <w:t>1</w:t>
            </w:r>
          </w:p>
        </w:tc>
        <w:tc>
          <w:tcPr>
            <w:tcW w:w="1254" w:type="dxa"/>
            <w:tcBorders>
              <w:top w:val="nil"/>
              <w:left w:val="nil"/>
              <w:bottom w:val="single" w:sz="8" w:space="0" w:color="auto"/>
              <w:right w:val="single" w:sz="8" w:space="0" w:color="auto"/>
            </w:tcBorders>
          </w:tcPr>
          <w:p w14:paraId="75AAAD83" w14:textId="77777777" w:rsidR="00484FD8" w:rsidRPr="00B46A9F" w:rsidRDefault="00484FD8" w:rsidP="00A10D65">
            <w:pPr>
              <w:jc w:val="center"/>
            </w:pPr>
            <w:r>
              <w:t>5/60</w:t>
            </w:r>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F75B3" w14:textId="77777777" w:rsidR="00484FD8" w:rsidRPr="003E0803" w:rsidRDefault="00484FD8" w:rsidP="00A10D65">
            <w:pPr>
              <w:jc w:val="center"/>
            </w:pPr>
            <w:r w:rsidRPr="003E0803">
              <w:t>750</w:t>
            </w:r>
          </w:p>
        </w:tc>
      </w:tr>
      <w:tr w:rsidR="00484FD8" w14:paraId="4044B671" w14:textId="77777777" w:rsidTr="00A10D65">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279491" w14:textId="77777777" w:rsidR="00484FD8" w:rsidRPr="003A26F9" w:rsidRDefault="00484FD8" w:rsidP="00A10D65">
            <w:pPr>
              <w:rPr>
                <w:b/>
                <w:bCs/>
                <w:color w:val="000000"/>
                <w:sz w:val="20"/>
                <w:szCs w:val="20"/>
              </w:rPr>
            </w:pPr>
            <w:r w:rsidRPr="003A26F9">
              <w:rPr>
                <w:b/>
                <w:bCs/>
                <w:color w:val="000000"/>
                <w:sz w:val="20"/>
                <w:szCs w:val="20"/>
              </w:rPr>
              <w:t>Total</w:t>
            </w:r>
          </w:p>
        </w:tc>
        <w:tc>
          <w:tcPr>
            <w:tcW w:w="13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B55AB" w14:textId="77777777" w:rsidR="00484FD8" w:rsidRDefault="00484FD8" w:rsidP="00A10D65">
            <w:pPr>
              <w:jc w:val="center"/>
            </w:pPr>
            <w:r>
              <w:t>13,875</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92568A" w14:textId="77777777" w:rsidR="00484FD8" w:rsidRDefault="00484FD8" w:rsidP="00A10D65">
            <w:pPr>
              <w:jc w:val="center"/>
            </w:pPr>
            <w:proofErr w:type="spellStart"/>
            <w:r>
              <w:t>na</w:t>
            </w:r>
            <w:proofErr w:type="spellEnd"/>
          </w:p>
        </w:tc>
        <w:tc>
          <w:tcPr>
            <w:tcW w:w="1254" w:type="dxa"/>
            <w:tcBorders>
              <w:top w:val="nil"/>
              <w:left w:val="nil"/>
              <w:bottom w:val="single" w:sz="8" w:space="0" w:color="auto"/>
              <w:right w:val="single" w:sz="8" w:space="0" w:color="auto"/>
            </w:tcBorders>
            <w:vAlign w:val="center"/>
          </w:tcPr>
          <w:p w14:paraId="4B0EC8AB" w14:textId="77777777" w:rsidR="00484FD8" w:rsidRDefault="00484FD8" w:rsidP="00A10D65">
            <w:pPr>
              <w:jc w:val="center"/>
            </w:pPr>
            <w:proofErr w:type="spellStart"/>
            <w:r>
              <w:t>na</w:t>
            </w:r>
            <w:proofErr w:type="spellEnd"/>
          </w:p>
        </w:tc>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352E7A" w14:textId="77777777" w:rsidR="00484FD8" w:rsidRDefault="00484FD8" w:rsidP="00A10D65">
            <w:pPr>
              <w:jc w:val="center"/>
            </w:pPr>
            <w:r>
              <w:t>3,830</w:t>
            </w:r>
          </w:p>
        </w:tc>
      </w:tr>
    </w:tbl>
    <w:p w14:paraId="2717E8C4" w14:textId="77777777" w:rsidR="00484FD8" w:rsidRDefault="00484FD8" w:rsidP="00484FD8">
      <w:r>
        <w:t> </w:t>
      </w:r>
    </w:p>
    <w:p w14:paraId="5B496744" w14:textId="77777777" w:rsidR="00484FD8" w:rsidRDefault="00484FD8" w:rsidP="00484FD8">
      <w:pPr>
        <w:rPr>
          <w:color w:val="000000"/>
          <w:sz w:val="20"/>
        </w:rPr>
      </w:pPr>
      <w:r w:rsidRPr="001346CD">
        <w:rPr>
          <w:bCs/>
          <w:sz w:val="20"/>
        </w:rPr>
        <w:t>*</w:t>
      </w:r>
      <w:r w:rsidRPr="001346CD">
        <w:rPr>
          <w:color w:val="000000"/>
          <w:sz w:val="20"/>
        </w:rPr>
        <w:t xml:space="preserve"> </w:t>
      </w:r>
      <w:r>
        <w:rPr>
          <w:color w:val="000000"/>
          <w:sz w:val="20"/>
        </w:rPr>
        <w:t>For the 3-year contract period, p</w:t>
      </w:r>
      <w:r w:rsidRPr="001346CD">
        <w:rPr>
          <w:color w:val="000000"/>
          <w:sz w:val="20"/>
        </w:rPr>
        <w:t xml:space="preserve">roduct formative interviews and product testing interviews </w:t>
      </w:r>
      <w:r>
        <w:rPr>
          <w:color w:val="000000"/>
          <w:sz w:val="20"/>
        </w:rPr>
        <w:t>will each comprise</w:t>
      </w:r>
      <w:r w:rsidRPr="001346CD">
        <w:rPr>
          <w:color w:val="000000"/>
          <w:sz w:val="20"/>
        </w:rPr>
        <w:t xml:space="preserve"> 300 consumers, 300 clinicians, and 105 policymakers; product evaluation surveys </w:t>
      </w:r>
      <w:r>
        <w:rPr>
          <w:color w:val="000000"/>
          <w:sz w:val="20"/>
        </w:rPr>
        <w:t xml:space="preserve">will </w:t>
      </w:r>
      <w:r w:rsidRPr="001346CD">
        <w:rPr>
          <w:color w:val="000000"/>
          <w:sz w:val="20"/>
        </w:rPr>
        <w:t xml:space="preserve">include 800 consumers, 800 clinicians, and 400 policymakers; dissemination-related formative interviews </w:t>
      </w:r>
      <w:r>
        <w:rPr>
          <w:color w:val="000000"/>
          <w:sz w:val="20"/>
        </w:rPr>
        <w:t xml:space="preserve">will </w:t>
      </w:r>
      <w:r w:rsidRPr="001346CD">
        <w:rPr>
          <w:color w:val="000000"/>
          <w:sz w:val="20"/>
        </w:rPr>
        <w:t xml:space="preserve">include </w:t>
      </w:r>
      <w:r>
        <w:rPr>
          <w:color w:val="000000"/>
          <w:sz w:val="20"/>
        </w:rPr>
        <w:t>40</w:t>
      </w:r>
      <w:r w:rsidRPr="001346CD">
        <w:rPr>
          <w:color w:val="000000"/>
          <w:sz w:val="20"/>
        </w:rPr>
        <w:t xml:space="preserve"> health system/hospital/clinic administrators; dissemination-related e</w:t>
      </w:r>
      <w:r>
        <w:rPr>
          <w:color w:val="000000"/>
          <w:sz w:val="20"/>
        </w:rPr>
        <w:t>valuation interviews will include 40</w:t>
      </w:r>
      <w:r w:rsidRPr="001346CD">
        <w:rPr>
          <w:color w:val="000000"/>
          <w:sz w:val="20"/>
        </w:rPr>
        <w:t xml:space="preserve"> consumers, </w:t>
      </w:r>
      <w:r>
        <w:rPr>
          <w:color w:val="000000"/>
          <w:sz w:val="20"/>
        </w:rPr>
        <w:t>40</w:t>
      </w:r>
      <w:r w:rsidRPr="001346CD">
        <w:rPr>
          <w:color w:val="000000"/>
          <w:sz w:val="20"/>
        </w:rPr>
        <w:t xml:space="preserve"> clinicians, and</w:t>
      </w:r>
      <w:r>
        <w:rPr>
          <w:color w:val="000000"/>
          <w:sz w:val="20"/>
        </w:rPr>
        <w:t xml:space="preserve"> 40</w:t>
      </w:r>
      <w:r w:rsidRPr="001346CD">
        <w:rPr>
          <w:color w:val="000000"/>
          <w:sz w:val="20"/>
        </w:rPr>
        <w:t xml:space="preserve"> administrators; formative interviews, pretesting interviews, and evaluation interviews </w:t>
      </w:r>
      <w:r>
        <w:rPr>
          <w:color w:val="000000"/>
          <w:sz w:val="20"/>
        </w:rPr>
        <w:t xml:space="preserve">for </w:t>
      </w:r>
      <w:r w:rsidRPr="001346CD">
        <w:rPr>
          <w:color w:val="000000"/>
          <w:sz w:val="20"/>
        </w:rPr>
        <w:t xml:space="preserve">the decision aids </w:t>
      </w:r>
      <w:r>
        <w:rPr>
          <w:color w:val="000000"/>
          <w:sz w:val="20"/>
        </w:rPr>
        <w:t xml:space="preserve">will </w:t>
      </w:r>
      <w:r w:rsidRPr="001346CD">
        <w:rPr>
          <w:color w:val="000000"/>
          <w:sz w:val="20"/>
        </w:rPr>
        <w:t xml:space="preserve">each include 30 consumers and 30 clinicians; evaluation surveys for the decision aids </w:t>
      </w:r>
      <w:r>
        <w:rPr>
          <w:color w:val="000000"/>
          <w:sz w:val="20"/>
        </w:rPr>
        <w:t xml:space="preserve">will </w:t>
      </w:r>
      <w:r w:rsidRPr="001346CD">
        <w:rPr>
          <w:color w:val="000000"/>
          <w:sz w:val="20"/>
        </w:rPr>
        <w:t xml:space="preserve">include 400 consumers and 400 clinicians; formative interviews for the annual dissemination research project </w:t>
      </w:r>
      <w:r>
        <w:rPr>
          <w:color w:val="000000"/>
          <w:sz w:val="20"/>
        </w:rPr>
        <w:t xml:space="preserve">will </w:t>
      </w:r>
      <w:r w:rsidRPr="001346CD">
        <w:rPr>
          <w:color w:val="000000"/>
          <w:sz w:val="20"/>
        </w:rPr>
        <w:t xml:space="preserve">include 15 consumers, 15 clinicians, and 15 administrators; evaluation surveys for the research project </w:t>
      </w:r>
      <w:r>
        <w:rPr>
          <w:color w:val="000000"/>
          <w:sz w:val="20"/>
        </w:rPr>
        <w:t xml:space="preserve">will </w:t>
      </w:r>
      <w:r w:rsidRPr="001346CD">
        <w:rPr>
          <w:color w:val="000000"/>
          <w:sz w:val="20"/>
        </w:rPr>
        <w:t xml:space="preserve">include 50 consumers, 50 clinicians, and 20 administrators; evaluation interviews for the research project </w:t>
      </w:r>
      <w:r>
        <w:rPr>
          <w:color w:val="000000"/>
          <w:sz w:val="20"/>
        </w:rPr>
        <w:t xml:space="preserve">will </w:t>
      </w:r>
      <w:r w:rsidRPr="001346CD">
        <w:rPr>
          <w:color w:val="000000"/>
          <w:sz w:val="20"/>
        </w:rPr>
        <w:t xml:space="preserve">include 20 consumers, 20 clinicians, and 20 administrators; </w:t>
      </w:r>
      <w:r>
        <w:rPr>
          <w:color w:val="000000"/>
          <w:sz w:val="20"/>
        </w:rPr>
        <w:t xml:space="preserve">the </w:t>
      </w:r>
      <w:r w:rsidRPr="001346CD">
        <w:rPr>
          <w:color w:val="000000"/>
          <w:sz w:val="20"/>
        </w:rPr>
        <w:t>AHRQ partner</w:t>
      </w:r>
      <w:r>
        <w:rPr>
          <w:color w:val="000000"/>
          <w:sz w:val="20"/>
        </w:rPr>
        <w:t xml:space="preserve"> surveys will include 50 partners; the AHRQ partner evaluation interviews will include </w:t>
      </w:r>
      <w:r w:rsidRPr="001346CD">
        <w:rPr>
          <w:color w:val="000000"/>
          <w:sz w:val="20"/>
        </w:rPr>
        <w:t xml:space="preserve">20 partners; </w:t>
      </w:r>
      <w:r>
        <w:rPr>
          <w:color w:val="000000"/>
          <w:sz w:val="20"/>
        </w:rPr>
        <w:t>the health advocates surveys will include 30 participants;</w:t>
      </w:r>
      <w:r w:rsidRPr="001346CD">
        <w:rPr>
          <w:color w:val="000000"/>
          <w:sz w:val="20"/>
        </w:rPr>
        <w:t xml:space="preserve"> </w:t>
      </w:r>
      <w:r>
        <w:rPr>
          <w:color w:val="000000"/>
          <w:sz w:val="20"/>
        </w:rPr>
        <w:t xml:space="preserve">and CME outcomes surveys will include </w:t>
      </w:r>
      <w:r w:rsidRPr="001346CD">
        <w:rPr>
          <w:color w:val="000000"/>
          <w:sz w:val="20"/>
        </w:rPr>
        <w:t>500 clinicians for each of 18 CME activities.</w:t>
      </w:r>
      <w:r>
        <w:rPr>
          <w:color w:val="000000"/>
          <w:sz w:val="20"/>
        </w:rPr>
        <w:t xml:space="preserve"> </w:t>
      </w:r>
    </w:p>
    <w:p w14:paraId="09D81FE2" w14:textId="77777777" w:rsidR="00217C19" w:rsidRDefault="00217C19" w:rsidP="00217C19"/>
    <w:p w14:paraId="2A0B8128" w14:textId="77777777" w:rsidR="00484FD8" w:rsidRDefault="00484FD8" w:rsidP="00217C19"/>
    <w:p w14:paraId="434BE6B6" w14:textId="77777777" w:rsidR="00217C19" w:rsidRDefault="00217C19" w:rsidP="00217C19">
      <w:pPr>
        <w:rPr>
          <w:b/>
        </w:rPr>
      </w:pPr>
      <w:proofErr w:type="gramStart"/>
      <w:r w:rsidRPr="00037998">
        <w:rPr>
          <w:b/>
        </w:rPr>
        <w:t>Exhibit 2.</w:t>
      </w:r>
      <w:proofErr w:type="gramEnd"/>
      <w:r w:rsidRPr="00037998">
        <w:rPr>
          <w:b/>
        </w:rPr>
        <w:t xml:space="preserve">  Estimated annualized cost burden</w:t>
      </w:r>
    </w:p>
    <w:tbl>
      <w:tblPr>
        <w:tblW w:w="0" w:type="auto"/>
        <w:tblInd w:w="108" w:type="dxa"/>
        <w:tblCellMar>
          <w:left w:w="0" w:type="dxa"/>
          <w:right w:w="0" w:type="dxa"/>
        </w:tblCellMar>
        <w:tblLook w:val="0000" w:firstRow="0" w:lastRow="0" w:firstColumn="0" w:lastColumn="0" w:noHBand="0" w:noVBand="0"/>
      </w:tblPr>
      <w:tblGrid>
        <w:gridCol w:w="3448"/>
        <w:gridCol w:w="1418"/>
        <w:gridCol w:w="890"/>
        <w:gridCol w:w="1419"/>
        <w:gridCol w:w="1337"/>
      </w:tblGrid>
      <w:tr w:rsidR="00EA6B30" w14:paraId="1574B015" w14:textId="77777777" w:rsidTr="00431E7B">
        <w:tc>
          <w:tcPr>
            <w:tcW w:w="34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DEA424" w14:textId="77777777" w:rsidR="00217C19" w:rsidRDefault="00217C19" w:rsidP="00E80F96">
            <w:pPr>
              <w:jc w:val="center"/>
            </w:pPr>
            <w:r>
              <w:rPr>
                <w:color w:val="000000"/>
                <w:sz w:val="20"/>
                <w:szCs w:val="20"/>
              </w:rPr>
              <w:t>Form Name</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4BD29E" w14:textId="77777777" w:rsidR="00217C19" w:rsidRDefault="00217C19" w:rsidP="00E80F96">
            <w:pPr>
              <w:jc w:val="center"/>
            </w:pPr>
            <w:r>
              <w:rPr>
                <w:color w:val="000000"/>
                <w:sz w:val="20"/>
                <w:szCs w:val="20"/>
              </w:rPr>
              <w:t>Number of respondents</w:t>
            </w:r>
          </w:p>
        </w:tc>
        <w:tc>
          <w:tcPr>
            <w:tcW w:w="8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DBD390" w14:textId="77777777" w:rsidR="00217C19" w:rsidRDefault="00217C19" w:rsidP="00E80F96">
            <w:pPr>
              <w:jc w:val="center"/>
            </w:pPr>
            <w:r>
              <w:rPr>
                <w:color w:val="000000"/>
                <w:sz w:val="20"/>
                <w:szCs w:val="20"/>
              </w:rPr>
              <w:t>Total burden hours</w:t>
            </w:r>
          </w:p>
        </w:tc>
        <w:tc>
          <w:tcPr>
            <w:tcW w:w="14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4FFED3" w14:textId="77777777" w:rsidR="00217C19" w:rsidRDefault="00217C19" w:rsidP="00E80F96">
            <w:pPr>
              <w:jc w:val="center"/>
            </w:pPr>
            <w:r>
              <w:rPr>
                <w:color w:val="000000"/>
                <w:sz w:val="20"/>
                <w:szCs w:val="20"/>
              </w:rPr>
              <w:t>Average hourly wage rate*</w:t>
            </w:r>
          </w:p>
        </w:tc>
        <w:tc>
          <w:tcPr>
            <w:tcW w:w="13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EFB161" w14:textId="77777777" w:rsidR="00217C19" w:rsidRDefault="00217C19" w:rsidP="00E80F96">
            <w:pPr>
              <w:jc w:val="center"/>
            </w:pPr>
            <w:r>
              <w:rPr>
                <w:color w:val="000000"/>
                <w:sz w:val="20"/>
                <w:szCs w:val="20"/>
              </w:rPr>
              <w:t>Total</w:t>
            </w:r>
            <w:r w:rsidR="0048659F">
              <w:rPr>
                <w:color w:val="000000"/>
                <w:sz w:val="20"/>
                <w:szCs w:val="20"/>
              </w:rPr>
              <w:t xml:space="preserve"> </w:t>
            </w:r>
            <w:r>
              <w:rPr>
                <w:color w:val="000000"/>
                <w:sz w:val="20"/>
                <w:szCs w:val="20"/>
              </w:rPr>
              <w:t>cost burden</w:t>
            </w:r>
          </w:p>
        </w:tc>
      </w:tr>
      <w:tr w:rsidR="00EA6B30" w14:paraId="7DAF5A11"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93C0F0" w14:textId="77777777" w:rsidR="00EA6B30" w:rsidRPr="003A26F9" w:rsidRDefault="00EA6B30" w:rsidP="00EA6B30">
            <w:pPr>
              <w:rPr>
                <w:bCs/>
                <w:color w:val="000000"/>
                <w:sz w:val="20"/>
                <w:szCs w:val="20"/>
              </w:rPr>
            </w:pPr>
            <w:r w:rsidRPr="003A26F9">
              <w:rPr>
                <w:bCs/>
                <w:color w:val="000000"/>
                <w:sz w:val="20"/>
                <w:szCs w:val="20"/>
              </w:rPr>
              <w:t>Product Formative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5D9094" w14:textId="77777777" w:rsidR="00EA6B30" w:rsidRPr="00757FB8" w:rsidRDefault="00EA6B30" w:rsidP="00EA6B30">
            <w:pPr>
              <w:jc w:val="center"/>
            </w:pPr>
            <w:r w:rsidRPr="00757FB8">
              <w:t>705</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804BFD" w14:textId="77777777" w:rsidR="00EA6B30" w:rsidRPr="003E0803" w:rsidRDefault="00EA6B30" w:rsidP="00EA6B30">
            <w:pPr>
              <w:jc w:val="center"/>
            </w:pPr>
            <w:r w:rsidRPr="003E0803">
              <w:t>705</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F01B08" w14:textId="77777777" w:rsidR="00EA6B30" w:rsidRDefault="00EA6B30" w:rsidP="00EA6B30">
            <w:pPr>
              <w:jc w:val="center"/>
            </w:pPr>
            <w:r>
              <w:t>$54.81</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49A799" w14:textId="77777777" w:rsidR="00EA6B30" w:rsidRDefault="00EA6B30" w:rsidP="00EA6B30">
            <w:pPr>
              <w:jc w:val="center"/>
            </w:pPr>
            <w:r>
              <w:t>$38,641</w:t>
            </w:r>
          </w:p>
        </w:tc>
      </w:tr>
      <w:tr w:rsidR="00EA6B30" w14:paraId="4651DA1D"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1F34F0" w14:textId="77777777" w:rsidR="00EA6B30" w:rsidRPr="003A26F9" w:rsidRDefault="00EA6B30" w:rsidP="00EA6B30">
            <w:pPr>
              <w:rPr>
                <w:bCs/>
                <w:color w:val="000000"/>
                <w:sz w:val="20"/>
                <w:szCs w:val="20"/>
              </w:rPr>
            </w:pPr>
            <w:r w:rsidRPr="003A26F9">
              <w:rPr>
                <w:bCs/>
                <w:color w:val="000000"/>
                <w:sz w:val="20"/>
                <w:szCs w:val="20"/>
              </w:rPr>
              <w:t>Product Pretesting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3EB149" w14:textId="77777777" w:rsidR="00EA6B30" w:rsidRPr="00757FB8" w:rsidRDefault="00EA6B30" w:rsidP="00EA6B30">
            <w:pPr>
              <w:jc w:val="center"/>
            </w:pPr>
            <w:r w:rsidRPr="00757FB8">
              <w:t>705</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23E5AF" w14:textId="77777777" w:rsidR="00EA6B30" w:rsidRPr="003E0803" w:rsidRDefault="00EA6B30" w:rsidP="00EA6B30">
            <w:pPr>
              <w:jc w:val="center"/>
            </w:pPr>
            <w:r>
              <w:t>1,410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2F2BD5" w14:textId="77777777" w:rsidR="00EA6B30" w:rsidRDefault="00EA6B30" w:rsidP="00EA6B30">
            <w:pPr>
              <w:jc w:val="center"/>
            </w:pPr>
            <w:r>
              <w:t>$54.81</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B19299" w14:textId="77777777" w:rsidR="00EA6B30" w:rsidRDefault="00EA6B30" w:rsidP="00EA6B30">
            <w:pPr>
              <w:jc w:val="center"/>
            </w:pPr>
            <w:r>
              <w:t>$77,282</w:t>
            </w:r>
          </w:p>
        </w:tc>
      </w:tr>
      <w:tr w:rsidR="00EA6B30" w14:paraId="267B4DDC"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295EE7" w14:textId="77777777" w:rsidR="00EA6B30" w:rsidRPr="003A26F9" w:rsidRDefault="00EA6B30" w:rsidP="00EA6B30">
            <w:pPr>
              <w:rPr>
                <w:bCs/>
                <w:color w:val="000000"/>
                <w:sz w:val="20"/>
                <w:szCs w:val="20"/>
              </w:rPr>
            </w:pPr>
            <w:r w:rsidRPr="003A26F9">
              <w:rPr>
                <w:bCs/>
                <w:color w:val="000000"/>
                <w:sz w:val="20"/>
                <w:szCs w:val="20"/>
              </w:rPr>
              <w:t>Product Evaluation Surveys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2AB1FD" w14:textId="77777777" w:rsidR="00EA6B30" w:rsidRPr="00757FB8" w:rsidRDefault="00EA6B30" w:rsidP="00EA6B30">
            <w:pPr>
              <w:jc w:val="center"/>
            </w:pPr>
            <w:r w:rsidRPr="00757FB8">
              <w:t>2,000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FB0A3B" w14:textId="77777777" w:rsidR="00EA6B30" w:rsidRPr="003E0803" w:rsidRDefault="00EA6B30" w:rsidP="00EA6B30">
            <w:pPr>
              <w:jc w:val="center"/>
            </w:pPr>
            <w:r w:rsidRPr="003E0803">
              <w:t>333</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C452AC" w14:textId="77777777" w:rsidR="00EA6B30" w:rsidRDefault="00EA6B30" w:rsidP="00EA6B30">
            <w:pPr>
              <w:jc w:val="center"/>
            </w:pPr>
            <w:r>
              <w:t>$54.00</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A47723" w14:textId="78CEBCDE" w:rsidR="00EA6B30" w:rsidRDefault="00EA6B30" w:rsidP="001078E2">
            <w:pPr>
              <w:jc w:val="center"/>
            </w:pPr>
            <w:r>
              <w:t>17,</w:t>
            </w:r>
            <w:r w:rsidR="001078E2">
              <w:t>982</w:t>
            </w:r>
          </w:p>
        </w:tc>
      </w:tr>
      <w:tr w:rsidR="00EA6B30" w14:paraId="2861653F"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66CA16" w14:textId="77777777" w:rsidR="00EA6B30" w:rsidRPr="003A26F9" w:rsidRDefault="00EA6B30" w:rsidP="00EA6B30">
            <w:pPr>
              <w:rPr>
                <w:bCs/>
                <w:color w:val="000000"/>
                <w:sz w:val="20"/>
                <w:szCs w:val="20"/>
              </w:rPr>
            </w:pPr>
            <w:r w:rsidRPr="003A26F9">
              <w:rPr>
                <w:bCs/>
                <w:color w:val="000000"/>
                <w:sz w:val="20"/>
                <w:szCs w:val="20"/>
              </w:rPr>
              <w:t>Dissemination Formative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638DAC" w14:textId="77777777" w:rsidR="00EA6B30" w:rsidRPr="00757FB8" w:rsidRDefault="00EA6B30" w:rsidP="00EA6B30">
            <w:pPr>
              <w:jc w:val="center"/>
            </w:pPr>
            <w:r>
              <w:t>40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3EFDF6" w14:textId="77777777" w:rsidR="00EA6B30" w:rsidRPr="003E0803" w:rsidRDefault="00EA6B30" w:rsidP="00EA6B30">
            <w:pPr>
              <w:jc w:val="center"/>
            </w:pPr>
            <w:r>
              <w:t>40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A1B796" w14:textId="77777777" w:rsidR="00EA6B30" w:rsidRDefault="00EA6B30" w:rsidP="00EA6B30">
            <w:pPr>
              <w:jc w:val="center"/>
            </w:pPr>
            <w:r>
              <w:t>$49.84</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0CBAA6" w14:textId="77777777" w:rsidR="00EA6B30" w:rsidRDefault="00EA6B30" w:rsidP="00EA6B30">
            <w:pPr>
              <w:jc w:val="center"/>
            </w:pPr>
            <w:r>
              <w:t>$1,994</w:t>
            </w:r>
          </w:p>
        </w:tc>
      </w:tr>
      <w:tr w:rsidR="00EA6B30" w14:paraId="4697BB6B"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75EDCA" w14:textId="77777777" w:rsidR="00EA6B30" w:rsidRPr="003A26F9" w:rsidRDefault="00EA6B30" w:rsidP="00EA6B30">
            <w:pPr>
              <w:rPr>
                <w:bCs/>
                <w:color w:val="000000"/>
                <w:sz w:val="20"/>
                <w:szCs w:val="20"/>
              </w:rPr>
            </w:pPr>
            <w:r w:rsidRPr="003A26F9">
              <w:rPr>
                <w:bCs/>
                <w:color w:val="000000"/>
                <w:sz w:val="20"/>
                <w:szCs w:val="20"/>
              </w:rPr>
              <w:t>Dissemination Evaluation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30384C" w14:textId="77777777" w:rsidR="00EA6B30" w:rsidRPr="00757FB8" w:rsidRDefault="00EA6B30" w:rsidP="00EA6B30">
            <w:pPr>
              <w:jc w:val="center"/>
            </w:pPr>
            <w:r>
              <w:t>120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EC943F" w14:textId="77777777" w:rsidR="00EA6B30" w:rsidRPr="003E0803" w:rsidRDefault="00EA6B30" w:rsidP="00EA6B30">
            <w:pPr>
              <w:jc w:val="center"/>
            </w:pPr>
            <w:r>
              <w:t>120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003084" w14:textId="77777777" w:rsidR="00EA6B30" w:rsidRDefault="00EA6B30" w:rsidP="00EA6B30">
            <w:pPr>
              <w:jc w:val="center"/>
            </w:pPr>
            <w:r>
              <w:t>$54.74</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522D12" w14:textId="234AFADF" w:rsidR="00EA6B30" w:rsidRDefault="00EA6B30" w:rsidP="00380C46">
            <w:pPr>
              <w:jc w:val="center"/>
            </w:pPr>
            <w:r>
              <w:t>$6,56</w:t>
            </w:r>
            <w:r w:rsidR="00380C46">
              <w:t>9</w:t>
            </w:r>
          </w:p>
        </w:tc>
      </w:tr>
      <w:tr w:rsidR="00EA6B30" w14:paraId="3507E839"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FDD455" w14:textId="77777777" w:rsidR="00EA6B30" w:rsidRPr="003A26F9" w:rsidRDefault="00EA6B30" w:rsidP="00EA6B30">
            <w:pPr>
              <w:rPr>
                <w:bCs/>
                <w:color w:val="000000"/>
                <w:sz w:val="20"/>
                <w:szCs w:val="20"/>
              </w:rPr>
            </w:pPr>
            <w:r w:rsidRPr="003A26F9">
              <w:rPr>
                <w:bCs/>
                <w:color w:val="000000"/>
                <w:sz w:val="20"/>
                <w:szCs w:val="20"/>
              </w:rPr>
              <w:t>Decision Aid Formative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C7A043" w14:textId="77777777" w:rsidR="00EA6B30" w:rsidRPr="00757FB8" w:rsidRDefault="00EA6B30" w:rsidP="00EA6B30">
            <w:pPr>
              <w:jc w:val="center"/>
            </w:pPr>
            <w:r w:rsidRPr="00757FB8">
              <w:t>60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5C0CF2" w14:textId="77777777" w:rsidR="00EA6B30" w:rsidRPr="003E0803" w:rsidRDefault="00EA6B30" w:rsidP="00EA6B30">
            <w:pPr>
              <w:jc w:val="center"/>
            </w:pPr>
            <w:r w:rsidRPr="003E0803">
              <w:t>60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697B40" w14:textId="77777777" w:rsidR="00EA6B30" w:rsidRDefault="00EA6B30" w:rsidP="00EA6B30">
            <w:pPr>
              <w:jc w:val="center"/>
            </w:pPr>
            <w:r>
              <w:t>$57.19</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AA3032" w14:textId="77777777" w:rsidR="00EA6B30" w:rsidRDefault="00EA6B30" w:rsidP="00EA6B30">
            <w:pPr>
              <w:jc w:val="center"/>
            </w:pPr>
            <w:r>
              <w:t>$3,431</w:t>
            </w:r>
          </w:p>
        </w:tc>
      </w:tr>
      <w:tr w:rsidR="00EA6B30" w14:paraId="65DC65AA"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64A881" w14:textId="77777777" w:rsidR="00EA6B30" w:rsidRPr="003A26F9" w:rsidRDefault="00EA6B30" w:rsidP="00EA6B30">
            <w:pPr>
              <w:rPr>
                <w:bCs/>
                <w:color w:val="000000"/>
                <w:sz w:val="20"/>
                <w:szCs w:val="20"/>
              </w:rPr>
            </w:pPr>
            <w:r w:rsidRPr="003A26F9">
              <w:rPr>
                <w:bCs/>
                <w:color w:val="000000"/>
                <w:sz w:val="20"/>
                <w:szCs w:val="20"/>
              </w:rPr>
              <w:t>Decision Aid Pretesting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A10F84" w14:textId="77777777" w:rsidR="00EA6B30" w:rsidRPr="00757FB8" w:rsidRDefault="00EA6B30" w:rsidP="00EA6B30">
            <w:pPr>
              <w:jc w:val="center"/>
            </w:pPr>
            <w:r w:rsidRPr="00757FB8">
              <w:t>60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DD0CB3" w14:textId="77777777" w:rsidR="00EA6B30" w:rsidRPr="003E0803" w:rsidRDefault="00EA6B30" w:rsidP="00EA6B30">
            <w:pPr>
              <w:jc w:val="center"/>
            </w:pPr>
            <w:r w:rsidRPr="003E0803">
              <w:t>60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3D0F63" w14:textId="77777777" w:rsidR="00EA6B30" w:rsidRDefault="00EA6B30" w:rsidP="00EA6B30">
            <w:pPr>
              <w:jc w:val="center"/>
            </w:pPr>
            <w:r>
              <w:t>$57.19</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841313" w14:textId="77777777" w:rsidR="00EA6B30" w:rsidRDefault="00EA6B30" w:rsidP="00EA6B30">
            <w:pPr>
              <w:jc w:val="center"/>
            </w:pPr>
            <w:r>
              <w:t>$3,431</w:t>
            </w:r>
          </w:p>
        </w:tc>
      </w:tr>
      <w:tr w:rsidR="00EA6B30" w14:paraId="73C977E8"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351994" w14:textId="77777777" w:rsidR="00EA6B30" w:rsidRPr="003A26F9" w:rsidRDefault="00EA6B30" w:rsidP="00EA6B30">
            <w:pPr>
              <w:rPr>
                <w:bCs/>
                <w:color w:val="000000"/>
                <w:sz w:val="20"/>
                <w:szCs w:val="20"/>
              </w:rPr>
            </w:pPr>
            <w:r w:rsidRPr="003A26F9">
              <w:rPr>
                <w:bCs/>
                <w:color w:val="000000"/>
                <w:sz w:val="20"/>
                <w:szCs w:val="20"/>
              </w:rPr>
              <w:t>Decision Aid Evaluation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231A82" w14:textId="77777777" w:rsidR="00EA6B30" w:rsidRPr="00757FB8" w:rsidRDefault="00EA6B30" w:rsidP="00EA6B30">
            <w:pPr>
              <w:jc w:val="center"/>
            </w:pPr>
            <w:r w:rsidRPr="00757FB8">
              <w:t>60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BCBB9A" w14:textId="77777777" w:rsidR="00EA6B30" w:rsidRPr="003E0803" w:rsidRDefault="00EA6B30" w:rsidP="00EA6B30">
            <w:pPr>
              <w:jc w:val="center"/>
            </w:pPr>
            <w:r w:rsidRPr="003E0803">
              <w:t>60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5DCA2" w14:textId="77777777" w:rsidR="00EA6B30" w:rsidRDefault="00EA6B30" w:rsidP="00EA6B30">
            <w:pPr>
              <w:jc w:val="center"/>
            </w:pPr>
            <w:r>
              <w:t>$57.19</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9E1CF3" w14:textId="77777777" w:rsidR="00EA6B30" w:rsidRDefault="00EA6B30" w:rsidP="00EA6B30">
            <w:pPr>
              <w:jc w:val="center"/>
            </w:pPr>
            <w:r>
              <w:t>$3,431</w:t>
            </w:r>
          </w:p>
        </w:tc>
      </w:tr>
      <w:tr w:rsidR="00EA6B30" w14:paraId="3769EDC2"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09F320" w14:textId="77777777" w:rsidR="00EA6B30" w:rsidRPr="003A26F9" w:rsidRDefault="00EA6B30" w:rsidP="00EA6B30">
            <w:pPr>
              <w:rPr>
                <w:bCs/>
                <w:color w:val="000000"/>
                <w:sz w:val="20"/>
                <w:szCs w:val="20"/>
              </w:rPr>
            </w:pPr>
            <w:r w:rsidRPr="003A26F9">
              <w:rPr>
                <w:bCs/>
                <w:color w:val="000000"/>
                <w:sz w:val="20"/>
                <w:szCs w:val="20"/>
              </w:rPr>
              <w:t>Decision Aid Evaluation Surveys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C0BF34" w14:textId="77777777" w:rsidR="00EA6B30" w:rsidRPr="00757FB8" w:rsidRDefault="00EA6B30" w:rsidP="00EA6B30">
            <w:pPr>
              <w:jc w:val="center"/>
            </w:pPr>
            <w:r w:rsidRPr="00757FB8">
              <w:t>800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743104" w14:textId="77777777" w:rsidR="00EA6B30" w:rsidRPr="003E0803" w:rsidRDefault="00EA6B30" w:rsidP="00EA6B30">
            <w:pPr>
              <w:jc w:val="center"/>
            </w:pPr>
            <w:r w:rsidRPr="003E0803">
              <w:t>133</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893B80" w14:textId="77777777" w:rsidR="00EA6B30" w:rsidRDefault="00EA6B30" w:rsidP="00EA6B30">
            <w:pPr>
              <w:jc w:val="center"/>
            </w:pPr>
            <w:r>
              <w:t>$57.19</w:t>
            </w:r>
            <w:r>
              <w:rPr>
                <w:vertAlign w:val="superscript"/>
              </w:rPr>
              <w:t>a</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BC5732" w14:textId="2E3084CA" w:rsidR="00EA6B30" w:rsidRDefault="00EA6B30" w:rsidP="001078E2">
            <w:pPr>
              <w:jc w:val="center"/>
            </w:pPr>
            <w:r>
              <w:t>$7,</w:t>
            </w:r>
            <w:r w:rsidR="001078E2">
              <w:t>606</w:t>
            </w:r>
          </w:p>
        </w:tc>
      </w:tr>
      <w:tr w:rsidR="00EA6B30" w14:paraId="11C158BD"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D30816" w14:textId="77777777" w:rsidR="00EA6B30" w:rsidRPr="003A26F9" w:rsidRDefault="00EA6B30" w:rsidP="00EA6B30">
            <w:pPr>
              <w:rPr>
                <w:bCs/>
                <w:color w:val="000000"/>
                <w:sz w:val="20"/>
                <w:szCs w:val="20"/>
              </w:rPr>
            </w:pPr>
            <w:r w:rsidRPr="003A26F9">
              <w:rPr>
                <w:bCs/>
                <w:color w:val="000000"/>
                <w:sz w:val="20"/>
                <w:szCs w:val="20"/>
              </w:rPr>
              <w:t>Research Project Formative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EA2150" w14:textId="77777777" w:rsidR="00EA6B30" w:rsidRPr="00757FB8" w:rsidRDefault="00EA6B30" w:rsidP="00EA6B30">
            <w:pPr>
              <w:jc w:val="center"/>
            </w:pPr>
            <w:r w:rsidRPr="00757FB8">
              <w:t>45</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0CD481" w14:textId="77777777" w:rsidR="00EA6B30" w:rsidRPr="003E0803" w:rsidRDefault="00EA6B30" w:rsidP="00EA6B30">
            <w:pPr>
              <w:jc w:val="center"/>
            </w:pPr>
            <w:r w:rsidRPr="003E0803">
              <w:t>45</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41158F" w14:textId="77777777" w:rsidR="00EA6B30" w:rsidRPr="009B3622" w:rsidRDefault="00EA6B30" w:rsidP="00EA6B30">
            <w:pPr>
              <w:jc w:val="center"/>
              <w:rPr>
                <w:vertAlign w:val="superscript"/>
              </w:rPr>
            </w:pPr>
            <w:r>
              <w:t>$54.74</w:t>
            </w:r>
            <w:r>
              <w:rPr>
                <w:vertAlign w:val="superscript"/>
              </w:rPr>
              <w:t>b</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E4C760" w14:textId="77777777" w:rsidR="00EA6B30" w:rsidRDefault="00EA6B30" w:rsidP="00EA6B30">
            <w:pPr>
              <w:jc w:val="center"/>
            </w:pPr>
            <w:r>
              <w:t>$2,463</w:t>
            </w:r>
          </w:p>
        </w:tc>
      </w:tr>
      <w:tr w:rsidR="00EA6B30" w14:paraId="083E5847"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75FA3D" w14:textId="77777777" w:rsidR="00EA6B30" w:rsidRPr="003A26F9" w:rsidRDefault="00EA6B30" w:rsidP="00EA6B30">
            <w:pPr>
              <w:rPr>
                <w:bCs/>
                <w:color w:val="000000"/>
                <w:sz w:val="20"/>
                <w:szCs w:val="20"/>
              </w:rPr>
            </w:pPr>
            <w:r w:rsidRPr="003A26F9">
              <w:rPr>
                <w:bCs/>
                <w:color w:val="000000"/>
                <w:sz w:val="20"/>
                <w:szCs w:val="20"/>
              </w:rPr>
              <w:t>Research Project Evaluation Surveys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0DDD1C" w14:textId="77777777" w:rsidR="00EA6B30" w:rsidRPr="00757FB8" w:rsidRDefault="00EA6B30" w:rsidP="00EA6B30">
            <w:pPr>
              <w:jc w:val="center"/>
            </w:pPr>
            <w:r>
              <w:t>120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E86B0A" w14:textId="77777777" w:rsidR="00EA6B30" w:rsidRPr="003E0803" w:rsidRDefault="00EA6B30" w:rsidP="00EA6B30">
            <w:pPr>
              <w:jc w:val="center"/>
            </w:pPr>
            <w:r>
              <w:t>20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5F3FBE" w14:textId="77777777" w:rsidR="00EA6B30" w:rsidRPr="009B3622" w:rsidRDefault="00EA6B30" w:rsidP="00EA6B30">
            <w:pPr>
              <w:jc w:val="center"/>
              <w:rPr>
                <w:vertAlign w:val="superscript"/>
              </w:rPr>
            </w:pPr>
            <w:r>
              <w:t>$55.96</w:t>
            </w:r>
            <w:r>
              <w:rPr>
                <w:vertAlign w:val="superscript"/>
              </w:rPr>
              <w:t>b</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1D1F15" w14:textId="45333F09" w:rsidR="00EA6B30" w:rsidRDefault="00EA6B30" w:rsidP="001078E2">
            <w:pPr>
              <w:jc w:val="center"/>
            </w:pPr>
            <w:r>
              <w:t>$</w:t>
            </w:r>
            <w:r w:rsidR="001078E2">
              <w:t>1,119</w:t>
            </w:r>
          </w:p>
        </w:tc>
      </w:tr>
      <w:tr w:rsidR="00EA6B30" w14:paraId="20D772EA"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CD41A1" w14:textId="77777777" w:rsidR="00EA6B30" w:rsidRPr="003A26F9" w:rsidRDefault="00EA6B30" w:rsidP="00EA6B30">
            <w:pPr>
              <w:rPr>
                <w:bCs/>
                <w:color w:val="000000"/>
                <w:sz w:val="20"/>
                <w:szCs w:val="20"/>
              </w:rPr>
            </w:pPr>
            <w:r w:rsidRPr="003A26F9">
              <w:rPr>
                <w:bCs/>
                <w:color w:val="000000"/>
                <w:sz w:val="20"/>
                <w:szCs w:val="20"/>
              </w:rPr>
              <w:t>Research Project Evaluation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5BB347" w14:textId="77777777" w:rsidR="00EA6B30" w:rsidRPr="00757FB8" w:rsidRDefault="00EA6B30" w:rsidP="00EA6B30">
            <w:pPr>
              <w:jc w:val="center"/>
            </w:pPr>
            <w:r w:rsidRPr="00757FB8">
              <w:t>60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F972F3" w14:textId="77777777" w:rsidR="00EA6B30" w:rsidRPr="003E0803" w:rsidRDefault="00EA6B30" w:rsidP="00EA6B30">
            <w:pPr>
              <w:jc w:val="center"/>
            </w:pPr>
            <w:r w:rsidRPr="003E0803">
              <w:t>60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BBAB0B" w14:textId="77777777" w:rsidR="00EA6B30" w:rsidRPr="009B3622" w:rsidRDefault="00EA6B30" w:rsidP="00EA6B30">
            <w:pPr>
              <w:jc w:val="center"/>
              <w:rPr>
                <w:vertAlign w:val="superscript"/>
              </w:rPr>
            </w:pPr>
            <w:r>
              <w:t>$54.74</w:t>
            </w:r>
            <w:r>
              <w:rPr>
                <w:vertAlign w:val="superscript"/>
              </w:rPr>
              <w:t>b</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9DABE0" w14:textId="77777777" w:rsidR="00EA6B30" w:rsidRDefault="00EA6B30" w:rsidP="00EA6B30">
            <w:pPr>
              <w:jc w:val="center"/>
            </w:pPr>
            <w:r>
              <w:t>$3,284</w:t>
            </w:r>
          </w:p>
        </w:tc>
      </w:tr>
      <w:tr w:rsidR="00EA6B30" w14:paraId="0BD0317A"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6039E0" w14:textId="77777777" w:rsidR="00EA6B30" w:rsidRPr="003A26F9" w:rsidRDefault="00EA6B30" w:rsidP="00EA6B30">
            <w:pPr>
              <w:rPr>
                <w:bCs/>
                <w:color w:val="000000"/>
                <w:sz w:val="20"/>
                <w:szCs w:val="20"/>
              </w:rPr>
            </w:pPr>
            <w:r>
              <w:rPr>
                <w:bCs/>
                <w:color w:val="000000"/>
                <w:sz w:val="20"/>
                <w:szCs w:val="20"/>
              </w:rPr>
              <w:lastRenderedPageBreak/>
              <w:t xml:space="preserve">AHRQ </w:t>
            </w:r>
            <w:r w:rsidRPr="003A26F9">
              <w:rPr>
                <w:bCs/>
                <w:color w:val="000000"/>
                <w:sz w:val="20"/>
                <w:szCs w:val="20"/>
              </w:rPr>
              <w:t>Partner Evaluation Surveys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99090F" w14:textId="77777777" w:rsidR="00EA6B30" w:rsidRPr="00757FB8" w:rsidRDefault="00EA6B30" w:rsidP="00EA6B30">
            <w:pPr>
              <w:jc w:val="center"/>
            </w:pPr>
            <w:r>
              <w:t>5</w:t>
            </w:r>
            <w:r w:rsidRPr="00757FB8">
              <w:t>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FD779D" w14:textId="77777777" w:rsidR="00EA6B30" w:rsidRPr="003E0803" w:rsidRDefault="00EA6B30" w:rsidP="00EA6B30">
            <w:pPr>
              <w:jc w:val="center"/>
            </w:pPr>
            <w:r>
              <w:t>8</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E2A2EB" w14:textId="77777777" w:rsidR="00EA6B30" w:rsidRPr="009B3622" w:rsidRDefault="00EA6B30" w:rsidP="00EA6B30">
            <w:pPr>
              <w:jc w:val="center"/>
              <w:rPr>
                <w:vertAlign w:val="superscript"/>
              </w:rPr>
            </w:pPr>
            <w:r>
              <w:t>$54.50</w:t>
            </w:r>
            <w:r>
              <w:rPr>
                <w:vertAlign w:val="superscript"/>
              </w:rPr>
              <w:t>c</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90E5E5" w14:textId="5A060A58" w:rsidR="00EA6B30" w:rsidRDefault="00EA6B30" w:rsidP="001078E2">
            <w:pPr>
              <w:jc w:val="center"/>
            </w:pPr>
            <w:r>
              <w:t>$</w:t>
            </w:r>
            <w:r w:rsidR="001078E2">
              <w:t>436</w:t>
            </w:r>
          </w:p>
        </w:tc>
      </w:tr>
      <w:tr w:rsidR="00EA6B30" w14:paraId="58E1BA94"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06BA09" w14:textId="77777777" w:rsidR="00EA6B30" w:rsidRPr="003A26F9" w:rsidRDefault="00EA6B30" w:rsidP="00EA6B30">
            <w:pPr>
              <w:rPr>
                <w:bCs/>
                <w:color w:val="000000"/>
                <w:sz w:val="20"/>
                <w:szCs w:val="20"/>
              </w:rPr>
            </w:pPr>
            <w:r>
              <w:rPr>
                <w:bCs/>
                <w:color w:val="000000"/>
                <w:sz w:val="20"/>
                <w:szCs w:val="20"/>
              </w:rPr>
              <w:t xml:space="preserve">AHRQ </w:t>
            </w:r>
            <w:r w:rsidRPr="003A26F9">
              <w:rPr>
                <w:bCs/>
                <w:color w:val="000000"/>
                <w:sz w:val="20"/>
                <w:szCs w:val="20"/>
              </w:rPr>
              <w:t>Partner Evaluation Interviews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BDC41" w14:textId="77777777" w:rsidR="00EA6B30" w:rsidRPr="00757FB8" w:rsidRDefault="00EA6B30" w:rsidP="00EA6B30">
            <w:pPr>
              <w:jc w:val="center"/>
            </w:pPr>
            <w:r>
              <w:t>20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DD70DF" w14:textId="77777777" w:rsidR="00EA6B30" w:rsidRPr="003E0803" w:rsidRDefault="00EA6B30" w:rsidP="00EA6B30">
            <w:pPr>
              <w:jc w:val="center"/>
            </w:pPr>
            <w:r>
              <w:t>20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3FEAE2" w14:textId="77777777" w:rsidR="00EA6B30" w:rsidRPr="009B3622" w:rsidRDefault="00EA6B30" w:rsidP="00EA6B30">
            <w:pPr>
              <w:jc w:val="center"/>
              <w:rPr>
                <w:vertAlign w:val="superscript"/>
              </w:rPr>
            </w:pPr>
            <w:r>
              <w:t>$54.50</w:t>
            </w:r>
            <w:r>
              <w:rPr>
                <w:vertAlign w:val="superscript"/>
              </w:rPr>
              <w:t>c</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22D211" w14:textId="77777777" w:rsidR="00EA6B30" w:rsidRDefault="00EA6B30" w:rsidP="00EA6B30">
            <w:pPr>
              <w:jc w:val="center"/>
            </w:pPr>
            <w:r>
              <w:t>$1,090</w:t>
            </w:r>
          </w:p>
        </w:tc>
      </w:tr>
      <w:tr w:rsidR="00EA6B30" w14:paraId="25624E6B"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BFA8E3" w14:textId="77777777" w:rsidR="00EA6B30" w:rsidRPr="003A26F9" w:rsidRDefault="00EA6B30" w:rsidP="00EA6B30">
            <w:pPr>
              <w:rPr>
                <w:bCs/>
                <w:color w:val="000000"/>
                <w:sz w:val="20"/>
                <w:szCs w:val="20"/>
              </w:rPr>
            </w:pPr>
            <w:r w:rsidRPr="003A26F9">
              <w:rPr>
                <w:bCs/>
                <w:color w:val="000000"/>
                <w:sz w:val="20"/>
                <w:szCs w:val="20"/>
              </w:rPr>
              <w:t>Advocacy Meeting Evaluation Surveys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BF0699" w14:textId="77777777" w:rsidR="00EA6B30" w:rsidRPr="00757FB8" w:rsidRDefault="00EA6B30" w:rsidP="00EA6B30">
            <w:pPr>
              <w:jc w:val="center"/>
            </w:pPr>
            <w:r w:rsidRPr="00757FB8">
              <w:t>30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6CF844" w14:textId="77777777" w:rsidR="00EA6B30" w:rsidRPr="003E0803" w:rsidRDefault="00EA6B30" w:rsidP="00EA6B30">
            <w:pPr>
              <w:jc w:val="center"/>
            </w:pPr>
            <w:r>
              <w:t>5</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7D3CFF" w14:textId="77777777" w:rsidR="00EA6B30" w:rsidRPr="009B3622" w:rsidRDefault="00EA6B30" w:rsidP="00EA6B30">
            <w:pPr>
              <w:jc w:val="center"/>
              <w:rPr>
                <w:vertAlign w:val="superscript"/>
              </w:rPr>
            </w:pPr>
            <w:r>
              <w:t>$21.21</w:t>
            </w:r>
            <w:r>
              <w:rPr>
                <w:vertAlign w:val="superscript"/>
              </w:rPr>
              <w:t>d</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99B283" w14:textId="77777777" w:rsidR="00EA6B30" w:rsidRDefault="00EA6B30" w:rsidP="00EA6B30">
            <w:pPr>
              <w:jc w:val="center"/>
            </w:pPr>
            <w:r>
              <w:t>$106</w:t>
            </w:r>
          </w:p>
        </w:tc>
      </w:tr>
      <w:tr w:rsidR="00EA6B30" w14:paraId="284EA47B"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6717E4" w14:textId="77777777" w:rsidR="00EA6B30" w:rsidRPr="003A26F9" w:rsidRDefault="00EA6B30" w:rsidP="00EA6B30">
            <w:pPr>
              <w:rPr>
                <w:bCs/>
                <w:color w:val="000000"/>
                <w:sz w:val="20"/>
                <w:szCs w:val="20"/>
              </w:rPr>
            </w:pPr>
            <w:r w:rsidRPr="003A26F9">
              <w:rPr>
                <w:bCs/>
                <w:color w:val="000000"/>
                <w:sz w:val="20"/>
                <w:szCs w:val="20"/>
              </w:rPr>
              <w:t xml:space="preserve">CME </w:t>
            </w:r>
            <w:r>
              <w:rPr>
                <w:bCs/>
                <w:color w:val="000000"/>
                <w:sz w:val="20"/>
                <w:szCs w:val="20"/>
              </w:rPr>
              <w:t>Outcomes</w:t>
            </w:r>
            <w:r w:rsidRPr="003A26F9">
              <w:rPr>
                <w:bCs/>
                <w:color w:val="000000"/>
                <w:sz w:val="20"/>
                <w:szCs w:val="20"/>
              </w:rPr>
              <w:t xml:space="preserve"> Surveys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0C686F" w14:textId="77777777" w:rsidR="00EA6B30" w:rsidRPr="00757FB8" w:rsidRDefault="00EA6B30" w:rsidP="00EA6B30">
            <w:pPr>
              <w:jc w:val="center"/>
            </w:pPr>
            <w:r w:rsidRPr="00757FB8">
              <w:t>9,000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0F45A9" w14:textId="77777777" w:rsidR="00EA6B30" w:rsidRPr="003E0803" w:rsidRDefault="00EA6B30" w:rsidP="00EA6B30">
            <w:pPr>
              <w:jc w:val="center"/>
            </w:pPr>
            <w:r w:rsidRPr="003E0803">
              <w:t>750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F04E59" w14:textId="77777777" w:rsidR="00EA6B30" w:rsidRPr="009B3622" w:rsidRDefault="00EA6B30" w:rsidP="00EA6B30">
            <w:pPr>
              <w:jc w:val="center"/>
              <w:rPr>
                <w:vertAlign w:val="superscript"/>
              </w:rPr>
            </w:pPr>
            <w:r>
              <w:t>$91.66</w:t>
            </w:r>
            <w:r>
              <w:rPr>
                <w:vertAlign w:val="superscript"/>
              </w:rPr>
              <w:t>e</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FA59AB" w14:textId="77777777" w:rsidR="00EA6B30" w:rsidRDefault="00EA6B30" w:rsidP="00EA6B30">
            <w:pPr>
              <w:jc w:val="center"/>
            </w:pPr>
            <w:r>
              <w:t>$68,745</w:t>
            </w:r>
          </w:p>
        </w:tc>
      </w:tr>
      <w:tr w:rsidR="00EA6B30" w14:paraId="31090BE3" w14:textId="77777777" w:rsidTr="00431E7B">
        <w:tc>
          <w:tcPr>
            <w:tcW w:w="3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CEB594" w14:textId="77777777" w:rsidR="00EA6B30" w:rsidRPr="003A26F9" w:rsidRDefault="00EA6B30" w:rsidP="00EA6B30">
            <w:pPr>
              <w:rPr>
                <w:b/>
                <w:bCs/>
                <w:color w:val="000000"/>
                <w:sz w:val="20"/>
                <w:szCs w:val="20"/>
              </w:rPr>
            </w:pPr>
            <w:r w:rsidRPr="003A26F9">
              <w:rPr>
                <w:b/>
                <w:bCs/>
                <w:color w:val="000000"/>
                <w:sz w:val="20"/>
                <w:szCs w:val="20"/>
              </w:rPr>
              <w:t>Total</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18D6EA" w14:textId="34B51459" w:rsidR="00EA6B30" w:rsidRDefault="00ED733C" w:rsidP="00ED733C">
            <w:pPr>
              <w:jc w:val="center"/>
            </w:pPr>
            <w:r>
              <w:t>13,875</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F9BB6D" w14:textId="21DA59E0" w:rsidR="00EA6B30" w:rsidRDefault="00ED733C" w:rsidP="00ED733C">
            <w:pPr>
              <w:jc w:val="center"/>
            </w:pPr>
            <w:r>
              <w:t>3,830</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983E82" w14:textId="77777777" w:rsidR="00EA6B30" w:rsidRDefault="00EA6B30" w:rsidP="00EA6B30">
            <w:pPr>
              <w:jc w:val="center"/>
            </w:pPr>
            <w:proofErr w:type="spellStart"/>
            <w:r>
              <w:t>na</w:t>
            </w:r>
            <w:proofErr w:type="spellEnd"/>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A2C915" w14:textId="43D275B9" w:rsidR="00EA6B30" w:rsidRDefault="00EA6B30" w:rsidP="00E1258F">
            <w:pPr>
              <w:jc w:val="center"/>
            </w:pPr>
            <w:r>
              <w:t>$2</w:t>
            </w:r>
            <w:r w:rsidR="00ED733C">
              <w:t>37,</w:t>
            </w:r>
            <w:r w:rsidR="001078E2">
              <w:t>6</w:t>
            </w:r>
            <w:r w:rsidR="00E1258F">
              <w:t>10</w:t>
            </w:r>
          </w:p>
        </w:tc>
      </w:tr>
    </w:tbl>
    <w:p w14:paraId="4319D476" w14:textId="77777777" w:rsidR="00217C19" w:rsidRDefault="00217C19" w:rsidP="00217C19">
      <w:pPr>
        <w:tabs>
          <w:tab w:val="left" w:pos="180"/>
        </w:tabs>
        <w:ind w:left="180" w:hanging="180"/>
      </w:pPr>
      <w:r>
        <w:rPr>
          <w:color w:val="000000"/>
          <w:sz w:val="20"/>
          <w:szCs w:val="20"/>
        </w:rPr>
        <w:t>*</w:t>
      </w:r>
      <w:r>
        <w:rPr>
          <w:color w:val="000000"/>
          <w:sz w:val="20"/>
          <w:szCs w:val="20"/>
        </w:rPr>
        <w:tab/>
        <w:t>National Compensation Survey: Occupational wages in the United States May 2014, “U.S. Department of Labor, Bureau of Labor Statistics.”</w:t>
      </w:r>
    </w:p>
    <w:p w14:paraId="50F89A44" w14:textId="6CC15AAE" w:rsidR="00217C19" w:rsidRDefault="00217C19" w:rsidP="00217C19">
      <w:pPr>
        <w:rPr>
          <w:i/>
          <w:color w:val="000000"/>
          <w:sz w:val="20"/>
          <w:szCs w:val="20"/>
        </w:rPr>
      </w:pPr>
      <w:r w:rsidRPr="009B3622">
        <w:rPr>
          <w:vertAlign w:val="superscript"/>
        </w:rPr>
        <w:t>a</w:t>
      </w:r>
      <w:r>
        <w:rPr>
          <w:b/>
        </w:rPr>
        <w:t xml:space="preserve">  </w:t>
      </w:r>
      <w:r w:rsidR="00B01DDF">
        <w:rPr>
          <w:color w:val="000000"/>
          <w:sz w:val="20"/>
          <w:szCs w:val="20"/>
        </w:rPr>
        <w:t xml:space="preserve">Rate based </w:t>
      </w:r>
      <w:r>
        <w:rPr>
          <w:color w:val="000000"/>
          <w:sz w:val="20"/>
          <w:szCs w:val="20"/>
        </w:rPr>
        <w:t>on the mean and</w:t>
      </w:r>
      <w:r w:rsidR="00D36BCA">
        <w:rPr>
          <w:color w:val="000000"/>
          <w:sz w:val="20"/>
          <w:szCs w:val="20"/>
        </w:rPr>
        <w:t>/or</w:t>
      </w:r>
      <w:r>
        <w:rPr>
          <w:color w:val="000000"/>
          <w:sz w:val="20"/>
          <w:szCs w:val="20"/>
        </w:rPr>
        <w:t xml:space="preserve"> weighted mean wages for</w:t>
      </w:r>
      <w:r w:rsidR="00EA6B30">
        <w:rPr>
          <w:color w:val="000000"/>
          <w:sz w:val="20"/>
          <w:szCs w:val="20"/>
        </w:rPr>
        <w:t xml:space="preserve"> various combinations of </w:t>
      </w:r>
      <w:r w:rsidRPr="00A56D59">
        <w:rPr>
          <w:color w:val="000000"/>
          <w:sz w:val="20"/>
        </w:rPr>
        <w:t>consumers (00-0000 all occupations)</w:t>
      </w:r>
      <w:r>
        <w:rPr>
          <w:color w:val="000000"/>
          <w:sz w:val="20"/>
        </w:rPr>
        <w:t xml:space="preserve">, </w:t>
      </w:r>
      <w:r w:rsidRPr="00A56D59">
        <w:rPr>
          <w:bCs/>
          <w:sz w:val="20"/>
        </w:rPr>
        <w:t>clinicians (</w:t>
      </w:r>
      <w:r w:rsidR="00093131">
        <w:rPr>
          <w:sz w:val="20"/>
        </w:rPr>
        <w:t xml:space="preserve">29-1060 physicians and surgeons, </w:t>
      </w:r>
      <w:r w:rsidRPr="00A56D59">
        <w:rPr>
          <w:sz w:val="20"/>
        </w:rPr>
        <w:t>29-1062 family and general practitioners),</w:t>
      </w:r>
      <w:r>
        <w:rPr>
          <w:sz w:val="20"/>
        </w:rPr>
        <w:t xml:space="preserve"> and</w:t>
      </w:r>
      <w:r w:rsidR="00D36BCA">
        <w:rPr>
          <w:sz w:val="20"/>
        </w:rPr>
        <w:t xml:space="preserve"> </w:t>
      </w:r>
      <w:r>
        <w:rPr>
          <w:sz w:val="20"/>
        </w:rPr>
        <w:t>health policy</w:t>
      </w:r>
      <w:r w:rsidRPr="00A56D59">
        <w:rPr>
          <w:sz w:val="20"/>
        </w:rPr>
        <w:t>makers</w:t>
      </w:r>
      <w:r w:rsidRPr="00A56D59">
        <w:rPr>
          <w:color w:val="000080"/>
          <w:sz w:val="20"/>
        </w:rPr>
        <w:t xml:space="preserve"> (</w:t>
      </w:r>
      <w:r w:rsidRPr="00A56D59">
        <w:rPr>
          <w:color w:val="000000"/>
          <w:sz w:val="20"/>
        </w:rPr>
        <w:t>11-0000 management occupations, 11-3</w:t>
      </w:r>
      <w:r w:rsidR="00093131">
        <w:rPr>
          <w:color w:val="000000"/>
          <w:sz w:val="20"/>
        </w:rPr>
        <w:t>111</w:t>
      </w:r>
      <w:r w:rsidRPr="00A56D59">
        <w:rPr>
          <w:color w:val="000000"/>
          <w:sz w:val="20"/>
        </w:rPr>
        <w:t xml:space="preserve"> compensation &amp; benefits managers, 13-</w:t>
      </w:r>
      <w:r w:rsidR="00093131">
        <w:rPr>
          <w:color w:val="000000"/>
          <w:sz w:val="20"/>
        </w:rPr>
        <w:t>1141</w:t>
      </w:r>
      <w:r w:rsidRPr="00A56D59">
        <w:rPr>
          <w:color w:val="000000"/>
          <w:sz w:val="20"/>
        </w:rPr>
        <w:t xml:space="preserve"> compensation, benefits &amp; job analysis specialists, 11-9111 medical and health service managers, 13-2053 insurance underwriters and 15-2011 actuaries)</w:t>
      </w:r>
      <w:r>
        <w:rPr>
          <w:color w:val="000000"/>
          <w:sz w:val="20"/>
        </w:rPr>
        <w:t>.</w:t>
      </w:r>
      <w:r>
        <w:rPr>
          <w:color w:val="000000"/>
          <w:sz w:val="20"/>
          <w:szCs w:val="20"/>
        </w:rPr>
        <w:t xml:space="preserve"> </w:t>
      </w:r>
    </w:p>
    <w:p w14:paraId="6C431604" w14:textId="50C0AEEF" w:rsidR="00217C19" w:rsidRDefault="00217C19" w:rsidP="00217C19">
      <w:pPr>
        <w:rPr>
          <w:i/>
          <w:color w:val="000000"/>
          <w:sz w:val="20"/>
          <w:szCs w:val="20"/>
        </w:rPr>
      </w:pPr>
      <w:proofErr w:type="gramStart"/>
      <w:r>
        <w:rPr>
          <w:color w:val="000000"/>
          <w:sz w:val="20"/>
          <w:szCs w:val="20"/>
          <w:vertAlign w:val="superscript"/>
        </w:rPr>
        <w:t>b</w:t>
      </w:r>
      <w:r>
        <w:rPr>
          <w:color w:val="000000"/>
          <w:sz w:val="20"/>
          <w:szCs w:val="20"/>
        </w:rPr>
        <w:t xml:space="preserve">  </w:t>
      </w:r>
      <w:r w:rsidR="00B01DDF">
        <w:rPr>
          <w:color w:val="000000"/>
          <w:sz w:val="20"/>
          <w:szCs w:val="20"/>
        </w:rPr>
        <w:t>Rate</w:t>
      </w:r>
      <w:proofErr w:type="gramEnd"/>
      <w:r w:rsidR="00B01DDF">
        <w:rPr>
          <w:color w:val="000000"/>
          <w:sz w:val="20"/>
          <w:szCs w:val="20"/>
        </w:rPr>
        <w:t xml:space="preserve"> based </w:t>
      </w:r>
      <w:r>
        <w:rPr>
          <w:color w:val="000000"/>
          <w:sz w:val="20"/>
          <w:szCs w:val="20"/>
        </w:rPr>
        <w:t>on the mean and</w:t>
      </w:r>
      <w:r w:rsidR="00D36BCA">
        <w:rPr>
          <w:color w:val="000000"/>
          <w:sz w:val="20"/>
          <w:szCs w:val="20"/>
        </w:rPr>
        <w:t>/or</w:t>
      </w:r>
      <w:r>
        <w:rPr>
          <w:color w:val="000000"/>
          <w:sz w:val="20"/>
          <w:szCs w:val="20"/>
        </w:rPr>
        <w:t xml:space="preserve"> weighted mean wages for</w:t>
      </w:r>
      <w:r w:rsidR="00EA6B30">
        <w:rPr>
          <w:color w:val="000000"/>
          <w:sz w:val="20"/>
          <w:szCs w:val="20"/>
        </w:rPr>
        <w:t xml:space="preserve"> various combinations of</w:t>
      </w:r>
      <w:r>
        <w:rPr>
          <w:color w:val="000000"/>
          <w:sz w:val="20"/>
          <w:szCs w:val="20"/>
        </w:rPr>
        <w:t xml:space="preserve"> </w:t>
      </w:r>
      <w:r w:rsidRPr="00A56D59">
        <w:rPr>
          <w:color w:val="000000"/>
          <w:sz w:val="20"/>
        </w:rPr>
        <w:t>consumers (00-0000 all occupations)</w:t>
      </w:r>
      <w:r>
        <w:rPr>
          <w:color w:val="000000"/>
          <w:sz w:val="20"/>
        </w:rPr>
        <w:t xml:space="preserve">, </w:t>
      </w:r>
      <w:r w:rsidR="006337B4" w:rsidRPr="00A56D59">
        <w:rPr>
          <w:bCs/>
          <w:sz w:val="20"/>
        </w:rPr>
        <w:t>clinicians (</w:t>
      </w:r>
      <w:r w:rsidR="006337B4">
        <w:rPr>
          <w:sz w:val="20"/>
        </w:rPr>
        <w:t xml:space="preserve">29-1060 physicians and surgeons, </w:t>
      </w:r>
      <w:r w:rsidR="006337B4" w:rsidRPr="00A56D59">
        <w:rPr>
          <w:sz w:val="20"/>
        </w:rPr>
        <w:t>29-1062 family and general practitioners)</w:t>
      </w:r>
      <w:r w:rsidRPr="00A56D59">
        <w:rPr>
          <w:sz w:val="20"/>
        </w:rPr>
        <w:t xml:space="preserve">, </w:t>
      </w:r>
      <w:r>
        <w:rPr>
          <w:color w:val="000000"/>
          <w:sz w:val="20"/>
        </w:rPr>
        <w:t>and h</w:t>
      </w:r>
      <w:r w:rsidRPr="006337B4">
        <w:rPr>
          <w:color w:val="000000"/>
          <w:sz w:val="20"/>
        </w:rPr>
        <w:t>ealth system/</w:t>
      </w:r>
      <w:r w:rsidR="006337B4" w:rsidRPr="006337B4">
        <w:rPr>
          <w:color w:val="000000"/>
          <w:sz w:val="20"/>
        </w:rPr>
        <w:t>hospital/</w:t>
      </w:r>
      <w:r w:rsidRPr="006337B4">
        <w:rPr>
          <w:color w:val="000000"/>
          <w:sz w:val="20"/>
        </w:rPr>
        <w:t>clinic administrators (</w:t>
      </w:r>
      <w:r w:rsidR="006337B4">
        <w:rPr>
          <w:color w:val="000000"/>
          <w:sz w:val="20"/>
        </w:rPr>
        <w:t xml:space="preserve">11-9111 medical and health services managers). </w:t>
      </w:r>
    </w:p>
    <w:p w14:paraId="64B08632" w14:textId="0B03EC0E" w:rsidR="00217C19" w:rsidRDefault="00217C19" w:rsidP="00217C19">
      <w:pPr>
        <w:rPr>
          <w:i/>
          <w:color w:val="000000"/>
          <w:sz w:val="20"/>
          <w:szCs w:val="20"/>
        </w:rPr>
      </w:pPr>
      <w:r>
        <w:rPr>
          <w:color w:val="000000"/>
          <w:sz w:val="20"/>
          <w:szCs w:val="20"/>
          <w:vertAlign w:val="superscript"/>
        </w:rPr>
        <w:t>c</w:t>
      </w:r>
      <w:r>
        <w:rPr>
          <w:color w:val="000000"/>
          <w:sz w:val="20"/>
          <w:szCs w:val="20"/>
        </w:rPr>
        <w:t xml:space="preserve">  </w:t>
      </w:r>
      <w:r w:rsidR="00B01DDF">
        <w:rPr>
          <w:color w:val="000000"/>
          <w:sz w:val="20"/>
          <w:szCs w:val="20"/>
        </w:rPr>
        <w:t xml:space="preserve">Rate based </w:t>
      </w:r>
      <w:r>
        <w:rPr>
          <w:color w:val="000000"/>
          <w:sz w:val="20"/>
          <w:szCs w:val="20"/>
        </w:rPr>
        <w:t>on the mean wages for AHRQ partners</w:t>
      </w:r>
      <w:r w:rsidRPr="00A56D59">
        <w:rPr>
          <w:bCs/>
          <w:sz w:val="20"/>
        </w:rPr>
        <w:t xml:space="preserve"> </w:t>
      </w:r>
      <w:r w:rsidRPr="006337B4">
        <w:rPr>
          <w:color w:val="000000"/>
          <w:sz w:val="20"/>
        </w:rPr>
        <w:t>(</w:t>
      </w:r>
      <w:r w:rsidR="006337B4">
        <w:rPr>
          <w:color w:val="000000"/>
          <w:sz w:val="20"/>
        </w:rPr>
        <w:t xml:space="preserve">25-1071 health specialties teachers, postsecondary, 11-1021 general and operations managers, 21-0091 health educators, 21-1093 social and human service assistants, 11-9111 medical and health services managers).  </w:t>
      </w:r>
    </w:p>
    <w:p w14:paraId="631917FC" w14:textId="308397C6" w:rsidR="00217C19" w:rsidRDefault="00217C19" w:rsidP="00217C19">
      <w:pPr>
        <w:rPr>
          <w:i/>
          <w:color w:val="000000"/>
          <w:sz w:val="20"/>
          <w:szCs w:val="20"/>
        </w:rPr>
      </w:pPr>
      <w:proofErr w:type="gramStart"/>
      <w:r>
        <w:rPr>
          <w:color w:val="000000"/>
          <w:sz w:val="20"/>
          <w:szCs w:val="20"/>
          <w:vertAlign w:val="superscript"/>
        </w:rPr>
        <w:t>d</w:t>
      </w:r>
      <w:r>
        <w:rPr>
          <w:color w:val="000000"/>
          <w:sz w:val="20"/>
          <w:szCs w:val="20"/>
        </w:rPr>
        <w:t xml:space="preserve">  </w:t>
      </w:r>
      <w:r w:rsidR="00B01DDF">
        <w:rPr>
          <w:color w:val="000000"/>
          <w:sz w:val="20"/>
          <w:szCs w:val="20"/>
        </w:rPr>
        <w:t>Rate</w:t>
      </w:r>
      <w:proofErr w:type="gramEnd"/>
      <w:r w:rsidR="00B01DDF">
        <w:rPr>
          <w:color w:val="000000"/>
          <w:sz w:val="20"/>
          <w:szCs w:val="20"/>
        </w:rPr>
        <w:t xml:space="preserve"> based </w:t>
      </w:r>
      <w:r>
        <w:rPr>
          <w:color w:val="000000"/>
          <w:sz w:val="20"/>
          <w:szCs w:val="20"/>
        </w:rPr>
        <w:t xml:space="preserve">on the mean wages for health advocacy organizations </w:t>
      </w:r>
      <w:r w:rsidRPr="006337B4">
        <w:rPr>
          <w:color w:val="000000"/>
          <w:sz w:val="20"/>
        </w:rPr>
        <w:t>(</w:t>
      </w:r>
      <w:r w:rsidR="006337B4" w:rsidRPr="006337B4">
        <w:rPr>
          <w:color w:val="000000"/>
          <w:sz w:val="20"/>
        </w:rPr>
        <w:t>21-1093 social and human service assistants [social advocacy organizations], 21-0091 health educators)</w:t>
      </w:r>
      <w:r w:rsidRPr="006337B4">
        <w:rPr>
          <w:color w:val="000000"/>
          <w:sz w:val="20"/>
        </w:rPr>
        <w:t>.</w:t>
      </w:r>
    </w:p>
    <w:p w14:paraId="54BA06FF" w14:textId="436253BB" w:rsidR="00217C19" w:rsidRPr="00093131" w:rsidRDefault="00217C19" w:rsidP="00217C19">
      <w:pPr>
        <w:rPr>
          <w:i/>
          <w:color w:val="000000"/>
          <w:sz w:val="20"/>
          <w:szCs w:val="20"/>
        </w:rPr>
      </w:pPr>
      <w:proofErr w:type="gramStart"/>
      <w:r>
        <w:rPr>
          <w:color w:val="000000"/>
          <w:sz w:val="20"/>
          <w:szCs w:val="20"/>
          <w:vertAlign w:val="superscript"/>
        </w:rPr>
        <w:t>e</w:t>
      </w:r>
      <w:r>
        <w:rPr>
          <w:color w:val="000000"/>
          <w:sz w:val="20"/>
          <w:szCs w:val="20"/>
        </w:rPr>
        <w:t xml:space="preserve">  </w:t>
      </w:r>
      <w:r w:rsidR="00B01DDF">
        <w:rPr>
          <w:color w:val="000000"/>
          <w:sz w:val="20"/>
          <w:szCs w:val="20"/>
        </w:rPr>
        <w:t>Rate</w:t>
      </w:r>
      <w:proofErr w:type="gramEnd"/>
      <w:r w:rsidR="00B01DDF">
        <w:rPr>
          <w:color w:val="000000"/>
          <w:sz w:val="20"/>
          <w:szCs w:val="20"/>
        </w:rPr>
        <w:t xml:space="preserve"> based </w:t>
      </w:r>
      <w:r>
        <w:rPr>
          <w:color w:val="000000"/>
          <w:sz w:val="20"/>
          <w:szCs w:val="20"/>
        </w:rPr>
        <w:t xml:space="preserve">on the mean wages for </w:t>
      </w:r>
      <w:r w:rsidRPr="00A56D59">
        <w:rPr>
          <w:bCs/>
          <w:sz w:val="20"/>
        </w:rPr>
        <w:t xml:space="preserve">clinicians </w:t>
      </w:r>
      <w:r w:rsidR="006337B4" w:rsidRPr="00A56D59">
        <w:rPr>
          <w:bCs/>
          <w:sz w:val="20"/>
        </w:rPr>
        <w:t>(</w:t>
      </w:r>
      <w:r w:rsidR="006337B4">
        <w:rPr>
          <w:sz w:val="20"/>
        </w:rPr>
        <w:t xml:space="preserve">29-1060 physicians and surgeons, </w:t>
      </w:r>
      <w:r w:rsidR="006337B4" w:rsidRPr="00A56D59">
        <w:rPr>
          <w:sz w:val="20"/>
        </w:rPr>
        <w:t>29-1062 family and general practitioners)</w:t>
      </w:r>
      <w:r>
        <w:rPr>
          <w:sz w:val="20"/>
        </w:rPr>
        <w:t>.</w:t>
      </w:r>
    </w:p>
    <w:p w14:paraId="7FAB466A" w14:textId="77777777" w:rsidR="00217C19" w:rsidRDefault="00217C19" w:rsidP="00217C19">
      <w:pPr>
        <w:rPr>
          <w:b/>
        </w:rPr>
      </w:pPr>
    </w:p>
    <w:p w14:paraId="28968513" w14:textId="4A65BA23" w:rsidR="00217C19" w:rsidRPr="00A56D59" w:rsidRDefault="00217C19" w:rsidP="00217C19">
      <w:pPr>
        <w:rPr>
          <w:bCs/>
          <w:color w:val="000000"/>
        </w:rPr>
      </w:pPr>
      <w:r w:rsidRPr="00A56D59">
        <w:rPr>
          <w:bCs/>
          <w:color w:val="000000"/>
        </w:rPr>
        <w:t xml:space="preserve">Exhibit 2 </w:t>
      </w:r>
      <w:r w:rsidR="00156006">
        <w:rPr>
          <w:bCs/>
          <w:color w:val="000000"/>
        </w:rPr>
        <w:t>depicts</w:t>
      </w:r>
      <w:r w:rsidRPr="00A56D59">
        <w:rPr>
          <w:bCs/>
          <w:color w:val="000000"/>
        </w:rPr>
        <w:t xml:space="preserve"> the estimated total cost burden associated with the respondent</w:t>
      </w:r>
      <w:r w:rsidR="00C54B1E">
        <w:rPr>
          <w:bCs/>
          <w:color w:val="000000"/>
        </w:rPr>
        <w:t>s</w:t>
      </w:r>
      <w:r w:rsidRPr="00A56D59">
        <w:rPr>
          <w:bCs/>
          <w:color w:val="000000"/>
        </w:rPr>
        <w:t>' time to participate in this research.  The cost burden is estimated to b</w:t>
      </w:r>
      <w:r w:rsidRPr="00E64A6E">
        <w:rPr>
          <w:bCs/>
          <w:color w:val="000000"/>
        </w:rPr>
        <w:t>e $</w:t>
      </w:r>
      <w:r w:rsidR="00E64A6E" w:rsidRPr="00E64A6E">
        <w:rPr>
          <w:bCs/>
          <w:color w:val="000000"/>
        </w:rPr>
        <w:t>2</w:t>
      </w:r>
      <w:r w:rsidR="00ED733C">
        <w:rPr>
          <w:bCs/>
          <w:color w:val="000000"/>
        </w:rPr>
        <w:t>37,</w:t>
      </w:r>
      <w:r w:rsidR="00414143">
        <w:rPr>
          <w:bCs/>
          <w:color w:val="000000"/>
        </w:rPr>
        <w:t>6</w:t>
      </w:r>
      <w:r w:rsidR="00E1258F">
        <w:rPr>
          <w:bCs/>
          <w:color w:val="000000"/>
        </w:rPr>
        <w:t>10</w:t>
      </w:r>
      <w:r w:rsidR="00414143" w:rsidRPr="00A56D59">
        <w:rPr>
          <w:bCs/>
          <w:color w:val="000000"/>
        </w:rPr>
        <w:t xml:space="preserve"> </w:t>
      </w:r>
      <w:r w:rsidRPr="00A56D59">
        <w:rPr>
          <w:bCs/>
          <w:color w:val="000000"/>
        </w:rPr>
        <w:t xml:space="preserve">annually. </w:t>
      </w:r>
    </w:p>
    <w:p w14:paraId="317BF97A" w14:textId="77777777" w:rsidR="00217C19" w:rsidRDefault="0048659F" w:rsidP="00217C19">
      <w:pPr>
        <w:rPr>
          <w:b/>
          <w:bCs/>
          <w:color w:val="000000"/>
        </w:rPr>
      </w:pPr>
      <w:r>
        <w:rPr>
          <w:b/>
          <w:bCs/>
          <w:color w:val="000000"/>
        </w:rPr>
        <w:t xml:space="preserve"> </w:t>
      </w:r>
      <w:r w:rsidR="00217C19" w:rsidRPr="00A56D59">
        <w:rPr>
          <w:b/>
          <w:bCs/>
          <w:color w:val="000000"/>
        </w:rPr>
        <w:t xml:space="preserve"> </w:t>
      </w:r>
    </w:p>
    <w:p w14:paraId="3C0A1809" w14:textId="77777777" w:rsidR="00217C19" w:rsidRPr="00412C6F" w:rsidRDefault="00217C19" w:rsidP="00217C19">
      <w:pPr>
        <w:pStyle w:val="Heading2"/>
        <w:rPr>
          <w:sz w:val="24"/>
        </w:rPr>
      </w:pPr>
      <w:bookmarkStart w:id="32" w:name="_Toc151782188"/>
      <w:bookmarkStart w:id="33" w:name="_Toc158526228"/>
      <w:r w:rsidRPr="00412C6F">
        <w:rPr>
          <w:sz w:val="24"/>
        </w:rPr>
        <w:t>13. Estimates of Annualized Respondent Capital and Maintenance Costs</w:t>
      </w:r>
      <w:bookmarkEnd w:id="32"/>
      <w:bookmarkEnd w:id="33"/>
    </w:p>
    <w:p w14:paraId="6A48D288" w14:textId="77777777" w:rsidR="00217C19" w:rsidRDefault="00217C19" w:rsidP="00217C19">
      <w:pPr>
        <w:spacing w:before="120"/>
      </w:pPr>
      <w:r w:rsidRPr="006C45D0">
        <w:t>Capital and maintenance costs include the purchase of equipment, computers or computer software or services, or storage facilities for records, as a result of complying with this data collection.</w:t>
      </w:r>
      <w:r w:rsidRPr="00A65884">
        <w:rPr>
          <w:i/>
        </w:rPr>
        <w:t xml:space="preserve">  If</w:t>
      </w:r>
      <w:r>
        <w:rPr>
          <w:i/>
        </w:rPr>
        <w:t xml:space="preserve"> none write</w:t>
      </w:r>
      <w:r w:rsidRPr="00C205C8">
        <w:rPr>
          <w:i/>
        </w:rPr>
        <w:t>:</w:t>
      </w:r>
      <w:r>
        <w:t xml:space="preserve">  There are no direct costs to respondents other than their time to participate in the study.</w:t>
      </w:r>
    </w:p>
    <w:p w14:paraId="06C18D44" w14:textId="77777777" w:rsidR="00217C19" w:rsidRDefault="00217C19" w:rsidP="00217C19">
      <w:pPr>
        <w:spacing w:before="120"/>
        <w:jc w:val="both"/>
      </w:pPr>
    </w:p>
    <w:p w14:paraId="0EEE8B52" w14:textId="77777777" w:rsidR="00217C19" w:rsidRDefault="00217C19" w:rsidP="00217C19">
      <w:r w:rsidRPr="00C90770">
        <w:t>There are no direct costs to respondents other than their time to participate in the study.</w:t>
      </w:r>
      <w:r w:rsidR="0048659F">
        <w:t xml:space="preserve"> </w:t>
      </w:r>
    </w:p>
    <w:p w14:paraId="70638BFF" w14:textId="77777777" w:rsidR="00E27CE2" w:rsidRDefault="00E27CE2" w:rsidP="00217C19"/>
    <w:p w14:paraId="55E47641" w14:textId="77777777" w:rsidR="0011132A" w:rsidRDefault="0011132A" w:rsidP="00217C19">
      <w:pPr>
        <w:pStyle w:val="Heading2"/>
        <w:rPr>
          <w:sz w:val="24"/>
        </w:rPr>
      </w:pPr>
      <w:bookmarkStart w:id="34" w:name="_Toc58725299"/>
      <w:bookmarkStart w:id="35" w:name="_Toc151782189"/>
      <w:bookmarkStart w:id="36" w:name="_Toc158526229"/>
    </w:p>
    <w:p w14:paraId="3899730E" w14:textId="77777777" w:rsidR="0011132A" w:rsidRDefault="0011132A" w:rsidP="00217C19">
      <w:pPr>
        <w:pStyle w:val="Heading2"/>
        <w:rPr>
          <w:sz w:val="24"/>
        </w:rPr>
      </w:pPr>
    </w:p>
    <w:p w14:paraId="2EC72C74" w14:textId="77777777" w:rsidR="0011132A" w:rsidRDefault="0011132A" w:rsidP="00217C19">
      <w:pPr>
        <w:pStyle w:val="Heading2"/>
        <w:rPr>
          <w:sz w:val="24"/>
        </w:rPr>
      </w:pPr>
    </w:p>
    <w:p w14:paraId="2004EE48" w14:textId="77777777" w:rsidR="0011132A" w:rsidRPr="0011132A" w:rsidRDefault="0011132A" w:rsidP="0011132A"/>
    <w:p w14:paraId="0846D278" w14:textId="77777777" w:rsidR="0011132A" w:rsidRDefault="0011132A" w:rsidP="00217C19">
      <w:pPr>
        <w:pStyle w:val="Heading2"/>
        <w:rPr>
          <w:sz w:val="24"/>
        </w:rPr>
      </w:pPr>
    </w:p>
    <w:p w14:paraId="35FEB338" w14:textId="77777777" w:rsidR="00217C19" w:rsidRDefault="00217C19" w:rsidP="00217C19">
      <w:pPr>
        <w:pStyle w:val="Heading2"/>
        <w:rPr>
          <w:sz w:val="24"/>
        </w:rPr>
      </w:pPr>
      <w:r w:rsidRPr="00412C6F">
        <w:rPr>
          <w:sz w:val="24"/>
        </w:rPr>
        <w:t>14. Estimates of Annualized Cost to the Government</w:t>
      </w:r>
      <w:bookmarkEnd w:id="34"/>
      <w:bookmarkEnd w:id="35"/>
      <w:bookmarkEnd w:id="36"/>
    </w:p>
    <w:p w14:paraId="244183B8" w14:textId="77777777" w:rsidR="00ED61CA" w:rsidRPr="00ED61CA" w:rsidRDefault="00ED61CA" w:rsidP="00ED61CA"/>
    <w:p w14:paraId="62FCC9B3" w14:textId="77777777" w:rsidR="00217C19" w:rsidRDefault="00217C19" w:rsidP="00217C19">
      <w:bookmarkStart w:id="37" w:name="_Toc151782190"/>
      <w:bookmarkStart w:id="38" w:name="_Toc158526230"/>
      <w:proofErr w:type="gramStart"/>
      <w:r>
        <w:rPr>
          <w:b/>
          <w:bCs/>
          <w:color w:val="000000"/>
        </w:rPr>
        <w:t>Exhibit 3.</w:t>
      </w:r>
      <w:proofErr w:type="gramEnd"/>
      <w:r>
        <w:rPr>
          <w:b/>
          <w:bCs/>
          <w:color w:val="000000"/>
        </w:rPr>
        <w:t>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00217C19" w14:paraId="794DCCBB" w14:textId="77777777" w:rsidTr="00E80F96">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6D2D250" w14:textId="77777777" w:rsidR="00217C19" w:rsidRPr="00012FB9" w:rsidRDefault="00217C19" w:rsidP="00E80F96">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DB0B53" w14:textId="796BAC76" w:rsidR="00217C19" w:rsidRPr="00012FB9" w:rsidRDefault="00EE4C16" w:rsidP="00EE4C16">
            <w:pPr>
              <w:jc w:val="center"/>
              <w:rPr>
                <w:b/>
              </w:rPr>
            </w:pPr>
            <w:r>
              <w:rPr>
                <w:b/>
              </w:rPr>
              <w:t>Annualized</w:t>
            </w:r>
            <w:r w:rsidR="00217C19" w:rsidRPr="00012FB9">
              <w:rPr>
                <w:b/>
              </w:rPr>
              <w:t xml:space="preserve">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4E34D6" w14:textId="44226D74" w:rsidR="00217C19" w:rsidRPr="00012FB9" w:rsidRDefault="00EE4C16" w:rsidP="00E80F96">
            <w:pPr>
              <w:jc w:val="center"/>
              <w:rPr>
                <w:b/>
              </w:rPr>
            </w:pPr>
            <w:r>
              <w:rPr>
                <w:b/>
              </w:rPr>
              <w:t>Total Cost</w:t>
            </w:r>
          </w:p>
        </w:tc>
      </w:tr>
      <w:tr w:rsidR="00BF555D" w14:paraId="309FC279"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B41DB7" w14:textId="77777777" w:rsidR="00BF555D" w:rsidRPr="00BF555D" w:rsidRDefault="00BF555D" w:rsidP="00BF555D">
            <w:r w:rsidRPr="00BF555D">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E4D204" w14:textId="77777777" w:rsidR="00BF555D" w:rsidRPr="0034106C" w:rsidRDefault="00BF555D" w:rsidP="00BF555D">
            <w:pPr>
              <w:jc w:val="center"/>
            </w:pPr>
            <w:r w:rsidRPr="0034106C">
              <w:t>$87,102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59C9CF" w14:textId="77777777" w:rsidR="00BF555D" w:rsidRDefault="00BF555D" w:rsidP="00BF555D">
            <w:pPr>
              <w:jc w:val="center"/>
            </w:pPr>
            <w:r w:rsidRPr="0034106C">
              <w:t>$261,307</w:t>
            </w:r>
          </w:p>
        </w:tc>
      </w:tr>
      <w:tr w:rsidR="00BF555D" w14:paraId="04677B6D"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F45F3D" w14:textId="77777777" w:rsidR="00BF555D" w:rsidRPr="00BF555D" w:rsidRDefault="00BF555D" w:rsidP="00BF555D">
            <w:r w:rsidRPr="00BF555D">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F6ABB5" w14:textId="77777777" w:rsidR="00BF555D" w:rsidRPr="00AC38CE" w:rsidRDefault="00BF555D" w:rsidP="00BF555D">
            <w:pPr>
              <w:jc w:val="center"/>
            </w:pPr>
            <w:r w:rsidRPr="00AC38CE">
              <w:t>$865,813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262508" w14:textId="77777777" w:rsidR="00BF555D" w:rsidRDefault="00BF555D" w:rsidP="00BF555D">
            <w:pPr>
              <w:jc w:val="center"/>
            </w:pPr>
            <w:r w:rsidRPr="00AC38CE">
              <w:t>$2,597,440</w:t>
            </w:r>
          </w:p>
        </w:tc>
      </w:tr>
      <w:tr w:rsidR="00BF555D" w14:paraId="0E4FBC32"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F6BE12" w14:textId="77777777" w:rsidR="00BF555D" w:rsidRPr="00BF555D" w:rsidRDefault="00BF555D" w:rsidP="00BF555D">
            <w:r w:rsidRPr="00BF555D">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E6783A" w14:textId="77777777" w:rsidR="00BF555D" w:rsidRPr="007E3890" w:rsidRDefault="00BF555D" w:rsidP="00BF555D">
            <w:pPr>
              <w:jc w:val="center"/>
            </w:pPr>
            <w:r w:rsidRPr="007E3890">
              <w:t>$192,233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9F320B" w14:textId="77777777" w:rsidR="00BF555D" w:rsidRDefault="00BF555D" w:rsidP="00BF555D">
            <w:pPr>
              <w:jc w:val="center"/>
            </w:pPr>
            <w:r w:rsidRPr="007E3890">
              <w:t>$576,700</w:t>
            </w:r>
          </w:p>
        </w:tc>
      </w:tr>
      <w:tr w:rsidR="00BF555D" w14:paraId="6A612DCF"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F388BB" w14:textId="77777777" w:rsidR="00BF555D" w:rsidRPr="00BF555D" w:rsidRDefault="00BF555D" w:rsidP="00BF555D">
            <w:r w:rsidRPr="00BF555D">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D13B1C" w14:textId="77777777" w:rsidR="00BF555D" w:rsidRPr="004D2433" w:rsidRDefault="00BF555D" w:rsidP="00BF555D">
            <w:pPr>
              <w:jc w:val="center"/>
            </w:pPr>
            <w:r w:rsidRPr="004D2433">
              <w:t>$117,444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D57E76" w14:textId="77777777" w:rsidR="00BF555D" w:rsidRDefault="00BF555D" w:rsidP="00BF555D">
            <w:pPr>
              <w:jc w:val="center"/>
            </w:pPr>
            <w:r w:rsidRPr="004D2433">
              <w:t>$352,331</w:t>
            </w:r>
          </w:p>
        </w:tc>
      </w:tr>
      <w:tr w:rsidR="00BF555D" w14:paraId="6BBF107A"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276034" w14:textId="77777777" w:rsidR="00BF555D" w:rsidRPr="00BF555D" w:rsidRDefault="00BF555D" w:rsidP="00BF555D">
            <w:r w:rsidRPr="00BF555D">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A263FC" w14:textId="77777777" w:rsidR="00BF555D" w:rsidRPr="00660476" w:rsidRDefault="00BF555D" w:rsidP="00BF555D">
            <w:pPr>
              <w:jc w:val="center"/>
            </w:pPr>
            <w:r w:rsidRPr="00660476">
              <w:t>$148,378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E2A41F" w14:textId="77777777" w:rsidR="00BF555D" w:rsidRDefault="00BF555D" w:rsidP="00BF555D">
            <w:pPr>
              <w:jc w:val="center"/>
            </w:pPr>
            <w:r w:rsidRPr="00660476">
              <w:t>$445,134</w:t>
            </w:r>
          </w:p>
        </w:tc>
      </w:tr>
      <w:tr w:rsidR="00BF555D" w14:paraId="5E8B54E6"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E802A5" w14:textId="77777777" w:rsidR="00BF555D" w:rsidRPr="00BF555D" w:rsidRDefault="00BF555D" w:rsidP="00BF555D">
            <w:r w:rsidRPr="00BF555D">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BA4431" w14:textId="77777777" w:rsidR="00BF555D" w:rsidRPr="00C74EC0" w:rsidRDefault="00BF555D" w:rsidP="00BF555D">
            <w:pPr>
              <w:jc w:val="center"/>
            </w:pPr>
            <w:r w:rsidRPr="00C74EC0">
              <w:t>$6,300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D6D3E2" w14:textId="77777777" w:rsidR="00BF555D" w:rsidRDefault="00BF555D" w:rsidP="00BF555D">
            <w:pPr>
              <w:jc w:val="center"/>
            </w:pPr>
            <w:r w:rsidRPr="00C74EC0">
              <w:t>$18,900</w:t>
            </w:r>
          </w:p>
        </w:tc>
      </w:tr>
      <w:tr w:rsidR="00BF555D" w14:paraId="59BF0D01" w14:textId="77777777" w:rsidTr="00FE664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44E68E" w14:textId="77777777" w:rsidR="00BF555D" w:rsidRPr="00BF555D" w:rsidRDefault="00BF555D" w:rsidP="00BF555D">
            <w:r w:rsidRPr="00BF555D">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4D97BF" w14:textId="77777777" w:rsidR="00BF555D" w:rsidRPr="00507D47" w:rsidRDefault="00BF555D" w:rsidP="00BF555D">
            <w:pPr>
              <w:jc w:val="center"/>
            </w:pPr>
            <w:r w:rsidRPr="00507D47">
              <w:t>$1,417,271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C36322" w14:textId="77777777" w:rsidR="00BF555D" w:rsidRDefault="00BF555D" w:rsidP="00BF555D">
            <w:pPr>
              <w:jc w:val="center"/>
            </w:pPr>
            <w:r w:rsidRPr="00507D47">
              <w:t>$4,251,812</w:t>
            </w:r>
          </w:p>
        </w:tc>
      </w:tr>
    </w:tbl>
    <w:p w14:paraId="1162D0A8" w14:textId="77777777" w:rsidR="00217C19" w:rsidRDefault="00217C19" w:rsidP="00E27CE2"/>
    <w:p w14:paraId="0E89E203" w14:textId="77777777" w:rsidR="00470E62" w:rsidRPr="00DA79B5" w:rsidRDefault="00470E62" w:rsidP="00470E62">
      <w:pPr>
        <w:ind w:firstLine="90"/>
        <w:rPr>
          <w:b/>
        </w:rPr>
      </w:pPr>
      <w:proofErr w:type="gramStart"/>
      <w:r w:rsidRPr="00DA79B5">
        <w:rPr>
          <w:b/>
        </w:rPr>
        <w:t>Exhibit 3b.</w:t>
      </w:r>
      <w:proofErr w:type="gramEnd"/>
      <w:r w:rsidRPr="00DA79B5">
        <w:rPr>
          <w:b/>
        </w:rPr>
        <w:t xml:space="preserve">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2781"/>
        <w:gridCol w:w="2250"/>
        <w:gridCol w:w="1132"/>
        <w:gridCol w:w="1350"/>
        <w:gridCol w:w="1213"/>
      </w:tblGrid>
      <w:tr w:rsidR="00470E62" w:rsidRPr="00DA79B5" w14:paraId="2BDC571A" w14:textId="77777777" w:rsidTr="004A6134">
        <w:trPr>
          <w:cantSplit/>
          <w:trHeight w:val="403"/>
          <w:jc w:val="center"/>
        </w:trPr>
        <w:tc>
          <w:tcPr>
            <w:tcW w:w="2781" w:type="dxa"/>
            <w:tcBorders>
              <w:top w:val="single" w:sz="6" w:space="0" w:color="auto"/>
              <w:left w:val="single" w:sz="6" w:space="0" w:color="auto"/>
              <w:bottom w:val="nil"/>
              <w:right w:val="nil"/>
            </w:tcBorders>
            <w:vAlign w:val="bottom"/>
          </w:tcPr>
          <w:p w14:paraId="5AB051BA" w14:textId="77777777" w:rsidR="00470E62" w:rsidRPr="00DA79B5" w:rsidRDefault="00470E62" w:rsidP="004A6134">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14:paraId="393C25BC" w14:textId="77777777" w:rsidR="00470E62" w:rsidRPr="00DA79B5" w:rsidRDefault="00470E62" w:rsidP="004A6134">
            <w:pPr>
              <w:jc w:val="center"/>
              <w:rPr>
                <w:b/>
                <w:bCs/>
              </w:rPr>
            </w:pPr>
            <w:r w:rsidRPr="00DA79B5">
              <w:rPr>
                <w:b/>
                <w:bCs/>
              </w:rPr>
              <w:t>Federal Personnel</w:t>
            </w:r>
          </w:p>
        </w:tc>
        <w:tc>
          <w:tcPr>
            <w:tcW w:w="1132" w:type="dxa"/>
            <w:tcBorders>
              <w:top w:val="single" w:sz="6" w:space="0" w:color="auto"/>
              <w:left w:val="single" w:sz="6" w:space="0" w:color="auto"/>
              <w:bottom w:val="single" w:sz="6" w:space="0" w:color="auto"/>
              <w:right w:val="single" w:sz="6" w:space="0" w:color="auto"/>
            </w:tcBorders>
            <w:vAlign w:val="bottom"/>
          </w:tcPr>
          <w:p w14:paraId="53807CFB" w14:textId="77777777" w:rsidR="00470E62" w:rsidRPr="00DA79B5" w:rsidRDefault="00470E62" w:rsidP="004A6134">
            <w:pPr>
              <w:jc w:val="center"/>
              <w:rPr>
                <w:b/>
                <w:bCs/>
              </w:rPr>
            </w:pPr>
            <w:r w:rsidRPr="00DA79B5">
              <w:rPr>
                <w:b/>
                <w:bCs/>
              </w:rPr>
              <w:t>Hourly Rate</w:t>
            </w:r>
          </w:p>
        </w:tc>
        <w:tc>
          <w:tcPr>
            <w:tcW w:w="1350" w:type="dxa"/>
            <w:tcBorders>
              <w:top w:val="single" w:sz="6" w:space="0" w:color="auto"/>
              <w:left w:val="single" w:sz="6" w:space="0" w:color="auto"/>
              <w:bottom w:val="single" w:sz="6" w:space="0" w:color="auto"/>
              <w:right w:val="nil"/>
            </w:tcBorders>
            <w:vAlign w:val="bottom"/>
          </w:tcPr>
          <w:p w14:paraId="0347814E" w14:textId="77777777" w:rsidR="00470E62" w:rsidRPr="00DA79B5" w:rsidRDefault="00470E62" w:rsidP="004A6134">
            <w:pPr>
              <w:jc w:val="center"/>
              <w:rPr>
                <w:b/>
                <w:bCs/>
              </w:rPr>
            </w:pPr>
            <w:r w:rsidRPr="00DA79B5">
              <w:rPr>
                <w:b/>
                <w:bCs/>
              </w:rPr>
              <w:t>Estimated Hours</w:t>
            </w:r>
          </w:p>
        </w:tc>
        <w:tc>
          <w:tcPr>
            <w:tcW w:w="1213" w:type="dxa"/>
            <w:tcBorders>
              <w:top w:val="single" w:sz="6" w:space="0" w:color="auto"/>
              <w:left w:val="single" w:sz="6" w:space="0" w:color="auto"/>
              <w:bottom w:val="single" w:sz="6" w:space="0" w:color="auto"/>
              <w:right w:val="single" w:sz="6" w:space="0" w:color="auto"/>
            </w:tcBorders>
            <w:vAlign w:val="bottom"/>
          </w:tcPr>
          <w:p w14:paraId="693831D3" w14:textId="77777777" w:rsidR="00470E62" w:rsidRPr="00DA79B5" w:rsidRDefault="00470E62" w:rsidP="004A6134">
            <w:pPr>
              <w:jc w:val="center"/>
              <w:rPr>
                <w:b/>
                <w:bCs/>
              </w:rPr>
            </w:pPr>
            <w:r w:rsidRPr="00DA79B5">
              <w:rPr>
                <w:b/>
                <w:bCs/>
              </w:rPr>
              <w:t>Cost</w:t>
            </w:r>
          </w:p>
        </w:tc>
      </w:tr>
      <w:tr w:rsidR="00470E62" w:rsidRPr="00DA79B5" w14:paraId="3DF0D220" w14:textId="77777777" w:rsidTr="004A6134">
        <w:trPr>
          <w:cantSplit/>
          <w:trHeight w:val="403"/>
          <w:jc w:val="center"/>
        </w:trPr>
        <w:tc>
          <w:tcPr>
            <w:tcW w:w="2781" w:type="dxa"/>
            <w:tcBorders>
              <w:top w:val="single" w:sz="6" w:space="0" w:color="auto"/>
              <w:left w:val="single" w:sz="6" w:space="0" w:color="auto"/>
              <w:bottom w:val="nil"/>
              <w:right w:val="nil"/>
            </w:tcBorders>
            <w:vAlign w:val="bottom"/>
          </w:tcPr>
          <w:p w14:paraId="3F065D0F" w14:textId="77777777" w:rsidR="00470E62" w:rsidRPr="00DA79B5" w:rsidRDefault="00470E62" w:rsidP="004A6134">
            <w:r w:rsidRPr="00DA79B5">
              <w:t>Data Collection Oversight</w:t>
            </w:r>
          </w:p>
        </w:tc>
        <w:tc>
          <w:tcPr>
            <w:tcW w:w="2250" w:type="dxa"/>
            <w:tcBorders>
              <w:top w:val="single" w:sz="6" w:space="0" w:color="auto"/>
              <w:left w:val="single" w:sz="6" w:space="0" w:color="auto"/>
              <w:bottom w:val="single" w:sz="6" w:space="0" w:color="auto"/>
              <w:right w:val="nil"/>
            </w:tcBorders>
          </w:tcPr>
          <w:p w14:paraId="722CCF67" w14:textId="77777777" w:rsidR="00470E62" w:rsidRPr="00DA79B5" w:rsidRDefault="00470E62" w:rsidP="004A6134">
            <w:pPr>
              <w:jc w:val="center"/>
            </w:pPr>
            <w:r>
              <w:t xml:space="preserve"> Health Scientist Administrator</w:t>
            </w:r>
          </w:p>
        </w:tc>
        <w:tc>
          <w:tcPr>
            <w:tcW w:w="1132" w:type="dxa"/>
            <w:tcBorders>
              <w:top w:val="single" w:sz="6" w:space="0" w:color="auto"/>
              <w:left w:val="single" w:sz="6" w:space="0" w:color="auto"/>
              <w:bottom w:val="single" w:sz="6" w:space="0" w:color="auto"/>
              <w:right w:val="single" w:sz="6" w:space="0" w:color="auto"/>
            </w:tcBorders>
            <w:vAlign w:val="bottom"/>
          </w:tcPr>
          <w:p w14:paraId="3C1DA325" w14:textId="77777777" w:rsidR="00470E62" w:rsidRPr="00DA79B5" w:rsidRDefault="00470E62" w:rsidP="004A6134">
            <w:pPr>
              <w:jc w:val="center"/>
            </w:pPr>
            <w:r>
              <w:t xml:space="preserve"> 53.91</w:t>
            </w:r>
          </w:p>
        </w:tc>
        <w:tc>
          <w:tcPr>
            <w:tcW w:w="1350" w:type="dxa"/>
            <w:tcBorders>
              <w:top w:val="single" w:sz="6" w:space="0" w:color="auto"/>
              <w:left w:val="single" w:sz="6" w:space="0" w:color="auto"/>
              <w:bottom w:val="single" w:sz="6" w:space="0" w:color="auto"/>
              <w:right w:val="nil"/>
            </w:tcBorders>
            <w:vAlign w:val="bottom"/>
          </w:tcPr>
          <w:p w14:paraId="58089E87" w14:textId="77777777" w:rsidR="00470E62" w:rsidRPr="00DA79B5" w:rsidRDefault="00470E62" w:rsidP="004A6134">
            <w:pPr>
              <w:jc w:val="center"/>
            </w:pPr>
            <w:r>
              <w:t xml:space="preserve"> 75</w:t>
            </w:r>
          </w:p>
        </w:tc>
        <w:tc>
          <w:tcPr>
            <w:tcW w:w="1213" w:type="dxa"/>
            <w:tcBorders>
              <w:top w:val="single" w:sz="6" w:space="0" w:color="auto"/>
              <w:left w:val="single" w:sz="6" w:space="0" w:color="auto"/>
              <w:bottom w:val="single" w:sz="6" w:space="0" w:color="auto"/>
              <w:right w:val="single" w:sz="6" w:space="0" w:color="auto"/>
            </w:tcBorders>
            <w:vAlign w:val="bottom"/>
          </w:tcPr>
          <w:p w14:paraId="5DB683F2" w14:textId="77777777" w:rsidR="00470E62" w:rsidRPr="00DA79B5" w:rsidRDefault="00470E62" w:rsidP="004A6134">
            <w:pPr>
              <w:jc w:val="center"/>
            </w:pPr>
            <w:r>
              <w:t xml:space="preserve">$4,043.25 </w:t>
            </w:r>
          </w:p>
        </w:tc>
      </w:tr>
      <w:tr w:rsidR="00470E62" w:rsidRPr="00DA79B5" w14:paraId="773CBBA3" w14:textId="77777777" w:rsidTr="004A6134">
        <w:trPr>
          <w:cantSplit/>
          <w:trHeight w:val="403"/>
          <w:jc w:val="center"/>
        </w:trPr>
        <w:tc>
          <w:tcPr>
            <w:tcW w:w="2781" w:type="dxa"/>
            <w:tcBorders>
              <w:top w:val="single" w:sz="6" w:space="0" w:color="auto"/>
              <w:left w:val="single" w:sz="6" w:space="0" w:color="auto"/>
              <w:bottom w:val="nil"/>
              <w:right w:val="nil"/>
            </w:tcBorders>
            <w:vAlign w:val="bottom"/>
          </w:tcPr>
          <w:p w14:paraId="5AB9EF17" w14:textId="77777777" w:rsidR="00470E62" w:rsidRPr="00DA79B5" w:rsidRDefault="00470E62" w:rsidP="004A6134">
            <w:r w:rsidRPr="00DA79B5">
              <w:t>Review of Results</w:t>
            </w:r>
          </w:p>
        </w:tc>
        <w:tc>
          <w:tcPr>
            <w:tcW w:w="2250" w:type="dxa"/>
            <w:tcBorders>
              <w:top w:val="single" w:sz="6" w:space="0" w:color="auto"/>
              <w:left w:val="single" w:sz="6" w:space="0" w:color="auto"/>
              <w:bottom w:val="single" w:sz="6" w:space="0" w:color="auto"/>
              <w:right w:val="nil"/>
            </w:tcBorders>
          </w:tcPr>
          <w:p w14:paraId="2A161A8D" w14:textId="77777777" w:rsidR="00470E62" w:rsidRPr="00DA79B5" w:rsidRDefault="00470E62" w:rsidP="004A6134">
            <w:pPr>
              <w:jc w:val="center"/>
            </w:pPr>
            <w:r>
              <w:t>Health Scientist Administrator</w:t>
            </w:r>
          </w:p>
        </w:tc>
        <w:tc>
          <w:tcPr>
            <w:tcW w:w="1132" w:type="dxa"/>
            <w:tcBorders>
              <w:top w:val="single" w:sz="6" w:space="0" w:color="auto"/>
              <w:left w:val="single" w:sz="6" w:space="0" w:color="auto"/>
              <w:bottom w:val="single" w:sz="6" w:space="0" w:color="auto"/>
              <w:right w:val="single" w:sz="6" w:space="0" w:color="auto"/>
            </w:tcBorders>
            <w:vAlign w:val="bottom"/>
          </w:tcPr>
          <w:p w14:paraId="2D055ADB" w14:textId="77777777" w:rsidR="00470E62" w:rsidRPr="00DA79B5" w:rsidRDefault="00470E62" w:rsidP="004A6134">
            <w:pPr>
              <w:jc w:val="center"/>
            </w:pPr>
            <w:r>
              <w:t xml:space="preserve"> 53.91</w:t>
            </w:r>
          </w:p>
        </w:tc>
        <w:tc>
          <w:tcPr>
            <w:tcW w:w="1350" w:type="dxa"/>
            <w:tcBorders>
              <w:top w:val="single" w:sz="6" w:space="0" w:color="auto"/>
              <w:left w:val="single" w:sz="6" w:space="0" w:color="auto"/>
              <w:bottom w:val="single" w:sz="6" w:space="0" w:color="auto"/>
              <w:right w:val="nil"/>
            </w:tcBorders>
            <w:vAlign w:val="bottom"/>
          </w:tcPr>
          <w:p w14:paraId="417B4FE9" w14:textId="77777777" w:rsidR="00470E62" w:rsidRPr="00DA79B5" w:rsidRDefault="00470E62" w:rsidP="004A6134">
            <w:pPr>
              <w:jc w:val="center"/>
            </w:pPr>
            <w:r>
              <w:t xml:space="preserve"> 75</w:t>
            </w:r>
          </w:p>
        </w:tc>
        <w:tc>
          <w:tcPr>
            <w:tcW w:w="1213" w:type="dxa"/>
            <w:tcBorders>
              <w:top w:val="single" w:sz="6" w:space="0" w:color="auto"/>
              <w:left w:val="single" w:sz="6" w:space="0" w:color="auto"/>
              <w:bottom w:val="single" w:sz="6" w:space="0" w:color="auto"/>
              <w:right w:val="single" w:sz="6" w:space="0" w:color="auto"/>
            </w:tcBorders>
            <w:vAlign w:val="bottom"/>
          </w:tcPr>
          <w:p w14:paraId="32B57B02" w14:textId="77777777" w:rsidR="00470E62" w:rsidRPr="00DA79B5" w:rsidRDefault="00470E62" w:rsidP="004A6134">
            <w:pPr>
              <w:jc w:val="center"/>
            </w:pPr>
            <w:r>
              <w:t>$4,043.25</w:t>
            </w:r>
          </w:p>
        </w:tc>
      </w:tr>
      <w:tr w:rsidR="00470E62" w:rsidRPr="00DA79B5" w14:paraId="0E95495A" w14:textId="77777777" w:rsidTr="004A6134">
        <w:trPr>
          <w:cantSplit/>
          <w:trHeight w:val="403"/>
          <w:jc w:val="center"/>
        </w:trPr>
        <w:tc>
          <w:tcPr>
            <w:tcW w:w="7513" w:type="dxa"/>
            <w:gridSpan w:val="4"/>
            <w:tcBorders>
              <w:top w:val="single" w:sz="6" w:space="0" w:color="auto"/>
              <w:left w:val="single" w:sz="6" w:space="0" w:color="auto"/>
              <w:bottom w:val="single" w:sz="6" w:space="0" w:color="auto"/>
              <w:right w:val="nil"/>
            </w:tcBorders>
            <w:vAlign w:val="bottom"/>
            <w:hideMark/>
          </w:tcPr>
          <w:p w14:paraId="6FF75A17" w14:textId="77777777" w:rsidR="00470E62" w:rsidRPr="00DA79B5" w:rsidRDefault="00470E62" w:rsidP="004A6134">
            <w:pPr>
              <w:rPr>
                <w:b/>
                <w:bCs/>
              </w:rPr>
            </w:pPr>
            <w:r w:rsidRPr="00DA79B5">
              <w:rPr>
                <w:b/>
                <w:bCs/>
              </w:rPr>
              <w:t>Total</w:t>
            </w:r>
          </w:p>
        </w:tc>
        <w:tc>
          <w:tcPr>
            <w:tcW w:w="1213" w:type="dxa"/>
            <w:tcBorders>
              <w:top w:val="single" w:sz="6" w:space="0" w:color="auto"/>
              <w:left w:val="single" w:sz="6" w:space="0" w:color="auto"/>
              <w:bottom w:val="single" w:sz="6" w:space="0" w:color="auto"/>
              <w:right w:val="single" w:sz="6" w:space="0" w:color="auto"/>
            </w:tcBorders>
            <w:vAlign w:val="bottom"/>
            <w:hideMark/>
          </w:tcPr>
          <w:p w14:paraId="7F482A8C" w14:textId="77777777" w:rsidR="00470E62" w:rsidRPr="00DA79B5" w:rsidRDefault="00470E62" w:rsidP="004A6134">
            <w:pPr>
              <w:jc w:val="center"/>
              <w:rPr>
                <w:b/>
                <w:bCs/>
              </w:rPr>
            </w:pPr>
            <w:r>
              <w:rPr>
                <w:b/>
                <w:bCs/>
              </w:rPr>
              <w:t>$8,086.50</w:t>
            </w:r>
          </w:p>
        </w:tc>
      </w:tr>
    </w:tbl>
    <w:p w14:paraId="102BCB5A" w14:textId="77777777" w:rsidR="00470E62" w:rsidRPr="000C6156" w:rsidRDefault="00470E62" w:rsidP="00470E62">
      <w:pPr>
        <w:rPr>
          <w:rFonts w:ascii="Calibri" w:hAnsi="Calibri"/>
          <w:sz w:val="22"/>
          <w:szCs w:val="22"/>
        </w:rPr>
      </w:pPr>
      <w:r>
        <w:rPr>
          <w:rFonts w:ascii="Calibri" w:hAnsi="Calibri"/>
          <w:color w:val="000000"/>
          <w:sz w:val="20"/>
          <w:szCs w:val="22"/>
        </w:rPr>
        <w:t>Annual salaries based on 2016</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hyperlink r:id="rId9" w:history="1">
        <w:r w:rsidRPr="00E323C5">
          <w:rPr>
            <w:rStyle w:val="Hyperlink"/>
            <w:rFonts w:ascii="Calibri" w:hAnsi="Calibri"/>
            <w:sz w:val="22"/>
            <w:szCs w:val="22"/>
          </w:rPr>
          <w:t>http://www.opm.gov/policy-data-oversight/pay-leave/salaries-wages/salary-tables/pdf/2015/DCB.pdf</w:t>
        </w:r>
      </w:hyperlink>
    </w:p>
    <w:p w14:paraId="592DB5C9" w14:textId="77777777" w:rsidR="006203C8" w:rsidRDefault="006203C8" w:rsidP="00E27CE2"/>
    <w:p w14:paraId="64F6D27A" w14:textId="77777777" w:rsidR="004D3504" w:rsidRDefault="004D3504" w:rsidP="00E27CE2"/>
    <w:p w14:paraId="6BF58914" w14:textId="77777777" w:rsidR="00217C19" w:rsidRPr="00412C6F" w:rsidRDefault="00217C19" w:rsidP="00217C19">
      <w:pPr>
        <w:pStyle w:val="Heading2"/>
        <w:rPr>
          <w:sz w:val="24"/>
        </w:rPr>
      </w:pPr>
      <w:r w:rsidRPr="00412C6F">
        <w:rPr>
          <w:sz w:val="24"/>
        </w:rPr>
        <w:t>15. Changes in Hour Burden</w:t>
      </w:r>
      <w:bookmarkEnd w:id="37"/>
      <w:bookmarkEnd w:id="38"/>
    </w:p>
    <w:p w14:paraId="39544EAB" w14:textId="6D51D748" w:rsidR="00217C19" w:rsidRDefault="00217C19" w:rsidP="00217C19">
      <w:pPr>
        <w:spacing w:before="100" w:beforeAutospacing="1" w:after="100" w:afterAutospacing="1"/>
      </w:pPr>
      <w:bookmarkStart w:id="39" w:name="_Toc151782191"/>
      <w:bookmarkStart w:id="40" w:name="_Toc158526231"/>
      <w:r w:rsidRPr="004813B7">
        <w:t>A</w:t>
      </w:r>
      <w:r>
        <w:t xml:space="preserve">lthough </w:t>
      </w:r>
      <w:r w:rsidR="001C7D99">
        <w:t>AHRQ</w:t>
      </w:r>
      <w:r>
        <w:t xml:space="preserve"> has requested Clearances from the Office of Management and Budget in the past, the present burden hour request is based on a new contract that includes both (a) product development, dissemination, research, and evaluation tasks identical to those submitted previously yet with greater numbers of products developed, and (b) new projects that have not been reviewed and approved by the Office of Management and Budget.</w:t>
      </w:r>
      <w:r w:rsidR="0048659F">
        <w:t xml:space="preserve"> </w:t>
      </w:r>
      <w:r>
        <w:t xml:space="preserve">In addition, the proposed work significantly expands the number of products for which CME credit is offered to clinicians, both in this country and abroad, with up to 500 CME participants completing an outcomes assessment survey per CME activity (54 activities across the 3 years). However, the burden </w:t>
      </w:r>
      <w:r w:rsidR="00237152">
        <w:t xml:space="preserve">associated </w:t>
      </w:r>
      <w:r w:rsidR="00244709">
        <w:t>with</w:t>
      </w:r>
      <w:r w:rsidR="00237152">
        <w:t xml:space="preserve"> each </w:t>
      </w:r>
      <w:r>
        <w:t>respondent is modest</w:t>
      </w:r>
      <w:r w:rsidR="004F37E2">
        <w:t xml:space="preserve">: about </w:t>
      </w:r>
      <w:r>
        <w:t>5 minutes to complete the</w:t>
      </w:r>
      <w:r w:rsidR="004F37E2">
        <w:t xml:space="preserve"> brief survey</w:t>
      </w:r>
      <w:r>
        <w:t xml:space="preserve">. </w:t>
      </w:r>
    </w:p>
    <w:p w14:paraId="725AD79A" w14:textId="77777777" w:rsidR="00217C19" w:rsidRDefault="004F37E2" w:rsidP="00E27CE2">
      <w:pPr>
        <w:spacing w:before="100" w:beforeAutospacing="1"/>
      </w:pPr>
      <w:r>
        <w:t>Additionally</w:t>
      </w:r>
      <w:r w:rsidR="00217C19">
        <w:t xml:space="preserve">, the </w:t>
      </w:r>
      <w:r>
        <w:t xml:space="preserve">current </w:t>
      </w:r>
      <w:r w:rsidR="00217C19">
        <w:t>proposal assumes</w:t>
      </w:r>
      <w:r w:rsidR="001C7D99">
        <w:t xml:space="preserve"> up to</w:t>
      </w:r>
      <w:r w:rsidR="00217C19">
        <w:t xml:space="preserve"> two rounds of data collection associated with the usability testing of 47 products per year. Although this significantly increases the total </w:t>
      </w:r>
      <w:r>
        <w:t>burden hour estimate</w:t>
      </w:r>
      <w:r w:rsidR="00217C19">
        <w:t xml:space="preserve">, in reality there will be very few </w:t>
      </w:r>
      <w:r w:rsidR="00156006">
        <w:t>circumstances</w:t>
      </w:r>
      <w:r w:rsidR="00217C19">
        <w:t xml:space="preserve"> in which </w:t>
      </w:r>
      <w:r w:rsidR="00BB5E52">
        <w:t>a second round</w:t>
      </w:r>
      <w:r w:rsidR="00217C19">
        <w:t xml:space="preserve"> of usability testing interviews will be required.</w:t>
      </w:r>
      <w:r w:rsidR="0048659F">
        <w:t xml:space="preserve"> </w:t>
      </w:r>
    </w:p>
    <w:p w14:paraId="1142A3E0" w14:textId="77777777" w:rsidR="00217C19" w:rsidRPr="00412C6F" w:rsidRDefault="00217C19" w:rsidP="00217C19">
      <w:pPr>
        <w:pStyle w:val="Heading2"/>
        <w:rPr>
          <w:sz w:val="24"/>
        </w:rPr>
      </w:pPr>
      <w:r w:rsidRPr="00412C6F">
        <w:rPr>
          <w:sz w:val="24"/>
        </w:rPr>
        <w:t>16. Time Schedule, Publication and Analysis Plans</w:t>
      </w:r>
      <w:bookmarkEnd w:id="39"/>
      <w:bookmarkEnd w:id="40"/>
    </w:p>
    <w:p w14:paraId="44957016" w14:textId="006DA740" w:rsidR="00217C19" w:rsidRDefault="00217C19" w:rsidP="00217C19">
      <w:pPr>
        <w:spacing w:before="120"/>
        <w:rPr>
          <w:i/>
        </w:rPr>
      </w:pPr>
      <w:bookmarkStart w:id="41" w:name="_Toc151782192"/>
    </w:p>
    <w:p w14:paraId="1419CC35" w14:textId="7603FE21" w:rsidR="00217C19" w:rsidRDefault="00217C19" w:rsidP="00217C19">
      <w:r>
        <w:t xml:space="preserve">The purpose of the activities described is to gather both quantitative and qualitative information on </w:t>
      </w:r>
      <w:smartTag w:uri="urn:schemas-microsoft-com:office:smarttags" w:element="place">
        <w:smartTag w:uri="urn:schemas-microsoft-com:office:smarttags" w:element="PlaceName">
          <w:r>
            <w:t>Eisenberg</w:t>
          </w:r>
        </w:smartTag>
        <w:r>
          <w:t xml:space="preserve"> </w:t>
        </w:r>
        <w:smartTag w:uri="urn:schemas-microsoft-com:office:smarttags" w:element="PlaceType">
          <w:r>
            <w:t>Center</w:t>
          </w:r>
        </w:smartTag>
      </w:smartTag>
      <w:r>
        <w:t xml:space="preserve"> products and delivery formats and vehicles, including information on their value and utility to the audiences for whom they are intended.</w:t>
      </w:r>
      <w:r w:rsidR="0048659F">
        <w:t xml:space="preserve"> </w:t>
      </w:r>
      <w:r>
        <w:t>Information from analyses of data gathered during formative phases of product development will be used to revise and refine the products and delivery systems prior to dissemination to targeted audiences.</w:t>
      </w:r>
      <w:r w:rsidR="0048659F">
        <w:t xml:space="preserve"> </w:t>
      </w:r>
      <w:r>
        <w:t xml:space="preserve">Information from analyses of data gathered from users of the information distributed via the Web and through other means (e.g., </w:t>
      </w:r>
      <w:r w:rsidR="00156006">
        <w:t xml:space="preserve">EHR systems, </w:t>
      </w:r>
      <w:r>
        <w:t>presentations at professio</w:t>
      </w:r>
      <w:r w:rsidR="00156006">
        <w:t xml:space="preserve">nal meetings) will be used to: </w:t>
      </w:r>
      <w:r>
        <w:t xml:space="preserve">(a) determine if further revisions or refinements would enhance value or utility of materials currently available; and (b) characterize the quality and appropriateness of efforts to use resources effectively </w:t>
      </w:r>
      <w:r>
        <w:lastRenderedPageBreak/>
        <w:t>in supporting delivery of high quality health care.</w:t>
      </w:r>
      <w:r w:rsidR="0048659F">
        <w:t xml:space="preserve"> </w:t>
      </w:r>
      <w:r>
        <w:t>This latter function will be of special importance in guiding decisions by AHRQ regarding future efforts related to the Eisenberg Center and the nature and scope of support committed to it.</w:t>
      </w:r>
      <w:r w:rsidR="008E1308">
        <w:t xml:space="preserve"> </w:t>
      </w:r>
      <w:r w:rsidR="00EC1EFB">
        <w:t>D</w:t>
      </w:r>
      <w:r w:rsidR="008E1308">
        <w:t xml:space="preserve">ata collected from patient advocacy groups and other organizations and associations partnering </w:t>
      </w:r>
      <w:r w:rsidR="00EC1EFB">
        <w:t xml:space="preserve">or considering partnering </w:t>
      </w:r>
      <w:r w:rsidR="008E1308">
        <w:t xml:space="preserve">with AHRQ will </w:t>
      </w:r>
      <w:r w:rsidR="00EC1EFB">
        <w:t xml:space="preserve">be analyzed to evaluate dimensions related to the partnership experience; early indicators of any barriers or challenges, particularly with regards to product dissemination; and </w:t>
      </w:r>
      <w:r w:rsidR="00C46081">
        <w:t xml:space="preserve">feedback received from the partners’ constituents to allow for tracking progress and ensuring effectiveness of the products and activities being developed for end users. </w:t>
      </w:r>
    </w:p>
    <w:p w14:paraId="3CBBC706" w14:textId="77777777" w:rsidR="00217C19" w:rsidRDefault="00217C19" w:rsidP="00217C19"/>
    <w:p w14:paraId="0ACF0CBF" w14:textId="77777777" w:rsidR="00217C19" w:rsidRDefault="00217C19" w:rsidP="00217C19">
      <w:r>
        <w:t>The analyses will be descriptive, and it is unlikely that results can be generalized to the larger population</w:t>
      </w:r>
      <w:r w:rsidR="00156006">
        <w:t>s</w:t>
      </w:r>
      <w:r>
        <w:t>.</w:t>
      </w:r>
      <w:r w:rsidR="0048659F">
        <w:t xml:space="preserve"> </w:t>
      </w:r>
      <w:r>
        <w:t xml:space="preserve">The results of these findings are primarily for internal use but may be shared with key government policy and management officials, AHRQ staff, public and private health providers, and members of the general public. </w:t>
      </w:r>
    </w:p>
    <w:p w14:paraId="4428AD84" w14:textId="77777777" w:rsidR="00217C19" w:rsidRDefault="00217C19" w:rsidP="00217C19"/>
    <w:p w14:paraId="67956848" w14:textId="12392A2F" w:rsidR="00217C19" w:rsidRPr="007300B4" w:rsidRDefault="00217C19" w:rsidP="00217C19">
      <w:r>
        <w:rPr>
          <w:u w:val="single"/>
        </w:rPr>
        <w:t xml:space="preserve">In-person/telephone interviews </w:t>
      </w:r>
      <w:r w:rsidR="00156006">
        <w:rPr>
          <w:u w:val="single"/>
        </w:rPr>
        <w:t>and focus groups</w:t>
      </w:r>
      <w:r w:rsidRPr="004451BC">
        <w:t>:</w:t>
      </w:r>
      <w:r w:rsidR="0048659F">
        <w:t xml:space="preserve"> </w:t>
      </w:r>
      <w:r>
        <w:t>Interviews to aid in product development and early discovery of problems with draft information products will be conducted in person or remotely via telephone or the Web.</w:t>
      </w:r>
      <w:r w:rsidR="00CA5B78">
        <w:t xml:space="preserve"> The analyses will be qualitative and consist mostly of narrative summaries and thematic analysis of the discussions. </w:t>
      </w:r>
      <w:r>
        <w:t xml:space="preserve">When feasible, assessments will be done in controlled environments for purposes of evaluating systematically different products (e.g., </w:t>
      </w:r>
      <w:r w:rsidR="001C7D99">
        <w:t>research</w:t>
      </w:r>
      <w:r>
        <w:t xml:space="preserve"> reports, key messages) in order to refine and enhance their readability, comprehension, and usefulness.</w:t>
      </w:r>
      <w:r w:rsidR="0048659F">
        <w:t xml:space="preserve"> </w:t>
      </w:r>
      <w:r>
        <w:t>Characteristics of respondents needed for product testing will be specified.</w:t>
      </w:r>
      <w:r w:rsidR="0048659F">
        <w:t xml:space="preserve"> </w:t>
      </w:r>
      <w:r>
        <w:t>Participants typically come to a designated location where they are presented with instructions and are then exposed to the study material and asked to respond to a series of questions that will allow the investigators to assess product features or conditions. These technology-facilitated assessments allow the investigator to vary features of reports and decision aids in a systematic way to facilitate evaluation of those features and their use under varying conditions.</w:t>
      </w:r>
      <w:r w:rsidR="0048659F">
        <w:t xml:space="preserve"> </w:t>
      </w:r>
      <w:r>
        <w:t xml:space="preserve"> </w:t>
      </w:r>
      <w:r w:rsidR="00EC1EFB">
        <w:t xml:space="preserve">Some interviews involving content experts or leadership in AHRQ organizational partners may be conducted remotely by phone to allow for analyzing data representing individuals or organizations that are geographically disbursed and/or who may have limited time allowance for face-to-face or on-site meetings. </w:t>
      </w:r>
      <w:r>
        <w:rPr>
          <w:color w:val="000000"/>
        </w:rPr>
        <w:t xml:space="preserve">By conducting one-on-one interviews, individuals are afforded the </w:t>
      </w:r>
      <w:r>
        <w:t>privacy and flexibility needed to allow them to discuss reactions, reveal interpretations, and communicate how they might use the material and other resources in decision making.</w:t>
      </w:r>
      <w:r w:rsidR="00EC1EFB">
        <w:t xml:space="preserve"> </w:t>
      </w:r>
    </w:p>
    <w:p w14:paraId="69CE8F5C" w14:textId="77777777" w:rsidR="00217C19" w:rsidRDefault="00217C19" w:rsidP="00217C19"/>
    <w:p w14:paraId="345EAA45" w14:textId="375D7ECB" w:rsidR="00CA5B78" w:rsidRDefault="00217C19" w:rsidP="00217C19">
      <w:r w:rsidRPr="00CA5B78">
        <w:rPr>
          <w:u w:val="single"/>
        </w:rPr>
        <w:t>Customer surveys</w:t>
      </w:r>
      <w:r w:rsidRPr="00CA5B78">
        <w:t>:</w:t>
      </w:r>
      <w:r w:rsidR="0048659F">
        <w:t xml:space="preserve"> </w:t>
      </w:r>
      <w:r w:rsidRPr="00CA5B78">
        <w:t xml:space="preserve"> Electronic technology may be used for this type of information collection. </w:t>
      </w:r>
      <w:r w:rsidR="00CA5B78" w:rsidRPr="00CA5B78">
        <w:t xml:space="preserve">The </w:t>
      </w:r>
      <w:r w:rsidRPr="00CA5B78">
        <w:t xml:space="preserve">surveys will be accessible through the </w:t>
      </w:r>
      <w:r w:rsidR="001C7D99">
        <w:t>Effective Health Care</w:t>
      </w:r>
      <w:r w:rsidRPr="00CA5B78">
        <w:t xml:space="preserve"> Web</w:t>
      </w:r>
      <w:r w:rsidR="00CA5B78" w:rsidRPr="00CA5B78">
        <w:t xml:space="preserve"> </w:t>
      </w:r>
      <w:r w:rsidRPr="00CA5B78">
        <w:t>site</w:t>
      </w:r>
      <w:r w:rsidR="00CA5B78" w:rsidRPr="00CA5B78">
        <w:t xml:space="preserve"> and perhaps information systems specific to partnering organizations and institutions</w:t>
      </w:r>
      <w:r w:rsidRPr="00CA5B78">
        <w:t xml:space="preserve">. In addition to summarizing </w:t>
      </w:r>
      <w:r w:rsidR="00CA5B78" w:rsidRPr="00CA5B78">
        <w:t xml:space="preserve">item </w:t>
      </w:r>
      <w:r w:rsidRPr="00CA5B78">
        <w:t xml:space="preserve">responses </w:t>
      </w:r>
      <w:r w:rsidR="00CA5B78" w:rsidRPr="00CA5B78">
        <w:t>by frequency</w:t>
      </w:r>
      <w:r w:rsidR="00CA5B78">
        <w:t xml:space="preserve"> counts, percentages, and other descriptive statistics</w:t>
      </w:r>
      <w:r w:rsidRPr="00CA5B78">
        <w:t>, basic demographic information will be collected and summarized.</w:t>
      </w:r>
      <w:r w:rsidR="0048659F">
        <w:t xml:space="preserve"> </w:t>
      </w:r>
      <w:r w:rsidRPr="00CA5B78">
        <w:t xml:space="preserve">On occasion, similar information may be collected over the phone from customers who do not use the Web frequently to </w:t>
      </w:r>
      <w:r w:rsidR="00CA5B78" w:rsidRPr="00CA5B78">
        <w:t xml:space="preserve">allow for </w:t>
      </w:r>
      <w:r w:rsidRPr="00CA5B78">
        <w:t>their inclusion</w:t>
      </w:r>
      <w:r w:rsidR="00CA5B78" w:rsidRPr="00CA5B78">
        <w:t xml:space="preserve"> in the assessments</w:t>
      </w:r>
      <w:r w:rsidRPr="00CA5B78">
        <w:t>.</w:t>
      </w:r>
      <w:r w:rsidR="00C46081">
        <w:t xml:space="preserve"> Use of brief surveys may be particularly useful in conducting the unique dissemination projects to be conducted annually. These mechanisms would allow for efficient and timely collection of data from various target audience representatives that would be of interest in a project involving a large health organization or health system. </w:t>
      </w:r>
    </w:p>
    <w:p w14:paraId="2EB6D77C" w14:textId="77777777" w:rsidR="00217C19" w:rsidRPr="00450538" w:rsidRDefault="001C7D99" w:rsidP="00217C19">
      <w:pPr>
        <w:spacing w:before="120"/>
        <w:rPr>
          <w:b/>
          <w:i/>
        </w:rPr>
      </w:pPr>
      <w:r>
        <w:rPr>
          <w:b/>
          <w:i/>
        </w:rPr>
        <w:lastRenderedPageBreak/>
        <w:t xml:space="preserve"> </w:t>
      </w:r>
    </w:p>
    <w:p w14:paraId="37756F4A" w14:textId="77777777" w:rsidR="00217C19" w:rsidRPr="00424E6E" w:rsidRDefault="00217C19" w:rsidP="00217C19">
      <w:pPr>
        <w:pStyle w:val="Heading2"/>
        <w:rPr>
          <w:sz w:val="24"/>
        </w:rPr>
      </w:pPr>
      <w:bookmarkStart w:id="42" w:name="_Toc151782196"/>
      <w:bookmarkStart w:id="43" w:name="_Toc158526232"/>
      <w:bookmarkEnd w:id="41"/>
      <w:r w:rsidRPr="00424E6E">
        <w:rPr>
          <w:sz w:val="24"/>
        </w:rPr>
        <w:t>17. Exemption for Display of Expiration Date</w:t>
      </w:r>
      <w:bookmarkEnd w:id="42"/>
      <w:bookmarkEnd w:id="43"/>
    </w:p>
    <w:p w14:paraId="2F3B290C" w14:textId="77777777" w:rsidR="00217C19" w:rsidRDefault="00217C19" w:rsidP="00217C19">
      <w:r w:rsidRPr="004F03D2">
        <w:t>AHRQ does not seek this exemption</w:t>
      </w:r>
      <w:r>
        <w:t>.</w:t>
      </w:r>
    </w:p>
    <w:p w14:paraId="0BA28FEC" w14:textId="77777777" w:rsidR="00217C19" w:rsidRPr="00016560" w:rsidRDefault="00217C19" w:rsidP="00217C19">
      <w:pPr>
        <w:pStyle w:val="NormalWeb"/>
        <w:rPr>
          <w:rFonts w:ascii="Arial" w:hAnsi="Arial" w:cs="Arial"/>
          <w:b/>
        </w:rPr>
      </w:pPr>
      <w:r>
        <w:rPr>
          <w:rFonts w:ascii="Arial" w:hAnsi="Arial" w:cs="Arial"/>
          <w:b/>
        </w:rPr>
        <w:t xml:space="preserve">List of </w:t>
      </w:r>
      <w:r w:rsidRPr="00016560">
        <w:rPr>
          <w:rFonts w:ascii="Arial" w:hAnsi="Arial" w:cs="Arial"/>
          <w:b/>
        </w:rPr>
        <w:t>Attachments:</w:t>
      </w:r>
    </w:p>
    <w:p w14:paraId="76780D0C" w14:textId="77777777" w:rsidR="00217C19" w:rsidRDefault="00A65241" w:rsidP="003353BD">
      <w:pPr>
        <w:pStyle w:val="NormalWeb"/>
        <w:spacing w:before="0" w:beforeAutospacing="0"/>
      </w:pPr>
      <w:r>
        <w:t xml:space="preserve">Attachment A: Topic </w:t>
      </w:r>
      <w:proofErr w:type="spellStart"/>
      <w:r>
        <w:t>Development_Clinician</w:t>
      </w:r>
      <w:proofErr w:type="spellEnd"/>
      <w:r>
        <w:t xml:space="preserve"> Script.docx</w:t>
      </w:r>
    </w:p>
    <w:p w14:paraId="76998E07" w14:textId="77777777" w:rsidR="00A65241" w:rsidRDefault="00A65241" w:rsidP="003353BD">
      <w:pPr>
        <w:pStyle w:val="NormalWeb"/>
        <w:spacing w:before="0" w:beforeAutospacing="0"/>
      </w:pPr>
      <w:r>
        <w:t xml:space="preserve">Attachment B: </w:t>
      </w:r>
      <w:proofErr w:type="spellStart"/>
      <w:r>
        <w:t>Pretesting_Clinician</w:t>
      </w:r>
      <w:proofErr w:type="spellEnd"/>
      <w:r>
        <w:t xml:space="preserve"> Script.docx</w:t>
      </w:r>
    </w:p>
    <w:p w14:paraId="7BEA885E" w14:textId="77777777" w:rsidR="00A65241" w:rsidRDefault="00A65241" w:rsidP="003353BD">
      <w:pPr>
        <w:pStyle w:val="NormalWeb"/>
        <w:spacing w:before="0" w:beforeAutospacing="0"/>
      </w:pPr>
      <w:r>
        <w:t xml:space="preserve">Attachment C: Topic </w:t>
      </w:r>
      <w:proofErr w:type="spellStart"/>
      <w:r>
        <w:t>Development_Consumer</w:t>
      </w:r>
      <w:proofErr w:type="spellEnd"/>
      <w:r>
        <w:t xml:space="preserve"> Script.docx</w:t>
      </w:r>
    </w:p>
    <w:p w14:paraId="6F7E78A7" w14:textId="77777777" w:rsidR="00A65241" w:rsidRDefault="00A65241" w:rsidP="003353BD">
      <w:pPr>
        <w:pStyle w:val="NormalWeb"/>
        <w:spacing w:before="0" w:beforeAutospacing="0"/>
      </w:pPr>
      <w:r>
        <w:t xml:space="preserve">Attachment D: </w:t>
      </w:r>
      <w:proofErr w:type="spellStart"/>
      <w:r>
        <w:t>Pretesting_Consumer</w:t>
      </w:r>
      <w:proofErr w:type="spellEnd"/>
      <w:r>
        <w:t xml:space="preserve"> Script.docx</w:t>
      </w:r>
    </w:p>
    <w:p w14:paraId="61E79E45" w14:textId="77777777" w:rsidR="00A65241" w:rsidRDefault="00A65241" w:rsidP="003353BD">
      <w:pPr>
        <w:pStyle w:val="NormalWeb"/>
        <w:spacing w:before="0" w:beforeAutospacing="0"/>
      </w:pPr>
      <w:r>
        <w:t xml:space="preserve">Attachment E: Topic </w:t>
      </w:r>
      <w:proofErr w:type="spellStart"/>
      <w:r>
        <w:t>Development_Policymaker</w:t>
      </w:r>
      <w:proofErr w:type="spellEnd"/>
      <w:r>
        <w:t xml:space="preserve"> Script.docx</w:t>
      </w:r>
    </w:p>
    <w:p w14:paraId="0DAFA3CC" w14:textId="77777777" w:rsidR="00A65241" w:rsidRDefault="00A65241" w:rsidP="003353BD">
      <w:pPr>
        <w:pStyle w:val="NormalWeb"/>
        <w:spacing w:before="0" w:beforeAutospacing="0"/>
      </w:pPr>
      <w:r>
        <w:t xml:space="preserve">Attachment F: </w:t>
      </w:r>
      <w:proofErr w:type="spellStart"/>
      <w:r>
        <w:t>Pretesting_Policymaker</w:t>
      </w:r>
      <w:proofErr w:type="spellEnd"/>
      <w:r>
        <w:t xml:space="preserve"> Script.docx</w:t>
      </w:r>
    </w:p>
    <w:p w14:paraId="262B7DB6" w14:textId="77777777" w:rsidR="00A65241" w:rsidRDefault="00A65241" w:rsidP="003353BD">
      <w:pPr>
        <w:pStyle w:val="NormalWeb"/>
        <w:spacing w:before="0" w:beforeAutospacing="0"/>
      </w:pPr>
      <w:r>
        <w:t xml:space="preserve">Attachment G: Cognitive Interview </w:t>
      </w:r>
      <w:proofErr w:type="spellStart"/>
      <w:r>
        <w:t>Script_Decision</w:t>
      </w:r>
      <w:proofErr w:type="spellEnd"/>
      <w:r>
        <w:t xml:space="preserve"> Aid.docx</w:t>
      </w:r>
    </w:p>
    <w:p w14:paraId="6D827639" w14:textId="77777777" w:rsidR="00A65241" w:rsidRDefault="00A65241" w:rsidP="003353BD">
      <w:pPr>
        <w:pStyle w:val="NormalWeb"/>
        <w:spacing w:before="0" w:beforeAutospacing="0"/>
      </w:pPr>
      <w:r>
        <w:t xml:space="preserve">Attachment H: Pretesting Interview </w:t>
      </w:r>
      <w:proofErr w:type="spellStart"/>
      <w:r>
        <w:t>Script_Decision</w:t>
      </w:r>
      <w:proofErr w:type="spellEnd"/>
      <w:r>
        <w:t xml:space="preserve"> Aid.docx</w:t>
      </w:r>
    </w:p>
    <w:p w14:paraId="40FE5102" w14:textId="77777777" w:rsidR="00A65241" w:rsidRDefault="00A65241" w:rsidP="003353BD">
      <w:pPr>
        <w:pStyle w:val="NormalWeb"/>
        <w:spacing w:before="0" w:beforeAutospacing="0"/>
      </w:pPr>
      <w:r>
        <w:t xml:space="preserve">Attachment I: Online Survey Form </w:t>
      </w:r>
      <w:proofErr w:type="spellStart"/>
      <w:r>
        <w:t>A_Decision</w:t>
      </w:r>
      <w:proofErr w:type="spellEnd"/>
      <w:r>
        <w:t xml:space="preserve"> Aid.pdf</w:t>
      </w:r>
    </w:p>
    <w:p w14:paraId="77768D91" w14:textId="77777777" w:rsidR="00A65241" w:rsidRDefault="00A65241" w:rsidP="00A65241">
      <w:pPr>
        <w:pStyle w:val="NormalWeb"/>
        <w:spacing w:before="0" w:beforeAutospacing="0"/>
      </w:pPr>
      <w:r>
        <w:t xml:space="preserve">Attachment J: Online Survey Form </w:t>
      </w:r>
      <w:proofErr w:type="spellStart"/>
      <w:r>
        <w:t>B_Decision</w:t>
      </w:r>
      <w:proofErr w:type="spellEnd"/>
      <w:r>
        <w:t xml:space="preserve"> Aid.pdf</w:t>
      </w:r>
    </w:p>
    <w:p w14:paraId="1A21FDB2" w14:textId="77777777" w:rsidR="00A65241" w:rsidRDefault="00A65241" w:rsidP="003353BD">
      <w:pPr>
        <w:pStyle w:val="NormalWeb"/>
        <w:spacing w:before="0" w:beforeAutospacing="0"/>
      </w:pPr>
      <w:r>
        <w:t xml:space="preserve">Attachment K: Online </w:t>
      </w:r>
      <w:proofErr w:type="spellStart"/>
      <w:r>
        <w:t>Survey</w:t>
      </w:r>
      <w:r w:rsidR="00A30218">
        <w:t>s</w:t>
      </w:r>
      <w:r>
        <w:t>_Summary</w:t>
      </w:r>
      <w:proofErr w:type="spellEnd"/>
      <w:r>
        <w:t xml:space="preserve"> Product.docx</w:t>
      </w:r>
    </w:p>
    <w:p w14:paraId="250E5F9F" w14:textId="77777777" w:rsidR="00A65241" w:rsidRDefault="00A65241" w:rsidP="003353BD">
      <w:pPr>
        <w:pStyle w:val="NormalWeb"/>
        <w:spacing w:before="0" w:beforeAutospacing="0"/>
      </w:pPr>
      <w:r>
        <w:t xml:space="preserve">Attachment L: Outcomes </w:t>
      </w:r>
      <w:proofErr w:type="spellStart"/>
      <w:r>
        <w:t>Survey_CME</w:t>
      </w:r>
      <w:proofErr w:type="spellEnd"/>
      <w:r>
        <w:t xml:space="preserve"> Activities.docx</w:t>
      </w:r>
    </w:p>
    <w:p w14:paraId="1C70B614" w14:textId="2E28EE79" w:rsidR="00FE6474" w:rsidRDefault="00FE6474" w:rsidP="003353BD">
      <w:pPr>
        <w:pStyle w:val="NormalWeb"/>
        <w:spacing w:before="0" w:beforeAutospacing="0"/>
      </w:pPr>
      <w:r>
        <w:t>Attachment M: 60-Day Federal Register Notice</w:t>
      </w:r>
      <w:bookmarkStart w:id="44" w:name="_GoBack"/>
      <w:bookmarkEnd w:id="44"/>
    </w:p>
    <w:p w14:paraId="1B240020" w14:textId="77777777" w:rsidR="00217C19" w:rsidRDefault="00217C19" w:rsidP="00BA6030">
      <w:pPr>
        <w:rPr>
          <w:bCs/>
          <w:color w:val="000000"/>
        </w:rPr>
      </w:pPr>
    </w:p>
    <w:sectPr w:rsidR="00217C19"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0D4589" w15:done="0"/>
  <w15:commentEx w15:paraId="31318664" w15:done="0"/>
  <w15:commentEx w15:paraId="093B7812" w15:done="0"/>
  <w15:commentEx w15:paraId="497A0DAD" w15:done="0"/>
  <w15:commentEx w15:paraId="6A6B7618" w15:done="0"/>
  <w15:commentEx w15:paraId="452794D6" w15:done="0"/>
  <w15:commentEx w15:paraId="6DA001B4" w15:done="0"/>
  <w15:commentEx w15:paraId="1DED5A37" w15:done="0"/>
  <w15:commentEx w15:paraId="15A5645E" w15:done="0"/>
  <w15:commentEx w15:paraId="094A12CB" w15:done="0"/>
  <w15:commentEx w15:paraId="15F506C3" w15:done="0"/>
  <w15:commentEx w15:paraId="4158618B" w15:done="0"/>
  <w15:commentEx w15:paraId="3DF02016" w15:done="0"/>
  <w15:commentEx w15:paraId="5FE1CFFC" w15:done="0"/>
  <w15:commentEx w15:paraId="74216C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21F24" w14:textId="77777777" w:rsidR="00FF6013" w:rsidRDefault="00FF6013">
      <w:r>
        <w:separator/>
      </w:r>
    </w:p>
  </w:endnote>
  <w:endnote w:type="continuationSeparator" w:id="0">
    <w:p w14:paraId="27A31077" w14:textId="77777777" w:rsidR="00FF6013" w:rsidRDefault="00FF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835CC" w14:textId="77777777" w:rsidR="00FF6013" w:rsidRDefault="00FF601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4A3BB" w14:textId="77777777" w:rsidR="00FF6013" w:rsidRDefault="00FF6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10481"/>
      <w:docPartObj>
        <w:docPartGallery w:val="Page Numbers (Bottom of Page)"/>
        <w:docPartUnique/>
      </w:docPartObj>
    </w:sdtPr>
    <w:sdtEndPr>
      <w:rPr>
        <w:noProof/>
      </w:rPr>
    </w:sdtEndPr>
    <w:sdtContent>
      <w:p w14:paraId="16588466" w14:textId="7C90641C" w:rsidR="0011132A" w:rsidRDefault="0011132A">
        <w:pPr>
          <w:pStyle w:val="Footer"/>
          <w:jc w:val="center"/>
        </w:pPr>
        <w:r>
          <w:fldChar w:fldCharType="begin"/>
        </w:r>
        <w:r>
          <w:instrText xml:space="preserve"> PAGE   \* MERGEFORMAT </w:instrText>
        </w:r>
        <w:r>
          <w:fldChar w:fldCharType="separate"/>
        </w:r>
        <w:r w:rsidR="00E24EBB">
          <w:rPr>
            <w:noProof/>
          </w:rPr>
          <w:t>- 16 -</w:t>
        </w:r>
        <w:r>
          <w:rPr>
            <w:noProof/>
          </w:rPr>
          <w:fldChar w:fldCharType="end"/>
        </w:r>
      </w:p>
    </w:sdtContent>
  </w:sdt>
  <w:p w14:paraId="3EC0EB68" w14:textId="77777777" w:rsidR="00FF6013" w:rsidRDefault="00FF6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FABFE" w14:textId="77777777" w:rsidR="00FF6013" w:rsidRDefault="00FF6013">
      <w:r>
        <w:separator/>
      </w:r>
    </w:p>
  </w:footnote>
  <w:footnote w:type="continuationSeparator" w:id="0">
    <w:p w14:paraId="13C2393E" w14:textId="77777777" w:rsidR="00FF6013" w:rsidRDefault="00FF6013">
      <w:r>
        <w:continuationSeparator/>
      </w:r>
    </w:p>
  </w:footnote>
  <w:footnote w:id="1">
    <w:p w14:paraId="264295C0" w14:textId="77777777" w:rsidR="00406360" w:rsidRDefault="00406360" w:rsidP="00406360">
      <w:pPr>
        <w:pStyle w:val="FootnoteText"/>
      </w:pPr>
      <w:r>
        <w:rPr>
          <w:rStyle w:val="FootnoteReference"/>
        </w:rPr>
        <w:footnoteRef/>
      </w:r>
      <w:r>
        <w:t xml:space="preserve"> </w:t>
      </w:r>
      <w:r w:rsidRPr="002223BD">
        <w:t xml:space="preserve">Singer E, Van </w:t>
      </w:r>
      <w:proofErr w:type="spellStart"/>
      <w:r w:rsidRPr="002223BD">
        <w:t>Hoewyk</w:t>
      </w:r>
      <w:proofErr w:type="spellEnd"/>
      <w:r w:rsidRPr="002223BD">
        <w:t xml:space="preserve"> J, </w:t>
      </w:r>
      <w:proofErr w:type="spellStart"/>
      <w:r w:rsidRPr="002223BD">
        <w:t>Gebler</w:t>
      </w:r>
      <w:proofErr w:type="spellEnd"/>
      <w:r w:rsidRPr="002223BD">
        <w:t xml:space="preserve"> N, </w:t>
      </w:r>
      <w:proofErr w:type="spellStart"/>
      <w:r w:rsidRPr="002223BD">
        <w:t>Raghunathan</w:t>
      </w:r>
      <w:proofErr w:type="spellEnd"/>
      <w:r w:rsidRPr="002223BD">
        <w:t xml:space="preserve"> T, </w:t>
      </w:r>
      <w:proofErr w:type="spellStart"/>
      <w:r w:rsidRPr="002223BD">
        <w:t>McGonagle</w:t>
      </w:r>
      <w:proofErr w:type="spellEnd"/>
      <w:r w:rsidRPr="002223BD">
        <w:t xml:space="preserve"> K. The effect of incentives on response rates in interviewer-mediated surveys.</w:t>
      </w:r>
      <w:r w:rsidRPr="00B616E2">
        <w:rPr>
          <w:i/>
        </w:rPr>
        <w:t xml:space="preserve"> </w:t>
      </w:r>
      <w:proofErr w:type="gramStart"/>
      <w:r w:rsidRPr="00B616E2">
        <w:rPr>
          <w:i/>
        </w:rPr>
        <w:t>Journal of Official Statistics.</w:t>
      </w:r>
      <w:proofErr w:type="gramEnd"/>
      <w:r w:rsidRPr="002223BD">
        <w:t xml:space="preserve"> 1999</w:t>
      </w:r>
      <w:proofErr w:type="gramStart"/>
      <w:r w:rsidRPr="002223BD">
        <w:t>;15</w:t>
      </w:r>
      <w:proofErr w:type="gramEnd"/>
      <w:r w:rsidRPr="002223BD">
        <w:t>(2):217–230.</w:t>
      </w:r>
    </w:p>
  </w:footnote>
  <w:footnote w:id="2">
    <w:p w14:paraId="6377AAEF" w14:textId="77777777" w:rsidR="00406360" w:rsidRDefault="00406360" w:rsidP="00406360">
      <w:pPr>
        <w:pStyle w:val="FootnoteText"/>
      </w:pPr>
      <w:r>
        <w:rPr>
          <w:rStyle w:val="FootnoteReference"/>
        </w:rPr>
        <w:footnoteRef/>
      </w:r>
      <w:r>
        <w:t xml:space="preserve"> </w:t>
      </w:r>
      <w:r w:rsidRPr="002D5F18">
        <w:t>Grant,</w:t>
      </w:r>
      <w:r>
        <w:t xml:space="preserve"> RW.</w:t>
      </w:r>
      <w:r w:rsidRPr="002D5F18">
        <w:t xml:space="preserve"> </w:t>
      </w:r>
      <w:proofErr w:type="gramStart"/>
      <w:r w:rsidRPr="002D5F18">
        <w:t>Rethinking the ethics of incentives</w:t>
      </w:r>
      <w:r>
        <w:t>.</w:t>
      </w:r>
      <w:proofErr w:type="gramEnd"/>
      <w:r>
        <w:t xml:space="preserve"> </w:t>
      </w:r>
      <w:proofErr w:type="gramStart"/>
      <w:r w:rsidRPr="002D5F18">
        <w:rPr>
          <w:i/>
        </w:rPr>
        <w:t>Journal of Economic Methodology</w:t>
      </w:r>
      <w:r>
        <w:t>.</w:t>
      </w:r>
      <w:proofErr w:type="gramEnd"/>
      <w:r>
        <w:t xml:space="preserve"> 2015</w:t>
      </w:r>
      <w:proofErr w:type="gramStart"/>
      <w:r>
        <w:t>;22</w:t>
      </w:r>
      <w:proofErr w:type="gramEnd"/>
      <w:r>
        <w:t xml:space="preserve">(3): </w:t>
      </w:r>
      <w:r w:rsidRPr="002D5F18">
        <w:t>354-372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4">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18">
    <w:nsid w:val="45A87F34"/>
    <w:multiLevelType w:val="hybridMultilevel"/>
    <w:tmpl w:val="A5EE2B40"/>
    <w:lvl w:ilvl="0" w:tplc="A852E726">
      <w:start w:val="1"/>
      <w:numFmt w:val="bullet"/>
      <w:lvlText w:val=""/>
      <w:lvlJc w:val="left"/>
      <w:pPr>
        <w:tabs>
          <w:tab w:val="num" w:pos="720"/>
        </w:tabs>
        <w:ind w:left="72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9">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4">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3"/>
  </w:num>
  <w:num w:numId="7">
    <w:abstractNumId w:val="34"/>
  </w:num>
  <w:num w:numId="8">
    <w:abstractNumId w:val="30"/>
  </w:num>
  <w:num w:numId="9">
    <w:abstractNumId w:val="33"/>
  </w:num>
  <w:num w:numId="10">
    <w:abstractNumId w:val="11"/>
  </w:num>
  <w:num w:numId="11">
    <w:abstractNumId w:val="29"/>
  </w:num>
  <w:num w:numId="12">
    <w:abstractNumId w:val="42"/>
  </w:num>
  <w:num w:numId="13">
    <w:abstractNumId w:val="7"/>
  </w:num>
  <w:num w:numId="14">
    <w:abstractNumId w:val="14"/>
  </w:num>
  <w:num w:numId="15">
    <w:abstractNumId w:val="27"/>
  </w:num>
  <w:num w:numId="16">
    <w:abstractNumId w:val="41"/>
  </w:num>
  <w:num w:numId="17">
    <w:abstractNumId w:val="36"/>
  </w:num>
  <w:num w:numId="18">
    <w:abstractNumId w:val="16"/>
  </w:num>
  <w:num w:numId="19">
    <w:abstractNumId w:val="26"/>
  </w:num>
  <w:num w:numId="20">
    <w:abstractNumId w:val="8"/>
  </w:num>
  <w:num w:numId="21">
    <w:abstractNumId w:val="39"/>
  </w:num>
  <w:num w:numId="22">
    <w:abstractNumId w:val="1"/>
  </w:num>
  <w:num w:numId="23">
    <w:abstractNumId w:val="35"/>
  </w:num>
  <w:num w:numId="24">
    <w:abstractNumId w:val="32"/>
  </w:num>
  <w:num w:numId="25">
    <w:abstractNumId w:val="4"/>
  </w:num>
  <w:num w:numId="26">
    <w:abstractNumId w:val="9"/>
  </w:num>
  <w:num w:numId="27">
    <w:abstractNumId w:val="28"/>
  </w:num>
  <w:num w:numId="28">
    <w:abstractNumId w:val="0"/>
  </w:num>
  <w:num w:numId="29">
    <w:abstractNumId w:val="17"/>
  </w:num>
  <w:num w:numId="30">
    <w:abstractNumId w:val="13"/>
  </w:num>
  <w:num w:numId="31">
    <w:abstractNumId w:val="40"/>
  </w:num>
  <w:num w:numId="32">
    <w:abstractNumId w:val="37"/>
  </w:num>
  <w:num w:numId="33">
    <w:abstractNumId w:val="44"/>
  </w:num>
  <w:num w:numId="34">
    <w:abstractNumId w:val="19"/>
  </w:num>
  <w:num w:numId="35">
    <w:abstractNumId w:val="25"/>
  </w:num>
  <w:num w:numId="36">
    <w:abstractNumId w:val="20"/>
  </w:num>
  <w:num w:numId="37">
    <w:abstractNumId w:val="31"/>
  </w:num>
  <w:num w:numId="38">
    <w:abstractNumId w:val="12"/>
  </w:num>
  <w:num w:numId="39">
    <w:abstractNumId w:val="3"/>
  </w:num>
  <w:num w:numId="40">
    <w:abstractNumId w:val="24"/>
  </w:num>
  <w:num w:numId="41">
    <w:abstractNumId w:val="5"/>
  </w:num>
  <w:num w:numId="42">
    <w:abstractNumId w:val="6"/>
  </w:num>
  <w:num w:numId="43">
    <w:abstractNumId w:val="21"/>
  </w:num>
  <w:num w:numId="44">
    <w:abstractNumId w:val="38"/>
  </w:num>
  <w:num w:numId="4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Jason">
    <w15:presenceInfo w15:providerId="AD" w15:userId="S-1-5-21-117609710-220523388-725345543-9190"/>
  </w15:person>
  <w15:person w15:author="Jason King">
    <w15:presenceInfo w15:providerId="None" w15:userId="Jason K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921"/>
    <w:rsid w:val="00012FB9"/>
    <w:rsid w:val="00015AAF"/>
    <w:rsid w:val="00016560"/>
    <w:rsid w:val="00022D00"/>
    <w:rsid w:val="00024DF5"/>
    <w:rsid w:val="00024FEE"/>
    <w:rsid w:val="00033301"/>
    <w:rsid w:val="00037998"/>
    <w:rsid w:val="00043473"/>
    <w:rsid w:val="00045959"/>
    <w:rsid w:val="00046359"/>
    <w:rsid w:val="00053369"/>
    <w:rsid w:val="0005780B"/>
    <w:rsid w:val="0006207D"/>
    <w:rsid w:val="000769F7"/>
    <w:rsid w:val="000779A9"/>
    <w:rsid w:val="00077E0E"/>
    <w:rsid w:val="00082047"/>
    <w:rsid w:val="00084739"/>
    <w:rsid w:val="0008655D"/>
    <w:rsid w:val="00090ECD"/>
    <w:rsid w:val="00093131"/>
    <w:rsid w:val="00094648"/>
    <w:rsid w:val="000A140E"/>
    <w:rsid w:val="000A3475"/>
    <w:rsid w:val="000B78CB"/>
    <w:rsid w:val="000D429E"/>
    <w:rsid w:val="000D4F33"/>
    <w:rsid w:val="000E01D1"/>
    <w:rsid w:val="000E4300"/>
    <w:rsid w:val="000F1328"/>
    <w:rsid w:val="000F2B59"/>
    <w:rsid w:val="0010071B"/>
    <w:rsid w:val="001078E2"/>
    <w:rsid w:val="0011132A"/>
    <w:rsid w:val="00112DF2"/>
    <w:rsid w:val="0011530A"/>
    <w:rsid w:val="00120A0C"/>
    <w:rsid w:val="00124917"/>
    <w:rsid w:val="001301AA"/>
    <w:rsid w:val="00131443"/>
    <w:rsid w:val="001346CD"/>
    <w:rsid w:val="00136767"/>
    <w:rsid w:val="00156006"/>
    <w:rsid w:val="00162D16"/>
    <w:rsid w:val="00163C6A"/>
    <w:rsid w:val="00166A69"/>
    <w:rsid w:val="00175AF2"/>
    <w:rsid w:val="001868E0"/>
    <w:rsid w:val="00187A50"/>
    <w:rsid w:val="00195D66"/>
    <w:rsid w:val="00197D20"/>
    <w:rsid w:val="001A28C0"/>
    <w:rsid w:val="001B1C61"/>
    <w:rsid w:val="001C59E4"/>
    <w:rsid w:val="001C7D99"/>
    <w:rsid w:val="001E63C6"/>
    <w:rsid w:val="001F2F73"/>
    <w:rsid w:val="00201DFE"/>
    <w:rsid w:val="00207115"/>
    <w:rsid w:val="00211721"/>
    <w:rsid w:val="00211E70"/>
    <w:rsid w:val="0021355D"/>
    <w:rsid w:val="00217C19"/>
    <w:rsid w:val="00222C28"/>
    <w:rsid w:val="0022366A"/>
    <w:rsid w:val="00227340"/>
    <w:rsid w:val="00231CBD"/>
    <w:rsid w:val="00237152"/>
    <w:rsid w:val="00237977"/>
    <w:rsid w:val="002406C8"/>
    <w:rsid w:val="00240E28"/>
    <w:rsid w:val="00244709"/>
    <w:rsid w:val="00246BA7"/>
    <w:rsid w:val="0026424E"/>
    <w:rsid w:val="00270F65"/>
    <w:rsid w:val="00272E29"/>
    <w:rsid w:val="002822C1"/>
    <w:rsid w:val="002862E8"/>
    <w:rsid w:val="002878DF"/>
    <w:rsid w:val="00291B73"/>
    <w:rsid w:val="00294746"/>
    <w:rsid w:val="00295735"/>
    <w:rsid w:val="00296079"/>
    <w:rsid w:val="0029734C"/>
    <w:rsid w:val="002A44D7"/>
    <w:rsid w:val="002A4A90"/>
    <w:rsid w:val="002B382B"/>
    <w:rsid w:val="002B47B8"/>
    <w:rsid w:val="002B5E45"/>
    <w:rsid w:val="002B7470"/>
    <w:rsid w:val="002B7635"/>
    <w:rsid w:val="002C4EEF"/>
    <w:rsid w:val="002D5F18"/>
    <w:rsid w:val="002E4DEB"/>
    <w:rsid w:val="002E54EF"/>
    <w:rsid w:val="002F4DE8"/>
    <w:rsid w:val="003074C7"/>
    <w:rsid w:val="00320A61"/>
    <w:rsid w:val="00321677"/>
    <w:rsid w:val="00325B9C"/>
    <w:rsid w:val="003270FA"/>
    <w:rsid w:val="003353BD"/>
    <w:rsid w:val="00336792"/>
    <w:rsid w:val="00340D97"/>
    <w:rsid w:val="0034325D"/>
    <w:rsid w:val="00350E4E"/>
    <w:rsid w:val="00351FE8"/>
    <w:rsid w:val="00361F52"/>
    <w:rsid w:val="00365B7B"/>
    <w:rsid w:val="00371084"/>
    <w:rsid w:val="0037254D"/>
    <w:rsid w:val="0037427A"/>
    <w:rsid w:val="00376737"/>
    <w:rsid w:val="00377301"/>
    <w:rsid w:val="0037771B"/>
    <w:rsid w:val="00380C46"/>
    <w:rsid w:val="0038217D"/>
    <w:rsid w:val="003A0672"/>
    <w:rsid w:val="003A26F9"/>
    <w:rsid w:val="003B2951"/>
    <w:rsid w:val="003B5859"/>
    <w:rsid w:val="003B6B41"/>
    <w:rsid w:val="003C5981"/>
    <w:rsid w:val="003C60BD"/>
    <w:rsid w:val="003D21A7"/>
    <w:rsid w:val="003D3937"/>
    <w:rsid w:val="003D73D8"/>
    <w:rsid w:val="003E2801"/>
    <w:rsid w:val="003F0F23"/>
    <w:rsid w:val="003F5921"/>
    <w:rsid w:val="00406360"/>
    <w:rsid w:val="00414143"/>
    <w:rsid w:val="00414C80"/>
    <w:rsid w:val="004155E1"/>
    <w:rsid w:val="00425974"/>
    <w:rsid w:val="00431E7B"/>
    <w:rsid w:val="0043596B"/>
    <w:rsid w:val="004360D8"/>
    <w:rsid w:val="0044769A"/>
    <w:rsid w:val="00450538"/>
    <w:rsid w:val="00452268"/>
    <w:rsid w:val="00452621"/>
    <w:rsid w:val="00456179"/>
    <w:rsid w:val="00463E18"/>
    <w:rsid w:val="004670C2"/>
    <w:rsid w:val="00467163"/>
    <w:rsid w:val="00470E62"/>
    <w:rsid w:val="0047504D"/>
    <w:rsid w:val="00480523"/>
    <w:rsid w:val="004811AD"/>
    <w:rsid w:val="004813B7"/>
    <w:rsid w:val="00484FD8"/>
    <w:rsid w:val="0048659F"/>
    <w:rsid w:val="00494100"/>
    <w:rsid w:val="004A0070"/>
    <w:rsid w:val="004A32D3"/>
    <w:rsid w:val="004A5658"/>
    <w:rsid w:val="004A624D"/>
    <w:rsid w:val="004A7CD5"/>
    <w:rsid w:val="004B604F"/>
    <w:rsid w:val="004C3BA7"/>
    <w:rsid w:val="004C4A74"/>
    <w:rsid w:val="004D0E1D"/>
    <w:rsid w:val="004D3504"/>
    <w:rsid w:val="004E0585"/>
    <w:rsid w:val="004E16F6"/>
    <w:rsid w:val="004E3A1B"/>
    <w:rsid w:val="004F11C0"/>
    <w:rsid w:val="004F37E2"/>
    <w:rsid w:val="00501308"/>
    <w:rsid w:val="00510909"/>
    <w:rsid w:val="00520CE0"/>
    <w:rsid w:val="00521F56"/>
    <w:rsid w:val="00527BBD"/>
    <w:rsid w:val="00531857"/>
    <w:rsid w:val="00535B56"/>
    <w:rsid w:val="00556066"/>
    <w:rsid w:val="0056238F"/>
    <w:rsid w:val="00565613"/>
    <w:rsid w:val="00581FD2"/>
    <w:rsid w:val="00593E67"/>
    <w:rsid w:val="005A0625"/>
    <w:rsid w:val="005A0BAB"/>
    <w:rsid w:val="005A5F16"/>
    <w:rsid w:val="005B2955"/>
    <w:rsid w:val="005B3C01"/>
    <w:rsid w:val="005B62CF"/>
    <w:rsid w:val="005B6FAA"/>
    <w:rsid w:val="005B715B"/>
    <w:rsid w:val="005D79A9"/>
    <w:rsid w:val="005E49B8"/>
    <w:rsid w:val="005E73E6"/>
    <w:rsid w:val="005F4B12"/>
    <w:rsid w:val="005F6C16"/>
    <w:rsid w:val="0060047D"/>
    <w:rsid w:val="006014DB"/>
    <w:rsid w:val="00604437"/>
    <w:rsid w:val="00605583"/>
    <w:rsid w:val="00606400"/>
    <w:rsid w:val="006068C3"/>
    <w:rsid w:val="006113E4"/>
    <w:rsid w:val="00613C05"/>
    <w:rsid w:val="006203C8"/>
    <w:rsid w:val="00620B93"/>
    <w:rsid w:val="006211CF"/>
    <w:rsid w:val="00625C1B"/>
    <w:rsid w:val="00626D1D"/>
    <w:rsid w:val="00631C81"/>
    <w:rsid w:val="006337B4"/>
    <w:rsid w:val="00635119"/>
    <w:rsid w:val="00636A0C"/>
    <w:rsid w:val="006427D9"/>
    <w:rsid w:val="00655A17"/>
    <w:rsid w:val="00660BDF"/>
    <w:rsid w:val="00673146"/>
    <w:rsid w:val="00673643"/>
    <w:rsid w:val="00690E32"/>
    <w:rsid w:val="0069695A"/>
    <w:rsid w:val="006A28E1"/>
    <w:rsid w:val="006A4D4E"/>
    <w:rsid w:val="006B17AC"/>
    <w:rsid w:val="006C0640"/>
    <w:rsid w:val="006C45D0"/>
    <w:rsid w:val="006D03A1"/>
    <w:rsid w:val="006D1C5E"/>
    <w:rsid w:val="006D377D"/>
    <w:rsid w:val="006D7C14"/>
    <w:rsid w:val="006F1F82"/>
    <w:rsid w:val="006F4280"/>
    <w:rsid w:val="006F6365"/>
    <w:rsid w:val="0070072D"/>
    <w:rsid w:val="00703573"/>
    <w:rsid w:val="007109B1"/>
    <w:rsid w:val="00710C91"/>
    <w:rsid w:val="00713B74"/>
    <w:rsid w:val="007208E0"/>
    <w:rsid w:val="00723075"/>
    <w:rsid w:val="00737C5D"/>
    <w:rsid w:val="00744D19"/>
    <w:rsid w:val="00747A7E"/>
    <w:rsid w:val="00747D2F"/>
    <w:rsid w:val="0075056F"/>
    <w:rsid w:val="00752EA8"/>
    <w:rsid w:val="00765D1A"/>
    <w:rsid w:val="007700A7"/>
    <w:rsid w:val="007721F3"/>
    <w:rsid w:val="00776654"/>
    <w:rsid w:val="007914AC"/>
    <w:rsid w:val="007A1F41"/>
    <w:rsid w:val="007A265C"/>
    <w:rsid w:val="007A26E9"/>
    <w:rsid w:val="007B0CF3"/>
    <w:rsid w:val="007B1C12"/>
    <w:rsid w:val="007B1F44"/>
    <w:rsid w:val="007B3A8E"/>
    <w:rsid w:val="007B699D"/>
    <w:rsid w:val="007C1ECB"/>
    <w:rsid w:val="007C6B03"/>
    <w:rsid w:val="007D3FA4"/>
    <w:rsid w:val="007D4CFA"/>
    <w:rsid w:val="007D4F9F"/>
    <w:rsid w:val="007E4359"/>
    <w:rsid w:val="007F5256"/>
    <w:rsid w:val="0080612B"/>
    <w:rsid w:val="00811735"/>
    <w:rsid w:val="00817DA0"/>
    <w:rsid w:val="00825DA9"/>
    <w:rsid w:val="0083145C"/>
    <w:rsid w:val="00832A44"/>
    <w:rsid w:val="00841047"/>
    <w:rsid w:val="008450C0"/>
    <w:rsid w:val="00852FBB"/>
    <w:rsid w:val="008573ED"/>
    <w:rsid w:val="00861E61"/>
    <w:rsid w:val="00871DD3"/>
    <w:rsid w:val="00873F74"/>
    <w:rsid w:val="00880DFE"/>
    <w:rsid w:val="0088445C"/>
    <w:rsid w:val="0088746E"/>
    <w:rsid w:val="00887F65"/>
    <w:rsid w:val="00891E00"/>
    <w:rsid w:val="00892655"/>
    <w:rsid w:val="00892BB5"/>
    <w:rsid w:val="00893809"/>
    <w:rsid w:val="0089605A"/>
    <w:rsid w:val="00897D16"/>
    <w:rsid w:val="008A30B9"/>
    <w:rsid w:val="008B593F"/>
    <w:rsid w:val="008C580E"/>
    <w:rsid w:val="008D028E"/>
    <w:rsid w:val="008E1308"/>
    <w:rsid w:val="008E1BAF"/>
    <w:rsid w:val="008E406C"/>
    <w:rsid w:val="008E4FC9"/>
    <w:rsid w:val="008E567E"/>
    <w:rsid w:val="008E6F82"/>
    <w:rsid w:val="008F0B8B"/>
    <w:rsid w:val="008F2404"/>
    <w:rsid w:val="00900557"/>
    <w:rsid w:val="00904CC3"/>
    <w:rsid w:val="00905D65"/>
    <w:rsid w:val="009243F2"/>
    <w:rsid w:val="00931981"/>
    <w:rsid w:val="009328D9"/>
    <w:rsid w:val="009374DF"/>
    <w:rsid w:val="00937F47"/>
    <w:rsid w:val="00951098"/>
    <w:rsid w:val="00955553"/>
    <w:rsid w:val="009631AA"/>
    <w:rsid w:val="00965EFF"/>
    <w:rsid w:val="009746A1"/>
    <w:rsid w:val="009768F3"/>
    <w:rsid w:val="00977D6F"/>
    <w:rsid w:val="009943E2"/>
    <w:rsid w:val="009943E4"/>
    <w:rsid w:val="00994C16"/>
    <w:rsid w:val="0099628A"/>
    <w:rsid w:val="0099646C"/>
    <w:rsid w:val="009A237A"/>
    <w:rsid w:val="009A49A7"/>
    <w:rsid w:val="009A590C"/>
    <w:rsid w:val="009B02D3"/>
    <w:rsid w:val="009B3622"/>
    <w:rsid w:val="009B3AAE"/>
    <w:rsid w:val="009B633D"/>
    <w:rsid w:val="009C4881"/>
    <w:rsid w:val="009D3DBB"/>
    <w:rsid w:val="009E7CF6"/>
    <w:rsid w:val="009F299E"/>
    <w:rsid w:val="009F33B0"/>
    <w:rsid w:val="009F3A12"/>
    <w:rsid w:val="009F43EA"/>
    <w:rsid w:val="009F597D"/>
    <w:rsid w:val="00A0658E"/>
    <w:rsid w:val="00A10D65"/>
    <w:rsid w:val="00A13D8D"/>
    <w:rsid w:val="00A15D49"/>
    <w:rsid w:val="00A30218"/>
    <w:rsid w:val="00A30D9A"/>
    <w:rsid w:val="00A32DAA"/>
    <w:rsid w:val="00A44855"/>
    <w:rsid w:val="00A44BC7"/>
    <w:rsid w:val="00A4694A"/>
    <w:rsid w:val="00A56D59"/>
    <w:rsid w:val="00A64651"/>
    <w:rsid w:val="00A64E80"/>
    <w:rsid w:val="00A65241"/>
    <w:rsid w:val="00A65884"/>
    <w:rsid w:val="00A724BE"/>
    <w:rsid w:val="00A76E71"/>
    <w:rsid w:val="00A777E1"/>
    <w:rsid w:val="00A835E4"/>
    <w:rsid w:val="00A905D8"/>
    <w:rsid w:val="00A94219"/>
    <w:rsid w:val="00AA0B6B"/>
    <w:rsid w:val="00AA1DDC"/>
    <w:rsid w:val="00AA3F0B"/>
    <w:rsid w:val="00AA6AE5"/>
    <w:rsid w:val="00AA788A"/>
    <w:rsid w:val="00AA7E91"/>
    <w:rsid w:val="00AB1EB8"/>
    <w:rsid w:val="00AB404E"/>
    <w:rsid w:val="00AB5F2A"/>
    <w:rsid w:val="00AC46D5"/>
    <w:rsid w:val="00AD6516"/>
    <w:rsid w:val="00AE0EA2"/>
    <w:rsid w:val="00AE4702"/>
    <w:rsid w:val="00AF1985"/>
    <w:rsid w:val="00B01DDF"/>
    <w:rsid w:val="00B12376"/>
    <w:rsid w:val="00B233EA"/>
    <w:rsid w:val="00B238AD"/>
    <w:rsid w:val="00B257FE"/>
    <w:rsid w:val="00B30F7E"/>
    <w:rsid w:val="00B43712"/>
    <w:rsid w:val="00B52486"/>
    <w:rsid w:val="00B52533"/>
    <w:rsid w:val="00B549FF"/>
    <w:rsid w:val="00B6020B"/>
    <w:rsid w:val="00B616E2"/>
    <w:rsid w:val="00B61FEB"/>
    <w:rsid w:val="00B639A6"/>
    <w:rsid w:val="00B645ED"/>
    <w:rsid w:val="00B65A8E"/>
    <w:rsid w:val="00B720EC"/>
    <w:rsid w:val="00B762E0"/>
    <w:rsid w:val="00B825D0"/>
    <w:rsid w:val="00B83929"/>
    <w:rsid w:val="00B87583"/>
    <w:rsid w:val="00B915F1"/>
    <w:rsid w:val="00BA6030"/>
    <w:rsid w:val="00BA7DEC"/>
    <w:rsid w:val="00BB1C2F"/>
    <w:rsid w:val="00BB2479"/>
    <w:rsid w:val="00BB3C97"/>
    <w:rsid w:val="00BB5E52"/>
    <w:rsid w:val="00BB7136"/>
    <w:rsid w:val="00BC2E2E"/>
    <w:rsid w:val="00BD357C"/>
    <w:rsid w:val="00BD62C6"/>
    <w:rsid w:val="00BE0430"/>
    <w:rsid w:val="00BE0C78"/>
    <w:rsid w:val="00BE5856"/>
    <w:rsid w:val="00BF555D"/>
    <w:rsid w:val="00BF55FD"/>
    <w:rsid w:val="00BF735E"/>
    <w:rsid w:val="00C04429"/>
    <w:rsid w:val="00C0644C"/>
    <w:rsid w:val="00C06B1E"/>
    <w:rsid w:val="00C163C6"/>
    <w:rsid w:val="00C205C8"/>
    <w:rsid w:val="00C26B7F"/>
    <w:rsid w:val="00C37761"/>
    <w:rsid w:val="00C4006D"/>
    <w:rsid w:val="00C44B3E"/>
    <w:rsid w:val="00C46081"/>
    <w:rsid w:val="00C5357E"/>
    <w:rsid w:val="00C54B1E"/>
    <w:rsid w:val="00C65B05"/>
    <w:rsid w:val="00C70072"/>
    <w:rsid w:val="00C7341A"/>
    <w:rsid w:val="00C73F08"/>
    <w:rsid w:val="00C77433"/>
    <w:rsid w:val="00C80F83"/>
    <w:rsid w:val="00C84911"/>
    <w:rsid w:val="00C929D4"/>
    <w:rsid w:val="00C933ED"/>
    <w:rsid w:val="00CA136B"/>
    <w:rsid w:val="00CA5B78"/>
    <w:rsid w:val="00CA7470"/>
    <w:rsid w:val="00CB33EC"/>
    <w:rsid w:val="00CB38BE"/>
    <w:rsid w:val="00CB4161"/>
    <w:rsid w:val="00CC2FEA"/>
    <w:rsid w:val="00CC6D71"/>
    <w:rsid w:val="00CC7458"/>
    <w:rsid w:val="00CC7DDC"/>
    <w:rsid w:val="00CD655B"/>
    <w:rsid w:val="00CD7D3E"/>
    <w:rsid w:val="00CE2947"/>
    <w:rsid w:val="00CF3861"/>
    <w:rsid w:val="00D0660C"/>
    <w:rsid w:val="00D11271"/>
    <w:rsid w:val="00D14CCC"/>
    <w:rsid w:val="00D150A9"/>
    <w:rsid w:val="00D15929"/>
    <w:rsid w:val="00D178C0"/>
    <w:rsid w:val="00D2521F"/>
    <w:rsid w:val="00D27D52"/>
    <w:rsid w:val="00D36BCA"/>
    <w:rsid w:val="00D44D4E"/>
    <w:rsid w:val="00D474B5"/>
    <w:rsid w:val="00D543D5"/>
    <w:rsid w:val="00D603EC"/>
    <w:rsid w:val="00D647AB"/>
    <w:rsid w:val="00D66E74"/>
    <w:rsid w:val="00D71264"/>
    <w:rsid w:val="00D80317"/>
    <w:rsid w:val="00D92051"/>
    <w:rsid w:val="00DA043B"/>
    <w:rsid w:val="00DA097F"/>
    <w:rsid w:val="00DA1241"/>
    <w:rsid w:val="00DA3E7C"/>
    <w:rsid w:val="00DA5096"/>
    <w:rsid w:val="00DA73A3"/>
    <w:rsid w:val="00DB3948"/>
    <w:rsid w:val="00DB49A0"/>
    <w:rsid w:val="00DD0A49"/>
    <w:rsid w:val="00DD4AB8"/>
    <w:rsid w:val="00DE0B48"/>
    <w:rsid w:val="00DE1F34"/>
    <w:rsid w:val="00DE59C1"/>
    <w:rsid w:val="00DF4F3C"/>
    <w:rsid w:val="00DF4F6F"/>
    <w:rsid w:val="00DF6B35"/>
    <w:rsid w:val="00E070F9"/>
    <w:rsid w:val="00E076A3"/>
    <w:rsid w:val="00E11897"/>
    <w:rsid w:val="00E1258F"/>
    <w:rsid w:val="00E14FC3"/>
    <w:rsid w:val="00E24EBB"/>
    <w:rsid w:val="00E2592B"/>
    <w:rsid w:val="00E27CE2"/>
    <w:rsid w:val="00E32021"/>
    <w:rsid w:val="00E329EE"/>
    <w:rsid w:val="00E350E3"/>
    <w:rsid w:val="00E41DE3"/>
    <w:rsid w:val="00E47851"/>
    <w:rsid w:val="00E52235"/>
    <w:rsid w:val="00E56716"/>
    <w:rsid w:val="00E64A6E"/>
    <w:rsid w:val="00E706B3"/>
    <w:rsid w:val="00E7422B"/>
    <w:rsid w:val="00E746A9"/>
    <w:rsid w:val="00E80F96"/>
    <w:rsid w:val="00E82E5A"/>
    <w:rsid w:val="00E92E1A"/>
    <w:rsid w:val="00E97584"/>
    <w:rsid w:val="00EA6B30"/>
    <w:rsid w:val="00EB58F3"/>
    <w:rsid w:val="00EC1EFB"/>
    <w:rsid w:val="00ED0EBB"/>
    <w:rsid w:val="00ED5950"/>
    <w:rsid w:val="00ED61CA"/>
    <w:rsid w:val="00ED733C"/>
    <w:rsid w:val="00EE4455"/>
    <w:rsid w:val="00EE4C16"/>
    <w:rsid w:val="00F00EF3"/>
    <w:rsid w:val="00F04055"/>
    <w:rsid w:val="00F050BD"/>
    <w:rsid w:val="00F05A89"/>
    <w:rsid w:val="00F122B9"/>
    <w:rsid w:val="00F142EB"/>
    <w:rsid w:val="00F147D1"/>
    <w:rsid w:val="00F21CD9"/>
    <w:rsid w:val="00F22750"/>
    <w:rsid w:val="00F30D05"/>
    <w:rsid w:val="00F3207F"/>
    <w:rsid w:val="00F3541A"/>
    <w:rsid w:val="00F42D47"/>
    <w:rsid w:val="00F46275"/>
    <w:rsid w:val="00F512FE"/>
    <w:rsid w:val="00F5665F"/>
    <w:rsid w:val="00F60488"/>
    <w:rsid w:val="00F631B6"/>
    <w:rsid w:val="00F63BC0"/>
    <w:rsid w:val="00F640FB"/>
    <w:rsid w:val="00F675A5"/>
    <w:rsid w:val="00F704BD"/>
    <w:rsid w:val="00F70715"/>
    <w:rsid w:val="00F719B8"/>
    <w:rsid w:val="00F80E13"/>
    <w:rsid w:val="00F8197F"/>
    <w:rsid w:val="00F87DCF"/>
    <w:rsid w:val="00F94B00"/>
    <w:rsid w:val="00FA03AD"/>
    <w:rsid w:val="00FA0AE8"/>
    <w:rsid w:val="00FA2E89"/>
    <w:rsid w:val="00FA36BF"/>
    <w:rsid w:val="00FB4BFF"/>
    <w:rsid w:val="00FB6393"/>
    <w:rsid w:val="00FB6500"/>
    <w:rsid w:val="00FC430C"/>
    <w:rsid w:val="00FC7332"/>
    <w:rsid w:val="00FD1D9C"/>
    <w:rsid w:val="00FE0D9B"/>
    <w:rsid w:val="00FE1FC2"/>
    <w:rsid w:val="00FE6474"/>
    <w:rsid w:val="00FE6640"/>
    <w:rsid w:val="00FF00C7"/>
    <w:rsid w:val="00FF42BD"/>
    <w:rsid w:val="00FF6013"/>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3C6A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customStyle="1" w:styleId="Default">
    <w:name w:val="Default"/>
    <w:rsid w:val="004D3504"/>
    <w:pPr>
      <w:autoSpaceDE w:val="0"/>
      <w:autoSpaceDN w:val="0"/>
      <w:adjustRightInd w:val="0"/>
    </w:pPr>
    <w:rPr>
      <w:color w:val="000000"/>
      <w:sz w:val="24"/>
      <w:szCs w:val="24"/>
    </w:rPr>
  </w:style>
  <w:style w:type="paragraph" w:styleId="Revision">
    <w:name w:val="Revision"/>
    <w:hidden/>
    <w:uiPriority w:val="99"/>
    <w:semiHidden/>
    <w:rsid w:val="00431E7B"/>
    <w:rPr>
      <w:sz w:val="24"/>
      <w:szCs w:val="24"/>
    </w:rPr>
  </w:style>
  <w:style w:type="character" w:customStyle="1" w:styleId="FooterChar">
    <w:name w:val="Footer Char"/>
    <w:basedOn w:val="DefaultParagraphFont"/>
    <w:link w:val="Footer"/>
    <w:uiPriority w:val="99"/>
    <w:rsid w:val="001113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customStyle="1" w:styleId="Default">
    <w:name w:val="Default"/>
    <w:rsid w:val="004D3504"/>
    <w:pPr>
      <w:autoSpaceDE w:val="0"/>
      <w:autoSpaceDN w:val="0"/>
      <w:adjustRightInd w:val="0"/>
    </w:pPr>
    <w:rPr>
      <w:color w:val="000000"/>
      <w:sz w:val="24"/>
      <w:szCs w:val="24"/>
    </w:rPr>
  </w:style>
  <w:style w:type="paragraph" w:styleId="Revision">
    <w:name w:val="Revision"/>
    <w:hidden/>
    <w:uiPriority w:val="99"/>
    <w:semiHidden/>
    <w:rsid w:val="00431E7B"/>
    <w:rPr>
      <w:sz w:val="24"/>
      <w:szCs w:val="24"/>
    </w:rPr>
  </w:style>
  <w:style w:type="character" w:customStyle="1" w:styleId="FooterChar">
    <w:name w:val="Footer Char"/>
    <w:basedOn w:val="DefaultParagraphFont"/>
    <w:link w:val="Footer"/>
    <w:uiPriority w:val="99"/>
    <w:rsid w:val="001113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73915180">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21242413">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5/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4F62-FF0A-453F-B8B2-96F79F66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16</Pages>
  <Words>5838</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Supporting Statement Part A Template</vt:lpstr>
    </vt:vector>
  </TitlesOfParts>
  <Company>DHHS</Company>
  <LinksUpToDate>false</LinksUpToDate>
  <CharactersWithSpaces>41119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Template</dc:title>
  <dc:subject>&amp;lt;p&amp;gt;(Supporting Statement Template and Instructions; instructions are in italics and should be deleted when complete)        SUPPORTING STATEMENT    Part A              (Insert project title here)          Version: (Insert date: month, day and year)</dc:subject>
  <dc:creator>Heather Nalls</dc:creator>
  <cp:lastModifiedBy>Windows User</cp:lastModifiedBy>
  <cp:revision>17</cp:revision>
  <cp:lastPrinted>2016-08-12T18:15:00Z</cp:lastPrinted>
  <dcterms:created xsi:type="dcterms:W3CDTF">2016-08-11T23:35:00Z</dcterms:created>
  <dcterms:modified xsi:type="dcterms:W3CDTF">2016-08-24T18:51:00Z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DownloadAsset.aspx?id=15773</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8" name="EktExpiryType">
    <vt:i4>1</vt:i4>
  </property>
  <property fmtid="{D5CDD505-2E9C-101B-9397-08002B2CF9AE}" pid="9" name="EktDateCreated">
    <vt:filetime>2013-09-25T15:42:14Z</vt:filetime>
  </property>
  <property fmtid="{D5CDD505-2E9C-101B-9397-08002B2CF9AE}" pid="10" name="EktDateModified">
    <vt:filetime>2013-09-25T15:42:17Z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120832</vt:i4>
  </property>
  <property fmtid="{D5CDD505-2E9C-101B-9397-08002B2CF9AE}" pid="14" name="EktSearchable">
    <vt:i4>1</vt:i4>
  </property>
  <property fmtid="{D5CDD505-2E9C-101B-9397-08002B2CF9AE}" pid="15" name="EktEDescription">
    <vt:lpwstr>Summary &amp;lt;p&amp;gt;(Supporting Statement Template and Instructions; instructions are in italics and should be deleted when complete)        SUPPORTING STATEMENT    Part A              (Insert project title here)          Version: (Insert date: month, day an</vt:lpwstr>
  </property>
</Properties>
</file>