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8BE7D" w14:textId="0F6B3A16" w:rsidR="00085D4F" w:rsidRPr="002725D7" w:rsidRDefault="3223A10E" w:rsidP="3223A10E">
      <w:pPr>
        <w:rPr>
          <w:rFonts w:asciiTheme="minorHAnsi" w:hAnsiTheme="minorHAnsi"/>
        </w:rPr>
      </w:pPr>
      <w:bookmarkStart w:id="0" w:name="_GoBack"/>
      <w:bookmarkEnd w:id="0"/>
      <w:r w:rsidRPr="3223A10E">
        <w:rPr>
          <w:rFonts w:asciiTheme="minorHAnsi" w:hAnsiTheme="minorHAnsi"/>
          <w:b/>
          <w:bCs/>
        </w:rPr>
        <w:t>Concept Testing. “Talk. They Hear You” Public Service Announcement (PSAs) for Military Parents</w:t>
      </w:r>
    </w:p>
    <w:p w14:paraId="3FA08C57" w14:textId="77777777" w:rsidR="006473B4" w:rsidRPr="002725D7" w:rsidRDefault="006473B4">
      <w:pPr>
        <w:rPr>
          <w:rFonts w:asciiTheme="minorHAnsi" w:hAnsiTheme="minorHAnsi"/>
        </w:rPr>
      </w:pPr>
    </w:p>
    <w:p w14:paraId="0D34B1A9" w14:textId="77777777" w:rsidR="005E714A" w:rsidRPr="002725D7" w:rsidRDefault="005E714A">
      <w:pPr>
        <w:rPr>
          <w:rFonts w:asciiTheme="minorHAnsi" w:hAnsiTheme="minorHAnsi"/>
        </w:rPr>
      </w:pPr>
    </w:p>
    <w:p w14:paraId="399061E2" w14:textId="77777777" w:rsidR="00EF0DF0" w:rsidRPr="002725D7" w:rsidRDefault="3223A10E" w:rsidP="3223A10E">
      <w:pPr>
        <w:rPr>
          <w:rFonts w:asciiTheme="minorHAnsi" w:hAnsiTheme="minorHAnsi"/>
          <w:b/>
          <w:bCs/>
        </w:rPr>
      </w:pPr>
      <w:r w:rsidRPr="3223A10E">
        <w:rPr>
          <w:rFonts w:asciiTheme="minorHAnsi" w:hAnsiTheme="minorHAnsi"/>
          <w:b/>
          <w:bCs/>
        </w:rPr>
        <w:t>A. Product Activity to be Assessed</w:t>
      </w:r>
    </w:p>
    <w:p w14:paraId="7307EB7F" w14:textId="77777777" w:rsidR="00EF0DF0" w:rsidRPr="002725D7" w:rsidRDefault="00EF0DF0" w:rsidP="00F82E93">
      <w:pPr>
        <w:rPr>
          <w:rFonts w:asciiTheme="minorHAnsi" w:hAnsiTheme="minorHAnsi"/>
          <w:b/>
        </w:rPr>
      </w:pPr>
    </w:p>
    <w:p w14:paraId="11E26385" w14:textId="77777777" w:rsidR="00EF0DF0" w:rsidRPr="002725D7" w:rsidRDefault="3223A10E" w:rsidP="3223A10E">
      <w:pPr>
        <w:spacing w:line="271" w:lineRule="auto"/>
        <w:rPr>
          <w:rFonts w:asciiTheme="minorHAnsi" w:hAnsiTheme="minorHAnsi"/>
        </w:rPr>
      </w:pPr>
      <w:r w:rsidRPr="3223A10E">
        <w:rPr>
          <w:rFonts w:asciiTheme="minorHAnsi" w:hAnsiTheme="minorHAnsi"/>
        </w:rPr>
        <w:t>The Substance Abuse and Mental Health Services Administration (SAMHSA), Center for Substance Abuse Prevention, is requesting OMB approval for one new focus group tool consisting of the following:</w:t>
      </w:r>
    </w:p>
    <w:p w14:paraId="3510ACE0" w14:textId="77777777" w:rsidR="00DB2A32" w:rsidRPr="002725D7" w:rsidRDefault="3223A10E" w:rsidP="3223A10E">
      <w:pPr>
        <w:pStyle w:val="ListParagraph"/>
        <w:numPr>
          <w:ilvl w:val="0"/>
          <w:numId w:val="40"/>
        </w:numPr>
        <w:spacing w:line="271" w:lineRule="auto"/>
        <w:rPr>
          <w:rFonts w:asciiTheme="minorHAnsi" w:hAnsiTheme="minorHAnsi"/>
        </w:rPr>
      </w:pPr>
      <w:r w:rsidRPr="3223A10E">
        <w:rPr>
          <w:rFonts w:asciiTheme="minorHAnsi" w:hAnsiTheme="minorHAnsi"/>
        </w:rPr>
        <w:t>Focus Group Protocol (Attachment A)</w:t>
      </w:r>
    </w:p>
    <w:p w14:paraId="5BC4D2C2" w14:textId="77777777" w:rsidR="00DB2A32" w:rsidRPr="002725D7" w:rsidRDefault="3223A10E" w:rsidP="3223A10E">
      <w:pPr>
        <w:pStyle w:val="ListParagraph"/>
        <w:numPr>
          <w:ilvl w:val="0"/>
          <w:numId w:val="40"/>
        </w:numPr>
        <w:spacing w:line="271" w:lineRule="auto"/>
        <w:rPr>
          <w:rFonts w:asciiTheme="minorHAnsi" w:hAnsiTheme="minorHAnsi"/>
        </w:rPr>
      </w:pPr>
      <w:r w:rsidRPr="3223A10E">
        <w:rPr>
          <w:rFonts w:asciiTheme="minorHAnsi" w:hAnsiTheme="minorHAnsi"/>
        </w:rPr>
        <w:t>Focus Group Discussions (FGD) Recruitment and Screening (Attachment B)</w:t>
      </w:r>
    </w:p>
    <w:p w14:paraId="28D63DF6" w14:textId="77777777" w:rsidR="00EF0DF0" w:rsidRPr="002725D7" w:rsidRDefault="3223A10E" w:rsidP="3223A10E">
      <w:pPr>
        <w:pStyle w:val="ListParagraph"/>
        <w:numPr>
          <w:ilvl w:val="0"/>
          <w:numId w:val="40"/>
        </w:numPr>
        <w:spacing w:line="271" w:lineRule="auto"/>
        <w:rPr>
          <w:rFonts w:asciiTheme="minorHAnsi" w:hAnsiTheme="minorHAnsi"/>
        </w:rPr>
      </w:pPr>
      <w:r w:rsidRPr="3223A10E">
        <w:rPr>
          <w:rFonts w:asciiTheme="minorHAnsi" w:hAnsiTheme="minorHAnsi"/>
        </w:rPr>
        <w:t>Release and Consent Form (Attachment C)</w:t>
      </w:r>
    </w:p>
    <w:p w14:paraId="3E13C5E8" w14:textId="77777777" w:rsidR="00DB2A32" w:rsidRPr="002725D7" w:rsidRDefault="3223A10E" w:rsidP="3223A10E">
      <w:pPr>
        <w:pStyle w:val="ListParagraph"/>
        <w:numPr>
          <w:ilvl w:val="0"/>
          <w:numId w:val="40"/>
        </w:numPr>
        <w:spacing w:line="271" w:lineRule="auto"/>
        <w:rPr>
          <w:rFonts w:asciiTheme="minorHAnsi" w:hAnsiTheme="minorHAnsi"/>
        </w:rPr>
      </w:pPr>
      <w:r w:rsidRPr="3223A10E">
        <w:rPr>
          <w:rFonts w:asciiTheme="minorHAnsi" w:hAnsiTheme="minorHAnsi"/>
        </w:rPr>
        <w:t>FGD Facilitator Guide (Attachment D)</w:t>
      </w:r>
    </w:p>
    <w:p w14:paraId="179C3052" w14:textId="77777777" w:rsidR="00EF0DF0" w:rsidRPr="002725D7" w:rsidRDefault="00EF0DF0" w:rsidP="00552DC9">
      <w:pPr>
        <w:pStyle w:val="ListParagraph"/>
        <w:spacing w:line="271" w:lineRule="auto"/>
        <w:rPr>
          <w:rFonts w:asciiTheme="minorHAnsi" w:hAnsiTheme="minorHAnsi"/>
        </w:rPr>
      </w:pPr>
    </w:p>
    <w:p w14:paraId="7D7E2EEB" w14:textId="77777777" w:rsidR="00F77568" w:rsidRDefault="3223A10E" w:rsidP="3223A10E">
      <w:pPr>
        <w:pStyle w:val="NoSpacing"/>
        <w:spacing w:line="271" w:lineRule="auto"/>
        <w:rPr>
          <w:rFonts w:cs="Times New Roman"/>
          <w:sz w:val="24"/>
          <w:szCs w:val="24"/>
        </w:rPr>
      </w:pPr>
      <w:r w:rsidRPr="3223A10E">
        <w:rPr>
          <w:rFonts w:cs="Times New Roman"/>
          <w:sz w:val="24"/>
          <w:szCs w:val="24"/>
        </w:rPr>
        <w:t xml:space="preserve">The last decade has seen an increased focus on preventing underage drinking in national and local policy, law enforcement efforts, and through campaigns, including the Substance Abuse and Mental Health Administration’s (SAMHSA’s) “Talk. They Hear You.”  Launched in 2013, this campaign helps raise awareness about the dangers of underage drinking, specifically engaging parents and caregivers of children ages 9-15 to take action (“talk to your children about the dangers of underage drinking”) and increase their skills with modeling and support resources. This is a national campaign conducting ongoing implementation. </w:t>
      </w:r>
    </w:p>
    <w:p w14:paraId="78487CE8" w14:textId="77777777" w:rsidR="00F85D83" w:rsidRPr="002725D7" w:rsidRDefault="00F85D83" w:rsidP="008251A6">
      <w:pPr>
        <w:pStyle w:val="NoSpacing"/>
        <w:spacing w:line="271" w:lineRule="auto"/>
        <w:rPr>
          <w:rFonts w:cs="Times New Roman"/>
          <w:sz w:val="24"/>
          <w:szCs w:val="24"/>
        </w:rPr>
      </w:pPr>
    </w:p>
    <w:p w14:paraId="7BCD869E" w14:textId="77777777" w:rsidR="00F77568" w:rsidRPr="008251A6" w:rsidRDefault="00F85D83" w:rsidP="3223A10E">
      <w:pPr>
        <w:spacing w:line="271" w:lineRule="auto"/>
        <w:rPr>
          <w:rFonts w:asciiTheme="minorHAnsi" w:hAnsiTheme="minorHAnsi" w:cstheme="minorBidi"/>
        </w:rPr>
      </w:pPr>
      <w:r w:rsidRPr="3223A10E">
        <w:rPr>
          <w:rFonts w:asciiTheme="minorHAnsi" w:hAnsiTheme="minorHAnsi" w:cstheme="minorBidi"/>
        </w:rPr>
        <w:t>The “Talk. They Hear You.” campaign hinges on the insight that a parent or caregiver talking to his/her children about the dangers of alcohol is an important factor in deterring underage alcohol consumption.  Studies have shown that parents and other influencers have a significant influence on young people’s decisions about alcohol consumption,</w:t>
      </w:r>
      <w:r w:rsidRPr="3223A10E">
        <w:rPr>
          <w:rFonts w:asciiTheme="minorHAnsi" w:hAnsiTheme="minorHAnsi" w:cstheme="minorBidi"/>
          <w:vertAlign w:val="superscript"/>
        </w:rPr>
        <w:footnoteReference w:id="1"/>
      </w:r>
      <w:r w:rsidRPr="3223A10E">
        <w:rPr>
          <w:rFonts w:asciiTheme="minorHAnsi" w:hAnsiTheme="minorHAnsi" w:cstheme="minorBidi"/>
        </w:rPr>
        <w:t xml:space="preserve"> especially when supportive and nurturing environments are created in which children can make their own decisions.</w:t>
      </w:r>
      <w:r w:rsidRPr="3223A10E">
        <w:rPr>
          <w:rFonts w:asciiTheme="minorHAnsi" w:hAnsiTheme="minorHAnsi" w:cstheme="minorBidi"/>
          <w:vertAlign w:val="superscript"/>
        </w:rPr>
        <w:footnoteReference w:id="2"/>
      </w:r>
      <w:r w:rsidRPr="3223A10E">
        <w:rPr>
          <w:rFonts w:asciiTheme="minorHAnsi" w:hAnsiTheme="minorHAnsi" w:cstheme="minorBidi"/>
        </w:rPr>
        <w:t xml:space="preserve">  In fact, about 80 percent of children feel that parents should have a say in whether they drink alcohol.</w:t>
      </w:r>
      <w:r w:rsidRPr="3223A10E">
        <w:rPr>
          <w:rFonts w:asciiTheme="minorHAnsi" w:hAnsiTheme="minorHAnsi" w:cstheme="minorBidi"/>
          <w:vertAlign w:val="superscript"/>
        </w:rPr>
        <w:footnoteReference w:id="3"/>
      </w:r>
      <w:r w:rsidRPr="3223A10E">
        <w:rPr>
          <w:rFonts w:asciiTheme="minorHAnsi" w:hAnsiTheme="minorHAnsi" w:cstheme="minorBidi"/>
          <w:vertAlign w:val="superscript"/>
        </w:rPr>
        <w:t>,</w:t>
      </w:r>
      <w:r w:rsidRPr="3223A10E">
        <w:rPr>
          <w:rFonts w:asciiTheme="minorHAnsi" w:hAnsiTheme="minorHAnsi" w:cstheme="minorBidi"/>
          <w:vertAlign w:val="superscript"/>
        </w:rPr>
        <w:footnoteReference w:id="4"/>
      </w:r>
      <w:r w:rsidRPr="3223A10E">
        <w:rPr>
          <w:rFonts w:asciiTheme="minorHAnsi" w:hAnsiTheme="minorHAnsi" w:cstheme="minorBidi"/>
        </w:rPr>
        <w:t xml:space="preserve"> </w:t>
      </w:r>
    </w:p>
    <w:p w14:paraId="006A34D5" w14:textId="67D75F40" w:rsidR="00F85D83" w:rsidRPr="002725D7" w:rsidRDefault="00F85D83" w:rsidP="00552DC9">
      <w:pPr>
        <w:spacing w:line="271" w:lineRule="auto"/>
        <w:rPr>
          <w:rFonts w:asciiTheme="minorHAnsi" w:hAnsiTheme="minorHAnsi"/>
        </w:rPr>
      </w:pPr>
      <w:r w:rsidRPr="002725D7">
        <w:t xml:space="preserve"> </w:t>
      </w:r>
    </w:p>
    <w:p w14:paraId="505C6273" w14:textId="47A812F4" w:rsidR="00C31DC8" w:rsidRPr="002725D7" w:rsidRDefault="3223A10E" w:rsidP="3223A10E">
      <w:pPr>
        <w:spacing w:line="271" w:lineRule="auto"/>
        <w:rPr>
          <w:rFonts w:asciiTheme="minorHAnsi" w:hAnsiTheme="minorHAnsi"/>
        </w:rPr>
      </w:pPr>
      <w:r w:rsidRPr="3223A10E">
        <w:rPr>
          <w:rFonts w:asciiTheme="minorHAnsi" w:hAnsiTheme="minorHAnsi"/>
        </w:rPr>
        <w:t xml:space="preserve">Current “Talk. They Hear You.” promotion channels and resources consist of public service announcements (PSAs); the Campaign’s website, www.underagedrinking.samhsa.gov; tip sheets; social media; partnership networks; direct outreach; and a mobile application. These materials show parents using everyday opportunities to talk with their children about alcohol, </w:t>
      </w:r>
      <w:r w:rsidRPr="3223A10E">
        <w:rPr>
          <w:rFonts w:asciiTheme="minorHAnsi" w:hAnsiTheme="minorHAnsi"/>
        </w:rPr>
        <w:lastRenderedPageBreak/>
        <w:t>to help reinforce the importance of starting the conversation about alcohol at an early age.  Materials have been created and provided to local organizations and partners to share with parents and community members, and using their feedback materials continue to be adapted for other partner needs including pre-crafted social media messages for account managers, blog posts, infographics, and newsletter articles.</w:t>
      </w:r>
    </w:p>
    <w:p w14:paraId="0339B5EA" w14:textId="77777777" w:rsidR="00C31DC8" w:rsidRPr="002725D7" w:rsidRDefault="00C31DC8" w:rsidP="00552DC9">
      <w:pPr>
        <w:spacing w:line="271" w:lineRule="auto"/>
        <w:rPr>
          <w:rFonts w:asciiTheme="minorHAnsi" w:hAnsiTheme="minorHAnsi"/>
        </w:rPr>
      </w:pPr>
    </w:p>
    <w:p w14:paraId="58048735" w14:textId="3558E408" w:rsidR="00C1201F" w:rsidRPr="002725D7" w:rsidRDefault="3223A10E" w:rsidP="3223A10E">
      <w:pPr>
        <w:spacing w:line="271" w:lineRule="auto"/>
        <w:rPr>
          <w:rFonts w:asciiTheme="minorHAnsi" w:hAnsiTheme="minorHAnsi"/>
        </w:rPr>
      </w:pPr>
      <w:r w:rsidRPr="3223A10E">
        <w:rPr>
          <w:rFonts w:asciiTheme="minorHAnsi" w:hAnsiTheme="minorHAnsi"/>
        </w:rPr>
        <w:t xml:space="preserve">“Talk. They Hear You.” PSAs include print, radio, and video formats, with many materials available in both English and Spanish.  Since launching in 2013, the </w:t>
      </w:r>
      <w:r w:rsidRPr="3223A10E">
        <w:rPr>
          <w:rFonts w:asciiTheme="minorHAnsi" w:hAnsiTheme="minorHAnsi" w:cstheme="minorBidi"/>
        </w:rPr>
        <w:t>campaign has garnered 6.36 billion PSA impressions</w:t>
      </w:r>
      <w:r w:rsidRPr="3223A10E">
        <w:rPr>
          <w:rFonts w:asciiTheme="minorHAnsi" w:hAnsiTheme="minorHAnsi"/>
        </w:rPr>
        <w:t xml:space="preserve"> and more than 6,489 mobile application downloads.</w:t>
      </w:r>
    </w:p>
    <w:p w14:paraId="40C3D4BF" w14:textId="77777777" w:rsidR="00C1201F" w:rsidRPr="002725D7" w:rsidRDefault="00C1201F" w:rsidP="00552DC9">
      <w:pPr>
        <w:spacing w:line="271" w:lineRule="auto"/>
        <w:rPr>
          <w:rFonts w:asciiTheme="minorHAnsi" w:hAnsiTheme="minorHAnsi"/>
        </w:rPr>
      </w:pPr>
    </w:p>
    <w:p w14:paraId="02DD9C96" w14:textId="2E30C805" w:rsidR="003C772C" w:rsidRPr="002725D7" w:rsidRDefault="008C1662" w:rsidP="3223A10E">
      <w:pPr>
        <w:pStyle w:val="NoSpacing"/>
        <w:spacing w:line="271" w:lineRule="auto"/>
        <w:rPr>
          <w:sz w:val="24"/>
          <w:szCs w:val="24"/>
        </w:rPr>
      </w:pPr>
      <w:r w:rsidRPr="3223A10E">
        <w:rPr>
          <w:sz w:val="24"/>
          <w:szCs w:val="24"/>
        </w:rPr>
        <w:t>While some reductions in underage drinking rates have been observed in the last decade</w:t>
      </w:r>
      <w:r w:rsidRPr="3223A10E">
        <w:rPr>
          <w:rStyle w:val="FootnoteReference"/>
          <w:sz w:val="24"/>
          <w:szCs w:val="24"/>
        </w:rPr>
        <w:footnoteReference w:id="5"/>
      </w:r>
      <w:r w:rsidRPr="3223A10E">
        <w:rPr>
          <w:sz w:val="24"/>
          <w:szCs w:val="24"/>
        </w:rPr>
        <w:t>, underage drinking remains a serious problem.  Ten percent of 9- to 10-year-olds have already started drinking,</w:t>
      </w:r>
      <w:r w:rsidRPr="3223A10E">
        <w:rPr>
          <w:rStyle w:val="FootnoteReference"/>
          <w:sz w:val="24"/>
          <w:szCs w:val="24"/>
        </w:rPr>
        <w:footnoteReference w:id="6"/>
      </w:r>
      <w:r w:rsidRPr="3223A10E">
        <w:rPr>
          <w:sz w:val="24"/>
          <w:szCs w:val="24"/>
        </w:rPr>
        <w:t xml:space="preserve"> and more than 20 percent of underage drinkers begin drinking before age 13.</w:t>
      </w:r>
      <w:r w:rsidRPr="3223A10E">
        <w:rPr>
          <w:rStyle w:val="FootnoteReference"/>
          <w:sz w:val="24"/>
          <w:szCs w:val="24"/>
        </w:rPr>
        <w:footnoteReference w:id="7"/>
      </w:r>
      <w:r w:rsidRPr="3223A10E">
        <w:rPr>
          <w:sz w:val="24"/>
          <w:szCs w:val="24"/>
        </w:rPr>
        <w:t xml:space="preserve">  Studies have shown that underage drinkers tend to drink less often than adults, but they drink more heavily when they do drink: on average, underage drinkers consume 5 drinks per occasion, 5 times a month.</w:t>
      </w:r>
      <w:r w:rsidRPr="3223A10E">
        <w:rPr>
          <w:rStyle w:val="FootnoteReference"/>
          <w:sz w:val="24"/>
          <w:szCs w:val="24"/>
        </w:rPr>
        <w:footnoteReference w:id="8"/>
      </w:r>
      <w:r w:rsidRPr="3223A10E">
        <w:rPr>
          <w:sz w:val="24"/>
          <w:szCs w:val="24"/>
        </w:rPr>
        <w:t xml:space="preserve">  Underage drinking cost the citizens of the United States $56.9 billion in 2013, including include medical care, work loss, and pain and suffering associated with the multiple problems resulting from the use of alcohol by youth.</w:t>
      </w:r>
      <w:r w:rsidRPr="002725D7">
        <w:rPr>
          <w:rStyle w:val="FootnoteReference"/>
        </w:rPr>
        <w:footnoteReference w:id="9"/>
      </w:r>
    </w:p>
    <w:p w14:paraId="70FF6773" w14:textId="60C4F8A0" w:rsidR="005B5C23" w:rsidRPr="002725D7" w:rsidRDefault="005B5C23" w:rsidP="00E04C61">
      <w:pPr>
        <w:spacing w:line="271" w:lineRule="auto"/>
        <w:rPr>
          <w:shd w:val="clear" w:color="auto" w:fill="FFFFFF"/>
        </w:rPr>
      </w:pPr>
    </w:p>
    <w:p w14:paraId="578EC9E6" w14:textId="72DE85EB" w:rsidR="00C31DC8" w:rsidRPr="008251A6" w:rsidRDefault="3223A10E" w:rsidP="3223A10E">
      <w:pPr>
        <w:spacing w:line="271" w:lineRule="auto"/>
        <w:rPr>
          <w:rFonts w:asciiTheme="minorHAnsi" w:eastAsiaTheme="minorEastAsia" w:hAnsiTheme="minorHAnsi"/>
        </w:rPr>
      </w:pPr>
      <w:r w:rsidRPr="3223A10E">
        <w:rPr>
          <w:rFonts w:asciiTheme="minorHAnsi" w:eastAsiaTheme="minorEastAsia" w:hAnsiTheme="minorHAnsi"/>
        </w:rPr>
        <w:t xml:space="preserve">Given the ongoing opioid epidemic and widespread changes in state policies on marijuana, SAMHSA will expand its “Talk. They Hear You. ®” efforts to include other substances in addition to alcohol this year.  The 2018 efforts will focus on parents who serve in the United States military, either as active duty or reserve personnel.  This military-focused theme will concentrate on alcohol and substance use among youths aged 9 to 15 and is intended to reach parents serving in all branches of the military.  Campaign materials to be developed for this target audience may include public service announcements to help these parents prepare for and have conversations with their children about underage drinking and substance use prevention. Our team proposes hosting focus groups to test concepts for a new PSA to be promoted to these military parents of 9- to 15-year-olds. </w:t>
      </w:r>
    </w:p>
    <w:p w14:paraId="1BE45B31" w14:textId="77777777" w:rsidR="00C31DC8" w:rsidRPr="002725D7" w:rsidRDefault="00C31DC8" w:rsidP="00434E33">
      <w:pPr>
        <w:pStyle w:val="Header"/>
        <w:tabs>
          <w:tab w:val="clear" w:pos="4320"/>
          <w:tab w:val="clear" w:pos="8640"/>
        </w:tabs>
        <w:rPr>
          <w:rFonts w:asciiTheme="minorHAnsi" w:hAnsiTheme="minorHAnsi"/>
        </w:rPr>
      </w:pPr>
    </w:p>
    <w:p w14:paraId="228B2A17" w14:textId="77777777" w:rsidR="00EF0DF0" w:rsidRPr="002725D7" w:rsidRDefault="3223A10E" w:rsidP="3223A10E">
      <w:pPr>
        <w:pStyle w:val="Header"/>
        <w:tabs>
          <w:tab w:val="clear" w:pos="4320"/>
          <w:tab w:val="clear" w:pos="8640"/>
        </w:tabs>
        <w:rPr>
          <w:rFonts w:asciiTheme="minorHAnsi" w:hAnsiTheme="minorHAnsi"/>
        </w:rPr>
      </w:pPr>
      <w:r w:rsidRPr="3223A10E">
        <w:rPr>
          <w:rFonts w:asciiTheme="minorHAnsi" w:hAnsiTheme="minorHAnsi"/>
          <w:b/>
          <w:bCs/>
        </w:rPr>
        <w:lastRenderedPageBreak/>
        <w:t>B. Brief Statement of Objectives</w:t>
      </w:r>
    </w:p>
    <w:p w14:paraId="4FDA6C2D" w14:textId="77777777" w:rsidR="00EF0DF0" w:rsidRPr="002725D7" w:rsidRDefault="00EF0DF0" w:rsidP="00434E33">
      <w:pPr>
        <w:pStyle w:val="Header"/>
        <w:tabs>
          <w:tab w:val="clear" w:pos="4320"/>
          <w:tab w:val="clear" w:pos="8640"/>
        </w:tabs>
        <w:rPr>
          <w:rFonts w:asciiTheme="minorHAnsi" w:hAnsiTheme="minorHAnsi"/>
        </w:rPr>
      </w:pPr>
    </w:p>
    <w:p w14:paraId="0974E08E" w14:textId="291494CE" w:rsidR="00545811" w:rsidRPr="002725D7" w:rsidRDefault="3223A10E"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 xml:space="preserve">The overall objective of the focus groups is to test two newly developed concepts for PSAs that target military parents and caregivers of children ages 9-15 for the “Talk. They Hear You.” Campaign. The focus groups will help inform SAMHSA on which concept best resonates with the target population. Concept testing among parents will determine whether concepts are effective at conveying the importance of talking to kids about underage drinking and substance use, and how parents can have these tough conversations with their children. The information derived from the focus groups will help improve the concepts and guide developers in making them more memorable, understandable, relevant, and appealing to parents. Focus group results will provide a solid foundation on which to develop the Campaign’s new public service announcement and accompanying materials. Input from the target audience is a critical part of the PSA and materials development process and will inform the refinement of messaging and development of a more relevant “Talk. They Hear You.” Campaign. </w:t>
      </w:r>
    </w:p>
    <w:p w14:paraId="63D751C5" w14:textId="19C72AAF" w:rsidR="00EF0DF0" w:rsidRPr="002725D7" w:rsidRDefault="00EF0DF0" w:rsidP="00552DC9">
      <w:pPr>
        <w:pStyle w:val="Header"/>
        <w:tabs>
          <w:tab w:val="clear" w:pos="4320"/>
          <w:tab w:val="clear" w:pos="8640"/>
        </w:tabs>
        <w:spacing w:line="271" w:lineRule="auto"/>
        <w:rPr>
          <w:rFonts w:asciiTheme="minorHAnsi" w:hAnsiTheme="minorHAnsi"/>
        </w:rPr>
      </w:pPr>
    </w:p>
    <w:p w14:paraId="5668D685" w14:textId="77777777" w:rsidR="00434E33" w:rsidRPr="002725D7" w:rsidRDefault="3223A10E" w:rsidP="3223A10E">
      <w:pPr>
        <w:pStyle w:val="Header"/>
        <w:tabs>
          <w:tab w:val="clear" w:pos="4320"/>
          <w:tab w:val="clear" w:pos="8640"/>
        </w:tabs>
        <w:rPr>
          <w:rFonts w:asciiTheme="minorHAnsi" w:hAnsiTheme="minorHAnsi"/>
          <w:b/>
          <w:bCs/>
        </w:rPr>
      </w:pPr>
      <w:r w:rsidRPr="3223A10E">
        <w:rPr>
          <w:rFonts w:asciiTheme="minorHAnsi" w:hAnsiTheme="minorHAnsi"/>
          <w:b/>
          <w:bCs/>
        </w:rPr>
        <w:t>C. Overview of Methods to Collect Information</w:t>
      </w:r>
    </w:p>
    <w:p w14:paraId="0EFA91FF" w14:textId="77777777" w:rsidR="000D5C26" w:rsidRPr="002725D7" w:rsidRDefault="000D5C26" w:rsidP="00434E33">
      <w:pPr>
        <w:pStyle w:val="Header"/>
        <w:tabs>
          <w:tab w:val="clear" w:pos="4320"/>
          <w:tab w:val="clear" w:pos="8640"/>
        </w:tabs>
        <w:rPr>
          <w:rFonts w:asciiTheme="minorHAnsi" w:hAnsiTheme="minorHAnsi"/>
        </w:rPr>
      </w:pPr>
    </w:p>
    <w:p w14:paraId="3DBFA9C5" w14:textId="77777777" w:rsidR="000D5C26" w:rsidRPr="002725D7" w:rsidRDefault="3223A10E" w:rsidP="3223A10E">
      <w:pPr>
        <w:pStyle w:val="Header"/>
        <w:tabs>
          <w:tab w:val="clear" w:pos="4320"/>
          <w:tab w:val="clear" w:pos="8640"/>
        </w:tabs>
        <w:rPr>
          <w:rFonts w:asciiTheme="minorHAnsi" w:hAnsiTheme="minorHAnsi"/>
        </w:rPr>
      </w:pPr>
      <w:r w:rsidRPr="3223A10E">
        <w:rPr>
          <w:rFonts w:asciiTheme="minorHAnsi" w:hAnsiTheme="minorHAnsi"/>
          <w:b/>
          <w:bCs/>
        </w:rPr>
        <w:t>Data Collection Method</w:t>
      </w:r>
    </w:p>
    <w:p w14:paraId="7CE0C500" w14:textId="77777777" w:rsidR="000D5C26" w:rsidRPr="002725D7" w:rsidRDefault="000D5C26" w:rsidP="00434E33">
      <w:pPr>
        <w:pStyle w:val="Header"/>
        <w:tabs>
          <w:tab w:val="clear" w:pos="4320"/>
          <w:tab w:val="clear" w:pos="8640"/>
        </w:tabs>
        <w:rPr>
          <w:rFonts w:asciiTheme="minorHAnsi" w:hAnsiTheme="minorHAnsi"/>
        </w:rPr>
      </w:pPr>
    </w:p>
    <w:p w14:paraId="55F29A6B" w14:textId="459FD4C1" w:rsidR="0012620B" w:rsidRPr="002725D7" w:rsidRDefault="3223A10E"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 xml:space="preserve">SAMHSA is seeking to conduct four focus groups in four geographic locations with high concentrations of military families with children of 9 to 15 years of age. The locations for the focus groups will aim to recruit parents from diverse socio-economic, cultural, educational, and demographic backgrounds.  Diversity in participants’ backgrounds yields a comprehensive set of opinions, experiences, and feedback of the “Talk. They Hear You.” campaign materials and products. </w:t>
      </w:r>
    </w:p>
    <w:p w14:paraId="571AD9CE" w14:textId="77777777" w:rsidR="0012620B" w:rsidRPr="002725D7" w:rsidRDefault="0012620B" w:rsidP="00552DC9">
      <w:pPr>
        <w:pStyle w:val="Header"/>
        <w:tabs>
          <w:tab w:val="clear" w:pos="4320"/>
          <w:tab w:val="clear" w:pos="8640"/>
        </w:tabs>
        <w:spacing w:line="271" w:lineRule="auto"/>
        <w:rPr>
          <w:rFonts w:asciiTheme="minorHAnsi" w:hAnsiTheme="minorHAnsi"/>
        </w:rPr>
      </w:pPr>
    </w:p>
    <w:p w14:paraId="3EF89D4B" w14:textId="5BE0DD14" w:rsidR="00B04FCB" w:rsidRPr="002725D7" w:rsidRDefault="3223A10E"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The four proposed markets in which the focus groups will take place are: Norfolk, VA; Federal Way, WA; Colorado Springs, CO; Columbia, SC</w:t>
      </w:r>
      <w:r w:rsidRPr="3223A10E">
        <w:rPr>
          <w:rFonts w:asciiTheme="minorHAnsi" w:hAnsiTheme="minorHAnsi"/>
          <w:b/>
          <w:bCs/>
        </w:rPr>
        <w:t>.</w:t>
      </w:r>
    </w:p>
    <w:p w14:paraId="29E6D432" w14:textId="77777777" w:rsidR="00B04FCB" w:rsidRPr="002725D7" w:rsidRDefault="00B04FCB" w:rsidP="00552DC9">
      <w:pPr>
        <w:pStyle w:val="Header"/>
        <w:tabs>
          <w:tab w:val="clear" w:pos="4320"/>
          <w:tab w:val="clear" w:pos="8640"/>
        </w:tabs>
        <w:spacing w:line="271" w:lineRule="auto"/>
        <w:rPr>
          <w:rFonts w:asciiTheme="minorHAnsi" w:hAnsiTheme="minorHAnsi"/>
        </w:rPr>
      </w:pPr>
    </w:p>
    <w:p w14:paraId="3C2292FF" w14:textId="251C7B9C" w:rsidR="00175851" w:rsidRPr="002725D7" w:rsidRDefault="3223A10E"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Each focus group will be 90 minutes long. The time breakdown for each focus group is the following:</w:t>
      </w:r>
    </w:p>
    <w:p w14:paraId="75FE7888" w14:textId="77777777" w:rsidR="00B04FCB" w:rsidRPr="002725D7" w:rsidRDefault="00B04FCB" w:rsidP="00552DC9">
      <w:pPr>
        <w:pStyle w:val="Header"/>
        <w:tabs>
          <w:tab w:val="clear" w:pos="4320"/>
          <w:tab w:val="clear" w:pos="8640"/>
        </w:tabs>
        <w:spacing w:line="271" w:lineRule="auto"/>
        <w:rPr>
          <w:rFonts w:asciiTheme="minorHAnsi" w:hAnsiTheme="minorHAnsi"/>
        </w:rPr>
      </w:pPr>
    </w:p>
    <w:p w14:paraId="156E0E57" w14:textId="77777777" w:rsidR="00175851" w:rsidRPr="002725D7" w:rsidRDefault="3223A10E" w:rsidP="3223A10E">
      <w:pPr>
        <w:pStyle w:val="Header"/>
        <w:numPr>
          <w:ilvl w:val="0"/>
          <w:numId w:val="41"/>
        </w:numPr>
        <w:tabs>
          <w:tab w:val="clear" w:pos="4320"/>
          <w:tab w:val="clear" w:pos="8640"/>
        </w:tabs>
        <w:spacing w:line="271" w:lineRule="auto"/>
        <w:rPr>
          <w:rFonts w:asciiTheme="minorHAnsi" w:hAnsiTheme="minorHAnsi"/>
        </w:rPr>
      </w:pPr>
      <w:r w:rsidRPr="3223A10E">
        <w:rPr>
          <w:rFonts w:asciiTheme="minorHAnsi" w:hAnsiTheme="minorHAnsi"/>
        </w:rPr>
        <w:t>5 minutes to pre-screen potential participants</w:t>
      </w:r>
    </w:p>
    <w:p w14:paraId="3A28E0F2" w14:textId="77777777" w:rsidR="00175851" w:rsidRPr="002725D7" w:rsidRDefault="3223A10E" w:rsidP="3223A10E">
      <w:pPr>
        <w:pStyle w:val="Header"/>
        <w:numPr>
          <w:ilvl w:val="0"/>
          <w:numId w:val="41"/>
        </w:numPr>
        <w:tabs>
          <w:tab w:val="clear" w:pos="4320"/>
          <w:tab w:val="clear" w:pos="8640"/>
        </w:tabs>
        <w:spacing w:line="271" w:lineRule="auto"/>
        <w:rPr>
          <w:rFonts w:asciiTheme="minorHAnsi" w:hAnsiTheme="minorHAnsi"/>
        </w:rPr>
      </w:pPr>
      <w:r w:rsidRPr="3223A10E">
        <w:rPr>
          <w:rFonts w:asciiTheme="minorHAnsi" w:hAnsiTheme="minorHAnsi"/>
        </w:rPr>
        <w:t>90 minutes to read and sign consent forms and participate in introduction, guidelines, and group discussion</w:t>
      </w:r>
    </w:p>
    <w:p w14:paraId="4D4A6660" w14:textId="77777777" w:rsidR="0012620B" w:rsidRPr="002725D7" w:rsidRDefault="00175851" w:rsidP="00552DC9">
      <w:pPr>
        <w:pStyle w:val="Header"/>
        <w:tabs>
          <w:tab w:val="clear" w:pos="4320"/>
          <w:tab w:val="clear" w:pos="8640"/>
        </w:tabs>
        <w:spacing w:line="271" w:lineRule="auto"/>
        <w:rPr>
          <w:rFonts w:asciiTheme="minorHAnsi" w:hAnsiTheme="minorHAnsi"/>
        </w:rPr>
      </w:pPr>
      <w:r w:rsidRPr="002725D7">
        <w:rPr>
          <w:rFonts w:asciiTheme="minorHAnsi" w:hAnsiTheme="minorHAnsi"/>
        </w:rPr>
        <w:t xml:space="preserve"> </w:t>
      </w:r>
    </w:p>
    <w:p w14:paraId="3A464F23" w14:textId="1D7A2D55" w:rsidR="0058388F" w:rsidRPr="002725D7" w:rsidRDefault="3223A10E"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SAMHSA will provide recruitment and screening questionnaires to vendors to use in recruiting the focus group participants. This ensures the individuals participating in each group will meet the needs of the study. SAMHSA will also provide guidance on timing and set up for the groups and work with its vendors to meet or adjust the logistical requirements as needed.</w:t>
      </w:r>
    </w:p>
    <w:p w14:paraId="3656B886" w14:textId="77777777" w:rsidR="007C0A63" w:rsidRPr="002725D7" w:rsidRDefault="007C0A63" w:rsidP="00552DC9">
      <w:pPr>
        <w:pStyle w:val="Header"/>
        <w:tabs>
          <w:tab w:val="clear" w:pos="4320"/>
          <w:tab w:val="clear" w:pos="8640"/>
        </w:tabs>
        <w:spacing w:line="271" w:lineRule="auto"/>
        <w:rPr>
          <w:rFonts w:asciiTheme="minorHAnsi" w:hAnsiTheme="minorHAnsi"/>
        </w:rPr>
      </w:pPr>
    </w:p>
    <w:p w14:paraId="37F1B91B" w14:textId="77777777" w:rsidR="0058388F" w:rsidRPr="002725D7" w:rsidRDefault="3223A10E" w:rsidP="3223A10E">
      <w:pPr>
        <w:pStyle w:val="Header"/>
        <w:tabs>
          <w:tab w:val="clear" w:pos="4320"/>
          <w:tab w:val="clear" w:pos="8640"/>
        </w:tabs>
        <w:rPr>
          <w:rFonts w:asciiTheme="minorHAnsi" w:hAnsiTheme="minorHAnsi"/>
        </w:rPr>
      </w:pPr>
      <w:r w:rsidRPr="3223A10E">
        <w:rPr>
          <w:rFonts w:asciiTheme="minorHAnsi" w:hAnsiTheme="minorHAnsi"/>
          <w:b/>
          <w:bCs/>
        </w:rPr>
        <w:t>Identifying respondents and providing incentives</w:t>
      </w:r>
    </w:p>
    <w:p w14:paraId="4F572523" w14:textId="77777777" w:rsidR="0058388F" w:rsidRPr="002725D7" w:rsidRDefault="0058388F" w:rsidP="0058388F">
      <w:pPr>
        <w:pStyle w:val="Header"/>
        <w:tabs>
          <w:tab w:val="clear" w:pos="4320"/>
          <w:tab w:val="clear" w:pos="8640"/>
        </w:tabs>
        <w:rPr>
          <w:rFonts w:asciiTheme="minorHAnsi" w:hAnsiTheme="minorHAnsi"/>
        </w:rPr>
      </w:pPr>
    </w:p>
    <w:p w14:paraId="68654466" w14:textId="519C0612" w:rsidR="3223A10E" w:rsidRDefault="3223A10E" w:rsidP="3223A10E">
      <w:pPr>
        <w:pStyle w:val="Header"/>
        <w:spacing w:line="271" w:lineRule="auto"/>
        <w:rPr>
          <w:rFonts w:asciiTheme="minorHAnsi" w:hAnsiTheme="minorHAnsi"/>
        </w:rPr>
      </w:pPr>
      <w:r w:rsidRPr="3223A10E">
        <w:rPr>
          <w:rFonts w:asciiTheme="minorHAnsi" w:hAnsiTheme="minorHAnsi"/>
        </w:rPr>
        <w:t>SAMHSA is looking to have a total of forty-eight (48) potential participants that will be pre-screened prior to the focus groups (12 potential participants per focus group). Out of the 48 pre-screened potential participants, forty (40) will be recruited and divided into four (4) groups of ten (10), to participate in the 90-minute focus group sessions. One session will take place on each of the following cities:  Norfolk, VA; Federal Way, WA; Colorado Springs, CO; Columbia, SC</w:t>
      </w:r>
      <w:r w:rsidRPr="3223A10E">
        <w:rPr>
          <w:rFonts w:asciiTheme="minorHAnsi" w:hAnsiTheme="minorHAnsi"/>
          <w:b/>
          <w:bCs/>
        </w:rPr>
        <w:t>.</w:t>
      </w:r>
    </w:p>
    <w:p w14:paraId="061E92BA" w14:textId="07D3D8C8" w:rsidR="00302F3F" w:rsidRPr="002725D7" w:rsidRDefault="3223A10E" w:rsidP="3223A10E">
      <w:pPr>
        <w:pStyle w:val="Header"/>
        <w:numPr>
          <w:ilvl w:val="0"/>
          <w:numId w:val="42"/>
        </w:numPr>
        <w:tabs>
          <w:tab w:val="clear" w:pos="4320"/>
          <w:tab w:val="clear" w:pos="8640"/>
        </w:tabs>
        <w:spacing w:line="271" w:lineRule="auto"/>
        <w:rPr>
          <w:rFonts w:asciiTheme="minorHAnsi" w:hAnsiTheme="minorHAnsi"/>
        </w:rPr>
      </w:pPr>
      <w:r w:rsidRPr="3223A10E">
        <w:rPr>
          <w:rFonts w:asciiTheme="minorHAnsi" w:hAnsiTheme="minorHAnsi"/>
        </w:rPr>
        <w:t>Participant recruitment will be based on the results of a screening questionnaire to be applied by: Eureka Facts</w:t>
      </w:r>
    </w:p>
    <w:p w14:paraId="5DEF91A8" w14:textId="77777777" w:rsidR="00302F3F" w:rsidRPr="002725D7" w:rsidRDefault="3223A10E" w:rsidP="3223A10E">
      <w:pPr>
        <w:pStyle w:val="Header"/>
        <w:numPr>
          <w:ilvl w:val="0"/>
          <w:numId w:val="42"/>
        </w:numPr>
        <w:tabs>
          <w:tab w:val="clear" w:pos="4320"/>
          <w:tab w:val="clear" w:pos="8640"/>
        </w:tabs>
        <w:spacing w:line="271" w:lineRule="auto"/>
        <w:rPr>
          <w:rFonts w:asciiTheme="minorHAnsi" w:hAnsiTheme="minorHAnsi"/>
        </w:rPr>
      </w:pPr>
      <w:r w:rsidRPr="3223A10E">
        <w:rPr>
          <w:rFonts w:asciiTheme="minorHAnsi" w:hAnsiTheme="minorHAnsi"/>
        </w:rPr>
        <w:t>Focus groups will be conducted preferably after work hours, based on potential participant’s availability.</w:t>
      </w:r>
    </w:p>
    <w:p w14:paraId="4AB3BAB0" w14:textId="77777777" w:rsidR="00302F3F" w:rsidRPr="002725D7" w:rsidRDefault="3223A10E" w:rsidP="3223A10E">
      <w:pPr>
        <w:pStyle w:val="Header"/>
        <w:numPr>
          <w:ilvl w:val="0"/>
          <w:numId w:val="42"/>
        </w:numPr>
        <w:tabs>
          <w:tab w:val="clear" w:pos="4320"/>
          <w:tab w:val="clear" w:pos="8640"/>
        </w:tabs>
        <w:spacing w:line="271" w:lineRule="auto"/>
        <w:rPr>
          <w:rFonts w:asciiTheme="minorHAnsi" w:hAnsiTheme="minorHAnsi"/>
        </w:rPr>
      </w:pPr>
      <w:r w:rsidRPr="3223A10E">
        <w:rPr>
          <w:rFonts w:asciiTheme="minorHAnsi" w:hAnsiTheme="minorHAnsi"/>
        </w:rPr>
        <w:t xml:space="preserve">At the beginning of each session, participants will complete a release/consent form of use of the information provided. </w:t>
      </w:r>
    </w:p>
    <w:p w14:paraId="6C0DD7EA" w14:textId="77777777" w:rsidR="00302F3F" w:rsidRPr="002725D7" w:rsidRDefault="3223A10E" w:rsidP="3223A10E">
      <w:pPr>
        <w:pStyle w:val="Header"/>
        <w:numPr>
          <w:ilvl w:val="0"/>
          <w:numId w:val="42"/>
        </w:numPr>
        <w:tabs>
          <w:tab w:val="clear" w:pos="4320"/>
          <w:tab w:val="clear" w:pos="8640"/>
        </w:tabs>
        <w:spacing w:line="271" w:lineRule="auto"/>
        <w:rPr>
          <w:rFonts w:asciiTheme="minorHAnsi" w:hAnsiTheme="minorHAnsi"/>
        </w:rPr>
      </w:pPr>
      <w:r w:rsidRPr="3223A10E">
        <w:rPr>
          <w:rFonts w:asciiTheme="minorHAnsi" w:hAnsiTheme="minorHAnsi"/>
        </w:rPr>
        <w:t xml:space="preserve">To gain participants and reduce recruiting time and cost, SAMHSA will offer participants a $50 gift card. </w:t>
      </w:r>
    </w:p>
    <w:p w14:paraId="6A210E03" w14:textId="17256C2E" w:rsidR="00302F3F" w:rsidRPr="002725D7" w:rsidRDefault="00302F3F" w:rsidP="00552DC9">
      <w:pPr>
        <w:pStyle w:val="Header"/>
        <w:tabs>
          <w:tab w:val="clear" w:pos="4320"/>
          <w:tab w:val="clear" w:pos="8640"/>
        </w:tabs>
        <w:spacing w:line="271" w:lineRule="auto"/>
        <w:rPr>
          <w:rFonts w:asciiTheme="minorHAnsi" w:hAnsiTheme="minorHAnsi"/>
        </w:rPr>
      </w:pPr>
    </w:p>
    <w:p w14:paraId="661E3547" w14:textId="04585F70" w:rsidR="006A4976" w:rsidRPr="002725D7" w:rsidRDefault="3223A10E"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Participant’s recruitment and session dates will be determined based on receipt of clearance and approval from OMB to proceed.</w:t>
      </w:r>
    </w:p>
    <w:p w14:paraId="11B3DF6E" w14:textId="77777777" w:rsidR="006A4976" w:rsidRPr="002725D7" w:rsidRDefault="006A4976" w:rsidP="00552DC9">
      <w:pPr>
        <w:pStyle w:val="Header"/>
        <w:tabs>
          <w:tab w:val="clear" w:pos="4320"/>
          <w:tab w:val="clear" w:pos="8640"/>
        </w:tabs>
        <w:spacing w:line="271" w:lineRule="auto"/>
        <w:rPr>
          <w:rFonts w:asciiTheme="minorHAnsi" w:hAnsiTheme="minorHAnsi"/>
        </w:rPr>
      </w:pPr>
    </w:p>
    <w:p w14:paraId="11237969" w14:textId="77777777" w:rsidR="00302F3F" w:rsidRPr="002725D7" w:rsidRDefault="3223A10E" w:rsidP="3223A10E">
      <w:pPr>
        <w:pStyle w:val="Header"/>
        <w:tabs>
          <w:tab w:val="clear" w:pos="4320"/>
          <w:tab w:val="clear" w:pos="8640"/>
        </w:tabs>
        <w:rPr>
          <w:rFonts w:asciiTheme="minorHAnsi" w:hAnsiTheme="minorHAnsi"/>
        </w:rPr>
      </w:pPr>
      <w:r w:rsidRPr="3223A10E">
        <w:rPr>
          <w:rFonts w:asciiTheme="minorHAnsi" w:hAnsiTheme="minorHAnsi"/>
          <w:b/>
          <w:bCs/>
        </w:rPr>
        <w:t>Frequency of Data Collection</w:t>
      </w:r>
    </w:p>
    <w:p w14:paraId="18F56F56" w14:textId="77777777" w:rsidR="00302F3F" w:rsidRPr="002725D7" w:rsidRDefault="00302F3F" w:rsidP="00302F3F">
      <w:pPr>
        <w:pStyle w:val="Header"/>
        <w:tabs>
          <w:tab w:val="clear" w:pos="4320"/>
          <w:tab w:val="clear" w:pos="8640"/>
        </w:tabs>
        <w:rPr>
          <w:rFonts w:asciiTheme="minorHAnsi" w:hAnsiTheme="minorHAnsi"/>
        </w:rPr>
      </w:pPr>
    </w:p>
    <w:p w14:paraId="1ABD06F1" w14:textId="4D51EC0E" w:rsidR="00302F3F" w:rsidRPr="002725D7" w:rsidRDefault="00302F3F" w:rsidP="3223A10E">
      <w:pPr>
        <w:pStyle w:val="Header"/>
        <w:tabs>
          <w:tab w:val="clear" w:pos="4320"/>
          <w:tab w:val="clear" w:pos="8640"/>
        </w:tabs>
        <w:spacing w:line="271" w:lineRule="auto"/>
        <w:rPr>
          <w:rFonts w:asciiTheme="minorHAnsi" w:hAnsiTheme="minorHAnsi"/>
        </w:rPr>
      </w:pPr>
      <w:r w:rsidRPr="3223A10E">
        <w:rPr>
          <w:rFonts w:asciiTheme="minorHAnsi" w:hAnsiTheme="minorHAnsi"/>
        </w:rPr>
        <w:t>SAMHSA is see</w:t>
      </w:r>
      <w:r w:rsidR="00932AD7" w:rsidRPr="3223A10E">
        <w:rPr>
          <w:rFonts w:asciiTheme="minorHAnsi" w:hAnsiTheme="minorHAnsi"/>
        </w:rPr>
        <w:t>king to conduct the proposed four</w:t>
      </w:r>
      <w:r w:rsidRPr="3223A10E">
        <w:rPr>
          <w:rFonts w:asciiTheme="minorHAnsi" w:hAnsiTheme="minorHAnsi"/>
        </w:rPr>
        <w:t xml:space="preserve"> focus groups only one time. Each focus group will be 90 minutes long and each respondent will be asked to provide feedback as part of the overall conversation</w:t>
      </w:r>
      <w:r w:rsidR="002725D7" w:rsidRPr="3223A10E">
        <w:rPr>
          <w:rFonts w:asciiTheme="minorHAnsi" w:hAnsiTheme="minorHAnsi"/>
        </w:rPr>
        <w:t xml:space="preserve"> </w:t>
      </w:r>
      <w:r w:rsidR="002725D7" w:rsidRPr="3223A10E">
        <w:rPr>
          <w:rFonts w:asciiTheme="minorHAnsi" w:hAnsiTheme="minorHAnsi" w:cstheme="minorBidi"/>
          <w:spacing w:val="-3"/>
        </w:rPr>
        <w:t>as well as to inform future efforts regarding targeting parents for the purposes of reducing and preventing underage drinking</w:t>
      </w:r>
      <w:r w:rsidRPr="3223A10E">
        <w:rPr>
          <w:rFonts w:asciiTheme="minorHAnsi" w:hAnsiTheme="minorHAnsi"/>
        </w:rPr>
        <w:t>. The moderator will ensure all participants have an equal amount of time to partic</w:t>
      </w:r>
      <w:r w:rsidR="00C24EE6" w:rsidRPr="3223A10E">
        <w:rPr>
          <w:rFonts w:asciiTheme="minorHAnsi" w:hAnsiTheme="minorHAnsi"/>
        </w:rPr>
        <w:t xml:space="preserve">ipate. </w:t>
      </w:r>
    </w:p>
    <w:p w14:paraId="60C01714" w14:textId="77777777" w:rsidR="00C24EE6" w:rsidRPr="002725D7" w:rsidRDefault="00C24EE6" w:rsidP="00552DC9">
      <w:pPr>
        <w:pStyle w:val="Header"/>
        <w:tabs>
          <w:tab w:val="clear" w:pos="4320"/>
          <w:tab w:val="clear" w:pos="8640"/>
        </w:tabs>
        <w:spacing w:line="271" w:lineRule="auto"/>
        <w:rPr>
          <w:rFonts w:asciiTheme="minorHAnsi" w:hAnsiTheme="minorHAnsi"/>
        </w:rPr>
      </w:pPr>
    </w:p>
    <w:p w14:paraId="444237B4" w14:textId="77777777" w:rsidR="00C24EE6" w:rsidRPr="002725D7" w:rsidRDefault="3223A10E" w:rsidP="3223A10E">
      <w:pPr>
        <w:pStyle w:val="Header"/>
        <w:tabs>
          <w:tab w:val="clear" w:pos="4320"/>
          <w:tab w:val="clear" w:pos="8640"/>
        </w:tabs>
        <w:rPr>
          <w:rFonts w:asciiTheme="minorHAnsi" w:hAnsiTheme="minorHAnsi"/>
        </w:rPr>
      </w:pPr>
      <w:r w:rsidRPr="3223A10E">
        <w:rPr>
          <w:rFonts w:asciiTheme="minorHAnsi" w:hAnsiTheme="minorHAnsi"/>
          <w:b/>
          <w:bCs/>
        </w:rPr>
        <w:t>Methods for Identifying Duplication</w:t>
      </w:r>
    </w:p>
    <w:p w14:paraId="3B5FBB46" w14:textId="77777777" w:rsidR="00C24EE6" w:rsidRPr="002725D7" w:rsidRDefault="00C24EE6" w:rsidP="00302F3F">
      <w:pPr>
        <w:pStyle w:val="Header"/>
        <w:tabs>
          <w:tab w:val="clear" w:pos="4320"/>
          <w:tab w:val="clear" w:pos="8640"/>
        </w:tabs>
        <w:rPr>
          <w:rFonts w:asciiTheme="minorHAnsi" w:hAnsiTheme="minorHAnsi"/>
        </w:rPr>
      </w:pPr>
    </w:p>
    <w:p w14:paraId="3E6A56E4" w14:textId="77777777" w:rsidR="002725D7" w:rsidRPr="002725D7" w:rsidRDefault="3223A10E" w:rsidP="3223A10E">
      <w:pPr>
        <w:spacing w:line="271" w:lineRule="auto"/>
        <w:rPr>
          <w:rFonts w:asciiTheme="minorHAnsi" w:hAnsiTheme="minorHAnsi" w:cstheme="minorBidi"/>
        </w:rPr>
      </w:pPr>
      <w:r w:rsidRPr="3223A10E">
        <w:rPr>
          <w:rFonts w:asciiTheme="minorHAnsi" w:hAnsiTheme="minorHAnsi" w:cstheme="minorBidi"/>
        </w:rPr>
        <w:t>The information needed is specific to the Campaign’s messages and materials and is not collected anywhere else.</w:t>
      </w:r>
    </w:p>
    <w:p w14:paraId="38BD61DC" w14:textId="77777777" w:rsidR="00C86E91" w:rsidRPr="002725D7" w:rsidRDefault="00C86E91">
      <w:pPr>
        <w:rPr>
          <w:rFonts w:asciiTheme="minorHAnsi" w:hAnsiTheme="minorHAnsi"/>
          <w:b/>
        </w:rPr>
      </w:pPr>
    </w:p>
    <w:p w14:paraId="54601774" w14:textId="77777777" w:rsidR="005E714A" w:rsidRPr="002725D7" w:rsidRDefault="3223A10E" w:rsidP="3223A10E">
      <w:pPr>
        <w:rPr>
          <w:rFonts w:asciiTheme="minorHAnsi" w:hAnsiTheme="minorHAnsi"/>
          <w:b/>
          <w:bCs/>
        </w:rPr>
      </w:pPr>
      <w:r w:rsidRPr="3223A10E">
        <w:rPr>
          <w:rFonts w:asciiTheme="minorHAnsi" w:hAnsiTheme="minorHAnsi"/>
          <w:b/>
          <w:bCs/>
        </w:rPr>
        <w:t>D. Annualized Response Burden Estimate</w:t>
      </w:r>
    </w:p>
    <w:p w14:paraId="05709184" w14:textId="77777777" w:rsidR="003A303E" w:rsidRPr="002725D7" w:rsidRDefault="003A303E" w:rsidP="00F3170F">
      <w:pPr>
        <w:keepNext/>
        <w:keepLines/>
        <w:rPr>
          <w:rFonts w:asciiTheme="minorHAnsi" w:hAnsi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1477"/>
        <w:gridCol w:w="1063"/>
        <w:gridCol w:w="1063"/>
        <w:gridCol w:w="950"/>
        <w:gridCol w:w="950"/>
        <w:gridCol w:w="948"/>
        <w:gridCol w:w="948"/>
      </w:tblGrid>
      <w:tr w:rsidR="003A303E" w:rsidRPr="002725D7" w14:paraId="5B851756" w14:textId="77777777" w:rsidTr="3223A10E">
        <w:trPr>
          <w:trHeight w:val="274"/>
        </w:trPr>
        <w:tc>
          <w:tcPr>
            <w:tcW w:w="1137" w:type="pct"/>
            <w:shd w:val="clear" w:color="auto" w:fill="F2F2F2" w:themeFill="background1" w:themeFillShade="F2"/>
          </w:tcPr>
          <w:p w14:paraId="4A8B164C" w14:textId="3BDAF835" w:rsidR="003A303E" w:rsidRPr="002725D7" w:rsidRDefault="3223A10E" w:rsidP="3223A10E">
            <w:pPr>
              <w:rPr>
                <w:rFonts w:asciiTheme="minorHAnsi" w:hAnsiTheme="minorHAnsi"/>
                <w:b/>
                <w:bCs/>
              </w:rPr>
            </w:pPr>
            <w:r w:rsidRPr="3223A10E">
              <w:rPr>
                <w:rFonts w:asciiTheme="minorHAnsi" w:hAnsiTheme="minorHAnsi"/>
                <w:b/>
                <w:bCs/>
              </w:rPr>
              <w:t>Participant</w:t>
            </w:r>
          </w:p>
        </w:tc>
        <w:tc>
          <w:tcPr>
            <w:tcW w:w="771" w:type="pct"/>
            <w:shd w:val="clear" w:color="auto" w:fill="F2F2F2" w:themeFill="background1" w:themeFillShade="F2"/>
          </w:tcPr>
          <w:p w14:paraId="54E334EE" w14:textId="77777777" w:rsidR="003A303E" w:rsidRPr="002725D7" w:rsidRDefault="3223A10E" w:rsidP="3223A10E">
            <w:pPr>
              <w:rPr>
                <w:rFonts w:asciiTheme="minorHAnsi" w:hAnsiTheme="minorHAnsi"/>
                <w:b/>
                <w:bCs/>
              </w:rPr>
            </w:pPr>
            <w:r w:rsidRPr="3223A10E">
              <w:rPr>
                <w:rFonts w:asciiTheme="minorHAnsi" w:hAnsiTheme="minorHAnsi"/>
                <w:b/>
                <w:bCs/>
              </w:rPr>
              <w:t>No. of Respondents</w:t>
            </w:r>
          </w:p>
        </w:tc>
        <w:tc>
          <w:tcPr>
            <w:tcW w:w="555" w:type="pct"/>
            <w:shd w:val="clear" w:color="auto" w:fill="F2F2F2" w:themeFill="background1" w:themeFillShade="F2"/>
          </w:tcPr>
          <w:p w14:paraId="2B7267B4" w14:textId="77777777" w:rsidR="003A303E" w:rsidRPr="002725D7" w:rsidRDefault="3223A10E" w:rsidP="3223A10E">
            <w:pPr>
              <w:rPr>
                <w:rFonts w:asciiTheme="minorHAnsi" w:hAnsiTheme="minorHAnsi"/>
                <w:b/>
                <w:bCs/>
              </w:rPr>
            </w:pPr>
            <w:r w:rsidRPr="3223A10E">
              <w:rPr>
                <w:rFonts w:asciiTheme="minorHAnsi" w:hAnsiTheme="minorHAnsi"/>
                <w:b/>
                <w:bCs/>
              </w:rPr>
              <w:t>Responses per respondent</w:t>
            </w:r>
          </w:p>
        </w:tc>
        <w:tc>
          <w:tcPr>
            <w:tcW w:w="555" w:type="pct"/>
            <w:shd w:val="clear" w:color="auto" w:fill="F2F2F2" w:themeFill="background1" w:themeFillShade="F2"/>
          </w:tcPr>
          <w:p w14:paraId="5F0124AD" w14:textId="77777777" w:rsidR="003A303E" w:rsidRPr="002725D7" w:rsidRDefault="3223A10E" w:rsidP="3223A10E">
            <w:pPr>
              <w:rPr>
                <w:rFonts w:asciiTheme="minorHAnsi" w:hAnsiTheme="minorHAnsi"/>
                <w:b/>
                <w:bCs/>
              </w:rPr>
            </w:pPr>
            <w:r w:rsidRPr="3223A10E">
              <w:rPr>
                <w:rFonts w:asciiTheme="minorHAnsi" w:hAnsiTheme="minorHAnsi"/>
                <w:b/>
                <w:bCs/>
              </w:rPr>
              <w:t xml:space="preserve">Total Number of Responses </w:t>
            </w:r>
          </w:p>
          <w:p w14:paraId="49E8FB35" w14:textId="77777777" w:rsidR="003A303E" w:rsidRPr="002725D7" w:rsidRDefault="003A303E" w:rsidP="00BE7AC3">
            <w:pPr>
              <w:rPr>
                <w:rFonts w:asciiTheme="minorHAnsi" w:hAnsiTheme="minorHAnsi"/>
                <w:b/>
              </w:rPr>
            </w:pPr>
          </w:p>
        </w:tc>
        <w:tc>
          <w:tcPr>
            <w:tcW w:w="496" w:type="pct"/>
            <w:shd w:val="clear" w:color="auto" w:fill="F2F2F2" w:themeFill="background1" w:themeFillShade="F2"/>
          </w:tcPr>
          <w:p w14:paraId="09F9EB7C" w14:textId="77777777" w:rsidR="003A303E" w:rsidRPr="002725D7" w:rsidRDefault="3223A10E" w:rsidP="3223A10E">
            <w:pPr>
              <w:rPr>
                <w:rFonts w:asciiTheme="minorHAnsi" w:hAnsiTheme="minorHAnsi"/>
                <w:b/>
                <w:bCs/>
              </w:rPr>
            </w:pPr>
            <w:r w:rsidRPr="3223A10E">
              <w:rPr>
                <w:rFonts w:asciiTheme="minorHAnsi" w:hAnsiTheme="minorHAnsi"/>
                <w:b/>
                <w:bCs/>
              </w:rPr>
              <w:t>Hours per Response</w:t>
            </w:r>
          </w:p>
        </w:tc>
        <w:tc>
          <w:tcPr>
            <w:tcW w:w="496" w:type="pct"/>
            <w:shd w:val="clear" w:color="auto" w:fill="F2F2F2" w:themeFill="background1" w:themeFillShade="F2"/>
          </w:tcPr>
          <w:p w14:paraId="53CBB59C" w14:textId="77777777" w:rsidR="003A303E" w:rsidRPr="002725D7" w:rsidRDefault="3223A10E" w:rsidP="3223A10E">
            <w:pPr>
              <w:rPr>
                <w:rFonts w:asciiTheme="minorHAnsi" w:hAnsiTheme="minorHAnsi"/>
                <w:b/>
                <w:bCs/>
              </w:rPr>
            </w:pPr>
            <w:r w:rsidRPr="3223A10E">
              <w:rPr>
                <w:rFonts w:asciiTheme="minorHAnsi" w:hAnsiTheme="minorHAnsi"/>
                <w:b/>
                <w:bCs/>
              </w:rPr>
              <w:t>Total hour burden</w:t>
            </w:r>
          </w:p>
        </w:tc>
        <w:tc>
          <w:tcPr>
            <w:tcW w:w="495" w:type="pct"/>
            <w:shd w:val="clear" w:color="auto" w:fill="F2F2F2" w:themeFill="background1" w:themeFillShade="F2"/>
          </w:tcPr>
          <w:p w14:paraId="4902F90A" w14:textId="77777777" w:rsidR="003A303E" w:rsidRPr="002725D7" w:rsidRDefault="3223A10E" w:rsidP="3223A10E">
            <w:pPr>
              <w:rPr>
                <w:rFonts w:asciiTheme="minorHAnsi" w:hAnsiTheme="minorHAnsi"/>
                <w:b/>
                <w:bCs/>
              </w:rPr>
            </w:pPr>
            <w:r w:rsidRPr="3223A10E">
              <w:rPr>
                <w:rFonts w:asciiTheme="minorHAnsi" w:hAnsiTheme="minorHAnsi"/>
                <w:b/>
                <w:bCs/>
              </w:rPr>
              <w:t>Wage per hour</w:t>
            </w:r>
          </w:p>
        </w:tc>
        <w:tc>
          <w:tcPr>
            <w:tcW w:w="495" w:type="pct"/>
            <w:shd w:val="clear" w:color="auto" w:fill="F2F2F2" w:themeFill="background1" w:themeFillShade="F2"/>
          </w:tcPr>
          <w:p w14:paraId="1218C688" w14:textId="77777777" w:rsidR="003A303E" w:rsidRPr="002725D7" w:rsidRDefault="3223A10E" w:rsidP="3223A10E">
            <w:pPr>
              <w:rPr>
                <w:rFonts w:asciiTheme="minorHAnsi" w:hAnsiTheme="minorHAnsi"/>
                <w:b/>
                <w:bCs/>
              </w:rPr>
            </w:pPr>
            <w:r w:rsidRPr="3223A10E">
              <w:rPr>
                <w:rFonts w:asciiTheme="minorHAnsi" w:hAnsiTheme="minorHAnsi"/>
                <w:b/>
                <w:bCs/>
              </w:rPr>
              <w:t>Total hour cost</w:t>
            </w:r>
          </w:p>
        </w:tc>
      </w:tr>
      <w:tr w:rsidR="003A303E" w:rsidRPr="002725D7" w14:paraId="33AE4B05" w14:textId="77777777" w:rsidTr="3223A10E">
        <w:trPr>
          <w:trHeight w:val="274"/>
        </w:trPr>
        <w:tc>
          <w:tcPr>
            <w:tcW w:w="1137" w:type="pct"/>
          </w:tcPr>
          <w:p w14:paraId="1BDD2678" w14:textId="77777777" w:rsidR="003A303E" w:rsidRPr="002725D7" w:rsidRDefault="3223A10E" w:rsidP="3223A10E">
            <w:pPr>
              <w:rPr>
                <w:rFonts w:asciiTheme="minorHAnsi" w:hAnsiTheme="minorHAnsi"/>
              </w:rPr>
            </w:pPr>
            <w:r w:rsidRPr="3223A10E">
              <w:rPr>
                <w:rFonts w:asciiTheme="minorHAnsi" w:hAnsiTheme="minorHAnsi"/>
              </w:rPr>
              <w:t>Individuals (Screening call to participate)</w:t>
            </w:r>
          </w:p>
        </w:tc>
        <w:tc>
          <w:tcPr>
            <w:tcW w:w="771" w:type="pct"/>
          </w:tcPr>
          <w:p w14:paraId="0E199679" w14:textId="77777777" w:rsidR="003A303E" w:rsidRPr="002725D7" w:rsidRDefault="3223A10E" w:rsidP="3223A10E">
            <w:pPr>
              <w:rPr>
                <w:rFonts w:asciiTheme="minorHAnsi" w:hAnsiTheme="minorHAnsi"/>
              </w:rPr>
            </w:pPr>
            <w:r w:rsidRPr="3223A10E">
              <w:rPr>
                <w:rFonts w:asciiTheme="minorHAnsi" w:hAnsiTheme="minorHAnsi"/>
              </w:rPr>
              <w:t>48</w:t>
            </w:r>
          </w:p>
        </w:tc>
        <w:tc>
          <w:tcPr>
            <w:tcW w:w="555" w:type="pct"/>
          </w:tcPr>
          <w:p w14:paraId="06AE6160" w14:textId="77777777" w:rsidR="003A303E" w:rsidRPr="002725D7" w:rsidRDefault="3223A10E" w:rsidP="3223A10E">
            <w:pPr>
              <w:rPr>
                <w:rFonts w:asciiTheme="minorHAnsi" w:hAnsiTheme="minorHAnsi"/>
              </w:rPr>
            </w:pPr>
            <w:r w:rsidRPr="3223A10E">
              <w:rPr>
                <w:rFonts w:asciiTheme="minorHAnsi" w:hAnsiTheme="minorHAnsi"/>
              </w:rPr>
              <w:t xml:space="preserve">1 </w:t>
            </w:r>
          </w:p>
        </w:tc>
        <w:tc>
          <w:tcPr>
            <w:tcW w:w="555" w:type="pct"/>
          </w:tcPr>
          <w:p w14:paraId="6ADA42F0" w14:textId="77777777" w:rsidR="003A303E" w:rsidRPr="002725D7" w:rsidRDefault="3223A10E" w:rsidP="3223A10E">
            <w:pPr>
              <w:rPr>
                <w:rFonts w:asciiTheme="minorHAnsi" w:hAnsiTheme="minorHAnsi"/>
              </w:rPr>
            </w:pPr>
            <w:r w:rsidRPr="3223A10E">
              <w:rPr>
                <w:rFonts w:asciiTheme="minorHAnsi" w:hAnsiTheme="minorHAnsi"/>
              </w:rPr>
              <w:t>48</w:t>
            </w:r>
          </w:p>
        </w:tc>
        <w:tc>
          <w:tcPr>
            <w:tcW w:w="496" w:type="pct"/>
          </w:tcPr>
          <w:p w14:paraId="5246F1B0" w14:textId="77777777" w:rsidR="003A303E" w:rsidRPr="002725D7" w:rsidRDefault="3223A10E" w:rsidP="3223A10E">
            <w:pPr>
              <w:rPr>
                <w:rFonts w:asciiTheme="minorHAnsi" w:hAnsiTheme="minorHAnsi"/>
              </w:rPr>
            </w:pPr>
            <w:r w:rsidRPr="3223A10E">
              <w:rPr>
                <w:rFonts w:asciiTheme="minorHAnsi" w:hAnsiTheme="minorHAnsi"/>
              </w:rPr>
              <w:t xml:space="preserve">.08 </w:t>
            </w:r>
          </w:p>
        </w:tc>
        <w:tc>
          <w:tcPr>
            <w:tcW w:w="496" w:type="pct"/>
          </w:tcPr>
          <w:p w14:paraId="06B2DA90" w14:textId="05951F35" w:rsidR="003A303E" w:rsidRPr="002725D7" w:rsidRDefault="3223A10E" w:rsidP="3223A10E">
            <w:pPr>
              <w:rPr>
                <w:rFonts w:asciiTheme="minorHAnsi" w:hAnsiTheme="minorHAnsi"/>
              </w:rPr>
            </w:pPr>
            <w:r w:rsidRPr="3223A10E">
              <w:rPr>
                <w:rFonts w:asciiTheme="minorHAnsi" w:hAnsiTheme="minorHAnsi"/>
              </w:rPr>
              <w:t xml:space="preserve"> 3.84</w:t>
            </w:r>
          </w:p>
        </w:tc>
        <w:tc>
          <w:tcPr>
            <w:tcW w:w="495" w:type="pct"/>
          </w:tcPr>
          <w:p w14:paraId="16776FD3" w14:textId="77777777" w:rsidR="003A303E" w:rsidRPr="002725D7" w:rsidRDefault="3223A10E" w:rsidP="3223A10E">
            <w:pPr>
              <w:rPr>
                <w:rFonts w:asciiTheme="minorHAnsi" w:hAnsiTheme="minorHAnsi"/>
              </w:rPr>
            </w:pPr>
            <w:r w:rsidRPr="3223A10E">
              <w:rPr>
                <w:rFonts w:asciiTheme="minorHAnsi" w:hAnsiTheme="minorHAnsi"/>
              </w:rPr>
              <w:t>0</w:t>
            </w:r>
          </w:p>
        </w:tc>
        <w:tc>
          <w:tcPr>
            <w:tcW w:w="495" w:type="pct"/>
          </w:tcPr>
          <w:p w14:paraId="7F09BD40" w14:textId="77777777" w:rsidR="003A303E" w:rsidRPr="002725D7" w:rsidRDefault="3223A10E" w:rsidP="3223A10E">
            <w:pPr>
              <w:rPr>
                <w:rFonts w:asciiTheme="minorHAnsi" w:hAnsiTheme="minorHAnsi"/>
                <w:highlight w:val="yellow"/>
              </w:rPr>
            </w:pPr>
            <w:r w:rsidRPr="3223A10E">
              <w:rPr>
                <w:rFonts w:asciiTheme="minorHAnsi" w:hAnsiTheme="minorHAnsi"/>
              </w:rPr>
              <w:t>0</w:t>
            </w:r>
          </w:p>
        </w:tc>
      </w:tr>
      <w:tr w:rsidR="003A303E" w:rsidRPr="002725D7" w14:paraId="1084635A" w14:textId="77777777" w:rsidTr="3223A10E">
        <w:trPr>
          <w:trHeight w:val="274"/>
        </w:trPr>
        <w:tc>
          <w:tcPr>
            <w:tcW w:w="1137" w:type="pct"/>
          </w:tcPr>
          <w:p w14:paraId="4080C194" w14:textId="77777777" w:rsidR="003A303E" w:rsidRPr="002725D7" w:rsidRDefault="3223A10E" w:rsidP="3223A10E">
            <w:pPr>
              <w:rPr>
                <w:rFonts w:asciiTheme="minorHAnsi" w:hAnsiTheme="minorHAnsi"/>
              </w:rPr>
            </w:pPr>
            <w:r w:rsidRPr="3223A10E">
              <w:rPr>
                <w:rFonts w:asciiTheme="minorHAnsi" w:hAnsiTheme="minorHAnsi"/>
              </w:rPr>
              <w:t>Individuals (Focus Group participation)</w:t>
            </w:r>
          </w:p>
        </w:tc>
        <w:tc>
          <w:tcPr>
            <w:tcW w:w="771" w:type="pct"/>
          </w:tcPr>
          <w:p w14:paraId="268F1E8A" w14:textId="77777777" w:rsidR="003A303E" w:rsidRPr="002725D7" w:rsidRDefault="3223A10E" w:rsidP="3223A10E">
            <w:pPr>
              <w:rPr>
                <w:rFonts w:asciiTheme="minorHAnsi" w:hAnsiTheme="minorHAnsi"/>
              </w:rPr>
            </w:pPr>
            <w:r w:rsidRPr="3223A10E">
              <w:rPr>
                <w:rFonts w:asciiTheme="minorHAnsi" w:hAnsiTheme="minorHAnsi"/>
              </w:rPr>
              <w:t>40</w:t>
            </w:r>
          </w:p>
        </w:tc>
        <w:tc>
          <w:tcPr>
            <w:tcW w:w="555" w:type="pct"/>
          </w:tcPr>
          <w:p w14:paraId="5B934A74" w14:textId="77777777" w:rsidR="003A303E" w:rsidRPr="002725D7" w:rsidRDefault="3223A10E" w:rsidP="3223A10E">
            <w:pPr>
              <w:rPr>
                <w:rFonts w:asciiTheme="minorHAnsi" w:hAnsiTheme="minorHAnsi"/>
              </w:rPr>
            </w:pPr>
            <w:r w:rsidRPr="3223A10E">
              <w:rPr>
                <w:rFonts w:asciiTheme="minorHAnsi" w:hAnsiTheme="minorHAnsi"/>
              </w:rPr>
              <w:t xml:space="preserve">1 </w:t>
            </w:r>
          </w:p>
        </w:tc>
        <w:tc>
          <w:tcPr>
            <w:tcW w:w="555" w:type="pct"/>
          </w:tcPr>
          <w:p w14:paraId="3C9C386E" w14:textId="77777777" w:rsidR="003A303E" w:rsidRPr="002725D7" w:rsidRDefault="3223A10E" w:rsidP="3223A10E">
            <w:pPr>
              <w:rPr>
                <w:rFonts w:asciiTheme="minorHAnsi" w:hAnsiTheme="minorHAnsi"/>
              </w:rPr>
            </w:pPr>
            <w:r w:rsidRPr="3223A10E">
              <w:rPr>
                <w:rFonts w:asciiTheme="minorHAnsi" w:hAnsiTheme="minorHAnsi"/>
              </w:rPr>
              <w:t>40</w:t>
            </w:r>
          </w:p>
        </w:tc>
        <w:tc>
          <w:tcPr>
            <w:tcW w:w="496" w:type="pct"/>
          </w:tcPr>
          <w:p w14:paraId="502DAA34" w14:textId="77777777" w:rsidR="003A303E" w:rsidRPr="002725D7" w:rsidRDefault="3223A10E" w:rsidP="3223A10E">
            <w:pPr>
              <w:rPr>
                <w:rFonts w:asciiTheme="minorHAnsi" w:hAnsiTheme="minorHAnsi"/>
              </w:rPr>
            </w:pPr>
            <w:r w:rsidRPr="3223A10E">
              <w:rPr>
                <w:rFonts w:asciiTheme="minorHAnsi" w:hAnsiTheme="minorHAnsi"/>
              </w:rPr>
              <w:t xml:space="preserve">1.5 </w:t>
            </w:r>
          </w:p>
        </w:tc>
        <w:tc>
          <w:tcPr>
            <w:tcW w:w="496" w:type="pct"/>
          </w:tcPr>
          <w:p w14:paraId="02E7695B" w14:textId="77777777" w:rsidR="003A303E" w:rsidRPr="002725D7" w:rsidRDefault="3223A10E" w:rsidP="3223A10E">
            <w:pPr>
              <w:rPr>
                <w:rFonts w:asciiTheme="minorHAnsi" w:hAnsiTheme="minorHAnsi"/>
              </w:rPr>
            </w:pPr>
            <w:r w:rsidRPr="3223A10E">
              <w:rPr>
                <w:rFonts w:asciiTheme="minorHAnsi" w:hAnsiTheme="minorHAnsi"/>
              </w:rPr>
              <w:t>60</w:t>
            </w:r>
          </w:p>
        </w:tc>
        <w:tc>
          <w:tcPr>
            <w:tcW w:w="495" w:type="pct"/>
          </w:tcPr>
          <w:p w14:paraId="02C18115" w14:textId="77777777" w:rsidR="003A303E" w:rsidRPr="002725D7" w:rsidRDefault="3223A10E" w:rsidP="3223A10E">
            <w:pPr>
              <w:rPr>
                <w:rFonts w:asciiTheme="minorHAnsi" w:hAnsiTheme="minorHAnsi"/>
              </w:rPr>
            </w:pPr>
            <w:r w:rsidRPr="3223A10E">
              <w:rPr>
                <w:rFonts w:asciiTheme="minorHAnsi" w:hAnsiTheme="minorHAnsi"/>
              </w:rPr>
              <w:t>$35.00</w:t>
            </w:r>
          </w:p>
        </w:tc>
        <w:tc>
          <w:tcPr>
            <w:tcW w:w="495" w:type="pct"/>
          </w:tcPr>
          <w:p w14:paraId="5481BEDF" w14:textId="77777777" w:rsidR="003A303E" w:rsidRPr="002725D7" w:rsidRDefault="3223A10E" w:rsidP="3223A10E">
            <w:pPr>
              <w:rPr>
                <w:rFonts w:asciiTheme="minorHAnsi" w:hAnsiTheme="minorHAnsi"/>
              </w:rPr>
            </w:pPr>
            <w:r w:rsidRPr="3223A10E">
              <w:rPr>
                <w:rFonts w:asciiTheme="minorHAnsi" w:hAnsiTheme="minorHAnsi"/>
              </w:rPr>
              <w:t>$2100.00</w:t>
            </w:r>
          </w:p>
        </w:tc>
      </w:tr>
      <w:tr w:rsidR="003A303E" w:rsidRPr="002725D7" w14:paraId="0EFC3896" w14:textId="77777777" w:rsidTr="3223A10E">
        <w:trPr>
          <w:trHeight w:val="289"/>
        </w:trPr>
        <w:tc>
          <w:tcPr>
            <w:tcW w:w="1137" w:type="pct"/>
          </w:tcPr>
          <w:p w14:paraId="41E42692" w14:textId="77777777" w:rsidR="003A303E" w:rsidRPr="002725D7" w:rsidRDefault="3223A10E" w:rsidP="3223A10E">
            <w:pPr>
              <w:rPr>
                <w:rFonts w:asciiTheme="minorHAnsi" w:hAnsiTheme="minorHAnsi"/>
                <w:b/>
                <w:bCs/>
              </w:rPr>
            </w:pPr>
            <w:r w:rsidRPr="3223A10E">
              <w:rPr>
                <w:rFonts w:asciiTheme="minorHAnsi" w:hAnsiTheme="minorHAnsi"/>
                <w:b/>
                <w:bCs/>
              </w:rPr>
              <w:t>Totals</w:t>
            </w:r>
          </w:p>
        </w:tc>
        <w:tc>
          <w:tcPr>
            <w:tcW w:w="771" w:type="pct"/>
          </w:tcPr>
          <w:p w14:paraId="68A895B0" w14:textId="7009D176" w:rsidR="003A303E" w:rsidRPr="002725D7" w:rsidRDefault="3223A10E" w:rsidP="3223A10E">
            <w:pPr>
              <w:rPr>
                <w:rFonts w:asciiTheme="minorHAnsi" w:hAnsiTheme="minorHAnsi"/>
                <w:b/>
                <w:bCs/>
              </w:rPr>
            </w:pPr>
            <w:r w:rsidRPr="3223A10E">
              <w:rPr>
                <w:rFonts w:asciiTheme="minorHAnsi" w:hAnsiTheme="minorHAnsi"/>
                <w:b/>
                <w:bCs/>
              </w:rPr>
              <w:t xml:space="preserve">48 </w:t>
            </w:r>
          </w:p>
        </w:tc>
        <w:tc>
          <w:tcPr>
            <w:tcW w:w="555" w:type="pct"/>
          </w:tcPr>
          <w:p w14:paraId="26837B4C" w14:textId="77777777" w:rsidR="003A303E" w:rsidRPr="002725D7" w:rsidRDefault="003A303E" w:rsidP="00BE7AC3">
            <w:pPr>
              <w:rPr>
                <w:rFonts w:asciiTheme="minorHAnsi" w:hAnsiTheme="minorHAnsi"/>
              </w:rPr>
            </w:pPr>
          </w:p>
        </w:tc>
        <w:tc>
          <w:tcPr>
            <w:tcW w:w="555" w:type="pct"/>
          </w:tcPr>
          <w:p w14:paraId="1D1DDDD7" w14:textId="77777777" w:rsidR="003A303E" w:rsidRPr="002725D7" w:rsidRDefault="3223A10E" w:rsidP="3223A10E">
            <w:pPr>
              <w:rPr>
                <w:rFonts w:asciiTheme="minorHAnsi" w:hAnsiTheme="minorHAnsi"/>
              </w:rPr>
            </w:pPr>
            <w:r w:rsidRPr="3223A10E">
              <w:rPr>
                <w:rFonts w:asciiTheme="minorHAnsi" w:hAnsiTheme="minorHAnsi"/>
              </w:rPr>
              <w:t>88</w:t>
            </w:r>
          </w:p>
        </w:tc>
        <w:tc>
          <w:tcPr>
            <w:tcW w:w="496" w:type="pct"/>
          </w:tcPr>
          <w:p w14:paraId="1DD442AC" w14:textId="77777777" w:rsidR="003A303E" w:rsidRPr="002725D7" w:rsidRDefault="003A303E" w:rsidP="00BE7AC3">
            <w:pPr>
              <w:rPr>
                <w:rFonts w:asciiTheme="minorHAnsi" w:hAnsiTheme="minorHAnsi"/>
                <w:b/>
              </w:rPr>
            </w:pPr>
          </w:p>
        </w:tc>
        <w:tc>
          <w:tcPr>
            <w:tcW w:w="496" w:type="pct"/>
          </w:tcPr>
          <w:p w14:paraId="730E717C" w14:textId="496E366E" w:rsidR="003A303E" w:rsidRPr="002725D7" w:rsidRDefault="3223A10E" w:rsidP="3223A10E">
            <w:pPr>
              <w:rPr>
                <w:rFonts w:asciiTheme="minorHAnsi" w:hAnsiTheme="minorHAnsi"/>
                <w:b/>
                <w:bCs/>
              </w:rPr>
            </w:pPr>
            <w:r w:rsidRPr="3223A10E">
              <w:rPr>
                <w:rFonts w:asciiTheme="minorHAnsi" w:hAnsiTheme="minorHAnsi"/>
                <w:b/>
                <w:bCs/>
              </w:rPr>
              <w:t>63.84</w:t>
            </w:r>
          </w:p>
        </w:tc>
        <w:tc>
          <w:tcPr>
            <w:tcW w:w="495" w:type="pct"/>
          </w:tcPr>
          <w:p w14:paraId="0C249A4F" w14:textId="77777777" w:rsidR="003A303E" w:rsidRPr="002725D7" w:rsidRDefault="003A303E" w:rsidP="00BE7AC3">
            <w:pPr>
              <w:rPr>
                <w:rFonts w:asciiTheme="minorHAnsi" w:hAnsiTheme="minorHAnsi"/>
                <w:b/>
              </w:rPr>
            </w:pPr>
          </w:p>
        </w:tc>
        <w:tc>
          <w:tcPr>
            <w:tcW w:w="495" w:type="pct"/>
          </w:tcPr>
          <w:p w14:paraId="734090B4" w14:textId="77777777" w:rsidR="003A303E" w:rsidRPr="002725D7" w:rsidRDefault="3223A10E" w:rsidP="3223A10E">
            <w:pPr>
              <w:rPr>
                <w:rFonts w:asciiTheme="minorHAnsi" w:hAnsiTheme="minorHAnsi"/>
                <w:b/>
                <w:bCs/>
              </w:rPr>
            </w:pPr>
            <w:r w:rsidRPr="3223A10E">
              <w:rPr>
                <w:rFonts w:asciiTheme="minorHAnsi" w:hAnsiTheme="minorHAnsi"/>
                <w:b/>
                <w:bCs/>
              </w:rPr>
              <w:t>$2100.00</w:t>
            </w:r>
          </w:p>
        </w:tc>
      </w:tr>
    </w:tbl>
    <w:p w14:paraId="7D139B3F" w14:textId="77777777" w:rsidR="003A303E" w:rsidRDefault="003A303E" w:rsidP="00F3170F">
      <w:pPr>
        <w:keepNext/>
        <w:keepLines/>
        <w:rPr>
          <w:rFonts w:asciiTheme="minorHAnsi" w:hAnsiTheme="minorHAnsi"/>
          <w:b/>
        </w:rPr>
      </w:pPr>
    </w:p>
    <w:p w14:paraId="7437A809" w14:textId="20CA0D30" w:rsidR="00C24EE6" w:rsidRPr="002725D7" w:rsidRDefault="3223A10E" w:rsidP="3223A10E">
      <w:pPr>
        <w:spacing w:line="271" w:lineRule="auto"/>
        <w:rPr>
          <w:rFonts w:asciiTheme="minorHAnsi" w:hAnsiTheme="minorHAnsi"/>
        </w:rPr>
      </w:pPr>
      <w:r w:rsidRPr="3223A10E">
        <w:rPr>
          <w:rFonts w:asciiTheme="minorHAnsi" w:hAnsiTheme="minorHAnsi"/>
        </w:rPr>
        <w:t xml:space="preserve">The estimated annualized cost to respondents for the proposed data collection activities is $2,100.00. For the purposes of estimating annual cost, it is assumed that the participants will participate once. The average burden was estimated based on independent review of the focus groups by the contractor and Federal staff. </w:t>
      </w:r>
    </w:p>
    <w:p w14:paraId="16364DB2" w14:textId="77777777" w:rsidR="00C24EE6" w:rsidRPr="002725D7" w:rsidRDefault="00C24EE6">
      <w:pPr>
        <w:rPr>
          <w:rFonts w:asciiTheme="minorHAnsi" w:hAnsiTheme="minorHAnsi"/>
          <w:b/>
        </w:rPr>
      </w:pPr>
    </w:p>
    <w:p w14:paraId="3C4F52D9" w14:textId="77777777" w:rsidR="00C24EE6" w:rsidRPr="002725D7" w:rsidRDefault="3223A10E" w:rsidP="3223A10E">
      <w:pPr>
        <w:rPr>
          <w:rFonts w:asciiTheme="minorHAnsi" w:hAnsiTheme="minorHAnsi"/>
        </w:rPr>
      </w:pPr>
      <w:r w:rsidRPr="3223A10E">
        <w:rPr>
          <w:rFonts w:asciiTheme="minorHAnsi" w:hAnsiTheme="minorHAnsi"/>
          <w:b/>
          <w:bCs/>
        </w:rPr>
        <w:t>Estimates of Annualized Cost to the Government</w:t>
      </w:r>
    </w:p>
    <w:p w14:paraId="4A2A169D" w14:textId="77777777" w:rsidR="00C24EE6" w:rsidRPr="002725D7" w:rsidRDefault="00C24EE6">
      <w:pPr>
        <w:rPr>
          <w:rFonts w:asciiTheme="minorHAnsi" w:hAnsiTheme="minorHAnsi"/>
        </w:rPr>
      </w:pPr>
    </w:p>
    <w:p w14:paraId="2A28F687" w14:textId="3198F7BF" w:rsidR="00036EBA" w:rsidRPr="002725D7" w:rsidRDefault="3223A10E" w:rsidP="3223A10E">
      <w:pPr>
        <w:pStyle w:val="Body"/>
        <w:spacing w:before="0" w:line="271" w:lineRule="auto"/>
        <w:rPr>
          <w:rFonts w:asciiTheme="minorHAnsi" w:hAnsiTheme="minorHAnsi"/>
          <w:b/>
          <w:bCs/>
        </w:rPr>
      </w:pPr>
      <w:r w:rsidRPr="3223A10E">
        <w:rPr>
          <w:rFonts w:asciiTheme="minorHAnsi" w:hAnsiTheme="minorHAnsi"/>
        </w:rPr>
        <w:t xml:space="preserve">The estimated annualized cost to the government for the proposed data collection activities is $25,376 and includes the cost to the contract as well as the GPO cost. </w:t>
      </w:r>
    </w:p>
    <w:tbl>
      <w:tblPr>
        <w:tblpPr w:leftFromText="180" w:rightFromText="180" w:vertAnchor="text" w:horzAnchor="margin" w:tblpY="180"/>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1329"/>
        <w:gridCol w:w="1530"/>
        <w:gridCol w:w="1890"/>
        <w:gridCol w:w="1980"/>
      </w:tblGrid>
      <w:tr w:rsidR="00036EBA" w:rsidRPr="002725D7" w14:paraId="3AB9CBDE" w14:textId="77777777" w:rsidTr="3223A10E">
        <w:trPr>
          <w:trHeight w:val="513"/>
          <w:tblHeader/>
        </w:trPr>
        <w:tc>
          <w:tcPr>
            <w:tcW w:w="2621" w:type="dxa"/>
            <w:shd w:val="clear" w:color="auto" w:fill="F2F2F2" w:themeFill="background1" w:themeFillShade="F2"/>
          </w:tcPr>
          <w:p w14:paraId="00866DCB" w14:textId="77777777" w:rsidR="00036EBA" w:rsidRPr="002725D7" w:rsidRDefault="3223A10E" w:rsidP="3223A10E">
            <w:pPr>
              <w:jc w:val="both"/>
              <w:rPr>
                <w:rFonts w:asciiTheme="minorHAnsi" w:hAnsiTheme="minorHAnsi"/>
              </w:rPr>
            </w:pPr>
            <w:r w:rsidRPr="3223A10E">
              <w:rPr>
                <w:rFonts w:asciiTheme="minorHAnsi" w:hAnsiTheme="minorHAnsi"/>
              </w:rPr>
              <w:t>Position</w:t>
            </w:r>
          </w:p>
        </w:tc>
        <w:tc>
          <w:tcPr>
            <w:tcW w:w="1329" w:type="dxa"/>
            <w:shd w:val="clear" w:color="auto" w:fill="F2F2F2" w:themeFill="background1" w:themeFillShade="F2"/>
          </w:tcPr>
          <w:p w14:paraId="402EA291" w14:textId="77777777" w:rsidR="00036EBA" w:rsidRPr="002725D7" w:rsidRDefault="3223A10E" w:rsidP="3223A10E">
            <w:pPr>
              <w:jc w:val="both"/>
              <w:rPr>
                <w:rFonts w:asciiTheme="minorHAnsi" w:hAnsiTheme="minorHAnsi"/>
              </w:rPr>
            </w:pPr>
            <w:r w:rsidRPr="3223A10E">
              <w:rPr>
                <w:rFonts w:asciiTheme="minorHAnsi" w:hAnsiTheme="minorHAnsi"/>
              </w:rPr>
              <w:t>Percent FTE</w:t>
            </w:r>
          </w:p>
        </w:tc>
        <w:tc>
          <w:tcPr>
            <w:tcW w:w="1530" w:type="dxa"/>
            <w:shd w:val="clear" w:color="auto" w:fill="F2F2F2" w:themeFill="background1" w:themeFillShade="F2"/>
          </w:tcPr>
          <w:p w14:paraId="581F79C1" w14:textId="77777777" w:rsidR="00036EBA" w:rsidRPr="002725D7" w:rsidRDefault="3223A10E" w:rsidP="3223A10E">
            <w:pPr>
              <w:jc w:val="both"/>
              <w:rPr>
                <w:rFonts w:asciiTheme="minorHAnsi" w:hAnsiTheme="minorHAnsi"/>
              </w:rPr>
            </w:pPr>
            <w:r w:rsidRPr="3223A10E">
              <w:rPr>
                <w:rFonts w:asciiTheme="minorHAnsi" w:hAnsiTheme="minorHAnsi"/>
              </w:rPr>
              <w:t>Annual Hours</w:t>
            </w:r>
          </w:p>
        </w:tc>
        <w:tc>
          <w:tcPr>
            <w:tcW w:w="1890" w:type="dxa"/>
            <w:shd w:val="clear" w:color="auto" w:fill="F2F2F2" w:themeFill="background1" w:themeFillShade="F2"/>
          </w:tcPr>
          <w:p w14:paraId="4A8EC7B1" w14:textId="77777777" w:rsidR="00036EBA" w:rsidRPr="002725D7" w:rsidRDefault="3223A10E" w:rsidP="3223A10E">
            <w:pPr>
              <w:jc w:val="both"/>
              <w:rPr>
                <w:rFonts w:asciiTheme="minorHAnsi" w:hAnsiTheme="minorHAnsi"/>
              </w:rPr>
            </w:pPr>
            <w:r w:rsidRPr="3223A10E">
              <w:rPr>
                <w:rFonts w:asciiTheme="minorHAnsi" w:hAnsiTheme="minorHAnsi"/>
              </w:rPr>
              <w:t>Rate</w:t>
            </w:r>
          </w:p>
        </w:tc>
        <w:tc>
          <w:tcPr>
            <w:tcW w:w="1980" w:type="dxa"/>
            <w:shd w:val="clear" w:color="auto" w:fill="F2F2F2" w:themeFill="background1" w:themeFillShade="F2"/>
          </w:tcPr>
          <w:p w14:paraId="628F9E53" w14:textId="77777777" w:rsidR="00036EBA" w:rsidRPr="002725D7" w:rsidRDefault="3223A10E" w:rsidP="3223A10E">
            <w:pPr>
              <w:rPr>
                <w:rFonts w:asciiTheme="minorHAnsi" w:hAnsiTheme="minorHAnsi"/>
              </w:rPr>
            </w:pPr>
            <w:r w:rsidRPr="3223A10E">
              <w:rPr>
                <w:rFonts w:asciiTheme="minorHAnsi" w:hAnsiTheme="minorHAnsi"/>
              </w:rPr>
              <w:t>Total Annual Cost</w:t>
            </w:r>
          </w:p>
        </w:tc>
      </w:tr>
      <w:tr w:rsidR="00036EBA" w:rsidRPr="002725D7" w14:paraId="7810D181" w14:textId="77777777" w:rsidTr="3223A10E">
        <w:trPr>
          <w:trHeight w:val="63"/>
        </w:trPr>
        <w:tc>
          <w:tcPr>
            <w:tcW w:w="2621" w:type="dxa"/>
            <w:shd w:val="clear" w:color="auto" w:fill="auto"/>
          </w:tcPr>
          <w:p w14:paraId="04CEC4D7" w14:textId="678342C6"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CSAP GPO</w:t>
            </w:r>
          </w:p>
        </w:tc>
        <w:tc>
          <w:tcPr>
            <w:tcW w:w="1329" w:type="dxa"/>
            <w:shd w:val="clear" w:color="auto" w:fill="auto"/>
          </w:tcPr>
          <w:p w14:paraId="0B6220A2" w14:textId="77777777" w:rsidR="00036EBA" w:rsidRPr="002725D7" w:rsidRDefault="00036EBA" w:rsidP="003B3F14">
            <w:pPr>
              <w:jc w:val="both"/>
              <w:rPr>
                <w:rFonts w:asciiTheme="minorHAnsi" w:hAnsiTheme="minorHAnsi"/>
                <w:color w:val="000000"/>
              </w:rPr>
            </w:pPr>
          </w:p>
        </w:tc>
        <w:tc>
          <w:tcPr>
            <w:tcW w:w="1530" w:type="dxa"/>
            <w:shd w:val="clear" w:color="auto" w:fill="auto"/>
          </w:tcPr>
          <w:p w14:paraId="4E8AA6FD" w14:textId="77777777"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40</w:t>
            </w:r>
          </w:p>
        </w:tc>
        <w:tc>
          <w:tcPr>
            <w:tcW w:w="1890" w:type="dxa"/>
            <w:shd w:val="clear" w:color="auto" w:fill="auto"/>
          </w:tcPr>
          <w:p w14:paraId="38352455" w14:textId="77777777"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$59.40/hr</w:t>
            </w:r>
          </w:p>
        </w:tc>
        <w:tc>
          <w:tcPr>
            <w:tcW w:w="1980" w:type="dxa"/>
            <w:shd w:val="clear" w:color="auto" w:fill="auto"/>
          </w:tcPr>
          <w:p w14:paraId="69BFA459" w14:textId="77777777"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$2,376</w:t>
            </w:r>
          </w:p>
        </w:tc>
      </w:tr>
      <w:tr w:rsidR="00036EBA" w:rsidRPr="002725D7" w14:paraId="14238C0A" w14:textId="77777777" w:rsidTr="3223A10E">
        <w:trPr>
          <w:trHeight w:val="330"/>
        </w:trPr>
        <w:tc>
          <w:tcPr>
            <w:tcW w:w="2621" w:type="dxa"/>
            <w:shd w:val="clear" w:color="auto" w:fill="auto"/>
          </w:tcPr>
          <w:p w14:paraId="384246A3" w14:textId="653033F1"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Contractor(s) – Underage Drinking Prevention National Media Campaign for STOP Act</w:t>
            </w:r>
          </w:p>
        </w:tc>
        <w:tc>
          <w:tcPr>
            <w:tcW w:w="1329" w:type="dxa"/>
            <w:shd w:val="clear" w:color="auto" w:fill="auto"/>
          </w:tcPr>
          <w:p w14:paraId="619CAFF5" w14:textId="77777777" w:rsidR="00036EBA" w:rsidRPr="002725D7" w:rsidRDefault="00036EBA" w:rsidP="003B3F14">
            <w:pPr>
              <w:jc w:val="both"/>
              <w:rPr>
                <w:rFonts w:asciiTheme="minorHAnsi" w:hAnsiTheme="minorHAnsi"/>
                <w:color w:val="000000"/>
              </w:rPr>
            </w:pPr>
          </w:p>
        </w:tc>
        <w:tc>
          <w:tcPr>
            <w:tcW w:w="1530" w:type="dxa"/>
            <w:shd w:val="clear" w:color="auto" w:fill="auto"/>
          </w:tcPr>
          <w:p w14:paraId="5317348D" w14:textId="77777777"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n/a</w:t>
            </w:r>
          </w:p>
        </w:tc>
        <w:tc>
          <w:tcPr>
            <w:tcW w:w="1890" w:type="dxa"/>
            <w:shd w:val="clear" w:color="auto" w:fill="auto"/>
          </w:tcPr>
          <w:p w14:paraId="3C47EA4D" w14:textId="77777777"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 xml:space="preserve">n/a </w:t>
            </w:r>
          </w:p>
        </w:tc>
        <w:tc>
          <w:tcPr>
            <w:tcW w:w="1980" w:type="dxa"/>
            <w:shd w:val="clear" w:color="auto" w:fill="auto"/>
          </w:tcPr>
          <w:p w14:paraId="2DF46716" w14:textId="658D8036" w:rsidR="00036EBA" w:rsidRPr="002725D7" w:rsidRDefault="3223A10E" w:rsidP="3223A10E">
            <w:pPr>
              <w:jc w:val="both"/>
              <w:rPr>
                <w:rFonts w:asciiTheme="minorHAnsi" w:hAnsiTheme="minorHAnsi"/>
                <w:color w:val="000000" w:themeColor="text1"/>
              </w:rPr>
            </w:pPr>
            <w:r w:rsidRPr="3223A10E">
              <w:rPr>
                <w:rFonts w:asciiTheme="minorHAnsi" w:hAnsiTheme="minorHAnsi"/>
                <w:color w:val="000000" w:themeColor="text1"/>
              </w:rPr>
              <w:t xml:space="preserve">$23,000 </w:t>
            </w:r>
          </w:p>
        </w:tc>
      </w:tr>
      <w:tr w:rsidR="00036EBA" w:rsidRPr="002725D7" w14:paraId="3E723329" w14:textId="77777777" w:rsidTr="3223A10E">
        <w:trPr>
          <w:trHeight w:val="345"/>
        </w:trPr>
        <w:tc>
          <w:tcPr>
            <w:tcW w:w="2621" w:type="dxa"/>
            <w:shd w:val="clear" w:color="auto" w:fill="F2F2F2" w:themeFill="background1" w:themeFillShade="F2"/>
          </w:tcPr>
          <w:p w14:paraId="32C01554" w14:textId="77777777" w:rsidR="00036EBA" w:rsidRPr="002725D7" w:rsidRDefault="3223A10E" w:rsidP="3223A10E">
            <w:pPr>
              <w:jc w:val="both"/>
              <w:rPr>
                <w:rFonts w:asciiTheme="minorHAnsi" w:hAnsiTheme="minorHAnsi"/>
              </w:rPr>
            </w:pPr>
            <w:r w:rsidRPr="3223A10E">
              <w:rPr>
                <w:rFonts w:asciiTheme="minorHAnsi" w:hAnsiTheme="minorHAnsi"/>
              </w:rPr>
              <w:t> </w:t>
            </w:r>
            <w:r w:rsidRPr="3223A10E">
              <w:rPr>
                <w:rFonts w:asciiTheme="minorHAnsi" w:hAnsiTheme="minorHAnsi"/>
                <w:b/>
                <w:bCs/>
              </w:rPr>
              <w:t>Totals</w:t>
            </w:r>
          </w:p>
        </w:tc>
        <w:tc>
          <w:tcPr>
            <w:tcW w:w="1329" w:type="dxa"/>
            <w:shd w:val="clear" w:color="auto" w:fill="F2F2F2" w:themeFill="background1" w:themeFillShade="F2"/>
          </w:tcPr>
          <w:p w14:paraId="0DFF0C1D" w14:textId="77777777" w:rsidR="00036EBA" w:rsidRPr="002725D7" w:rsidRDefault="3223A10E" w:rsidP="3223A10E">
            <w:pPr>
              <w:jc w:val="both"/>
              <w:rPr>
                <w:rFonts w:asciiTheme="minorHAnsi" w:hAnsiTheme="minorHAnsi"/>
                <w:b/>
                <w:bCs/>
                <w:i/>
                <w:iCs/>
              </w:rPr>
            </w:pPr>
            <w:r w:rsidRPr="3223A10E">
              <w:rPr>
                <w:rFonts w:asciiTheme="minorHAnsi" w:hAnsiTheme="minorHAnsi"/>
                <w:b/>
                <w:bCs/>
                <w:i/>
                <w:iCs/>
              </w:rPr>
              <w:t>varies</w:t>
            </w:r>
          </w:p>
        </w:tc>
        <w:tc>
          <w:tcPr>
            <w:tcW w:w="1530" w:type="dxa"/>
            <w:shd w:val="clear" w:color="auto" w:fill="F2F2F2" w:themeFill="background1" w:themeFillShade="F2"/>
          </w:tcPr>
          <w:p w14:paraId="0C806AC9" w14:textId="77777777" w:rsidR="00036EBA" w:rsidRPr="002725D7" w:rsidRDefault="3223A10E" w:rsidP="3223A10E">
            <w:pPr>
              <w:jc w:val="both"/>
              <w:rPr>
                <w:rFonts w:asciiTheme="minorHAnsi" w:hAnsiTheme="minorHAnsi"/>
                <w:b/>
                <w:bCs/>
                <w:i/>
                <w:iCs/>
              </w:rPr>
            </w:pPr>
            <w:r w:rsidRPr="3223A10E">
              <w:rPr>
                <w:rFonts w:asciiTheme="minorHAnsi" w:hAnsiTheme="minorHAnsi"/>
                <w:b/>
                <w:bCs/>
                <w:i/>
                <w:iCs/>
              </w:rPr>
              <w:t>varies</w:t>
            </w:r>
          </w:p>
        </w:tc>
        <w:tc>
          <w:tcPr>
            <w:tcW w:w="1890" w:type="dxa"/>
            <w:shd w:val="clear" w:color="auto" w:fill="F2F2F2" w:themeFill="background1" w:themeFillShade="F2"/>
          </w:tcPr>
          <w:p w14:paraId="358D67FA" w14:textId="77777777" w:rsidR="00036EBA" w:rsidRPr="002725D7" w:rsidRDefault="3223A10E" w:rsidP="3223A10E">
            <w:pPr>
              <w:jc w:val="both"/>
              <w:rPr>
                <w:rFonts w:asciiTheme="minorHAnsi" w:hAnsiTheme="minorHAnsi"/>
                <w:b/>
                <w:bCs/>
                <w:i/>
                <w:iCs/>
              </w:rPr>
            </w:pPr>
            <w:r w:rsidRPr="3223A10E">
              <w:rPr>
                <w:rFonts w:asciiTheme="minorHAnsi" w:hAnsiTheme="minorHAnsi"/>
                <w:b/>
                <w:bCs/>
              </w:rPr>
              <w:t> </w:t>
            </w:r>
            <w:r w:rsidRPr="3223A10E">
              <w:rPr>
                <w:rFonts w:asciiTheme="minorHAnsi" w:hAnsiTheme="minorHAnsi"/>
                <w:b/>
                <w:bCs/>
                <w:i/>
                <w:iCs/>
              </w:rPr>
              <w:t>varies</w:t>
            </w:r>
          </w:p>
        </w:tc>
        <w:tc>
          <w:tcPr>
            <w:tcW w:w="1980" w:type="dxa"/>
            <w:shd w:val="clear" w:color="auto" w:fill="F2F2F2" w:themeFill="background1" w:themeFillShade="F2"/>
          </w:tcPr>
          <w:p w14:paraId="0CDABC30" w14:textId="79F75371" w:rsidR="00036EBA" w:rsidRPr="002725D7" w:rsidRDefault="3223A10E" w:rsidP="3223A10E">
            <w:pPr>
              <w:jc w:val="both"/>
              <w:rPr>
                <w:rFonts w:asciiTheme="minorHAnsi" w:hAnsiTheme="minorHAnsi"/>
                <w:b/>
                <w:bCs/>
              </w:rPr>
            </w:pPr>
            <w:r w:rsidRPr="3223A10E">
              <w:rPr>
                <w:rFonts w:asciiTheme="minorHAnsi" w:hAnsiTheme="minorHAnsi"/>
                <w:b/>
                <w:bCs/>
              </w:rPr>
              <w:t>$25,376</w:t>
            </w:r>
          </w:p>
        </w:tc>
      </w:tr>
    </w:tbl>
    <w:p w14:paraId="14FFC846" w14:textId="77777777" w:rsidR="00C24EE6" w:rsidRPr="002725D7" w:rsidRDefault="00C24EE6">
      <w:pPr>
        <w:rPr>
          <w:rFonts w:asciiTheme="minorHAnsi" w:hAnsiTheme="minorHAnsi"/>
        </w:rPr>
      </w:pPr>
    </w:p>
    <w:p w14:paraId="33B2E618" w14:textId="77777777" w:rsidR="00A403BB" w:rsidRPr="002725D7" w:rsidRDefault="3223A10E" w:rsidP="3223A10E">
      <w:pPr>
        <w:pStyle w:val="ListParagraph"/>
        <w:ind w:left="0"/>
        <w:rPr>
          <w:rFonts w:asciiTheme="minorHAnsi" w:hAnsiTheme="minorHAnsi"/>
        </w:rPr>
      </w:pPr>
      <w:r w:rsidRPr="3223A10E">
        <w:rPr>
          <w:rFonts w:asciiTheme="minorHAnsi" w:hAnsiTheme="minorHAnsi"/>
          <w:b/>
          <w:bCs/>
        </w:rPr>
        <w:t>E. Methods used to develop the questions</w:t>
      </w:r>
    </w:p>
    <w:p w14:paraId="7131F730" w14:textId="77777777" w:rsidR="00C24EE6" w:rsidRPr="002725D7" w:rsidRDefault="00C24EE6" w:rsidP="00552DC9">
      <w:pPr>
        <w:pStyle w:val="ListParagraph"/>
        <w:ind w:left="0"/>
        <w:rPr>
          <w:rFonts w:asciiTheme="minorHAnsi" w:hAnsiTheme="minorHAnsi"/>
        </w:rPr>
      </w:pPr>
    </w:p>
    <w:p w14:paraId="24E4EFCA" w14:textId="79E92B13" w:rsidR="00D32690" w:rsidRPr="002725D7" w:rsidRDefault="3223A10E" w:rsidP="3223A10E">
      <w:pPr>
        <w:pStyle w:val="ListParagraph"/>
        <w:spacing w:line="271" w:lineRule="auto"/>
        <w:ind w:left="0"/>
        <w:rPr>
          <w:rFonts w:asciiTheme="minorHAnsi" w:hAnsiTheme="minorHAnsi"/>
        </w:rPr>
      </w:pPr>
      <w:r w:rsidRPr="3223A10E">
        <w:rPr>
          <w:rFonts w:asciiTheme="minorHAnsi" w:hAnsiTheme="minorHAnsi"/>
        </w:rPr>
        <w:t>Questions similar to those in the moderator’s guide have been asked to participants from focus groups for concept testing, to assess relevance and effectiveness of the campaign materials.</w:t>
      </w:r>
    </w:p>
    <w:p w14:paraId="7DCFDBE4" w14:textId="77777777" w:rsidR="00D32690" w:rsidRPr="002725D7" w:rsidRDefault="00D32690" w:rsidP="00927A1D">
      <w:pPr>
        <w:pStyle w:val="ListParagraph"/>
        <w:ind w:left="0"/>
        <w:rPr>
          <w:rFonts w:asciiTheme="minorHAnsi" w:hAnsiTheme="minorHAnsi"/>
          <w:b/>
        </w:rPr>
      </w:pPr>
    </w:p>
    <w:p w14:paraId="2A33ACEB" w14:textId="77777777" w:rsidR="00C24EE6" w:rsidRPr="002725D7" w:rsidRDefault="3223A10E" w:rsidP="3223A10E">
      <w:pPr>
        <w:pStyle w:val="ListParagraph"/>
        <w:ind w:left="0"/>
        <w:rPr>
          <w:rFonts w:asciiTheme="minorHAnsi" w:hAnsiTheme="minorHAnsi"/>
        </w:rPr>
      </w:pPr>
      <w:r w:rsidRPr="3223A10E">
        <w:rPr>
          <w:rFonts w:asciiTheme="minorHAnsi" w:hAnsiTheme="minorHAnsi"/>
          <w:b/>
          <w:bCs/>
        </w:rPr>
        <w:t>F. Consultants within SAMHSA and outside the Agency</w:t>
      </w:r>
    </w:p>
    <w:p w14:paraId="1B7D8D36" w14:textId="77777777" w:rsidR="00C24EE6" w:rsidRPr="002725D7" w:rsidRDefault="00C24EE6" w:rsidP="00927A1D">
      <w:pPr>
        <w:pStyle w:val="ListParagraph"/>
        <w:ind w:left="0"/>
        <w:rPr>
          <w:rFonts w:asciiTheme="minorHAnsi" w:hAnsiTheme="minorHAnsi"/>
        </w:rPr>
      </w:pPr>
    </w:p>
    <w:p w14:paraId="3A9F224A" w14:textId="77777777" w:rsidR="00C24EE6" w:rsidRPr="002725D7" w:rsidRDefault="3223A10E" w:rsidP="3223A10E">
      <w:pPr>
        <w:pStyle w:val="ListParagraph"/>
        <w:spacing w:line="271" w:lineRule="auto"/>
        <w:ind w:left="0"/>
        <w:rPr>
          <w:rFonts w:asciiTheme="minorHAnsi" w:hAnsiTheme="minorHAnsi"/>
        </w:rPr>
      </w:pPr>
      <w:r w:rsidRPr="3223A10E">
        <w:rPr>
          <w:rFonts w:asciiTheme="minorHAnsi" w:hAnsiTheme="minorHAnsi"/>
        </w:rPr>
        <w:t xml:space="preserve">The common measures here for OMB approval are the result of lengthy consultation and discussion among SAMHSA personnel, and contract representatives. The final selection of these measures was made by SAMHSA senior officials. </w:t>
      </w:r>
    </w:p>
    <w:p w14:paraId="05F34A47" w14:textId="77777777" w:rsidR="000735C1" w:rsidRPr="002725D7" w:rsidRDefault="000735C1" w:rsidP="00552DC9">
      <w:pPr>
        <w:pStyle w:val="ListParagraph"/>
        <w:spacing w:line="271" w:lineRule="auto"/>
        <w:ind w:left="0"/>
        <w:rPr>
          <w:rFonts w:asciiTheme="minorHAnsi" w:hAnsiTheme="minorHAnsi"/>
        </w:rPr>
      </w:pPr>
    </w:p>
    <w:p w14:paraId="61752DA7" w14:textId="77777777" w:rsidR="000735C1" w:rsidRPr="002725D7" w:rsidRDefault="3223A10E" w:rsidP="3223A10E">
      <w:pPr>
        <w:pStyle w:val="ListParagraph"/>
        <w:ind w:left="0"/>
        <w:rPr>
          <w:rFonts w:asciiTheme="minorHAnsi" w:hAnsiTheme="minorHAnsi"/>
          <w:b/>
          <w:bCs/>
          <w:u w:val="single"/>
        </w:rPr>
      </w:pPr>
      <w:r w:rsidRPr="3223A10E">
        <w:rPr>
          <w:rFonts w:asciiTheme="minorHAnsi" w:hAnsiTheme="minorHAnsi"/>
          <w:i/>
          <w:iCs/>
          <w:u w:val="single"/>
        </w:rPr>
        <w:t>Project Officer</w:t>
      </w:r>
    </w:p>
    <w:p w14:paraId="676551C8" w14:textId="77777777" w:rsidR="000735C1" w:rsidRPr="002725D7" w:rsidRDefault="000735C1" w:rsidP="00927A1D">
      <w:pPr>
        <w:pStyle w:val="ListParagraph"/>
        <w:ind w:left="0"/>
        <w:rPr>
          <w:rFonts w:asciiTheme="minorHAnsi" w:hAnsiTheme="minorHAnsi"/>
          <w:b/>
          <w:u w:val="single"/>
        </w:rPr>
      </w:pPr>
    </w:p>
    <w:p w14:paraId="42DFB285" w14:textId="1F09C742" w:rsidR="000735C1" w:rsidRPr="002725D7" w:rsidRDefault="3223A10E" w:rsidP="3223A10E">
      <w:pPr>
        <w:pStyle w:val="ListParagraph"/>
        <w:spacing w:line="271" w:lineRule="auto"/>
        <w:ind w:left="0"/>
        <w:rPr>
          <w:rFonts w:asciiTheme="minorHAnsi" w:hAnsiTheme="minorHAnsi"/>
          <w:color w:val="000000" w:themeColor="text1"/>
        </w:rPr>
      </w:pPr>
      <w:r w:rsidRPr="3223A10E">
        <w:rPr>
          <w:rFonts w:asciiTheme="minorHAnsi" w:hAnsiTheme="minorHAnsi"/>
        </w:rPr>
        <w:t xml:space="preserve">Robert Vincent, Public Health Advisor, SAMHSA, </w:t>
      </w:r>
      <w:r w:rsidRPr="3223A10E">
        <w:rPr>
          <w:rFonts w:asciiTheme="minorHAnsi" w:hAnsiTheme="minorHAnsi"/>
          <w:color w:val="000000" w:themeColor="text1"/>
        </w:rPr>
        <w:t>(240) 276-1582</w:t>
      </w:r>
    </w:p>
    <w:p w14:paraId="1AD06CD7" w14:textId="77777777" w:rsidR="002D3956" w:rsidRPr="002725D7" w:rsidRDefault="002D3956" w:rsidP="00552DC9">
      <w:pPr>
        <w:pStyle w:val="ListParagraph"/>
        <w:spacing w:line="271" w:lineRule="auto"/>
        <w:ind w:left="0"/>
        <w:rPr>
          <w:rFonts w:asciiTheme="minorHAnsi" w:hAnsiTheme="minorHAnsi"/>
        </w:rPr>
      </w:pPr>
    </w:p>
    <w:p w14:paraId="48EC2363" w14:textId="77777777" w:rsidR="000735C1" w:rsidRPr="002725D7" w:rsidRDefault="3223A10E" w:rsidP="3223A10E">
      <w:pPr>
        <w:pStyle w:val="ListParagraph"/>
        <w:spacing w:line="271" w:lineRule="auto"/>
        <w:ind w:left="0"/>
        <w:rPr>
          <w:rFonts w:asciiTheme="minorHAnsi" w:hAnsiTheme="minorHAnsi"/>
        </w:rPr>
      </w:pPr>
      <w:r w:rsidRPr="3223A10E">
        <w:rPr>
          <w:rFonts w:asciiTheme="minorHAnsi" w:hAnsiTheme="minorHAnsi"/>
        </w:rPr>
        <w:t>Contractor/Project Director: Elaine Rahbar, Synergy Enterprises, Inc. (240) 485-1700</w:t>
      </w:r>
    </w:p>
    <w:p w14:paraId="2616580B" w14:textId="77777777" w:rsidR="000735C1" w:rsidRPr="002725D7" w:rsidRDefault="000735C1" w:rsidP="00927A1D">
      <w:pPr>
        <w:pStyle w:val="ListParagraph"/>
        <w:ind w:left="0"/>
        <w:rPr>
          <w:rFonts w:asciiTheme="minorHAnsi" w:hAnsiTheme="minorHAnsi"/>
        </w:rPr>
      </w:pPr>
    </w:p>
    <w:p w14:paraId="423C77FC" w14:textId="77777777" w:rsidR="000735C1" w:rsidRPr="002725D7" w:rsidRDefault="3223A10E" w:rsidP="3223A10E">
      <w:pPr>
        <w:pStyle w:val="ListParagraph"/>
        <w:ind w:left="0"/>
        <w:rPr>
          <w:rFonts w:asciiTheme="minorHAnsi" w:hAnsiTheme="minorHAnsi"/>
        </w:rPr>
      </w:pPr>
      <w:r w:rsidRPr="3223A10E">
        <w:rPr>
          <w:rFonts w:asciiTheme="minorHAnsi" w:hAnsiTheme="minorHAnsi"/>
          <w:b/>
          <w:bCs/>
        </w:rPr>
        <w:t>List of Attachments:</w:t>
      </w:r>
    </w:p>
    <w:p w14:paraId="24D3DE28" w14:textId="16B984B5" w:rsidR="000735C1" w:rsidRPr="002725D7" w:rsidRDefault="000735C1" w:rsidP="3223A10E">
      <w:pPr>
        <w:pStyle w:val="ListParagraph"/>
        <w:spacing w:line="271" w:lineRule="auto"/>
        <w:ind w:left="0"/>
        <w:rPr>
          <w:rFonts w:asciiTheme="minorHAnsi" w:hAnsiTheme="minorHAnsi"/>
        </w:rPr>
      </w:pPr>
      <w:r w:rsidRPr="3223A10E">
        <w:rPr>
          <w:rFonts w:asciiTheme="minorHAnsi" w:hAnsiTheme="minorHAnsi"/>
        </w:rPr>
        <w:t xml:space="preserve">Attachment </w:t>
      </w:r>
      <w:r w:rsidR="3223A10E" w:rsidRPr="3223A10E">
        <w:rPr>
          <w:rFonts w:asciiTheme="minorHAnsi" w:hAnsiTheme="minorHAnsi"/>
        </w:rPr>
        <w:t>A:</w:t>
      </w:r>
      <w:r w:rsidRPr="002725D7">
        <w:rPr>
          <w:rFonts w:asciiTheme="minorHAnsi" w:hAnsiTheme="minorHAnsi"/>
        </w:rPr>
        <w:tab/>
      </w:r>
      <w:r w:rsidR="00D50CBC">
        <w:rPr>
          <w:rFonts w:asciiTheme="minorHAnsi" w:hAnsiTheme="minorHAnsi"/>
        </w:rPr>
        <w:tab/>
      </w:r>
      <w:r w:rsidRPr="3223A10E">
        <w:rPr>
          <w:rFonts w:asciiTheme="minorHAnsi" w:hAnsiTheme="minorHAnsi"/>
        </w:rPr>
        <w:t>Focus Group Protocol</w:t>
      </w:r>
    </w:p>
    <w:p w14:paraId="6EFE75AD" w14:textId="77777777" w:rsidR="000735C1" w:rsidRPr="002725D7" w:rsidRDefault="000735C1" w:rsidP="3223A10E">
      <w:pPr>
        <w:pStyle w:val="ListParagraph"/>
        <w:spacing w:line="271" w:lineRule="auto"/>
        <w:ind w:left="0"/>
        <w:rPr>
          <w:rFonts w:asciiTheme="minorHAnsi" w:hAnsiTheme="minorHAnsi"/>
        </w:rPr>
      </w:pPr>
      <w:r w:rsidRPr="3223A10E">
        <w:rPr>
          <w:rFonts w:asciiTheme="minorHAnsi" w:hAnsiTheme="minorHAnsi"/>
        </w:rPr>
        <w:t xml:space="preserve">Attachment B: </w:t>
      </w:r>
      <w:r w:rsidRPr="002725D7">
        <w:rPr>
          <w:rFonts w:asciiTheme="minorHAnsi" w:hAnsiTheme="minorHAnsi"/>
        </w:rPr>
        <w:tab/>
      </w:r>
      <w:r w:rsidRPr="3223A10E">
        <w:rPr>
          <w:rFonts w:asciiTheme="minorHAnsi" w:hAnsiTheme="minorHAnsi"/>
        </w:rPr>
        <w:t>FG</w:t>
      </w:r>
      <w:r w:rsidR="009F4D46" w:rsidRPr="3223A10E">
        <w:rPr>
          <w:rFonts w:asciiTheme="minorHAnsi" w:hAnsiTheme="minorHAnsi"/>
        </w:rPr>
        <w:t>D</w:t>
      </w:r>
      <w:r w:rsidRPr="3223A10E">
        <w:rPr>
          <w:rFonts w:asciiTheme="minorHAnsi" w:hAnsiTheme="minorHAnsi"/>
        </w:rPr>
        <w:t xml:space="preserve"> Recruitment </w:t>
      </w:r>
      <w:r w:rsidR="001269E3" w:rsidRPr="3223A10E">
        <w:rPr>
          <w:rFonts w:asciiTheme="minorHAnsi" w:hAnsiTheme="minorHAnsi"/>
        </w:rPr>
        <w:t>and Screening</w:t>
      </w:r>
    </w:p>
    <w:p w14:paraId="32F56330" w14:textId="77777777" w:rsidR="000735C1" w:rsidRPr="002725D7" w:rsidRDefault="000735C1" w:rsidP="3223A10E">
      <w:pPr>
        <w:pStyle w:val="ListParagraph"/>
        <w:spacing w:line="271" w:lineRule="auto"/>
        <w:ind w:left="0"/>
        <w:rPr>
          <w:rFonts w:asciiTheme="minorHAnsi" w:hAnsiTheme="minorHAnsi"/>
        </w:rPr>
      </w:pPr>
      <w:r w:rsidRPr="3223A10E">
        <w:rPr>
          <w:rFonts w:asciiTheme="minorHAnsi" w:hAnsiTheme="minorHAnsi"/>
        </w:rPr>
        <w:t xml:space="preserve">Attachment </w:t>
      </w:r>
      <w:r w:rsidR="001269E3" w:rsidRPr="3223A10E">
        <w:rPr>
          <w:rFonts w:asciiTheme="minorHAnsi" w:hAnsiTheme="minorHAnsi"/>
        </w:rPr>
        <w:t>C</w:t>
      </w:r>
      <w:r w:rsidRPr="3223A10E">
        <w:rPr>
          <w:rFonts w:asciiTheme="minorHAnsi" w:hAnsiTheme="minorHAnsi"/>
        </w:rPr>
        <w:t xml:space="preserve">: </w:t>
      </w:r>
      <w:r w:rsidRPr="002725D7">
        <w:rPr>
          <w:rFonts w:asciiTheme="minorHAnsi" w:hAnsiTheme="minorHAnsi"/>
        </w:rPr>
        <w:tab/>
      </w:r>
      <w:r w:rsidRPr="3223A10E">
        <w:rPr>
          <w:rFonts w:asciiTheme="minorHAnsi" w:hAnsiTheme="minorHAnsi"/>
        </w:rPr>
        <w:t>Release and Consent Form</w:t>
      </w:r>
    </w:p>
    <w:p w14:paraId="295FC1BA" w14:textId="0D361D2C" w:rsidR="00423293" w:rsidRPr="002725D7" w:rsidRDefault="000735C1" w:rsidP="3223A10E">
      <w:pPr>
        <w:pStyle w:val="ListParagraph"/>
        <w:spacing w:line="271" w:lineRule="auto"/>
        <w:ind w:left="0"/>
        <w:rPr>
          <w:rFonts w:asciiTheme="minorHAnsi" w:hAnsiTheme="minorHAnsi"/>
        </w:rPr>
      </w:pPr>
      <w:r w:rsidRPr="3223A10E">
        <w:rPr>
          <w:rFonts w:asciiTheme="minorHAnsi" w:hAnsiTheme="minorHAnsi"/>
        </w:rPr>
        <w:t xml:space="preserve">Attachment </w:t>
      </w:r>
      <w:r w:rsidR="007C6AFB" w:rsidRPr="3223A10E">
        <w:rPr>
          <w:rFonts w:asciiTheme="minorHAnsi" w:hAnsiTheme="minorHAnsi"/>
        </w:rPr>
        <w:t>D</w:t>
      </w:r>
      <w:r w:rsidR="00552DC9" w:rsidRPr="3223A10E">
        <w:rPr>
          <w:rFonts w:asciiTheme="minorHAnsi" w:hAnsiTheme="minorHAnsi"/>
        </w:rPr>
        <w:t xml:space="preserve">: </w:t>
      </w:r>
      <w:r w:rsidR="00552DC9">
        <w:rPr>
          <w:rFonts w:asciiTheme="minorHAnsi" w:hAnsiTheme="minorHAnsi"/>
        </w:rPr>
        <w:tab/>
      </w:r>
      <w:r w:rsidR="00552DC9" w:rsidRPr="3223A10E">
        <w:rPr>
          <w:rFonts w:asciiTheme="minorHAnsi" w:hAnsiTheme="minorHAnsi"/>
        </w:rPr>
        <w:t>FGD Facilitator Guide</w:t>
      </w:r>
      <w:r w:rsidR="00733585" w:rsidRPr="002725D7">
        <w:rPr>
          <w:rFonts w:asciiTheme="minorHAnsi" w:hAnsiTheme="minorHAnsi"/>
        </w:rPr>
        <w:tab/>
      </w:r>
    </w:p>
    <w:sectPr w:rsidR="00423293" w:rsidRPr="002725D7" w:rsidSect="001545D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AA192" w14:textId="77777777" w:rsidR="000B63F0" w:rsidRDefault="000B63F0">
      <w:r>
        <w:separator/>
      </w:r>
    </w:p>
  </w:endnote>
  <w:endnote w:type="continuationSeparator" w:id="0">
    <w:p w14:paraId="59DED430" w14:textId="77777777" w:rsidR="000B63F0" w:rsidRDefault="000B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CFA97" w14:textId="2DE422FF" w:rsidR="003B3F14" w:rsidRDefault="003B3F1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1B6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B542C" w14:textId="77777777" w:rsidR="000B63F0" w:rsidRDefault="000B63F0">
      <w:r>
        <w:separator/>
      </w:r>
    </w:p>
  </w:footnote>
  <w:footnote w:type="continuationSeparator" w:id="0">
    <w:p w14:paraId="262D1C60" w14:textId="77777777" w:rsidR="000B63F0" w:rsidRDefault="000B63F0">
      <w:r>
        <w:continuationSeparator/>
      </w:r>
    </w:p>
  </w:footnote>
  <w:footnote w:id="1">
    <w:p w14:paraId="0BC4AE43" w14:textId="77777777" w:rsidR="003B3F14" w:rsidRPr="00B67526" w:rsidRDefault="003B3F14" w:rsidP="3223A10E">
      <w:pPr>
        <w:pStyle w:val="FootnoteText"/>
        <w:rPr>
          <w:sz w:val="16"/>
          <w:szCs w:val="16"/>
        </w:rPr>
      </w:pPr>
      <w:r w:rsidRPr="00B67526">
        <w:rPr>
          <w:rStyle w:val="FootnoteReference"/>
          <w:sz w:val="16"/>
          <w:szCs w:val="16"/>
        </w:rPr>
        <w:footnoteRef/>
      </w:r>
      <w:r w:rsidRPr="00B67526">
        <w:rPr>
          <w:sz w:val="16"/>
          <w:szCs w:val="16"/>
        </w:rPr>
        <w:t xml:space="preserve"> Nash, S. G., McQueen, A., &amp; Bray, J. H.  (2005).  Pathways to adolescent alcohol use:  Family environment, peer influence, and parental expectations.  </w:t>
      </w:r>
      <w:r w:rsidRPr="3223A10E">
        <w:rPr>
          <w:i/>
          <w:iCs/>
          <w:sz w:val="16"/>
          <w:szCs w:val="16"/>
        </w:rPr>
        <w:t>Journal of Adolescent Health</w:t>
      </w:r>
      <w:r w:rsidRPr="00B67526">
        <w:rPr>
          <w:sz w:val="16"/>
          <w:szCs w:val="16"/>
        </w:rPr>
        <w:t xml:space="preserve">, </w:t>
      </w:r>
      <w:r w:rsidRPr="3223A10E">
        <w:rPr>
          <w:i/>
          <w:iCs/>
          <w:sz w:val="16"/>
          <w:szCs w:val="16"/>
        </w:rPr>
        <w:t>37</w:t>
      </w:r>
      <w:r w:rsidRPr="00B67526">
        <w:rPr>
          <w:sz w:val="16"/>
          <w:szCs w:val="16"/>
        </w:rPr>
        <w:t>(1), 19–28.</w:t>
      </w:r>
    </w:p>
  </w:footnote>
  <w:footnote w:id="2">
    <w:p w14:paraId="135DF6E4" w14:textId="77777777" w:rsidR="003B3F14" w:rsidRPr="00B67526" w:rsidRDefault="003B3F14" w:rsidP="3223A10E">
      <w:pPr>
        <w:pStyle w:val="FootnoteText"/>
        <w:rPr>
          <w:sz w:val="16"/>
          <w:szCs w:val="16"/>
        </w:rPr>
      </w:pPr>
      <w:r w:rsidRPr="00B67526">
        <w:rPr>
          <w:rStyle w:val="FootnoteReference"/>
          <w:sz w:val="16"/>
          <w:szCs w:val="16"/>
        </w:rPr>
        <w:footnoteRef/>
      </w:r>
      <w:r w:rsidRPr="00B67526">
        <w:rPr>
          <w:sz w:val="16"/>
          <w:szCs w:val="16"/>
        </w:rPr>
        <w:t xml:space="preserve"> Barnes, G. M., Reifman, A. S., Farrell, M. P., &amp; Dintcheff, B. A.  (2000).  The effects of parenting on the development of adolescent alcohol misuse:  A six-wave latent growth model.  </w:t>
      </w:r>
      <w:r w:rsidRPr="3223A10E">
        <w:rPr>
          <w:i/>
          <w:iCs/>
          <w:sz w:val="16"/>
          <w:szCs w:val="16"/>
        </w:rPr>
        <w:t>Journal of Marriage and Family</w:t>
      </w:r>
      <w:r w:rsidRPr="00B67526">
        <w:rPr>
          <w:sz w:val="16"/>
          <w:szCs w:val="16"/>
        </w:rPr>
        <w:t xml:space="preserve">, </w:t>
      </w:r>
      <w:r w:rsidRPr="3223A10E">
        <w:rPr>
          <w:i/>
          <w:iCs/>
          <w:sz w:val="16"/>
          <w:szCs w:val="16"/>
        </w:rPr>
        <w:t>62</w:t>
      </w:r>
      <w:r w:rsidRPr="00B67526">
        <w:rPr>
          <w:sz w:val="16"/>
          <w:szCs w:val="16"/>
        </w:rPr>
        <w:t>(1), 175–186.</w:t>
      </w:r>
    </w:p>
  </w:footnote>
  <w:footnote w:id="3">
    <w:p w14:paraId="16D5454C" w14:textId="77777777" w:rsidR="003B3F14" w:rsidRPr="00B67526" w:rsidRDefault="003B3F14" w:rsidP="3223A10E">
      <w:pPr>
        <w:pStyle w:val="FootnoteText"/>
        <w:rPr>
          <w:sz w:val="16"/>
          <w:szCs w:val="16"/>
        </w:rPr>
      </w:pPr>
      <w:r w:rsidRPr="00B67526">
        <w:rPr>
          <w:rStyle w:val="FootnoteReference"/>
          <w:sz w:val="16"/>
          <w:szCs w:val="16"/>
        </w:rPr>
        <w:footnoteRef/>
      </w:r>
      <w:r w:rsidRPr="00B67526">
        <w:rPr>
          <w:sz w:val="16"/>
          <w:szCs w:val="16"/>
        </w:rPr>
        <w:t xml:space="preserve"> Jackson, C.  (2002).  Perceived legitimacy of parental authority and tobacco and alcohol use during early adolescence.  </w:t>
      </w:r>
      <w:r w:rsidRPr="3223A10E">
        <w:rPr>
          <w:i/>
          <w:iCs/>
          <w:sz w:val="16"/>
          <w:szCs w:val="16"/>
        </w:rPr>
        <w:t>Journal of Adolescent Health,</w:t>
      </w:r>
      <w:r w:rsidRPr="00B67526">
        <w:rPr>
          <w:sz w:val="16"/>
          <w:szCs w:val="16"/>
        </w:rPr>
        <w:t xml:space="preserve"> </w:t>
      </w:r>
      <w:r w:rsidRPr="3223A10E">
        <w:rPr>
          <w:i/>
          <w:iCs/>
          <w:sz w:val="16"/>
          <w:szCs w:val="16"/>
        </w:rPr>
        <w:t>31</w:t>
      </w:r>
      <w:r w:rsidRPr="00B67526">
        <w:rPr>
          <w:sz w:val="16"/>
          <w:szCs w:val="16"/>
        </w:rPr>
        <w:t>(5), 425–432.</w:t>
      </w:r>
    </w:p>
  </w:footnote>
  <w:footnote w:id="4">
    <w:p w14:paraId="0ED03E7E" w14:textId="77777777" w:rsidR="003B3F14" w:rsidRPr="00B67526" w:rsidRDefault="003B3F14" w:rsidP="3223A10E">
      <w:pPr>
        <w:pStyle w:val="FootnoteText"/>
        <w:rPr>
          <w:sz w:val="16"/>
          <w:szCs w:val="16"/>
        </w:rPr>
      </w:pPr>
      <w:r w:rsidRPr="00B67526">
        <w:rPr>
          <w:rStyle w:val="FootnoteReference"/>
          <w:sz w:val="16"/>
          <w:szCs w:val="16"/>
        </w:rPr>
        <w:footnoteRef/>
      </w:r>
      <w:r w:rsidRPr="00B67526">
        <w:rPr>
          <w:sz w:val="16"/>
          <w:szCs w:val="16"/>
        </w:rPr>
        <w:t xml:space="preserve"> Nash, S. G., McQueen, A., and Bray, J. H.  (2005).  Pathways to adolescent alcohol use:  Family environment, peer influence, and parental expectations.  </w:t>
      </w:r>
      <w:r w:rsidRPr="3223A10E">
        <w:rPr>
          <w:i/>
          <w:iCs/>
          <w:sz w:val="16"/>
          <w:szCs w:val="16"/>
        </w:rPr>
        <w:t>Journal of Adolescent Health</w:t>
      </w:r>
      <w:r w:rsidRPr="00B67526">
        <w:rPr>
          <w:sz w:val="16"/>
          <w:szCs w:val="16"/>
        </w:rPr>
        <w:t xml:space="preserve">, </w:t>
      </w:r>
      <w:r w:rsidRPr="3223A10E">
        <w:rPr>
          <w:i/>
          <w:iCs/>
          <w:sz w:val="16"/>
          <w:szCs w:val="16"/>
        </w:rPr>
        <w:t>37</w:t>
      </w:r>
      <w:r w:rsidRPr="00B67526">
        <w:rPr>
          <w:sz w:val="16"/>
          <w:szCs w:val="16"/>
        </w:rPr>
        <w:t>(1), 19–28.</w:t>
      </w:r>
    </w:p>
  </w:footnote>
  <w:footnote w:id="5">
    <w:p w14:paraId="1D21263D" w14:textId="7F6CE929" w:rsidR="003B3F14" w:rsidRDefault="003B3F14">
      <w:pPr>
        <w:pStyle w:val="FootnoteText"/>
      </w:pPr>
      <w:r>
        <w:rPr>
          <w:rStyle w:val="FootnoteReference"/>
        </w:rPr>
        <w:footnoteRef/>
      </w:r>
      <w:r>
        <w:t xml:space="preserve"> </w:t>
      </w:r>
      <w:r w:rsidRPr="3223A10E">
        <w:rPr>
          <w:rFonts w:cstheme="minorBidi"/>
          <w:sz w:val="16"/>
          <w:szCs w:val="16"/>
        </w:rPr>
        <w:t>Substance Abuse and Mental Health Services Administration. (2013).  Results from the 2012 National Survey on Drug Use and Health: Special Data Analysis.  Center for Behavioral Health and Statistics and Quality.   Rockville, MD: Substance Abuse and Mental Health Services Administration.</w:t>
      </w:r>
    </w:p>
  </w:footnote>
  <w:footnote w:id="6">
    <w:p w14:paraId="7333AB37" w14:textId="054582BD" w:rsidR="003B3F14" w:rsidRPr="00B67526" w:rsidRDefault="003B3F14" w:rsidP="3223A10E">
      <w:pPr>
        <w:pStyle w:val="FootnoteText"/>
        <w:rPr>
          <w:sz w:val="16"/>
          <w:szCs w:val="16"/>
        </w:rPr>
      </w:pPr>
      <w:r w:rsidRPr="008C1662">
        <w:rPr>
          <w:rStyle w:val="FootnoteReference"/>
        </w:rPr>
        <w:footnoteRef/>
      </w:r>
      <w:r w:rsidRPr="008C1662">
        <w:t xml:space="preserve"> </w:t>
      </w:r>
      <w:r w:rsidR="005712ED" w:rsidRPr="005712ED">
        <w:rPr>
          <w:sz w:val="16"/>
          <w:szCs w:val="16"/>
        </w:rPr>
        <w:t>Donovan, J. E. (2007). Really underage drinkers: The epidemiology of children’s alcohol use in the United States. Prevention Science, 8(3),192–205.</w:t>
      </w:r>
    </w:p>
  </w:footnote>
  <w:footnote w:id="7">
    <w:p w14:paraId="203C57F1" w14:textId="77777777" w:rsidR="003B3F14" w:rsidRPr="00B67526" w:rsidRDefault="003B3F14" w:rsidP="3223A10E">
      <w:pPr>
        <w:pStyle w:val="FootnoteText"/>
        <w:rPr>
          <w:sz w:val="16"/>
          <w:szCs w:val="16"/>
        </w:rPr>
      </w:pPr>
      <w:r w:rsidRPr="008C1662">
        <w:rPr>
          <w:rStyle w:val="FootnoteReference"/>
        </w:rPr>
        <w:footnoteRef/>
      </w:r>
      <w:r w:rsidRPr="008C1662">
        <w:t xml:space="preserve"> </w:t>
      </w:r>
      <w:r w:rsidRPr="00B67526">
        <w:rPr>
          <w:sz w:val="16"/>
          <w:szCs w:val="16"/>
        </w:rPr>
        <w:t>Centers for Disease Control and Prevention. (2012). Youth risk behavior surveillance—United States, 2011. Surveillance Summaries. Morbidity and Mortality Weekly Report, 61, SS-4, 1–162.3</w:t>
      </w:r>
    </w:p>
  </w:footnote>
  <w:footnote w:id="8">
    <w:p w14:paraId="46066EE0" w14:textId="77777777" w:rsidR="003B3F14" w:rsidRDefault="003B3F14" w:rsidP="008C1662">
      <w:pPr>
        <w:pStyle w:val="FootnoteText"/>
      </w:pPr>
      <w:r w:rsidRPr="008C1662">
        <w:rPr>
          <w:rStyle w:val="FootnoteReference"/>
        </w:rPr>
        <w:footnoteRef/>
      </w:r>
      <w:r w:rsidRPr="00B67526">
        <w:rPr>
          <w:sz w:val="16"/>
          <w:szCs w:val="16"/>
        </w:rPr>
        <w:t xml:space="preserve"> Substance Abuse and Mental Health Services Administration. (2013c). Results from the 2012 National Survey on Drug Use and Health: Special Data Analysis. Center for Behavioral Health and Statistics and Quality. Rockville, MD: Substance Abuse and Mental Health Services Administration.</w:t>
      </w:r>
    </w:p>
  </w:footnote>
  <w:footnote w:id="9">
    <w:p w14:paraId="7FD8554C" w14:textId="1AEE5D15" w:rsidR="003B3F14" w:rsidRPr="00717A74" w:rsidRDefault="003B3F14" w:rsidP="3223A10E">
      <w:pPr>
        <w:pStyle w:val="FootnoteText"/>
        <w:rPr>
          <w:lang w:val="es-ES"/>
        </w:rPr>
      </w:pPr>
      <w:r w:rsidRPr="008C1662">
        <w:rPr>
          <w:rStyle w:val="FootnoteReference"/>
        </w:rPr>
        <w:footnoteRef/>
      </w:r>
      <w:r w:rsidRPr="3223A10E">
        <w:rPr>
          <w:sz w:val="16"/>
          <w:szCs w:val="16"/>
        </w:rPr>
        <w:t xml:space="preserve"> Taylor DM, Miller TR. (2015). Methodology: Underage Drinking Fact Sheets. </w:t>
      </w:r>
      <w:r w:rsidRPr="3223A10E">
        <w:rPr>
          <w:sz w:val="16"/>
          <w:szCs w:val="16"/>
          <w:lang w:val="es-ES"/>
        </w:rPr>
        <w:t>Calverton, MD: PIRE, http://www.udetc.org/documents/Underage-Cost-Methods-082807.pdf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24531E6"/>
    <w:multiLevelType w:val="hybridMultilevel"/>
    <w:tmpl w:val="F0D22DB6"/>
    <w:lvl w:ilvl="0" w:tplc="6802ACB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802776"/>
    <w:multiLevelType w:val="hybridMultilevel"/>
    <w:tmpl w:val="E3E8F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731E4C"/>
    <w:multiLevelType w:val="hybridMultilevel"/>
    <w:tmpl w:val="0972D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32EE6"/>
    <w:multiLevelType w:val="hybridMultilevel"/>
    <w:tmpl w:val="599656B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913C4"/>
    <w:multiLevelType w:val="hybridMultilevel"/>
    <w:tmpl w:val="14848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4CC26258"/>
    <w:multiLevelType w:val="hybridMultilevel"/>
    <w:tmpl w:val="8FA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384276"/>
    <w:multiLevelType w:val="hybridMultilevel"/>
    <w:tmpl w:val="F9D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7D57D4"/>
    <w:multiLevelType w:val="hybridMultilevel"/>
    <w:tmpl w:val="88048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A817CEF"/>
    <w:multiLevelType w:val="hybridMultilevel"/>
    <w:tmpl w:val="5034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9"/>
  </w:num>
  <w:num w:numId="4">
    <w:abstractNumId w:val="10"/>
  </w:num>
  <w:num w:numId="5">
    <w:abstractNumId w:val="2"/>
  </w:num>
  <w:num w:numId="6">
    <w:abstractNumId w:val="44"/>
  </w:num>
  <w:num w:numId="7">
    <w:abstractNumId w:val="32"/>
  </w:num>
  <w:num w:numId="8">
    <w:abstractNumId w:val="22"/>
  </w:num>
  <w:num w:numId="9">
    <w:abstractNumId w:val="17"/>
  </w:num>
  <w:num w:numId="10">
    <w:abstractNumId w:val="12"/>
  </w:num>
  <w:num w:numId="11">
    <w:abstractNumId w:val="27"/>
  </w:num>
  <w:num w:numId="12">
    <w:abstractNumId w:val="15"/>
  </w:num>
  <w:num w:numId="13">
    <w:abstractNumId w:val="38"/>
  </w:num>
  <w:num w:numId="14">
    <w:abstractNumId w:val="43"/>
  </w:num>
  <w:num w:numId="15">
    <w:abstractNumId w:val="18"/>
  </w:num>
  <w:num w:numId="16">
    <w:abstractNumId w:val="36"/>
  </w:num>
  <w:num w:numId="17">
    <w:abstractNumId w:val="11"/>
  </w:num>
  <w:num w:numId="18">
    <w:abstractNumId w:val="30"/>
  </w:num>
  <w:num w:numId="19">
    <w:abstractNumId w:val="0"/>
  </w:num>
  <w:num w:numId="20">
    <w:abstractNumId w:val="13"/>
  </w:num>
  <w:num w:numId="21">
    <w:abstractNumId w:val="39"/>
  </w:num>
  <w:num w:numId="22">
    <w:abstractNumId w:val="42"/>
  </w:num>
  <w:num w:numId="23">
    <w:abstractNumId w:val="4"/>
  </w:num>
  <w:num w:numId="24">
    <w:abstractNumId w:val="40"/>
  </w:num>
  <w:num w:numId="25">
    <w:abstractNumId w:val="41"/>
  </w:num>
  <w:num w:numId="26">
    <w:abstractNumId w:val="16"/>
  </w:num>
  <w:num w:numId="27">
    <w:abstractNumId w:val="28"/>
  </w:num>
  <w:num w:numId="28">
    <w:abstractNumId w:val="26"/>
  </w:num>
  <w:num w:numId="29">
    <w:abstractNumId w:val="20"/>
  </w:num>
  <w:num w:numId="30">
    <w:abstractNumId w:val="25"/>
  </w:num>
  <w:num w:numId="31">
    <w:abstractNumId w:val="6"/>
  </w:num>
  <w:num w:numId="32">
    <w:abstractNumId w:val="33"/>
  </w:num>
  <w:num w:numId="33">
    <w:abstractNumId w:val="5"/>
  </w:num>
  <w:num w:numId="34">
    <w:abstractNumId w:val="7"/>
  </w:num>
  <w:num w:numId="35">
    <w:abstractNumId w:val="14"/>
  </w:num>
  <w:num w:numId="36">
    <w:abstractNumId w:val="29"/>
  </w:num>
  <w:num w:numId="37">
    <w:abstractNumId w:val="8"/>
  </w:num>
  <w:num w:numId="38">
    <w:abstractNumId w:val="3"/>
  </w:num>
  <w:num w:numId="39">
    <w:abstractNumId w:val="34"/>
  </w:num>
  <w:num w:numId="40">
    <w:abstractNumId w:val="24"/>
  </w:num>
  <w:num w:numId="41">
    <w:abstractNumId w:val="19"/>
  </w:num>
  <w:num w:numId="42">
    <w:abstractNumId w:val="21"/>
  </w:num>
  <w:num w:numId="43">
    <w:abstractNumId w:val="31"/>
  </w:num>
  <w:num w:numId="44">
    <w:abstractNumId w:val="23"/>
  </w:num>
  <w:num w:numId="45">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715"/>
    <w:rsid w:val="0001027E"/>
    <w:rsid w:val="000122EA"/>
    <w:rsid w:val="00013342"/>
    <w:rsid w:val="000158B6"/>
    <w:rsid w:val="00022866"/>
    <w:rsid w:val="00023A57"/>
    <w:rsid w:val="0003619F"/>
    <w:rsid w:val="00036EBA"/>
    <w:rsid w:val="00040008"/>
    <w:rsid w:val="00042FDA"/>
    <w:rsid w:val="00047A64"/>
    <w:rsid w:val="00052ACA"/>
    <w:rsid w:val="00063331"/>
    <w:rsid w:val="00067329"/>
    <w:rsid w:val="000722AE"/>
    <w:rsid w:val="000729C5"/>
    <w:rsid w:val="000735C1"/>
    <w:rsid w:val="000842D7"/>
    <w:rsid w:val="00085D4F"/>
    <w:rsid w:val="000B2838"/>
    <w:rsid w:val="000B63F0"/>
    <w:rsid w:val="000C0429"/>
    <w:rsid w:val="000C1B68"/>
    <w:rsid w:val="000D249D"/>
    <w:rsid w:val="000D44CA"/>
    <w:rsid w:val="000D5C26"/>
    <w:rsid w:val="000D5DD3"/>
    <w:rsid w:val="000E200B"/>
    <w:rsid w:val="000F3AAD"/>
    <w:rsid w:val="000F60C5"/>
    <w:rsid w:val="000F68BE"/>
    <w:rsid w:val="000F7190"/>
    <w:rsid w:val="00114342"/>
    <w:rsid w:val="0012531F"/>
    <w:rsid w:val="0012620B"/>
    <w:rsid w:val="001269E3"/>
    <w:rsid w:val="00127DB2"/>
    <w:rsid w:val="00152757"/>
    <w:rsid w:val="001545D0"/>
    <w:rsid w:val="0016660F"/>
    <w:rsid w:val="00166F69"/>
    <w:rsid w:val="00175851"/>
    <w:rsid w:val="001875CF"/>
    <w:rsid w:val="00187882"/>
    <w:rsid w:val="001927A4"/>
    <w:rsid w:val="00194AC6"/>
    <w:rsid w:val="001A1C2D"/>
    <w:rsid w:val="001A23B0"/>
    <w:rsid w:val="001A25CC"/>
    <w:rsid w:val="001A7DE4"/>
    <w:rsid w:val="001B0341"/>
    <w:rsid w:val="001B0AAA"/>
    <w:rsid w:val="001B193B"/>
    <w:rsid w:val="001B1B1A"/>
    <w:rsid w:val="001C39F7"/>
    <w:rsid w:val="001C4362"/>
    <w:rsid w:val="001D3A85"/>
    <w:rsid w:val="001D60C3"/>
    <w:rsid w:val="001E343F"/>
    <w:rsid w:val="00203678"/>
    <w:rsid w:val="0020637F"/>
    <w:rsid w:val="00211A15"/>
    <w:rsid w:val="002207DA"/>
    <w:rsid w:val="002318E3"/>
    <w:rsid w:val="00235BF4"/>
    <w:rsid w:val="00237B48"/>
    <w:rsid w:val="0024405F"/>
    <w:rsid w:val="0024521E"/>
    <w:rsid w:val="002512A0"/>
    <w:rsid w:val="002517AF"/>
    <w:rsid w:val="00263C3D"/>
    <w:rsid w:val="002725D7"/>
    <w:rsid w:val="00273C21"/>
    <w:rsid w:val="00274D0B"/>
    <w:rsid w:val="00281BEC"/>
    <w:rsid w:val="00292020"/>
    <w:rsid w:val="002948AD"/>
    <w:rsid w:val="002B052D"/>
    <w:rsid w:val="002B34CD"/>
    <w:rsid w:val="002B3C95"/>
    <w:rsid w:val="002D0B92"/>
    <w:rsid w:val="002D3956"/>
    <w:rsid w:val="002D68C6"/>
    <w:rsid w:val="002E1137"/>
    <w:rsid w:val="002F110F"/>
    <w:rsid w:val="00302F3F"/>
    <w:rsid w:val="00303CBF"/>
    <w:rsid w:val="00307FF0"/>
    <w:rsid w:val="003117B4"/>
    <w:rsid w:val="00317A73"/>
    <w:rsid w:val="00322C73"/>
    <w:rsid w:val="0032677C"/>
    <w:rsid w:val="00326ED2"/>
    <w:rsid w:val="003333C6"/>
    <w:rsid w:val="0033493F"/>
    <w:rsid w:val="003445CA"/>
    <w:rsid w:val="00352421"/>
    <w:rsid w:val="00354657"/>
    <w:rsid w:val="00360C17"/>
    <w:rsid w:val="003675A7"/>
    <w:rsid w:val="00375007"/>
    <w:rsid w:val="00375CF6"/>
    <w:rsid w:val="003A17AC"/>
    <w:rsid w:val="003A2C84"/>
    <w:rsid w:val="003A303E"/>
    <w:rsid w:val="003B0B4A"/>
    <w:rsid w:val="003B166F"/>
    <w:rsid w:val="003B3F14"/>
    <w:rsid w:val="003C772C"/>
    <w:rsid w:val="003D5BBE"/>
    <w:rsid w:val="003E2A1F"/>
    <w:rsid w:val="003E3C61"/>
    <w:rsid w:val="003F07DE"/>
    <w:rsid w:val="003F0992"/>
    <w:rsid w:val="003F1C5B"/>
    <w:rsid w:val="003F20B0"/>
    <w:rsid w:val="003F53E5"/>
    <w:rsid w:val="0041242E"/>
    <w:rsid w:val="0041600B"/>
    <w:rsid w:val="00423293"/>
    <w:rsid w:val="00423C78"/>
    <w:rsid w:val="00427705"/>
    <w:rsid w:val="00434E33"/>
    <w:rsid w:val="00441434"/>
    <w:rsid w:val="00442BA3"/>
    <w:rsid w:val="004454F5"/>
    <w:rsid w:val="00450CF0"/>
    <w:rsid w:val="00450F30"/>
    <w:rsid w:val="0045264C"/>
    <w:rsid w:val="00457537"/>
    <w:rsid w:val="00460643"/>
    <w:rsid w:val="00462EC1"/>
    <w:rsid w:val="004742B0"/>
    <w:rsid w:val="00477EBC"/>
    <w:rsid w:val="00482003"/>
    <w:rsid w:val="00484E68"/>
    <w:rsid w:val="004876EC"/>
    <w:rsid w:val="004914EC"/>
    <w:rsid w:val="0049773F"/>
    <w:rsid w:val="004A21FC"/>
    <w:rsid w:val="004D6E14"/>
    <w:rsid w:val="004E7F94"/>
    <w:rsid w:val="004F7782"/>
    <w:rsid w:val="005009B0"/>
    <w:rsid w:val="0050606E"/>
    <w:rsid w:val="00510BA0"/>
    <w:rsid w:val="00511F28"/>
    <w:rsid w:val="00512725"/>
    <w:rsid w:val="00513FB0"/>
    <w:rsid w:val="00525502"/>
    <w:rsid w:val="00541449"/>
    <w:rsid w:val="00544380"/>
    <w:rsid w:val="005447FA"/>
    <w:rsid w:val="00545811"/>
    <w:rsid w:val="00546601"/>
    <w:rsid w:val="0055280C"/>
    <w:rsid w:val="00552DC9"/>
    <w:rsid w:val="00564991"/>
    <w:rsid w:val="0056725B"/>
    <w:rsid w:val="005712ED"/>
    <w:rsid w:val="005757B7"/>
    <w:rsid w:val="0058388F"/>
    <w:rsid w:val="005A1006"/>
    <w:rsid w:val="005A24C4"/>
    <w:rsid w:val="005B5C23"/>
    <w:rsid w:val="005C2094"/>
    <w:rsid w:val="005E712D"/>
    <w:rsid w:val="005E714A"/>
    <w:rsid w:val="005F693D"/>
    <w:rsid w:val="00603A10"/>
    <w:rsid w:val="00612276"/>
    <w:rsid w:val="00612A46"/>
    <w:rsid w:val="006140A0"/>
    <w:rsid w:val="006162D4"/>
    <w:rsid w:val="00623641"/>
    <w:rsid w:val="00636621"/>
    <w:rsid w:val="00642B49"/>
    <w:rsid w:val="006473B4"/>
    <w:rsid w:val="00656A31"/>
    <w:rsid w:val="006642C2"/>
    <w:rsid w:val="00670B03"/>
    <w:rsid w:val="00671283"/>
    <w:rsid w:val="00676F0C"/>
    <w:rsid w:val="00677FBE"/>
    <w:rsid w:val="006832D9"/>
    <w:rsid w:val="0069403B"/>
    <w:rsid w:val="006A4976"/>
    <w:rsid w:val="006A5652"/>
    <w:rsid w:val="006A7424"/>
    <w:rsid w:val="006C6EBF"/>
    <w:rsid w:val="006D2EF8"/>
    <w:rsid w:val="006E3478"/>
    <w:rsid w:val="006F3DDE"/>
    <w:rsid w:val="006F5D78"/>
    <w:rsid w:val="00704678"/>
    <w:rsid w:val="00706679"/>
    <w:rsid w:val="007104C4"/>
    <w:rsid w:val="00711159"/>
    <w:rsid w:val="00717A74"/>
    <w:rsid w:val="007276BA"/>
    <w:rsid w:val="00733585"/>
    <w:rsid w:val="00735D10"/>
    <w:rsid w:val="00737555"/>
    <w:rsid w:val="007377D4"/>
    <w:rsid w:val="007425E7"/>
    <w:rsid w:val="00751FD3"/>
    <w:rsid w:val="007528BB"/>
    <w:rsid w:val="00771128"/>
    <w:rsid w:val="007725B2"/>
    <w:rsid w:val="00774BD8"/>
    <w:rsid w:val="0077634F"/>
    <w:rsid w:val="007769AA"/>
    <w:rsid w:val="00780513"/>
    <w:rsid w:val="007807E2"/>
    <w:rsid w:val="00782012"/>
    <w:rsid w:val="007A3B7B"/>
    <w:rsid w:val="007A6452"/>
    <w:rsid w:val="007C0A63"/>
    <w:rsid w:val="007C6AFB"/>
    <w:rsid w:val="007D7C3C"/>
    <w:rsid w:val="007E065F"/>
    <w:rsid w:val="007F7080"/>
    <w:rsid w:val="00802607"/>
    <w:rsid w:val="00802FD0"/>
    <w:rsid w:val="0080788B"/>
    <w:rsid w:val="008101A5"/>
    <w:rsid w:val="00817C13"/>
    <w:rsid w:val="00822664"/>
    <w:rsid w:val="008228C3"/>
    <w:rsid w:val="008251A6"/>
    <w:rsid w:val="008266B1"/>
    <w:rsid w:val="00830086"/>
    <w:rsid w:val="00836916"/>
    <w:rsid w:val="00840A0C"/>
    <w:rsid w:val="00842BEB"/>
    <w:rsid w:val="00843796"/>
    <w:rsid w:val="00851EC6"/>
    <w:rsid w:val="00880BA1"/>
    <w:rsid w:val="00881668"/>
    <w:rsid w:val="0088670F"/>
    <w:rsid w:val="00895229"/>
    <w:rsid w:val="008A30A9"/>
    <w:rsid w:val="008A4235"/>
    <w:rsid w:val="008A5B47"/>
    <w:rsid w:val="008B2EB3"/>
    <w:rsid w:val="008C1662"/>
    <w:rsid w:val="008C174D"/>
    <w:rsid w:val="008C5563"/>
    <w:rsid w:val="008C6DD0"/>
    <w:rsid w:val="008D45C6"/>
    <w:rsid w:val="008D4AB6"/>
    <w:rsid w:val="008E212E"/>
    <w:rsid w:val="008E2E6D"/>
    <w:rsid w:val="008E6E82"/>
    <w:rsid w:val="008F0203"/>
    <w:rsid w:val="008F50D4"/>
    <w:rsid w:val="008F5E82"/>
    <w:rsid w:val="008F63B5"/>
    <w:rsid w:val="00902C02"/>
    <w:rsid w:val="009237B5"/>
    <w:rsid w:val="009239AA"/>
    <w:rsid w:val="009270CF"/>
    <w:rsid w:val="00927A1D"/>
    <w:rsid w:val="00932AD7"/>
    <w:rsid w:val="00933953"/>
    <w:rsid w:val="00934C75"/>
    <w:rsid w:val="00934E91"/>
    <w:rsid w:val="00935ADA"/>
    <w:rsid w:val="00935FD1"/>
    <w:rsid w:val="00946B6C"/>
    <w:rsid w:val="009500CD"/>
    <w:rsid w:val="009520B3"/>
    <w:rsid w:val="009530CC"/>
    <w:rsid w:val="0095391C"/>
    <w:rsid w:val="00955A71"/>
    <w:rsid w:val="0096108F"/>
    <w:rsid w:val="009804B2"/>
    <w:rsid w:val="0098366D"/>
    <w:rsid w:val="00983A6E"/>
    <w:rsid w:val="0098404E"/>
    <w:rsid w:val="009910B0"/>
    <w:rsid w:val="0099511F"/>
    <w:rsid w:val="00997B60"/>
    <w:rsid w:val="009A1651"/>
    <w:rsid w:val="009C0B95"/>
    <w:rsid w:val="009C13B9"/>
    <w:rsid w:val="009C1690"/>
    <w:rsid w:val="009D01A2"/>
    <w:rsid w:val="009D1AA7"/>
    <w:rsid w:val="009D2208"/>
    <w:rsid w:val="009E51A2"/>
    <w:rsid w:val="009E615A"/>
    <w:rsid w:val="009F09E0"/>
    <w:rsid w:val="009F1674"/>
    <w:rsid w:val="009F4885"/>
    <w:rsid w:val="009F4D46"/>
    <w:rsid w:val="009F5923"/>
    <w:rsid w:val="009F63AD"/>
    <w:rsid w:val="00A104B4"/>
    <w:rsid w:val="00A1286E"/>
    <w:rsid w:val="00A168EF"/>
    <w:rsid w:val="00A202F4"/>
    <w:rsid w:val="00A403BB"/>
    <w:rsid w:val="00A40FE1"/>
    <w:rsid w:val="00A547EC"/>
    <w:rsid w:val="00A64792"/>
    <w:rsid w:val="00A674DF"/>
    <w:rsid w:val="00A7354D"/>
    <w:rsid w:val="00A759AA"/>
    <w:rsid w:val="00A83AA6"/>
    <w:rsid w:val="00A86FC6"/>
    <w:rsid w:val="00A9314E"/>
    <w:rsid w:val="00A934D6"/>
    <w:rsid w:val="00AA0B96"/>
    <w:rsid w:val="00AA1953"/>
    <w:rsid w:val="00AA559A"/>
    <w:rsid w:val="00AA5E13"/>
    <w:rsid w:val="00AC476B"/>
    <w:rsid w:val="00AD4200"/>
    <w:rsid w:val="00AD7B85"/>
    <w:rsid w:val="00AE1809"/>
    <w:rsid w:val="00AE58F1"/>
    <w:rsid w:val="00AE715C"/>
    <w:rsid w:val="00AF0A0B"/>
    <w:rsid w:val="00B02971"/>
    <w:rsid w:val="00B04ECC"/>
    <w:rsid w:val="00B04FCB"/>
    <w:rsid w:val="00B1662E"/>
    <w:rsid w:val="00B24669"/>
    <w:rsid w:val="00B35B6F"/>
    <w:rsid w:val="00B40D88"/>
    <w:rsid w:val="00B41809"/>
    <w:rsid w:val="00B43206"/>
    <w:rsid w:val="00B45692"/>
    <w:rsid w:val="00B50579"/>
    <w:rsid w:val="00B56570"/>
    <w:rsid w:val="00B632FF"/>
    <w:rsid w:val="00B67A64"/>
    <w:rsid w:val="00B80D76"/>
    <w:rsid w:val="00B824F4"/>
    <w:rsid w:val="00B97351"/>
    <w:rsid w:val="00BA1982"/>
    <w:rsid w:val="00BA2105"/>
    <w:rsid w:val="00BA2D18"/>
    <w:rsid w:val="00BA3B92"/>
    <w:rsid w:val="00BA648E"/>
    <w:rsid w:val="00BA7E06"/>
    <w:rsid w:val="00BB43B5"/>
    <w:rsid w:val="00BB6219"/>
    <w:rsid w:val="00BD123C"/>
    <w:rsid w:val="00BD290F"/>
    <w:rsid w:val="00BD634F"/>
    <w:rsid w:val="00BD78CA"/>
    <w:rsid w:val="00BE3415"/>
    <w:rsid w:val="00BE7AC3"/>
    <w:rsid w:val="00C000C8"/>
    <w:rsid w:val="00C10D2B"/>
    <w:rsid w:val="00C1201F"/>
    <w:rsid w:val="00C14127"/>
    <w:rsid w:val="00C149C3"/>
    <w:rsid w:val="00C14CC4"/>
    <w:rsid w:val="00C16034"/>
    <w:rsid w:val="00C24EE6"/>
    <w:rsid w:val="00C26D0B"/>
    <w:rsid w:val="00C31DC8"/>
    <w:rsid w:val="00C3248F"/>
    <w:rsid w:val="00C33C52"/>
    <w:rsid w:val="00C33F0B"/>
    <w:rsid w:val="00C3417C"/>
    <w:rsid w:val="00C40ACE"/>
    <w:rsid w:val="00C40D8B"/>
    <w:rsid w:val="00C4222A"/>
    <w:rsid w:val="00C55234"/>
    <w:rsid w:val="00C635C6"/>
    <w:rsid w:val="00C6695A"/>
    <w:rsid w:val="00C715AD"/>
    <w:rsid w:val="00C72464"/>
    <w:rsid w:val="00C726D9"/>
    <w:rsid w:val="00C74CA3"/>
    <w:rsid w:val="00C8407A"/>
    <w:rsid w:val="00C8488C"/>
    <w:rsid w:val="00C85F54"/>
    <w:rsid w:val="00C86E91"/>
    <w:rsid w:val="00C92686"/>
    <w:rsid w:val="00C96E4E"/>
    <w:rsid w:val="00CA2650"/>
    <w:rsid w:val="00CA5F43"/>
    <w:rsid w:val="00CB1078"/>
    <w:rsid w:val="00CC1E9E"/>
    <w:rsid w:val="00CC473C"/>
    <w:rsid w:val="00CC6FAF"/>
    <w:rsid w:val="00CD54BD"/>
    <w:rsid w:val="00CE0917"/>
    <w:rsid w:val="00CE15B5"/>
    <w:rsid w:val="00CE3169"/>
    <w:rsid w:val="00CF6542"/>
    <w:rsid w:val="00CF690C"/>
    <w:rsid w:val="00D13232"/>
    <w:rsid w:val="00D134C8"/>
    <w:rsid w:val="00D13F0F"/>
    <w:rsid w:val="00D17F80"/>
    <w:rsid w:val="00D21839"/>
    <w:rsid w:val="00D24698"/>
    <w:rsid w:val="00D2506A"/>
    <w:rsid w:val="00D32690"/>
    <w:rsid w:val="00D3685A"/>
    <w:rsid w:val="00D42D09"/>
    <w:rsid w:val="00D47904"/>
    <w:rsid w:val="00D5003D"/>
    <w:rsid w:val="00D50CBC"/>
    <w:rsid w:val="00D61668"/>
    <w:rsid w:val="00D6383F"/>
    <w:rsid w:val="00D65CEF"/>
    <w:rsid w:val="00D72634"/>
    <w:rsid w:val="00D775C9"/>
    <w:rsid w:val="00D776F9"/>
    <w:rsid w:val="00D93650"/>
    <w:rsid w:val="00D95BBF"/>
    <w:rsid w:val="00DA1E94"/>
    <w:rsid w:val="00DA42A4"/>
    <w:rsid w:val="00DB2A32"/>
    <w:rsid w:val="00DB59D0"/>
    <w:rsid w:val="00DC2C37"/>
    <w:rsid w:val="00DC33D3"/>
    <w:rsid w:val="00DD1457"/>
    <w:rsid w:val="00DD4A03"/>
    <w:rsid w:val="00DE405E"/>
    <w:rsid w:val="00DE4B40"/>
    <w:rsid w:val="00DF2269"/>
    <w:rsid w:val="00E04C61"/>
    <w:rsid w:val="00E067D4"/>
    <w:rsid w:val="00E07EEE"/>
    <w:rsid w:val="00E251AB"/>
    <w:rsid w:val="00E26329"/>
    <w:rsid w:val="00E31D82"/>
    <w:rsid w:val="00E360F0"/>
    <w:rsid w:val="00E40B50"/>
    <w:rsid w:val="00E429B2"/>
    <w:rsid w:val="00E47F36"/>
    <w:rsid w:val="00E50293"/>
    <w:rsid w:val="00E57BF1"/>
    <w:rsid w:val="00E65FFC"/>
    <w:rsid w:val="00E744EA"/>
    <w:rsid w:val="00E80951"/>
    <w:rsid w:val="00E86CC6"/>
    <w:rsid w:val="00EA1F25"/>
    <w:rsid w:val="00EA30E6"/>
    <w:rsid w:val="00EB2587"/>
    <w:rsid w:val="00EB56B3"/>
    <w:rsid w:val="00EB57E7"/>
    <w:rsid w:val="00EC6F25"/>
    <w:rsid w:val="00ED1CCD"/>
    <w:rsid w:val="00ED534E"/>
    <w:rsid w:val="00ED6492"/>
    <w:rsid w:val="00EE0839"/>
    <w:rsid w:val="00EE0CCA"/>
    <w:rsid w:val="00EF0DF0"/>
    <w:rsid w:val="00EF2095"/>
    <w:rsid w:val="00EF645C"/>
    <w:rsid w:val="00F02412"/>
    <w:rsid w:val="00F06407"/>
    <w:rsid w:val="00F06866"/>
    <w:rsid w:val="00F15956"/>
    <w:rsid w:val="00F20A53"/>
    <w:rsid w:val="00F20B93"/>
    <w:rsid w:val="00F24CFC"/>
    <w:rsid w:val="00F3170F"/>
    <w:rsid w:val="00F319E6"/>
    <w:rsid w:val="00F33945"/>
    <w:rsid w:val="00F36898"/>
    <w:rsid w:val="00F51AC7"/>
    <w:rsid w:val="00F562AC"/>
    <w:rsid w:val="00F62E70"/>
    <w:rsid w:val="00F7469B"/>
    <w:rsid w:val="00F77568"/>
    <w:rsid w:val="00F822D6"/>
    <w:rsid w:val="00F82E93"/>
    <w:rsid w:val="00F85D83"/>
    <w:rsid w:val="00F976B0"/>
    <w:rsid w:val="00FA6DE7"/>
    <w:rsid w:val="00FB5331"/>
    <w:rsid w:val="00FB7C28"/>
    <w:rsid w:val="00FC0A8E"/>
    <w:rsid w:val="00FE2FA6"/>
    <w:rsid w:val="00FE3DF2"/>
    <w:rsid w:val="00FE4C35"/>
    <w:rsid w:val="00FE5336"/>
    <w:rsid w:val="00FE6CEB"/>
    <w:rsid w:val="00FF1ABA"/>
    <w:rsid w:val="00FF4114"/>
    <w:rsid w:val="00FF414E"/>
    <w:rsid w:val="3223A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47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59230">
      <w:bodyDiv w:val="1"/>
      <w:marLeft w:val="0"/>
      <w:marRight w:val="0"/>
      <w:marTop w:val="0"/>
      <w:marBottom w:val="0"/>
      <w:divBdr>
        <w:top w:val="none" w:sz="0" w:space="0" w:color="auto"/>
        <w:left w:val="none" w:sz="0" w:space="0" w:color="auto"/>
        <w:bottom w:val="none" w:sz="0" w:space="0" w:color="auto"/>
        <w:right w:val="none" w:sz="0" w:space="0" w:color="auto"/>
      </w:divBdr>
    </w:div>
    <w:div w:id="328945163">
      <w:bodyDiv w:val="1"/>
      <w:marLeft w:val="0"/>
      <w:marRight w:val="0"/>
      <w:marTop w:val="0"/>
      <w:marBottom w:val="0"/>
      <w:divBdr>
        <w:top w:val="none" w:sz="0" w:space="0" w:color="auto"/>
        <w:left w:val="none" w:sz="0" w:space="0" w:color="auto"/>
        <w:bottom w:val="none" w:sz="0" w:space="0" w:color="auto"/>
        <w:right w:val="none" w:sz="0" w:space="0" w:color="auto"/>
      </w:divBdr>
    </w:div>
    <w:div w:id="625279584">
      <w:bodyDiv w:val="1"/>
      <w:marLeft w:val="0"/>
      <w:marRight w:val="0"/>
      <w:marTop w:val="0"/>
      <w:marBottom w:val="0"/>
      <w:divBdr>
        <w:top w:val="none" w:sz="0" w:space="0" w:color="auto"/>
        <w:left w:val="none" w:sz="0" w:space="0" w:color="auto"/>
        <w:bottom w:val="none" w:sz="0" w:space="0" w:color="auto"/>
        <w:right w:val="none" w:sz="0" w:space="0" w:color="auto"/>
      </w:divBdr>
    </w:div>
    <w:div w:id="681207127">
      <w:bodyDiv w:val="1"/>
      <w:marLeft w:val="0"/>
      <w:marRight w:val="0"/>
      <w:marTop w:val="0"/>
      <w:marBottom w:val="0"/>
      <w:divBdr>
        <w:top w:val="none" w:sz="0" w:space="0" w:color="auto"/>
        <w:left w:val="none" w:sz="0" w:space="0" w:color="auto"/>
        <w:bottom w:val="none" w:sz="0" w:space="0" w:color="auto"/>
        <w:right w:val="none" w:sz="0" w:space="0" w:color="auto"/>
      </w:divBdr>
    </w:div>
    <w:div w:id="759061545">
      <w:bodyDiv w:val="1"/>
      <w:marLeft w:val="0"/>
      <w:marRight w:val="0"/>
      <w:marTop w:val="0"/>
      <w:marBottom w:val="0"/>
      <w:divBdr>
        <w:top w:val="none" w:sz="0" w:space="0" w:color="auto"/>
        <w:left w:val="none" w:sz="0" w:space="0" w:color="auto"/>
        <w:bottom w:val="none" w:sz="0" w:space="0" w:color="auto"/>
        <w:right w:val="none" w:sz="0" w:space="0" w:color="auto"/>
      </w:divBdr>
    </w:div>
    <w:div w:id="1142230840">
      <w:bodyDiv w:val="1"/>
      <w:marLeft w:val="0"/>
      <w:marRight w:val="0"/>
      <w:marTop w:val="0"/>
      <w:marBottom w:val="0"/>
      <w:divBdr>
        <w:top w:val="none" w:sz="0" w:space="0" w:color="auto"/>
        <w:left w:val="none" w:sz="0" w:space="0" w:color="auto"/>
        <w:bottom w:val="none" w:sz="0" w:space="0" w:color="auto"/>
        <w:right w:val="none" w:sz="0" w:space="0" w:color="auto"/>
      </w:divBdr>
    </w:div>
    <w:div w:id="1676491235">
      <w:bodyDiv w:val="1"/>
      <w:marLeft w:val="0"/>
      <w:marRight w:val="0"/>
      <w:marTop w:val="0"/>
      <w:marBottom w:val="0"/>
      <w:divBdr>
        <w:top w:val="none" w:sz="0" w:space="0" w:color="auto"/>
        <w:left w:val="none" w:sz="0" w:space="0" w:color="auto"/>
        <w:bottom w:val="none" w:sz="0" w:space="0" w:color="auto"/>
        <w:right w:val="none" w:sz="0" w:space="0" w:color="auto"/>
      </w:divBdr>
    </w:div>
    <w:div w:id="18914594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5" ma:contentTypeDescription="Create a new document." ma:contentTypeScope="" ma:versionID="6bdf4c63ea432073857368c0da57220c">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0e90d26af4e2494441f055421b858a72"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F0C3-B354-43DF-98CE-1EE04AA23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2B241-B5E1-42DE-BDD6-E4BAB7A629E2}">
  <ds:schemaRefs>
    <ds:schemaRef ds:uri="http://schemas.microsoft.com/sharepoint/v3/contenttype/forms"/>
  </ds:schemaRefs>
</ds:datastoreItem>
</file>

<file path=customXml/itemProps3.xml><?xml version="1.0" encoding="utf-8"?>
<ds:datastoreItem xmlns:ds="http://schemas.openxmlformats.org/officeDocument/2006/customXml" ds:itemID="{33BC4368-F3EA-4C18-A74A-BFB95A5199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0EEDF-9BA9-420F-BA4B-61656021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8910</Characters>
  <Application>Microsoft Office Word</Application>
  <DocSecurity>0</DocSecurity>
  <Lines>74</Lines>
  <Paragraphs>20</Paragraphs>
  <ScaleCrop>false</ScaleCrop>
  <Company>ssa</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SYSTEM</cp:lastModifiedBy>
  <cp:revision>2</cp:revision>
  <cp:lastPrinted>2015-11-17T18:40:00Z</cp:lastPrinted>
  <dcterms:created xsi:type="dcterms:W3CDTF">2017-11-16T17:44:00Z</dcterms:created>
  <dcterms:modified xsi:type="dcterms:W3CDTF">2017-11-16T17:44:00Z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0x010100F225E64688DA594595971EAEF6305BBD</vt:lpwstr>
  </property>
</Properties>
</file>