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0D3" w:rsidRDefault="00AE50D3" w:rsidP="00AE50D3">
      <w:pPr>
        <w:rPr>
          <w:b/>
          <w:bCs/>
          <w:sz w:val="24"/>
          <w:szCs w:val="24"/>
        </w:rPr>
      </w:pPr>
    </w:p>
    <w:p w:rsidR="00AE50D3" w:rsidRDefault="00AE50D3" w:rsidP="00AE50D3">
      <w:pPr>
        <w:rPr>
          <w:b/>
          <w:bCs/>
          <w:sz w:val="24"/>
          <w:szCs w:val="24"/>
        </w:rPr>
      </w:pPr>
    </w:p>
    <w:p w:rsidR="00AE50D3" w:rsidRDefault="00AE50D3" w:rsidP="00AE50D3">
      <w:pPr>
        <w:jc w:val="center"/>
        <w:rPr>
          <w:b/>
          <w:bCs/>
          <w:sz w:val="24"/>
          <w:szCs w:val="24"/>
        </w:rPr>
      </w:pPr>
      <w:r>
        <w:rPr>
          <w:b/>
          <w:bCs/>
          <w:sz w:val="24"/>
          <w:szCs w:val="24"/>
        </w:rPr>
        <w:t>SUPPORTING STATEMENT</w:t>
      </w:r>
    </w:p>
    <w:p w:rsidR="00AE50D3" w:rsidRDefault="00AE50D3" w:rsidP="00AE50D3">
      <w:pPr>
        <w:jc w:val="center"/>
        <w:rPr>
          <w:b/>
          <w:bCs/>
          <w:caps/>
          <w:sz w:val="24"/>
          <w:szCs w:val="24"/>
        </w:rPr>
      </w:pPr>
      <w:bookmarkStart w:id="0" w:name="OLE_LINK3"/>
      <w:bookmarkStart w:id="1" w:name="OLE_LINK4"/>
      <w:smartTag w:uri="urn:schemas-microsoft-com:office:smarttags" w:element="place">
        <w:smartTag w:uri="urn:schemas-microsoft-com:office:smarttags" w:element="State">
          <w:r w:rsidRPr="00AD01EB">
            <w:rPr>
              <w:b/>
              <w:bCs/>
              <w:caps/>
              <w:sz w:val="24"/>
              <w:szCs w:val="24"/>
            </w:rPr>
            <w:t>Alaska</w:t>
          </w:r>
        </w:smartTag>
      </w:smartTag>
      <w:r w:rsidRPr="00AD01EB">
        <w:rPr>
          <w:b/>
          <w:bCs/>
          <w:caps/>
          <w:sz w:val="24"/>
          <w:szCs w:val="24"/>
        </w:rPr>
        <w:t xml:space="preserve"> Saltwater Sport Fishing Economic Survey</w:t>
      </w:r>
      <w:bookmarkEnd w:id="0"/>
      <w:bookmarkEnd w:id="1"/>
    </w:p>
    <w:p w:rsidR="00AE50D3" w:rsidRPr="005C28D1" w:rsidRDefault="00AE50D3" w:rsidP="00AE50D3">
      <w:pPr>
        <w:jc w:val="center"/>
        <w:rPr>
          <w:b/>
          <w:bCs/>
          <w:sz w:val="24"/>
          <w:szCs w:val="24"/>
        </w:rPr>
      </w:pPr>
      <w:proofErr w:type="gramStart"/>
      <w:r>
        <w:rPr>
          <w:b/>
          <w:bCs/>
          <w:caps/>
          <w:sz w:val="24"/>
          <w:szCs w:val="24"/>
        </w:rPr>
        <w:t>OMB Control no.</w:t>
      </w:r>
      <w:proofErr w:type="gramEnd"/>
      <w:r>
        <w:rPr>
          <w:b/>
          <w:bCs/>
          <w:caps/>
          <w:sz w:val="24"/>
          <w:szCs w:val="24"/>
        </w:rPr>
        <w:t xml:space="preserve"> 0648-</w:t>
      </w:r>
      <w:r>
        <w:rPr>
          <w:b/>
          <w:bCs/>
          <w:sz w:val="24"/>
          <w:szCs w:val="24"/>
        </w:rPr>
        <w:t>0639</w:t>
      </w:r>
    </w:p>
    <w:p w:rsidR="00AE50D3" w:rsidRDefault="00AE50D3" w:rsidP="00AE50D3">
      <w:pPr>
        <w:rPr>
          <w:b/>
          <w:bCs/>
          <w:sz w:val="24"/>
          <w:szCs w:val="24"/>
        </w:rPr>
      </w:pPr>
    </w:p>
    <w:p w:rsidR="00AE50D3" w:rsidRDefault="00AE50D3" w:rsidP="00AE50D3">
      <w:pPr>
        <w:rPr>
          <w:b/>
          <w:bCs/>
          <w:sz w:val="24"/>
          <w:szCs w:val="24"/>
        </w:rPr>
      </w:pPr>
    </w:p>
    <w:p w:rsidR="00AE50D3" w:rsidRDefault="00AE50D3" w:rsidP="00AE50D3">
      <w:pPr>
        <w:rPr>
          <w:sz w:val="24"/>
          <w:szCs w:val="24"/>
        </w:rPr>
      </w:pPr>
      <w:bookmarkStart w:id="2" w:name="_GoBack"/>
      <w:bookmarkEnd w:id="2"/>
      <w:r>
        <w:rPr>
          <w:b/>
          <w:bCs/>
          <w:sz w:val="24"/>
          <w:szCs w:val="24"/>
        </w:rPr>
        <w:t>B.</w:t>
      </w:r>
      <w:r>
        <w:rPr>
          <w:b/>
          <w:bCs/>
          <w:sz w:val="24"/>
          <w:szCs w:val="24"/>
        </w:rPr>
        <w:tab/>
        <w:t>COLLECTIONS OF INFORMATION EMPLOYING STATISTICAL METHODS</w:t>
      </w:r>
    </w:p>
    <w:p w:rsidR="00AE50D3" w:rsidRDefault="00AE50D3" w:rsidP="00AE50D3">
      <w:pPr>
        <w:rPr>
          <w:sz w:val="24"/>
          <w:szCs w:val="24"/>
        </w:rPr>
      </w:pPr>
    </w:p>
    <w:p w:rsidR="00AE50D3" w:rsidRDefault="00AE50D3" w:rsidP="00AE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1.  </w:t>
      </w:r>
      <w:r w:rsidRPr="00A251FB">
        <w:rPr>
          <w:b/>
          <w:bCs/>
          <w:sz w:val="24"/>
          <w:szCs w:val="24"/>
        </w:rPr>
        <w:t>Describe (including a numerical estimate) the potential respondent universe and any sampling or other respondent selection method to be used. Data on the number of entities (e.g.</w:t>
      </w:r>
      <w:r>
        <w:rPr>
          <w:b/>
          <w:bCs/>
          <w:sz w:val="24"/>
          <w:szCs w:val="24"/>
        </w:rPr>
        <w:t>,</w:t>
      </w:r>
      <w:r w:rsidRPr="00A251FB">
        <w:rPr>
          <w:b/>
          <w:bCs/>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AE50D3" w:rsidRPr="00603571"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rPr>
          <w:sz w:val="24"/>
          <w:szCs w:val="24"/>
        </w:rPr>
      </w:pPr>
      <w:r w:rsidRPr="00603571">
        <w:rPr>
          <w:sz w:val="24"/>
          <w:szCs w:val="24"/>
        </w:rPr>
        <w:t xml:space="preserve">The potential respondent universe is all </w:t>
      </w:r>
      <w:r>
        <w:rPr>
          <w:sz w:val="24"/>
          <w:szCs w:val="24"/>
        </w:rPr>
        <w:t xml:space="preserve">U.S. residents who purchased an Alaska sport fishing license during 2016.  The sport fishing license program is administered by the Alaska Department of Fish and Game (ADF&amp;G).  In 2015, approximately 479,000 U.S. residents purchased Alaska fishing licenses—we expect a similar number for 2016.  Thus, the population consists of all </w:t>
      </w:r>
      <w:smartTag w:uri="urn:schemas-microsoft-com:office:smarttags" w:element="country-region">
        <w:r>
          <w:rPr>
            <w:sz w:val="24"/>
            <w:szCs w:val="24"/>
          </w:rPr>
          <w:t>U.S.</w:t>
        </w:r>
      </w:smartTag>
      <w:r>
        <w:rPr>
          <w:sz w:val="24"/>
          <w:szCs w:val="24"/>
        </w:rPr>
        <w:t xml:space="preserve"> residents who could legally sport fish in the saltwater off </w:t>
      </w:r>
      <w:smartTag w:uri="urn:schemas-microsoft-com:office:smarttags" w:element="place">
        <w:smartTag w:uri="urn:schemas-microsoft-com:office:smarttags" w:element="State">
          <w:r>
            <w:rPr>
              <w:sz w:val="24"/>
              <w:szCs w:val="24"/>
            </w:rPr>
            <w:t>Alaska</w:t>
          </w:r>
        </w:smartTag>
      </w:smartTag>
      <w:r>
        <w:rPr>
          <w:sz w:val="24"/>
          <w:szCs w:val="24"/>
        </w:rPr>
        <w:t xml:space="preserve"> during the year.</w:t>
      </w:r>
    </w:p>
    <w:p w:rsidR="00AE50D3" w:rsidRDefault="00AE50D3" w:rsidP="00AE50D3">
      <w:pPr>
        <w:rPr>
          <w:sz w:val="24"/>
          <w:szCs w:val="24"/>
        </w:rPr>
      </w:pPr>
    </w:p>
    <w:p w:rsidR="00AE50D3" w:rsidRDefault="00AE50D3" w:rsidP="00AE50D3">
      <w:pPr>
        <w:rPr>
          <w:sz w:val="24"/>
          <w:szCs w:val="24"/>
        </w:rPr>
      </w:pPr>
      <w:r>
        <w:rPr>
          <w:sz w:val="24"/>
          <w:szCs w:val="24"/>
        </w:rPr>
        <w:t>A stratified random sample of approximately 6,000—2,445 non-Alaska U.S. resident license holders and 3,555 Alaska resident license holders–will be used in the full survey, with the Alaska resident license holders split between residents of Southeast Alaska (1,333 of the 3,555) and the rest of Alaska (2,222 of the 3,555).  In 2015, about 60% of the licenses sold to U.S. residents were to non-Alaskans (288,915 licens</w:t>
      </w:r>
      <w:r w:rsidRPr="00860B1C">
        <w:rPr>
          <w:sz w:val="24"/>
          <w:szCs w:val="24"/>
        </w:rPr>
        <w:t xml:space="preserve">es).  From 1991 and 2000, the annual percentage of Southeast Alaskan license holders averaged 13.7% </w:t>
      </w:r>
      <w:r>
        <w:rPr>
          <w:sz w:val="24"/>
          <w:szCs w:val="24"/>
        </w:rPr>
        <w:t xml:space="preserve">of all Alaska resident license holders </w:t>
      </w:r>
      <w:r w:rsidRPr="00860B1C">
        <w:rPr>
          <w:sz w:val="24"/>
          <w:szCs w:val="24"/>
        </w:rPr>
        <w:t>(Walker, et al., 2003).</w:t>
      </w:r>
      <w:r>
        <w:rPr>
          <w:sz w:val="24"/>
          <w:szCs w:val="24"/>
        </w:rPr>
        <w:t xml:space="preserve">  The oversampling of Southeast Alaska residents will ensure a sample sufficient to estimate statistically significant results for Southeast Alaska separate from the rest of Alaska.</w:t>
      </w:r>
    </w:p>
    <w:p w:rsidR="00AE50D3" w:rsidRDefault="00AE50D3" w:rsidP="00AE50D3">
      <w:pPr>
        <w:rPr>
          <w:sz w:val="24"/>
          <w:szCs w:val="24"/>
        </w:rPr>
      </w:pPr>
    </w:p>
    <w:p w:rsidR="00AE50D3" w:rsidRPr="00603571" w:rsidRDefault="00AE50D3" w:rsidP="00AE50D3">
      <w:pPr>
        <w:rPr>
          <w:sz w:val="24"/>
          <w:szCs w:val="24"/>
        </w:rPr>
      </w:pPr>
      <w:r w:rsidRPr="00603571">
        <w:rPr>
          <w:sz w:val="24"/>
          <w:szCs w:val="24"/>
        </w:rPr>
        <w:t>For the collection as a whole, a</w:t>
      </w:r>
      <w:r>
        <w:rPr>
          <w:sz w:val="24"/>
          <w:szCs w:val="24"/>
        </w:rPr>
        <w:t>n overall</w:t>
      </w:r>
      <w:r w:rsidRPr="00603571">
        <w:rPr>
          <w:sz w:val="24"/>
          <w:szCs w:val="24"/>
        </w:rPr>
        <w:t xml:space="preserve"> response rate</w:t>
      </w:r>
      <w:r>
        <w:rPr>
          <w:sz w:val="24"/>
          <w:szCs w:val="24"/>
        </w:rPr>
        <w:t xml:space="preserve"> of</w:t>
      </w:r>
      <w:r w:rsidRPr="00603571">
        <w:rPr>
          <w:sz w:val="24"/>
          <w:szCs w:val="24"/>
        </w:rPr>
        <w:t xml:space="preserve"> </w:t>
      </w:r>
      <w:r>
        <w:rPr>
          <w:sz w:val="24"/>
          <w:szCs w:val="24"/>
        </w:rPr>
        <w:t>50</w:t>
      </w:r>
      <w:r w:rsidRPr="00603571">
        <w:rPr>
          <w:sz w:val="24"/>
          <w:szCs w:val="24"/>
        </w:rPr>
        <w:t xml:space="preserve">% is anticipated.  This estimate is based on </w:t>
      </w:r>
      <w:r>
        <w:rPr>
          <w:sz w:val="24"/>
          <w:szCs w:val="24"/>
        </w:rPr>
        <w:t>the 2012 survey that used similar survey protocols and materials.  The study achieved response rates of 53.7%, 41.1%, and 46.1% for non-residents, Southeast Alaska residents, and other Alaska residents, respectively.</w:t>
      </w: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2.  </w:t>
      </w:r>
      <w:r w:rsidRPr="00F4332F">
        <w:rPr>
          <w:b/>
          <w:bCs/>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rPr>
          <w:sz w:val="24"/>
          <w:szCs w:val="24"/>
        </w:rPr>
      </w:pPr>
      <w:r w:rsidRPr="00603571">
        <w:rPr>
          <w:sz w:val="24"/>
          <w:szCs w:val="24"/>
        </w:rPr>
        <w:t xml:space="preserve">The </w:t>
      </w:r>
      <w:r>
        <w:rPr>
          <w:sz w:val="24"/>
          <w:szCs w:val="24"/>
        </w:rPr>
        <w:t>full implementation</w:t>
      </w:r>
      <w:r w:rsidRPr="00603571">
        <w:rPr>
          <w:sz w:val="24"/>
          <w:szCs w:val="24"/>
        </w:rPr>
        <w:t xml:space="preserve"> will use a stratified random s</w:t>
      </w:r>
      <w:r>
        <w:rPr>
          <w:sz w:val="24"/>
          <w:szCs w:val="24"/>
        </w:rPr>
        <w:t>ample of approximately 6,000 U.S. residents who purchased an Alaska sport fishing license during 2016</w:t>
      </w:r>
      <w:r w:rsidRPr="00603571">
        <w:rPr>
          <w:sz w:val="24"/>
          <w:szCs w:val="24"/>
        </w:rPr>
        <w:t xml:space="preserve">.  </w:t>
      </w:r>
      <w:r>
        <w:rPr>
          <w:sz w:val="24"/>
          <w:szCs w:val="24"/>
        </w:rPr>
        <w:t xml:space="preserve">For purposes of sampling, </w:t>
      </w:r>
      <w:r>
        <w:rPr>
          <w:sz w:val="24"/>
          <w:szCs w:val="24"/>
        </w:rPr>
        <w:lastRenderedPageBreak/>
        <w:t xml:space="preserve">the population is divided into three strata:  non-Alaska </w:t>
      </w:r>
      <w:smartTag w:uri="urn:schemas-microsoft-com:office:smarttags" w:element="country-region">
        <w:r>
          <w:rPr>
            <w:sz w:val="24"/>
            <w:szCs w:val="24"/>
          </w:rPr>
          <w:t>U.S.</w:t>
        </w:r>
      </w:smartTag>
      <w:r>
        <w:rPr>
          <w:sz w:val="24"/>
          <w:szCs w:val="24"/>
        </w:rPr>
        <w:t xml:space="preserve"> residents (NR), Southeast Alaska (SE) residents, and non-Southeast (SC) </w:t>
      </w:r>
      <w:smartTag w:uri="urn:schemas-microsoft-com:office:smarttags" w:element="State">
        <w:r>
          <w:rPr>
            <w:sz w:val="24"/>
            <w:szCs w:val="24"/>
          </w:rPr>
          <w:t>Alaska</w:t>
        </w:r>
      </w:smartTag>
      <w:r>
        <w:rPr>
          <w:sz w:val="24"/>
          <w:szCs w:val="24"/>
        </w:rPr>
        <w:t xml:space="preserve"> residents (i.e., all other </w:t>
      </w:r>
      <w:smartTag w:uri="urn:schemas-microsoft-com:office:smarttags" w:element="State">
        <w:r>
          <w:rPr>
            <w:sz w:val="24"/>
            <w:szCs w:val="24"/>
          </w:rPr>
          <w:t>Alaska</w:t>
        </w:r>
      </w:smartTag>
      <w:r>
        <w:rPr>
          <w:sz w:val="24"/>
          <w:szCs w:val="24"/>
        </w:rPr>
        <w:t xml:space="preserve"> residents, the vast majority of which live in Southcentral </w:t>
      </w:r>
      <w:smartTag w:uri="urn:schemas-microsoft-com:office:smarttags" w:element="place">
        <w:smartTag w:uri="urn:schemas-microsoft-com:office:smarttags" w:element="State">
          <w:r>
            <w:rPr>
              <w:sz w:val="24"/>
              <w:szCs w:val="24"/>
            </w:rPr>
            <w:t>Alaska</w:t>
          </w:r>
        </w:smartTag>
      </w:smartTag>
      <w:r>
        <w:rPr>
          <w:sz w:val="24"/>
          <w:szCs w:val="24"/>
        </w:rPr>
        <w:t xml:space="preserve">).  Alaskans and non-Alaskans use the fishery resource and participate in the fishery in substantively different ways.  Non-Alaskans are more likely to fly or take a cruise ship to </w:t>
      </w:r>
      <w:smartTag w:uri="urn:schemas-microsoft-com:office:smarttags" w:element="place">
        <w:smartTag w:uri="urn:schemas-microsoft-com:office:smarttags" w:element="State">
          <w:r>
            <w:rPr>
              <w:sz w:val="24"/>
              <w:szCs w:val="24"/>
            </w:rPr>
            <w:t>Alaska</w:t>
          </w:r>
        </w:smartTag>
      </w:smartTag>
      <w:r>
        <w:rPr>
          <w:sz w:val="24"/>
          <w:szCs w:val="24"/>
        </w:rPr>
        <w:t xml:space="preserve">, fish less frequently than residents, and use charter boat services more often.  </w:t>
      </w:r>
      <w:r w:rsidRPr="001C0F43">
        <w:rPr>
          <w:sz w:val="24"/>
          <w:szCs w:val="24"/>
        </w:rPr>
        <w:t xml:space="preserve">Among Alaskans, </w:t>
      </w:r>
      <w:r>
        <w:rPr>
          <w:sz w:val="24"/>
          <w:szCs w:val="24"/>
        </w:rPr>
        <w:t>SE</w:t>
      </w:r>
      <w:r w:rsidRPr="001C0F43">
        <w:rPr>
          <w:sz w:val="24"/>
          <w:szCs w:val="24"/>
        </w:rPr>
        <w:t xml:space="preserve"> residents are more likely to have access to private boat</w:t>
      </w:r>
      <w:r>
        <w:rPr>
          <w:sz w:val="24"/>
          <w:szCs w:val="24"/>
        </w:rPr>
        <w:t>s</w:t>
      </w:r>
      <w:r w:rsidRPr="001C0F43">
        <w:rPr>
          <w:sz w:val="24"/>
          <w:szCs w:val="24"/>
        </w:rPr>
        <w:t xml:space="preserve"> they can use to fish for halibut and other saltwater fish and </w:t>
      </w:r>
      <w:r>
        <w:rPr>
          <w:sz w:val="24"/>
          <w:szCs w:val="24"/>
        </w:rPr>
        <w:t xml:space="preserve">fish more frequently in </w:t>
      </w:r>
      <w:r w:rsidRPr="001C0F43">
        <w:rPr>
          <w:sz w:val="24"/>
          <w:szCs w:val="24"/>
        </w:rPr>
        <w:t xml:space="preserve">saltwater compared to </w:t>
      </w:r>
      <w:r>
        <w:rPr>
          <w:sz w:val="24"/>
          <w:szCs w:val="24"/>
        </w:rPr>
        <w:t>anglers</w:t>
      </w:r>
      <w:r w:rsidRPr="001C0F43">
        <w:rPr>
          <w:sz w:val="24"/>
          <w:szCs w:val="24"/>
        </w:rPr>
        <w:t xml:space="preserve"> </w:t>
      </w:r>
      <w:r>
        <w:rPr>
          <w:sz w:val="24"/>
          <w:szCs w:val="24"/>
        </w:rPr>
        <w:t>living in</w:t>
      </w:r>
      <w:r w:rsidRPr="001C0F43">
        <w:rPr>
          <w:sz w:val="24"/>
          <w:szCs w:val="24"/>
        </w:rPr>
        <w:t xml:space="preserve"> other areas of </w:t>
      </w:r>
      <w:r>
        <w:rPr>
          <w:sz w:val="24"/>
          <w:szCs w:val="24"/>
        </w:rPr>
        <w:t>state (Lew, Lee, and Larson, 2010)</w:t>
      </w:r>
      <w:r w:rsidRPr="001C0F43">
        <w:rPr>
          <w:sz w:val="24"/>
          <w:szCs w:val="24"/>
        </w:rPr>
        <w:t>.</w:t>
      </w:r>
      <w:r>
        <w:rPr>
          <w:sz w:val="24"/>
          <w:szCs w:val="24"/>
        </w:rPr>
        <w:t xml:space="preserve">  These behavioral differences lead to differing spending behavior and may be indicative of differences in preferences for, and expectations of, fishing trips in Alaska.  As a result, fishery regulations, which often differ in Southeast Alaska from the rest of Alaska, may affect each stratum differently.  Consequently, a stratified sampling method is employed to ensure that separate, statistically significant, estimates for each of the three strata can be obtained and differences between the strata can be detected.</w:t>
      </w:r>
    </w:p>
    <w:p w:rsidR="00AE50D3" w:rsidRDefault="00AE50D3" w:rsidP="00AE50D3">
      <w:pPr>
        <w:rPr>
          <w:sz w:val="24"/>
          <w:szCs w:val="24"/>
        </w:rPr>
      </w:pPr>
    </w:p>
    <w:p w:rsidR="00AE50D3" w:rsidRDefault="00AE50D3" w:rsidP="00AE50D3">
      <w:pPr>
        <w:rPr>
          <w:sz w:val="24"/>
          <w:szCs w:val="24"/>
        </w:rPr>
      </w:pPr>
      <w:r>
        <w:rPr>
          <w:sz w:val="24"/>
          <w:szCs w:val="24"/>
        </w:rPr>
        <w:t>The Southeast Alaska and non-Southeast Alaska sample strata will consist of 1,333 and 2,222 license holders, respectively, while the non-Alaska sample stratum will consist of 2,445 license holders (a total of 6,000 license holders).  The samples will be drawn from the Alaska Department of Fish and Game’s Fish License Data file, which contains the names and addresses of all individuals who have purchased a license to sport fish in the state</w:t>
      </w:r>
      <w:r w:rsidRPr="00603571">
        <w:rPr>
          <w:sz w:val="24"/>
          <w:szCs w:val="24"/>
        </w:rPr>
        <w:t xml:space="preserve">.  </w:t>
      </w:r>
      <w:r>
        <w:rPr>
          <w:sz w:val="24"/>
          <w:szCs w:val="24"/>
        </w:rPr>
        <w:t xml:space="preserve">Address information will be used to construct the three sampling frames representing SE resident license holders, non-SE (SC) </w:t>
      </w:r>
      <w:smartTag w:uri="urn:schemas-microsoft-com:office:smarttags" w:element="State">
        <w:r>
          <w:rPr>
            <w:sz w:val="24"/>
            <w:szCs w:val="24"/>
          </w:rPr>
          <w:t>Alaska</w:t>
        </w:r>
      </w:smartTag>
      <w:r>
        <w:rPr>
          <w:sz w:val="24"/>
          <w:szCs w:val="24"/>
        </w:rPr>
        <w:t xml:space="preserve"> resident license holders, and non-resident </w:t>
      </w:r>
      <w:smartTag w:uri="urn:schemas-microsoft-com:office:smarttags" w:element="place">
        <w:smartTag w:uri="urn:schemas-microsoft-com:office:smarttags" w:element="country-region">
          <w:r>
            <w:rPr>
              <w:sz w:val="24"/>
              <w:szCs w:val="24"/>
            </w:rPr>
            <w:t>U.S.</w:t>
          </w:r>
        </w:smartTag>
      </w:smartTag>
      <w:r>
        <w:rPr>
          <w:sz w:val="24"/>
          <w:szCs w:val="24"/>
        </w:rPr>
        <w:t xml:space="preserve"> license holders.  A random sample of license holders will be selected from each of the </w:t>
      </w:r>
      <w:smartTag w:uri="urn:schemas-microsoft-com:office:smarttags" w:element="place">
        <w:smartTag w:uri="urn:schemas-microsoft-com:office:smarttags" w:element="State">
          <w:r>
            <w:rPr>
              <w:sz w:val="24"/>
              <w:szCs w:val="24"/>
            </w:rPr>
            <w:t>Alaska</w:t>
          </w:r>
        </w:smartTag>
      </w:smartTag>
      <w:r>
        <w:rPr>
          <w:sz w:val="24"/>
          <w:szCs w:val="24"/>
        </w:rPr>
        <w:t xml:space="preserve"> resident and the non-Alaska resident sampling frames.  From previous experience, u</w:t>
      </w:r>
      <w:r w:rsidRPr="00603571">
        <w:rPr>
          <w:sz w:val="24"/>
          <w:szCs w:val="24"/>
        </w:rPr>
        <w:t>p to 1</w:t>
      </w:r>
      <w:r>
        <w:rPr>
          <w:sz w:val="24"/>
          <w:szCs w:val="24"/>
        </w:rPr>
        <w:t>0% of the addresses in the license file</w:t>
      </w:r>
      <w:r w:rsidRPr="00603571">
        <w:rPr>
          <w:sz w:val="24"/>
          <w:szCs w:val="24"/>
        </w:rPr>
        <w:t xml:space="preserve"> may be invalid, leading to valid </w:t>
      </w:r>
      <w:r>
        <w:rPr>
          <w:sz w:val="24"/>
          <w:szCs w:val="24"/>
        </w:rPr>
        <w:t xml:space="preserve">stratified </w:t>
      </w:r>
      <w:r w:rsidRPr="00603571">
        <w:rPr>
          <w:sz w:val="24"/>
          <w:szCs w:val="24"/>
        </w:rPr>
        <w:t xml:space="preserve">samples of </w:t>
      </w:r>
      <w:r>
        <w:rPr>
          <w:sz w:val="24"/>
          <w:szCs w:val="24"/>
        </w:rPr>
        <w:t>1,200, 2,000, and 2,200, respectively (see table below)</w:t>
      </w:r>
      <w:r w:rsidRPr="00603571">
        <w:rPr>
          <w:sz w:val="24"/>
          <w:szCs w:val="24"/>
        </w:rPr>
        <w:t>.</w:t>
      </w:r>
    </w:p>
    <w:p w:rsidR="00AE50D3" w:rsidRDefault="00AE50D3" w:rsidP="00AE50D3">
      <w:pPr>
        <w:rPr>
          <w:sz w:val="24"/>
          <w:szCs w:val="24"/>
        </w:rPr>
      </w:pPr>
    </w:p>
    <w:p w:rsidR="00AE50D3" w:rsidRPr="00F306A6" w:rsidRDefault="00AE50D3" w:rsidP="00AE50D3">
      <w:pPr>
        <w:jc w:val="center"/>
        <w:rPr>
          <w:i/>
        </w:rPr>
      </w:pPr>
      <w:r w:rsidRPr="00F306A6">
        <w:rPr>
          <w:i/>
        </w:rPr>
        <w:t>Sample Stratification Breakdown:  Full Survey Implementation</w:t>
      </w:r>
    </w:p>
    <w:tbl>
      <w:tblPr>
        <w:tblW w:w="931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073"/>
        <w:gridCol w:w="1810"/>
        <w:gridCol w:w="1810"/>
        <w:gridCol w:w="1810"/>
        <w:gridCol w:w="1810"/>
      </w:tblGrid>
      <w:tr w:rsidR="00AE50D3" w:rsidRPr="0066796F" w:rsidTr="00FD4FC1">
        <w:trPr>
          <w:jc w:val="center"/>
        </w:trPr>
        <w:tc>
          <w:tcPr>
            <w:tcW w:w="2073" w:type="dxa"/>
            <w:shd w:val="clear" w:color="auto" w:fill="D9D9D9"/>
            <w:vAlign w:val="bottom"/>
          </w:tcPr>
          <w:p w:rsidR="00AE50D3" w:rsidRPr="00F306A6" w:rsidRDefault="00AE50D3" w:rsidP="00FD4FC1">
            <w:pPr>
              <w:jc w:val="center"/>
              <w:rPr>
                <w:b/>
              </w:rPr>
            </w:pPr>
            <w:r w:rsidRPr="00F306A6">
              <w:rPr>
                <w:b/>
              </w:rPr>
              <w:t>Sample Stratum</w:t>
            </w:r>
          </w:p>
        </w:tc>
        <w:tc>
          <w:tcPr>
            <w:tcW w:w="1810" w:type="dxa"/>
            <w:shd w:val="clear" w:color="auto" w:fill="D9D9D9"/>
            <w:vAlign w:val="bottom"/>
          </w:tcPr>
          <w:p w:rsidR="00AE50D3" w:rsidRPr="00F306A6" w:rsidRDefault="00AE50D3" w:rsidP="00FD4FC1">
            <w:pPr>
              <w:jc w:val="center"/>
              <w:rPr>
                <w:b/>
                <w:vertAlign w:val="superscript"/>
              </w:rPr>
            </w:pPr>
            <w:r w:rsidRPr="00F306A6">
              <w:rPr>
                <w:b/>
              </w:rPr>
              <w:t xml:space="preserve">2015 </w:t>
            </w:r>
            <w:proofErr w:type="spellStart"/>
            <w:r w:rsidRPr="00F306A6">
              <w:rPr>
                <w:b/>
              </w:rPr>
              <w:t>Licenses</w:t>
            </w:r>
            <w:r w:rsidRPr="00F306A6">
              <w:rPr>
                <w:b/>
                <w:vertAlign w:val="superscript"/>
              </w:rPr>
              <w:t>a</w:t>
            </w:r>
            <w:proofErr w:type="spellEnd"/>
          </w:p>
        </w:tc>
        <w:tc>
          <w:tcPr>
            <w:tcW w:w="1810" w:type="dxa"/>
            <w:shd w:val="clear" w:color="auto" w:fill="D9D9D9"/>
            <w:vAlign w:val="bottom"/>
          </w:tcPr>
          <w:p w:rsidR="00AE50D3" w:rsidRDefault="00AE50D3" w:rsidP="00FD4FC1">
            <w:pPr>
              <w:jc w:val="center"/>
              <w:rPr>
                <w:b/>
              </w:rPr>
            </w:pPr>
            <w:r w:rsidRPr="00F306A6">
              <w:rPr>
                <w:b/>
              </w:rPr>
              <w:t>Sample size</w:t>
            </w:r>
          </w:p>
          <w:p w:rsidR="00AE50D3" w:rsidRPr="00F306A6" w:rsidRDefault="00AE50D3" w:rsidP="00FD4FC1">
            <w:pPr>
              <w:jc w:val="center"/>
              <w:rPr>
                <w:b/>
              </w:rPr>
            </w:pPr>
            <w:r w:rsidRPr="00F306A6">
              <w:rPr>
                <w:b/>
              </w:rPr>
              <w:t>(total mailed)</w:t>
            </w:r>
          </w:p>
        </w:tc>
        <w:tc>
          <w:tcPr>
            <w:tcW w:w="1810" w:type="dxa"/>
            <w:shd w:val="clear" w:color="auto" w:fill="D9D9D9"/>
            <w:vAlign w:val="bottom"/>
          </w:tcPr>
          <w:p w:rsidR="00AE50D3" w:rsidRPr="00F306A6" w:rsidRDefault="00AE50D3" w:rsidP="00FD4FC1">
            <w:pPr>
              <w:jc w:val="center"/>
              <w:rPr>
                <w:b/>
              </w:rPr>
            </w:pPr>
            <w:r w:rsidRPr="00F306A6">
              <w:rPr>
                <w:b/>
              </w:rPr>
              <w:t>Valid sample size</w:t>
            </w:r>
          </w:p>
          <w:p w:rsidR="00AE50D3" w:rsidRPr="00F306A6" w:rsidRDefault="00AE50D3" w:rsidP="00FD4FC1">
            <w:pPr>
              <w:jc w:val="center"/>
              <w:rPr>
                <w:b/>
              </w:rPr>
            </w:pPr>
            <w:r w:rsidRPr="00F306A6">
              <w:rPr>
                <w:b/>
              </w:rPr>
              <w:t>(assuming 10% bad addresses)</w:t>
            </w:r>
          </w:p>
        </w:tc>
        <w:tc>
          <w:tcPr>
            <w:tcW w:w="1810" w:type="dxa"/>
            <w:shd w:val="clear" w:color="auto" w:fill="D9D9D9"/>
            <w:vAlign w:val="bottom"/>
          </w:tcPr>
          <w:p w:rsidR="00AE50D3" w:rsidRPr="00F306A6" w:rsidRDefault="00AE50D3" w:rsidP="00FD4FC1">
            <w:pPr>
              <w:jc w:val="center"/>
              <w:rPr>
                <w:b/>
              </w:rPr>
            </w:pPr>
            <w:r w:rsidRPr="00F306A6">
              <w:rPr>
                <w:b/>
              </w:rPr>
              <w:t>Expected returns</w:t>
            </w:r>
          </w:p>
          <w:p w:rsidR="00AE50D3" w:rsidRPr="00F306A6" w:rsidRDefault="00AE50D3" w:rsidP="00FD4FC1">
            <w:pPr>
              <w:jc w:val="center"/>
              <w:rPr>
                <w:b/>
              </w:rPr>
            </w:pPr>
            <w:r w:rsidRPr="00F306A6">
              <w:rPr>
                <w:b/>
              </w:rPr>
              <w:t>(assuming 50% response rate)</w:t>
            </w:r>
          </w:p>
        </w:tc>
      </w:tr>
      <w:tr w:rsidR="00AE50D3" w:rsidRPr="0066796F" w:rsidTr="00FD4FC1">
        <w:trPr>
          <w:jc w:val="center"/>
        </w:trPr>
        <w:tc>
          <w:tcPr>
            <w:tcW w:w="2073" w:type="dxa"/>
          </w:tcPr>
          <w:p w:rsidR="00AE50D3" w:rsidRPr="00F306A6" w:rsidRDefault="00AE50D3" w:rsidP="00FD4FC1">
            <w:r w:rsidRPr="00F306A6">
              <w:t>Residents – Southeast Alaska</w:t>
            </w:r>
          </w:p>
        </w:tc>
        <w:tc>
          <w:tcPr>
            <w:tcW w:w="1810" w:type="dxa"/>
            <w:vAlign w:val="center"/>
          </w:tcPr>
          <w:p w:rsidR="00AE50D3" w:rsidRPr="00F306A6" w:rsidRDefault="00AE50D3" w:rsidP="00FD4FC1">
            <w:pPr>
              <w:jc w:val="center"/>
            </w:pPr>
            <w:r w:rsidRPr="00F306A6">
              <w:t>33,728</w:t>
            </w:r>
          </w:p>
        </w:tc>
        <w:tc>
          <w:tcPr>
            <w:tcW w:w="1810" w:type="dxa"/>
            <w:vAlign w:val="center"/>
          </w:tcPr>
          <w:p w:rsidR="00AE50D3" w:rsidRPr="00F306A6" w:rsidRDefault="00AE50D3" w:rsidP="00FD4FC1">
            <w:pPr>
              <w:jc w:val="center"/>
            </w:pPr>
            <w:r w:rsidRPr="00F306A6">
              <w:t>1,333</w:t>
            </w:r>
          </w:p>
        </w:tc>
        <w:tc>
          <w:tcPr>
            <w:tcW w:w="1810" w:type="dxa"/>
            <w:vAlign w:val="center"/>
          </w:tcPr>
          <w:p w:rsidR="00AE50D3" w:rsidRPr="00F306A6" w:rsidRDefault="00AE50D3" w:rsidP="00FD4FC1">
            <w:pPr>
              <w:jc w:val="center"/>
            </w:pPr>
            <w:r w:rsidRPr="00F306A6">
              <w:t>1,200</w:t>
            </w:r>
          </w:p>
        </w:tc>
        <w:tc>
          <w:tcPr>
            <w:tcW w:w="1810" w:type="dxa"/>
            <w:vAlign w:val="center"/>
          </w:tcPr>
          <w:p w:rsidR="00AE50D3" w:rsidRPr="00F306A6" w:rsidRDefault="00AE50D3" w:rsidP="00FD4FC1">
            <w:pPr>
              <w:jc w:val="center"/>
            </w:pPr>
            <w:r w:rsidRPr="00F306A6">
              <w:t>600</w:t>
            </w:r>
          </w:p>
        </w:tc>
      </w:tr>
      <w:tr w:rsidR="00AE50D3" w:rsidRPr="0066796F" w:rsidTr="00FD4FC1">
        <w:trPr>
          <w:jc w:val="center"/>
        </w:trPr>
        <w:tc>
          <w:tcPr>
            <w:tcW w:w="2073" w:type="dxa"/>
          </w:tcPr>
          <w:p w:rsidR="00AE50D3" w:rsidRPr="00F306A6" w:rsidRDefault="00AE50D3" w:rsidP="00FD4FC1">
            <w:r w:rsidRPr="00F306A6">
              <w:t>Residents – Rest of Alaska</w:t>
            </w:r>
          </w:p>
        </w:tc>
        <w:tc>
          <w:tcPr>
            <w:tcW w:w="1810" w:type="dxa"/>
            <w:vAlign w:val="center"/>
          </w:tcPr>
          <w:p w:rsidR="00AE50D3" w:rsidRPr="00F306A6" w:rsidRDefault="00AE50D3" w:rsidP="00FD4FC1">
            <w:pPr>
              <w:jc w:val="center"/>
            </w:pPr>
            <w:r w:rsidRPr="00F306A6">
              <w:t>247,505</w:t>
            </w:r>
          </w:p>
        </w:tc>
        <w:tc>
          <w:tcPr>
            <w:tcW w:w="1810" w:type="dxa"/>
            <w:vAlign w:val="center"/>
          </w:tcPr>
          <w:p w:rsidR="00AE50D3" w:rsidRPr="00F306A6" w:rsidRDefault="00AE50D3" w:rsidP="00FD4FC1">
            <w:pPr>
              <w:jc w:val="center"/>
            </w:pPr>
            <w:r w:rsidRPr="00F306A6">
              <w:t>2,222</w:t>
            </w:r>
          </w:p>
        </w:tc>
        <w:tc>
          <w:tcPr>
            <w:tcW w:w="1810" w:type="dxa"/>
            <w:vAlign w:val="center"/>
          </w:tcPr>
          <w:p w:rsidR="00AE50D3" w:rsidRPr="00F306A6" w:rsidRDefault="00AE50D3" w:rsidP="00FD4FC1">
            <w:pPr>
              <w:jc w:val="center"/>
            </w:pPr>
            <w:r w:rsidRPr="00F306A6">
              <w:t>2,000</w:t>
            </w:r>
          </w:p>
        </w:tc>
        <w:tc>
          <w:tcPr>
            <w:tcW w:w="1810" w:type="dxa"/>
            <w:vAlign w:val="center"/>
          </w:tcPr>
          <w:p w:rsidR="00AE50D3" w:rsidRPr="00F306A6" w:rsidRDefault="00AE50D3" w:rsidP="00FD4FC1">
            <w:pPr>
              <w:jc w:val="center"/>
            </w:pPr>
            <w:r w:rsidRPr="00F306A6">
              <w:t>1,000</w:t>
            </w:r>
          </w:p>
        </w:tc>
      </w:tr>
      <w:tr w:rsidR="00AE50D3" w:rsidRPr="0066796F" w:rsidTr="00FD4FC1">
        <w:trPr>
          <w:jc w:val="center"/>
        </w:trPr>
        <w:tc>
          <w:tcPr>
            <w:tcW w:w="2073" w:type="dxa"/>
          </w:tcPr>
          <w:p w:rsidR="00AE50D3" w:rsidRPr="00F306A6" w:rsidRDefault="00AE50D3" w:rsidP="00FD4FC1">
            <w:r w:rsidRPr="00F306A6">
              <w:t>Non-residents</w:t>
            </w:r>
          </w:p>
        </w:tc>
        <w:tc>
          <w:tcPr>
            <w:tcW w:w="1810" w:type="dxa"/>
            <w:vAlign w:val="center"/>
          </w:tcPr>
          <w:p w:rsidR="00AE50D3" w:rsidRPr="00F306A6" w:rsidRDefault="00AE50D3" w:rsidP="00FD4FC1">
            <w:pPr>
              <w:jc w:val="center"/>
            </w:pPr>
            <w:r w:rsidRPr="00F306A6">
              <w:t>228,965</w:t>
            </w:r>
          </w:p>
        </w:tc>
        <w:tc>
          <w:tcPr>
            <w:tcW w:w="1810" w:type="dxa"/>
            <w:vAlign w:val="center"/>
          </w:tcPr>
          <w:p w:rsidR="00AE50D3" w:rsidRPr="00F306A6" w:rsidRDefault="00AE50D3" w:rsidP="00FD4FC1">
            <w:pPr>
              <w:jc w:val="center"/>
            </w:pPr>
            <w:r w:rsidRPr="00F306A6">
              <w:t>2,445</w:t>
            </w:r>
          </w:p>
        </w:tc>
        <w:tc>
          <w:tcPr>
            <w:tcW w:w="1810" w:type="dxa"/>
            <w:vAlign w:val="center"/>
          </w:tcPr>
          <w:p w:rsidR="00AE50D3" w:rsidRPr="00F306A6" w:rsidRDefault="00AE50D3" w:rsidP="00FD4FC1">
            <w:pPr>
              <w:jc w:val="center"/>
            </w:pPr>
            <w:r w:rsidRPr="00F306A6">
              <w:t>2,200</w:t>
            </w:r>
          </w:p>
        </w:tc>
        <w:tc>
          <w:tcPr>
            <w:tcW w:w="1810" w:type="dxa"/>
            <w:vAlign w:val="center"/>
          </w:tcPr>
          <w:p w:rsidR="00AE50D3" w:rsidRPr="00F306A6" w:rsidRDefault="00AE50D3" w:rsidP="00FD4FC1">
            <w:pPr>
              <w:jc w:val="center"/>
            </w:pPr>
            <w:r w:rsidRPr="00F306A6">
              <w:t>1,100</w:t>
            </w:r>
          </w:p>
        </w:tc>
      </w:tr>
      <w:tr w:rsidR="00AE50D3" w:rsidRPr="0066796F" w:rsidTr="00FD4FC1">
        <w:trPr>
          <w:jc w:val="center"/>
        </w:trPr>
        <w:tc>
          <w:tcPr>
            <w:tcW w:w="2073" w:type="dxa"/>
          </w:tcPr>
          <w:p w:rsidR="00AE50D3" w:rsidRPr="00F306A6" w:rsidRDefault="00AE50D3" w:rsidP="00FD4FC1">
            <w:pPr>
              <w:rPr>
                <w:b/>
              </w:rPr>
            </w:pPr>
            <w:r w:rsidRPr="00F306A6">
              <w:rPr>
                <w:b/>
              </w:rPr>
              <w:t>Total</w:t>
            </w:r>
          </w:p>
        </w:tc>
        <w:tc>
          <w:tcPr>
            <w:tcW w:w="1810" w:type="dxa"/>
            <w:vAlign w:val="center"/>
          </w:tcPr>
          <w:p w:rsidR="00AE50D3" w:rsidRPr="00F306A6" w:rsidRDefault="00AE50D3" w:rsidP="00FD4FC1">
            <w:pPr>
              <w:jc w:val="center"/>
              <w:rPr>
                <w:b/>
              </w:rPr>
            </w:pPr>
            <w:r w:rsidRPr="00F306A6">
              <w:rPr>
                <w:b/>
              </w:rPr>
              <w:t>510,198</w:t>
            </w:r>
          </w:p>
        </w:tc>
        <w:tc>
          <w:tcPr>
            <w:tcW w:w="1810" w:type="dxa"/>
            <w:vAlign w:val="center"/>
          </w:tcPr>
          <w:p w:rsidR="00AE50D3" w:rsidRPr="00F306A6" w:rsidRDefault="00AE50D3" w:rsidP="00FD4FC1">
            <w:pPr>
              <w:jc w:val="center"/>
              <w:rPr>
                <w:b/>
              </w:rPr>
            </w:pPr>
            <w:r w:rsidRPr="00F306A6">
              <w:rPr>
                <w:b/>
              </w:rPr>
              <w:t>6,000</w:t>
            </w:r>
          </w:p>
        </w:tc>
        <w:tc>
          <w:tcPr>
            <w:tcW w:w="1810" w:type="dxa"/>
            <w:vAlign w:val="center"/>
          </w:tcPr>
          <w:p w:rsidR="00AE50D3" w:rsidRPr="00F306A6" w:rsidRDefault="00AE50D3" w:rsidP="00FD4FC1">
            <w:pPr>
              <w:jc w:val="center"/>
              <w:rPr>
                <w:b/>
              </w:rPr>
            </w:pPr>
            <w:r w:rsidRPr="00F306A6">
              <w:rPr>
                <w:b/>
              </w:rPr>
              <w:t>5,400</w:t>
            </w:r>
          </w:p>
        </w:tc>
        <w:tc>
          <w:tcPr>
            <w:tcW w:w="1810" w:type="dxa"/>
            <w:vAlign w:val="center"/>
          </w:tcPr>
          <w:p w:rsidR="00AE50D3" w:rsidRPr="00F306A6" w:rsidRDefault="00AE50D3" w:rsidP="00FD4FC1">
            <w:pPr>
              <w:jc w:val="center"/>
              <w:rPr>
                <w:b/>
              </w:rPr>
            </w:pPr>
            <w:r w:rsidRPr="00F306A6">
              <w:rPr>
                <w:b/>
              </w:rPr>
              <w:t>2,700</w:t>
            </w:r>
          </w:p>
        </w:tc>
      </w:tr>
    </w:tbl>
    <w:p w:rsidR="00AE50D3" w:rsidRPr="00F306A6" w:rsidRDefault="00AE50D3" w:rsidP="00AE50D3">
      <w:proofErr w:type="gramStart"/>
      <w:r w:rsidRPr="00F306A6">
        <w:rPr>
          <w:vertAlign w:val="superscript"/>
        </w:rPr>
        <w:t>a</w:t>
      </w:r>
      <w:proofErr w:type="gramEnd"/>
      <w:r w:rsidRPr="00F306A6">
        <w:t xml:space="preserve"> Source:  Alaska Department of Fish and Game, License Data File</w:t>
      </w:r>
    </w:p>
    <w:p w:rsidR="00AE50D3" w:rsidRDefault="00AE50D3" w:rsidP="00AE50D3">
      <w:pPr>
        <w:rPr>
          <w:sz w:val="24"/>
          <w:szCs w:val="24"/>
        </w:rPr>
      </w:pPr>
    </w:p>
    <w:p w:rsidR="00AE50D3" w:rsidRPr="00366BD3" w:rsidRDefault="00AE50D3" w:rsidP="00AE50D3">
      <w:pPr>
        <w:rPr>
          <w:b/>
          <w:sz w:val="24"/>
          <w:szCs w:val="24"/>
        </w:rPr>
      </w:pPr>
      <w:r w:rsidRPr="00366BD3">
        <w:rPr>
          <w:b/>
          <w:sz w:val="24"/>
          <w:szCs w:val="24"/>
        </w:rPr>
        <w:t>Sample Size Considerations</w:t>
      </w:r>
    </w:p>
    <w:p w:rsidR="00AE50D3" w:rsidRDefault="00AE50D3" w:rsidP="00AE50D3">
      <w:pPr>
        <w:rPr>
          <w:sz w:val="24"/>
          <w:szCs w:val="24"/>
        </w:rPr>
      </w:pPr>
    </w:p>
    <w:p w:rsidR="00AE50D3" w:rsidRDefault="00AE50D3" w:rsidP="00AE50D3">
      <w:pPr>
        <w:rPr>
          <w:sz w:val="24"/>
          <w:szCs w:val="24"/>
        </w:rPr>
      </w:pPr>
      <w:r>
        <w:rPr>
          <w:sz w:val="24"/>
          <w:szCs w:val="24"/>
        </w:rPr>
        <w:t xml:space="preserve">Sample sizes for the full implementation were chosen primarily so the expected number of returns by strata, under the assumption of a uniform 50% response rate across samples, was sufficiently large to allow estimation of separate, statistically significant recreation demand and stated preference models for the different strata.  Based on previous experience and other studies in the recreation demand and stated preference valuation literature, the sample sizes proposed above for each subpopulation are sufficient for estimating model parameters with acceptable precision in the random utility-based models that will be employed.  Moreover, in both models, </w:t>
      </w:r>
      <w:r>
        <w:rPr>
          <w:sz w:val="24"/>
          <w:szCs w:val="24"/>
        </w:rPr>
        <w:lastRenderedPageBreak/>
        <w:t xml:space="preserve">the </w:t>
      </w:r>
      <w:smartTag w:uri="urn:schemas-microsoft-com:office:smarttags" w:element="State">
        <w:r>
          <w:rPr>
            <w:sz w:val="24"/>
            <w:szCs w:val="24"/>
          </w:rPr>
          <w:t>Alaska</w:t>
        </w:r>
      </w:smartTag>
      <w:r>
        <w:rPr>
          <w:sz w:val="24"/>
          <w:szCs w:val="24"/>
        </w:rPr>
        <w:t xml:space="preserve"> data will be pooled in the unexpected event that statistical tests reject significant differences between the SE and non-SE </w:t>
      </w:r>
      <w:smartTag w:uri="urn:schemas-microsoft-com:office:smarttags" w:element="place">
        <w:smartTag w:uri="urn:schemas-microsoft-com:office:smarttags" w:element="State">
          <w:r>
            <w:rPr>
              <w:sz w:val="24"/>
              <w:szCs w:val="24"/>
            </w:rPr>
            <w:t>Alaska</w:t>
          </w:r>
        </w:smartTag>
      </w:smartTag>
      <w:r>
        <w:rPr>
          <w:sz w:val="24"/>
          <w:szCs w:val="24"/>
        </w:rPr>
        <w:t xml:space="preserve"> data.  Given the expected response rate of 50%, the valid sample sizes of 1,200 for SE, 2,000 for SC, and 2,200 for NR are anticipated to yield 600, 1,000, and 1,100 returned surveys, respectively.</w:t>
      </w: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3.  </w:t>
      </w:r>
      <w:r w:rsidRPr="00F4332F">
        <w:rPr>
          <w:b/>
          <w:bCs/>
          <w:sz w:val="24"/>
          <w:szCs w:val="24"/>
        </w:rPr>
        <w:t xml:space="preserve">Describe the methods used to maximize response rates and to deal with nonresponse. </w:t>
      </w:r>
      <w:r>
        <w:rPr>
          <w:b/>
          <w:bCs/>
          <w:sz w:val="24"/>
          <w:szCs w:val="24"/>
        </w:rPr>
        <w:t xml:space="preserve"> </w:t>
      </w:r>
      <w:r w:rsidRPr="00F4332F">
        <w:rPr>
          <w:b/>
          <w:bCs/>
          <w:sz w:val="24"/>
          <w:szCs w:val="24"/>
        </w:rPr>
        <w:t>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AE50D3" w:rsidRDefault="00AE50D3" w:rsidP="00AE50D3">
      <w:pPr>
        <w:rPr>
          <w:rFonts w:ascii="TimesNewRoman,Bold" w:hAnsi="TimesNewRoman,Bold"/>
          <w:b/>
        </w:rPr>
      </w:pPr>
    </w:p>
    <w:p w:rsidR="00AE50D3" w:rsidRPr="00603571" w:rsidRDefault="00AE50D3" w:rsidP="00AE50D3">
      <w:pPr>
        <w:rPr>
          <w:sz w:val="24"/>
          <w:szCs w:val="24"/>
        </w:rPr>
      </w:pPr>
      <w:r w:rsidRPr="00603571">
        <w:rPr>
          <w:sz w:val="24"/>
          <w:szCs w:val="24"/>
        </w:rPr>
        <w:t>Numerous steps have been, and will be, taken to maximize response rates and deal with non-response behavior.  These efforts are described below.</w:t>
      </w:r>
    </w:p>
    <w:p w:rsidR="00AE50D3" w:rsidRPr="00603571" w:rsidRDefault="00AE50D3" w:rsidP="00AE50D3">
      <w:pPr>
        <w:rPr>
          <w:b/>
          <w:sz w:val="24"/>
          <w:szCs w:val="24"/>
        </w:rPr>
      </w:pPr>
    </w:p>
    <w:p w:rsidR="00AE50D3" w:rsidRPr="00603571" w:rsidRDefault="00AE50D3" w:rsidP="00AE50D3">
      <w:pPr>
        <w:rPr>
          <w:b/>
          <w:sz w:val="24"/>
          <w:szCs w:val="24"/>
        </w:rPr>
      </w:pPr>
      <w:r w:rsidRPr="00603571">
        <w:rPr>
          <w:b/>
          <w:sz w:val="24"/>
          <w:szCs w:val="24"/>
        </w:rPr>
        <w:t>Maximizing Response Rates</w:t>
      </w:r>
    </w:p>
    <w:p w:rsidR="00AE50D3" w:rsidRPr="00603571" w:rsidRDefault="00AE50D3" w:rsidP="00AE50D3">
      <w:pPr>
        <w:rPr>
          <w:b/>
          <w:sz w:val="24"/>
          <w:szCs w:val="24"/>
        </w:rPr>
      </w:pPr>
    </w:p>
    <w:p w:rsidR="00AE50D3" w:rsidRPr="00603571" w:rsidRDefault="00AE50D3" w:rsidP="00AE50D3">
      <w:pPr>
        <w:rPr>
          <w:sz w:val="24"/>
          <w:szCs w:val="24"/>
        </w:rPr>
      </w:pPr>
      <w:r w:rsidRPr="00603571">
        <w:rPr>
          <w:sz w:val="24"/>
          <w:szCs w:val="24"/>
        </w:rPr>
        <w:t xml:space="preserve">The first step in achieving a high response rate is to develop an appealing questionnaire that is easy for respondents to complete.  Significant effort </w:t>
      </w:r>
      <w:r>
        <w:rPr>
          <w:sz w:val="24"/>
          <w:szCs w:val="24"/>
        </w:rPr>
        <w:t>w</w:t>
      </w:r>
      <w:r w:rsidRPr="00603571">
        <w:rPr>
          <w:sz w:val="24"/>
          <w:szCs w:val="24"/>
        </w:rPr>
        <w:t>as spent on developing a good survey instrument</w:t>
      </w:r>
      <w:r>
        <w:rPr>
          <w:sz w:val="24"/>
          <w:szCs w:val="24"/>
        </w:rPr>
        <w:t>.  The current survey instrument was modified slightly from the 2012 survey, which itself was based on the survey instrument used in the 2007 survey (Lew, et al. 2010)</w:t>
      </w:r>
      <w:r w:rsidRPr="00603571">
        <w:rPr>
          <w:sz w:val="24"/>
          <w:szCs w:val="24"/>
        </w:rPr>
        <w:t>.</w:t>
      </w:r>
      <w:r>
        <w:rPr>
          <w:sz w:val="24"/>
          <w:szCs w:val="24"/>
        </w:rPr>
        <w:t xml:space="preserve">  Compared to the 2007 survey instrument, the current survey instrument has a significantly improved layout and question wording, as well as added or modified questions that address information gaps realized from analysis of the 2007 survey data.</w:t>
      </w:r>
      <w:r w:rsidRPr="00603571">
        <w:rPr>
          <w:sz w:val="24"/>
          <w:szCs w:val="24"/>
        </w:rPr>
        <w:t xml:space="preserve">  </w:t>
      </w:r>
      <w:r>
        <w:rPr>
          <w:sz w:val="24"/>
          <w:szCs w:val="24"/>
        </w:rPr>
        <w:t>Only minor modifications have been made to the current survey relative to the 2012 survey.  A number of cognitive interviews were conducted to evaluate the survey instrument and the changes made from the 2012 survey.</w:t>
      </w:r>
      <w:r w:rsidRPr="00603571">
        <w:rPr>
          <w:sz w:val="24"/>
          <w:szCs w:val="24"/>
        </w:rPr>
        <w:t xml:space="preserve">  The </w:t>
      </w:r>
      <w:r>
        <w:rPr>
          <w:sz w:val="24"/>
          <w:szCs w:val="24"/>
        </w:rPr>
        <w:t xml:space="preserve">current survey has also been </w:t>
      </w:r>
      <w:r w:rsidRPr="00603571">
        <w:rPr>
          <w:sz w:val="24"/>
          <w:szCs w:val="24"/>
        </w:rPr>
        <w:t>peer review</w:t>
      </w:r>
      <w:r>
        <w:rPr>
          <w:sz w:val="24"/>
          <w:szCs w:val="24"/>
        </w:rPr>
        <w:t>ed</w:t>
      </w:r>
      <w:r w:rsidRPr="00603571">
        <w:rPr>
          <w:sz w:val="24"/>
          <w:szCs w:val="24"/>
        </w:rPr>
        <w:t xml:space="preserve"> by experts in survey design</w:t>
      </w:r>
      <w:r>
        <w:rPr>
          <w:sz w:val="24"/>
          <w:szCs w:val="24"/>
        </w:rPr>
        <w:t>, recreational fishing issues,</w:t>
      </w:r>
      <w:r w:rsidRPr="00603571">
        <w:rPr>
          <w:sz w:val="24"/>
          <w:szCs w:val="24"/>
        </w:rPr>
        <w:t xml:space="preserve"> and non-market valuation.  In the interviews, the information presented was tested to ensure key concepts and terms were understood, figures and graphics (color and black and white) were tested for proper comprehension and appearance, and key economic and design issues were evaluated</w:t>
      </w:r>
      <w:r>
        <w:rPr>
          <w:sz w:val="24"/>
          <w:szCs w:val="24"/>
        </w:rPr>
        <w:t xml:space="preserve"> and</w:t>
      </w:r>
      <w:r w:rsidRPr="00603571">
        <w:rPr>
          <w:sz w:val="24"/>
          <w:szCs w:val="24"/>
        </w:rPr>
        <w:t xml:space="preserve"> to </w:t>
      </w:r>
      <w:r>
        <w:rPr>
          <w:sz w:val="24"/>
          <w:szCs w:val="24"/>
        </w:rPr>
        <w:t>ensure the current survey instrument</w:t>
      </w:r>
      <w:r w:rsidRPr="00603571">
        <w:rPr>
          <w:sz w:val="24"/>
          <w:szCs w:val="24"/>
        </w:rPr>
        <w:t xml:space="preserve"> used </w:t>
      </w:r>
      <w:r>
        <w:rPr>
          <w:sz w:val="24"/>
          <w:szCs w:val="24"/>
        </w:rPr>
        <w:t>words and fishing terms people could understand,</w:t>
      </w:r>
      <w:r w:rsidRPr="00603571">
        <w:rPr>
          <w:sz w:val="24"/>
          <w:szCs w:val="24"/>
        </w:rPr>
        <w:t xml:space="preserve"> and was a comfortable length and easy to complete.  The result is a high-quality and professional-looking survey instrument.</w:t>
      </w:r>
    </w:p>
    <w:p w:rsidR="00AE50D3" w:rsidRPr="00603571" w:rsidRDefault="00AE50D3" w:rsidP="00AE50D3">
      <w:pPr>
        <w:rPr>
          <w:b/>
          <w:sz w:val="24"/>
          <w:szCs w:val="24"/>
        </w:rPr>
      </w:pPr>
    </w:p>
    <w:p w:rsidR="00AE50D3" w:rsidRPr="00603571" w:rsidRDefault="00AE50D3" w:rsidP="00AE50D3">
      <w:pPr>
        <w:rPr>
          <w:sz w:val="24"/>
          <w:szCs w:val="24"/>
        </w:rPr>
      </w:pPr>
      <w:r w:rsidRPr="00603571">
        <w:rPr>
          <w:sz w:val="24"/>
          <w:szCs w:val="24"/>
        </w:rPr>
        <w:t>The implementation techniques that will be employed are consistent with methods that maximize response rates.  Implementation of the mail survey will follow the Tailored Design Method (</w:t>
      </w:r>
      <w:proofErr w:type="spellStart"/>
      <w:r>
        <w:rPr>
          <w:sz w:val="24"/>
          <w:szCs w:val="24"/>
        </w:rPr>
        <w:t>Dillman</w:t>
      </w:r>
      <w:proofErr w:type="spellEnd"/>
      <w:r>
        <w:rPr>
          <w:sz w:val="24"/>
          <w:szCs w:val="24"/>
        </w:rPr>
        <w:t xml:space="preserve">, Smyth, and Christian, </w:t>
      </w:r>
      <w:r w:rsidRPr="00603571">
        <w:rPr>
          <w:sz w:val="24"/>
          <w:szCs w:val="24"/>
        </w:rPr>
        <w:t>20</w:t>
      </w:r>
      <w:r>
        <w:rPr>
          <w:sz w:val="24"/>
          <w:szCs w:val="24"/>
        </w:rPr>
        <w:t>14</w:t>
      </w:r>
      <w:r w:rsidRPr="00603571">
        <w:rPr>
          <w:sz w:val="24"/>
          <w:szCs w:val="24"/>
        </w:rPr>
        <w:t>), which consists of multiple contacts.  The specific set of contacts that will be employed is the following:</w:t>
      </w:r>
    </w:p>
    <w:p w:rsidR="00AE50D3" w:rsidRPr="00603571" w:rsidRDefault="00AE50D3" w:rsidP="00AE50D3">
      <w:pPr>
        <w:rPr>
          <w:sz w:val="24"/>
          <w:szCs w:val="24"/>
        </w:rPr>
      </w:pPr>
    </w:p>
    <w:p w:rsidR="00AE50D3" w:rsidRPr="00603571" w:rsidRDefault="00AE50D3" w:rsidP="00AE50D3">
      <w:pPr>
        <w:widowControl/>
        <w:rPr>
          <w:sz w:val="24"/>
          <w:szCs w:val="24"/>
        </w:rPr>
      </w:pPr>
      <w:r>
        <w:rPr>
          <w:sz w:val="24"/>
          <w:szCs w:val="24"/>
        </w:rPr>
        <w:t xml:space="preserve">1.  </w:t>
      </w:r>
      <w:r w:rsidRPr="00603571">
        <w:rPr>
          <w:sz w:val="24"/>
          <w:szCs w:val="24"/>
        </w:rPr>
        <w:t xml:space="preserve">An </w:t>
      </w:r>
      <w:r w:rsidRPr="00603571">
        <w:rPr>
          <w:b/>
          <w:sz w:val="24"/>
          <w:szCs w:val="24"/>
        </w:rPr>
        <w:t>advance letter</w:t>
      </w:r>
      <w:r w:rsidRPr="00603571">
        <w:rPr>
          <w:sz w:val="24"/>
          <w:szCs w:val="24"/>
        </w:rPr>
        <w:t xml:space="preserve"> notifying respondents </w:t>
      </w:r>
      <w:r>
        <w:rPr>
          <w:sz w:val="24"/>
          <w:szCs w:val="24"/>
        </w:rPr>
        <w:t>one week</w:t>
      </w:r>
      <w:r w:rsidRPr="00603571">
        <w:rPr>
          <w:sz w:val="24"/>
          <w:szCs w:val="24"/>
        </w:rPr>
        <w:t xml:space="preserve"> prior to the questionnaire arriving.  This will be the first contact </w:t>
      </w:r>
      <w:r>
        <w:rPr>
          <w:sz w:val="24"/>
          <w:szCs w:val="24"/>
        </w:rPr>
        <w:t>with</w:t>
      </w:r>
      <w:r w:rsidRPr="00603571">
        <w:rPr>
          <w:sz w:val="24"/>
          <w:szCs w:val="24"/>
        </w:rPr>
        <w:t xml:space="preserve"> the sample.</w:t>
      </w:r>
    </w:p>
    <w:p w:rsidR="00AE50D3" w:rsidRPr="00603571" w:rsidRDefault="00AE50D3" w:rsidP="00AE50D3">
      <w:pPr>
        <w:widowControl/>
        <w:rPr>
          <w:sz w:val="24"/>
          <w:szCs w:val="24"/>
        </w:rPr>
      </w:pPr>
      <w:r>
        <w:rPr>
          <w:sz w:val="24"/>
          <w:szCs w:val="24"/>
        </w:rPr>
        <w:t xml:space="preserve">2.  </w:t>
      </w:r>
      <w:r w:rsidRPr="00603571">
        <w:rPr>
          <w:sz w:val="24"/>
          <w:szCs w:val="24"/>
        </w:rPr>
        <w:t xml:space="preserve">An </w:t>
      </w:r>
      <w:r w:rsidRPr="00603571">
        <w:rPr>
          <w:b/>
          <w:sz w:val="24"/>
          <w:szCs w:val="24"/>
        </w:rPr>
        <w:t>initial mailing</w:t>
      </w:r>
      <w:r w:rsidRPr="00603571">
        <w:rPr>
          <w:sz w:val="24"/>
          <w:szCs w:val="24"/>
        </w:rPr>
        <w:t xml:space="preserve"> sent </w:t>
      </w:r>
      <w:r>
        <w:rPr>
          <w:sz w:val="24"/>
          <w:szCs w:val="24"/>
        </w:rPr>
        <w:t>one week</w:t>
      </w:r>
      <w:r w:rsidRPr="00603571">
        <w:rPr>
          <w:sz w:val="24"/>
          <w:szCs w:val="24"/>
        </w:rPr>
        <w:t xml:space="preserve"> after the advance letter.  Each mailing will contain a personalized cover letter, questionnaire, and a pre-addressed stamped return envelope.  The initial mailing will also include a small incentive.</w:t>
      </w:r>
    </w:p>
    <w:p w:rsidR="00AE50D3" w:rsidRDefault="00AE50D3" w:rsidP="00AE50D3">
      <w:pPr>
        <w:widowControl/>
        <w:rPr>
          <w:sz w:val="24"/>
          <w:szCs w:val="24"/>
        </w:rPr>
      </w:pPr>
      <w:r>
        <w:rPr>
          <w:sz w:val="24"/>
          <w:szCs w:val="24"/>
        </w:rPr>
        <w:t xml:space="preserve">3.  </w:t>
      </w:r>
      <w:r w:rsidRPr="00603571">
        <w:rPr>
          <w:sz w:val="24"/>
          <w:szCs w:val="24"/>
        </w:rPr>
        <w:t xml:space="preserve">A </w:t>
      </w:r>
      <w:r w:rsidRPr="00603571">
        <w:rPr>
          <w:b/>
          <w:sz w:val="24"/>
          <w:szCs w:val="24"/>
        </w:rPr>
        <w:t>postcard</w:t>
      </w:r>
      <w:r w:rsidRPr="00603571">
        <w:rPr>
          <w:sz w:val="24"/>
          <w:szCs w:val="24"/>
        </w:rPr>
        <w:t xml:space="preserve"> </w:t>
      </w:r>
      <w:r w:rsidRPr="00603571">
        <w:rPr>
          <w:b/>
          <w:sz w:val="24"/>
          <w:szCs w:val="24"/>
        </w:rPr>
        <w:t>follow-up reminder</w:t>
      </w:r>
      <w:r w:rsidRPr="00603571">
        <w:rPr>
          <w:sz w:val="24"/>
          <w:szCs w:val="24"/>
        </w:rPr>
        <w:t xml:space="preserve"> to be mailed 5-7 days following the initial mailing.</w:t>
      </w:r>
    </w:p>
    <w:p w:rsidR="00AE50D3" w:rsidRDefault="00AE50D3" w:rsidP="00AE50D3">
      <w:pPr>
        <w:widowControl/>
        <w:rPr>
          <w:sz w:val="24"/>
          <w:szCs w:val="24"/>
        </w:rPr>
      </w:pPr>
      <w:r>
        <w:rPr>
          <w:sz w:val="24"/>
          <w:szCs w:val="24"/>
        </w:rPr>
        <w:t xml:space="preserve">4.  </w:t>
      </w:r>
      <w:r w:rsidRPr="008F6411">
        <w:rPr>
          <w:sz w:val="24"/>
          <w:szCs w:val="24"/>
        </w:rPr>
        <w:t xml:space="preserve">The </w:t>
      </w:r>
      <w:r w:rsidRPr="008F6411">
        <w:rPr>
          <w:b/>
          <w:bCs/>
          <w:sz w:val="24"/>
          <w:szCs w:val="24"/>
        </w:rPr>
        <w:t xml:space="preserve">second full mailing </w:t>
      </w:r>
      <w:r w:rsidRPr="008F6411">
        <w:rPr>
          <w:sz w:val="24"/>
          <w:szCs w:val="24"/>
        </w:rPr>
        <w:t>will be sent to anyone who has yet to complete and return the survey.</w:t>
      </w:r>
    </w:p>
    <w:p w:rsidR="00AE50D3" w:rsidRPr="008F6411" w:rsidRDefault="00AE50D3" w:rsidP="00AE50D3">
      <w:pPr>
        <w:widowControl/>
        <w:rPr>
          <w:sz w:val="24"/>
          <w:szCs w:val="24"/>
        </w:rPr>
      </w:pPr>
      <w:r>
        <w:rPr>
          <w:sz w:val="24"/>
          <w:szCs w:val="24"/>
        </w:rPr>
        <w:lastRenderedPageBreak/>
        <w:t xml:space="preserve">5.  </w:t>
      </w:r>
      <w:r w:rsidRPr="008F6411">
        <w:rPr>
          <w:sz w:val="24"/>
          <w:szCs w:val="24"/>
        </w:rPr>
        <w:t xml:space="preserve">A </w:t>
      </w:r>
      <w:r w:rsidRPr="008F6411">
        <w:rPr>
          <w:b/>
          <w:sz w:val="24"/>
          <w:szCs w:val="24"/>
        </w:rPr>
        <w:t>follow-up phone call</w:t>
      </w:r>
      <w:r w:rsidRPr="008F6411">
        <w:rPr>
          <w:sz w:val="24"/>
          <w:szCs w:val="24"/>
        </w:rPr>
        <w:t xml:space="preserve"> to encourage response.  Individuals contacted via phone who need or request new survey materials, will be provided with them.</w:t>
      </w:r>
    </w:p>
    <w:p w:rsidR="00AE50D3" w:rsidRPr="00603571" w:rsidRDefault="00AE50D3" w:rsidP="00AE50D3">
      <w:pPr>
        <w:rPr>
          <w:sz w:val="24"/>
          <w:szCs w:val="24"/>
        </w:rPr>
      </w:pPr>
    </w:p>
    <w:p w:rsidR="00AE50D3" w:rsidRPr="00603571" w:rsidRDefault="00AE50D3" w:rsidP="00AE50D3">
      <w:pPr>
        <w:rPr>
          <w:sz w:val="24"/>
          <w:szCs w:val="24"/>
        </w:rPr>
      </w:pPr>
      <w:r w:rsidRPr="00603571">
        <w:rPr>
          <w:sz w:val="24"/>
          <w:szCs w:val="24"/>
        </w:rPr>
        <w:t>An honorarium of $</w:t>
      </w:r>
      <w:r>
        <w:rPr>
          <w:sz w:val="24"/>
          <w:szCs w:val="24"/>
        </w:rPr>
        <w:t>1</w:t>
      </w:r>
      <w:r w:rsidRPr="00603571">
        <w:rPr>
          <w:sz w:val="24"/>
          <w:szCs w:val="24"/>
        </w:rPr>
        <w:t xml:space="preserve"> will be provided to respondents for participating in the mail survey.</w:t>
      </w:r>
      <w:r>
        <w:rPr>
          <w:sz w:val="24"/>
          <w:szCs w:val="24"/>
        </w:rPr>
        <w:t xml:space="preserve">  This honorarium is the same amount used in the previously-fielded 2007 and 2012 surveys.</w:t>
      </w:r>
    </w:p>
    <w:p w:rsidR="00AE50D3" w:rsidRPr="00603571" w:rsidRDefault="00AE50D3" w:rsidP="00AE50D3">
      <w:pPr>
        <w:rPr>
          <w:sz w:val="24"/>
          <w:szCs w:val="24"/>
        </w:rPr>
      </w:pPr>
    </w:p>
    <w:p w:rsidR="00AE50D3" w:rsidRPr="00603571" w:rsidRDefault="00AE50D3" w:rsidP="00AE50D3">
      <w:pPr>
        <w:rPr>
          <w:b/>
          <w:sz w:val="24"/>
          <w:szCs w:val="24"/>
        </w:rPr>
      </w:pPr>
      <w:r w:rsidRPr="00603571">
        <w:rPr>
          <w:b/>
          <w:sz w:val="24"/>
          <w:szCs w:val="24"/>
        </w:rPr>
        <w:t>Non-respondents</w:t>
      </w:r>
    </w:p>
    <w:p w:rsidR="00AE50D3" w:rsidRPr="00603571" w:rsidRDefault="00AE50D3" w:rsidP="00AE50D3">
      <w:pPr>
        <w:rPr>
          <w:b/>
          <w:sz w:val="24"/>
          <w:szCs w:val="24"/>
        </w:rPr>
      </w:pPr>
    </w:p>
    <w:p w:rsidR="00AE50D3" w:rsidRPr="00603571" w:rsidRDefault="00AE50D3" w:rsidP="00AE50D3">
      <w:pPr>
        <w:rPr>
          <w:sz w:val="24"/>
          <w:szCs w:val="24"/>
        </w:rPr>
      </w:pPr>
      <w:r w:rsidRPr="00603571">
        <w:rPr>
          <w:sz w:val="24"/>
          <w:szCs w:val="24"/>
        </w:rPr>
        <w:t>To better understand why non-respondents did not return the survey and to determine if there are systematic differences between respondents and non-respondents, those con</w:t>
      </w:r>
      <w:r>
        <w:rPr>
          <w:sz w:val="24"/>
          <w:szCs w:val="24"/>
        </w:rPr>
        <w:t>tacted in the follow-up phone call</w:t>
      </w:r>
      <w:r w:rsidRPr="00603571">
        <w:rPr>
          <w:sz w:val="24"/>
          <w:szCs w:val="24"/>
        </w:rPr>
        <w:t xml:space="preserve"> and identified as non-respondents will be asked a few questions to gauge their reasons for not responding to the mail survey.  These include select socioeconomic and demographic classification questions and a few </w:t>
      </w:r>
      <w:r>
        <w:rPr>
          <w:sz w:val="24"/>
          <w:szCs w:val="24"/>
        </w:rPr>
        <w:t>behavioral</w:t>
      </w:r>
      <w:r w:rsidRPr="00603571">
        <w:rPr>
          <w:sz w:val="24"/>
          <w:szCs w:val="24"/>
        </w:rPr>
        <w:t xml:space="preserve"> questions.  Information collected from non-respondents will aid in improving the survey implementation and to correct for non-response bias where necessary (e.g., </w:t>
      </w:r>
      <w:r>
        <w:rPr>
          <w:sz w:val="24"/>
          <w:szCs w:val="24"/>
        </w:rPr>
        <w:t xml:space="preserve">using the </w:t>
      </w:r>
      <w:r w:rsidRPr="00603571">
        <w:rPr>
          <w:sz w:val="24"/>
          <w:szCs w:val="24"/>
        </w:rPr>
        <w:t>Heckman method).</w:t>
      </w:r>
    </w:p>
    <w:p w:rsidR="00AE50D3" w:rsidRPr="00603571" w:rsidRDefault="00AE50D3" w:rsidP="00AE50D3">
      <w:pPr>
        <w:rPr>
          <w:sz w:val="24"/>
          <w:szCs w:val="24"/>
        </w:rPr>
      </w:pPr>
    </w:p>
    <w:p w:rsidR="00AE50D3" w:rsidRPr="00603571" w:rsidRDefault="00AE50D3" w:rsidP="00AE50D3">
      <w:pPr>
        <w:rPr>
          <w:sz w:val="24"/>
          <w:szCs w:val="24"/>
        </w:rPr>
      </w:pPr>
      <w:r w:rsidRPr="00603571">
        <w:rPr>
          <w:sz w:val="24"/>
          <w:szCs w:val="24"/>
        </w:rPr>
        <w:t>Additional</w:t>
      </w:r>
      <w:r>
        <w:rPr>
          <w:sz w:val="24"/>
          <w:szCs w:val="24"/>
        </w:rPr>
        <w:t xml:space="preserve">ly, and as necessary, </w:t>
      </w:r>
      <w:r w:rsidRPr="00603571">
        <w:rPr>
          <w:sz w:val="24"/>
          <w:szCs w:val="24"/>
        </w:rPr>
        <w:t xml:space="preserve">respondent socio-demographic characteristics </w:t>
      </w:r>
      <w:r>
        <w:rPr>
          <w:sz w:val="24"/>
          <w:szCs w:val="24"/>
        </w:rPr>
        <w:t xml:space="preserve">will be compared </w:t>
      </w:r>
      <w:r w:rsidRPr="00603571">
        <w:rPr>
          <w:sz w:val="24"/>
          <w:szCs w:val="24"/>
        </w:rPr>
        <w:t xml:space="preserve">to </w:t>
      </w:r>
      <w:r>
        <w:rPr>
          <w:sz w:val="24"/>
          <w:szCs w:val="24"/>
        </w:rPr>
        <w:t xml:space="preserve">previous samples drawn from </w:t>
      </w:r>
      <w:r w:rsidRPr="00603571">
        <w:rPr>
          <w:sz w:val="24"/>
          <w:szCs w:val="24"/>
        </w:rPr>
        <w:t>the</w:t>
      </w:r>
      <w:r>
        <w:rPr>
          <w:sz w:val="24"/>
          <w:szCs w:val="24"/>
        </w:rPr>
        <w:t xml:space="preserve"> same</w:t>
      </w:r>
      <w:r w:rsidRPr="00603571">
        <w:rPr>
          <w:sz w:val="24"/>
          <w:szCs w:val="24"/>
        </w:rPr>
        <w:t xml:space="preserve"> popula</w:t>
      </w:r>
      <w:r>
        <w:rPr>
          <w:sz w:val="24"/>
          <w:szCs w:val="24"/>
        </w:rPr>
        <w:t>tion (</w:t>
      </w:r>
      <w:smartTag w:uri="urn:schemas-microsoft-com:office:smarttags" w:element="place">
        <w:smartTag w:uri="urn:schemas-microsoft-com:office:smarttags" w:element="State">
          <w:r w:rsidRPr="00603571">
            <w:rPr>
              <w:sz w:val="24"/>
              <w:szCs w:val="24"/>
            </w:rPr>
            <w:t>Alaska</w:t>
          </w:r>
        </w:smartTag>
      </w:smartTag>
      <w:r>
        <w:rPr>
          <w:sz w:val="24"/>
          <w:szCs w:val="24"/>
        </w:rPr>
        <w:t xml:space="preserve"> sport fishing license holders</w:t>
      </w:r>
      <w:r w:rsidRPr="00603571">
        <w:rPr>
          <w:sz w:val="24"/>
          <w:szCs w:val="24"/>
        </w:rPr>
        <w:t>).</w:t>
      </w: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 xml:space="preserve">4.  </w:t>
      </w:r>
      <w:r w:rsidRPr="00EC17B0">
        <w:rPr>
          <w:b/>
          <w:bCs/>
          <w:sz w:val="24"/>
          <w:szCs w:val="24"/>
        </w:rPr>
        <w:t>Describe any tests of procedures or methods to be undertaken. Tests are encouraged as effective means to refine collections, but if ten or more test respondents are involved OMB must give prior approval.</w:t>
      </w:r>
    </w:p>
    <w:p w:rsidR="00AE50D3" w:rsidRPr="00603571"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Pr="00603571" w:rsidRDefault="00AE50D3" w:rsidP="00AE50D3">
      <w:pPr>
        <w:rPr>
          <w:sz w:val="24"/>
          <w:szCs w:val="24"/>
        </w:rPr>
      </w:pPr>
      <w:r w:rsidRPr="00603571">
        <w:rPr>
          <w:sz w:val="24"/>
          <w:szCs w:val="24"/>
        </w:rPr>
        <w:t xml:space="preserve">Several </w:t>
      </w:r>
      <w:r>
        <w:rPr>
          <w:sz w:val="24"/>
          <w:szCs w:val="24"/>
        </w:rPr>
        <w:t>cognitive interview sessions</w:t>
      </w:r>
      <w:r w:rsidRPr="00603571">
        <w:rPr>
          <w:sz w:val="24"/>
          <w:szCs w:val="24"/>
        </w:rPr>
        <w:t xml:space="preserve"> with fewer than ten members of the general public were conducted during the survey design phase to test </w:t>
      </w:r>
      <w:r>
        <w:rPr>
          <w:sz w:val="24"/>
          <w:szCs w:val="24"/>
        </w:rPr>
        <w:t>the revised survey instruments</w:t>
      </w:r>
      <w:r w:rsidRPr="00603571">
        <w:rPr>
          <w:sz w:val="24"/>
          <w:szCs w:val="24"/>
        </w:rPr>
        <w:t xml:space="preserve">.  </w:t>
      </w:r>
      <w:r>
        <w:rPr>
          <w:sz w:val="24"/>
          <w:szCs w:val="24"/>
        </w:rPr>
        <w:t xml:space="preserve">These interviews were conducted in Portland, Anchorage, and Juneau during 2016.  </w:t>
      </w:r>
      <w:r w:rsidRPr="00603571">
        <w:rPr>
          <w:sz w:val="24"/>
          <w:szCs w:val="24"/>
        </w:rPr>
        <w:t xml:space="preserve">Both verbal protocol (talk aloud) and self-administered interviews were conducted with follow-up debriefing by team members.  Moreover, the survey design and implementation </w:t>
      </w:r>
      <w:r>
        <w:rPr>
          <w:sz w:val="24"/>
          <w:szCs w:val="24"/>
        </w:rPr>
        <w:t>plan have benefited from review</w:t>
      </w:r>
      <w:r w:rsidRPr="00603571">
        <w:rPr>
          <w:sz w:val="24"/>
          <w:szCs w:val="24"/>
        </w:rPr>
        <w:t xml:space="preserve"> by </w:t>
      </w:r>
      <w:r>
        <w:rPr>
          <w:sz w:val="24"/>
          <w:szCs w:val="24"/>
        </w:rPr>
        <w:t xml:space="preserve">individuals </w:t>
      </w:r>
      <w:r w:rsidRPr="00603571">
        <w:rPr>
          <w:sz w:val="24"/>
          <w:szCs w:val="24"/>
        </w:rPr>
        <w:t xml:space="preserve">with expertise in </w:t>
      </w:r>
      <w:r>
        <w:rPr>
          <w:sz w:val="24"/>
          <w:szCs w:val="24"/>
        </w:rPr>
        <w:t>fishing economic</w:t>
      </w:r>
      <w:r w:rsidRPr="00603571">
        <w:rPr>
          <w:sz w:val="24"/>
          <w:szCs w:val="24"/>
        </w:rPr>
        <w:t xml:space="preserve"> survey design and implementation.</w:t>
      </w: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Note that since this survey is an updated version (with minor revisions) of a previously-fielded survey, we do not anticipate the need for a formal pretest implementation, as the survey protocols and instruments are similar to those fielded before, and the survey firm that will conduct the survey (</w:t>
      </w:r>
      <w:proofErr w:type="spellStart"/>
      <w:r>
        <w:rPr>
          <w:sz w:val="24"/>
          <w:szCs w:val="24"/>
        </w:rPr>
        <w:t>QuanTech</w:t>
      </w:r>
      <w:proofErr w:type="spellEnd"/>
      <w:r>
        <w:rPr>
          <w:sz w:val="24"/>
          <w:szCs w:val="24"/>
        </w:rPr>
        <w:t>) has used the identical survey implementation protocols in recent surveys with NMFS.</w:t>
      </w:r>
    </w:p>
    <w:p w:rsidR="00AE50D3" w:rsidRDefault="00AE50D3" w:rsidP="00AE50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AE50D3" w:rsidRDefault="00AE50D3" w:rsidP="00AE50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szCs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AE50D3" w:rsidRDefault="00AE50D3" w:rsidP="00AE50D3">
      <w:pPr>
        <w:rPr>
          <w:sz w:val="24"/>
          <w:szCs w:val="24"/>
        </w:rPr>
      </w:pPr>
    </w:p>
    <w:p w:rsidR="00AE50D3" w:rsidRDefault="00AE50D3" w:rsidP="00AE50D3">
      <w:pPr>
        <w:rPr>
          <w:sz w:val="24"/>
          <w:szCs w:val="24"/>
        </w:rPr>
      </w:pPr>
      <w:r>
        <w:rPr>
          <w:sz w:val="24"/>
          <w:szCs w:val="24"/>
        </w:rPr>
        <w:t>The following individuals were consulted on the statistical aspects of the design:</w:t>
      </w:r>
    </w:p>
    <w:p w:rsidR="00AE50D3" w:rsidRDefault="00AE50D3" w:rsidP="00AE50D3">
      <w:pPr>
        <w:rPr>
          <w:sz w:val="24"/>
          <w:szCs w:val="24"/>
        </w:rPr>
      </w:pPr>
    </w:p>
    <w:p w:rsidR="00AE50D3" w:rsidRDefault="00AE50D3" w:rsidP="00AE50D3">
      <w:pPr>
        <w:rPr>
          <w:sz w:val="24"/>
          <w:szCs w:val="24"/>
        </w:rPr>
      </w:pPr>
      <w:r>
        <w:rPr>
          <w:sz w:val="24"/>
          <w:szCs w:val="24"/>
        </w:rPr>
        <w:t>Dr. Doug Larson</w:t>
      </w:r>
    </w:p>
    <w:p w:rsidR="00AE50D3" w:rsidRDefault="00AE50D3" w:rsidP="00AE50D3">
      <w:pPr>
        <w:rPr>
          <w:sz w:val="24"/>
          <w:szCs w:val="24"/>
        </w:rPr>
      </w:pPr>
      <w:r>
        <w:rPr>
          <w:sz w:val="24"/>
          <w:szCs w:val="24"/>
        </w:rPr>
        <w:t>Professor</w:t>
      </w:r>
    </w:p>
    <w:p w:rsidR="00AE50D3" w:rsidRDefault="00AE50D3" w:rsidP="00AE50D3">
      <w:pPr>
        <w:rPr>
          <w:sz w:val="24"/>
          <w:szCs w:val="24"/>
        </w:rPr>
      </w:pPr>
      <w:r>
        <w:rPr>
          <w:sz w:val="24"/>
          <w:szCs w:val="24"/>
        </w:rPr>
        <w:t>Department of Agricultural and Resource Economics</w:t>
      </w:r>
    </w:p>
    <w:p w:rsidR="00AE50D3" w:rsidRDefault="00AE50D3" w:rsidP="00AE50D3">
      <w:pPr>
        <w:rPr>
          <w:sz w:val="24"/>
          <w:szCs w:val="24"/>
        </w:rPr>
      </w:pPr>
      <w:smartTag w:uri="urn:schemas-microsoft-com:office:smarttags" w:element="place">
        <w:smartTag w:uri="urn:schemas-microsoft-com:office:smarttags" w:element="PlaceType">
          <w:r>
            <w:rPr>
              <w:sz w:val="24"/>
              <w:szCs w:val="24"/>
            </w:rPr>
            <w:t>University</w:t>
          </w:r>
        </w:smartTag>
        <w:r>
          <w:rPr>
            <w:sz w:val="24"/>
            <w:szCs w:val="24"/>
          </w:rPr>
          <w:t xml:space="preserve"> of </w:t>
        </w:r>
        <w:smartTag w:uri="urn:schemas-microsoft-com:office:smarttags" w:element="PlaceName">
          <w:r>
            <w:rPr>
              <w:sz w:val="24"/>
              <w:szCs w:val="24"/>
            </w:rPr>
            <w:t>California</w:t>
          </w:r>
        </w:smartTag>
      </w:smartTag>
      <w:r>
        <w:rPr>
          <w:sz w:val="24"/>
          <w:szCs w:val="24"/>
        </w:rPr>
        <w:t>, Davis</w:t>
      </w:r>
    </w:p>
    <w:p w:rsidR="00AE50D3" w:rsidRDefault="00AE50D3" w:rsidP="00AE50D3">
      <w:pPr>
        <w:rPr>
          <w:sz w:val="24"/>
          <w:szCs w:val="24"/>
        </w:rPr>
      </w:pPr>
      <w:r>
        <w:rPr>
          <w:sz w:val="24"/>
          <w:szCs w:val="24"/>
        </w:rPr>
        <w:lastRenderedPageBreak/>
        <w:t>(530) 752-3586</w:t>
      </w:r>
    </w:p>
    <w:p w:rsidR="00AE50D3" w:rsidRDefault="00AE50D3" w:rsidP="00AE50D3">
      <w:pPr>
        <w:rPr>
          <w:sz w:val="24"/>
          <w:szCs w:val="24"/>
        </w:rPr>
      </w:pPr>
      <w:r>
        <w:rPr>
          <w:sz w:val="24"/>
          <w:szCs w:val="24"/>
        </w:rPr>
        <w:t>dmlarson@ucdavis.edu</w:t>
      </w:r>
    </w:p>
    <w:p w:rsidR="00AE50D3" w:rsidRPr="00603571" w:rsidRDefault="00AE50D3" w:rsidP="00AE50D3">
      <w:pPr>
        <w:rPr>
          <w:sz w:val="24"/>
          <w:szCs w:val="24"/>
        </w:rPr>
      </w:pPr>
    </w:p>
    <w:p w:rsidR="00AE50D3" w:rsidRPr="00603571" w:rsidRDefault="00AE50D3" w:rsidP="00AE50D3">
      <w:pPr>
        <w:rPr>
          <w:sz w:val="24"/>
          <w:szCs w:val="24"/>
        </w:rPr>
      </w:pPr>
      <w:r w:rsidRPr="00603571">
        <w:rPr>
          <w:sz w:val="24"/>
          <w:szCs w:val="24"/>
        </w:rPr>
        <w:t>Dr. Dan Lew</w:t>
      </w:r>
    </w:p>
    <w:p w:rsidR="00AE50D3" w:rsidRPr="00603571" w:rsidRDefault="00AE50D3" w:rsidP="00AE50D3">
      <w:pPr>
        <w:rPr>
          <w:sz w:val="24"/>
          <w:szCs w:val="24"/>
        </w:rPr>
      </w:pPr>
      <w:r w:rsidRPr="00603571">
        <w:rPr>
          <w:sz w:val="24"/>
          <w:szCs w:val="24"/>
        </w:rPr>
        <w:t>Economist</w:t>
      </w:r>
    </w:p>
    <w:p w:rsidR="00AE50D3" w:rsidRDefault="00AE50D3" w:rsidP="00AE50D3">
      <w:pPr>
        <w:rPr>
          <w:sz w:val="24"/>
          <w:szCs w:val="24"/>
        </w:rPr>
      </w:pPr>
      <w:r w:rsidRPr="00603571">
        <w:rPr>
          <w:sz w:val="24"/>
          <w:szCs w:val="24"/>
        </w:rPr>
        <w:t>NOAA Fisheries</w:t>
      </w:r>
    </w:p>
    <w:p w:rsidR="00AE50D3" w:rsidRPr="00603571" w:rsidRDefault="00AE50D3" w:rsidP="00AE50D3">
      <w:pPr>
        <w:rPr>
          <w:sz w:val="24"/>
          <w:szCs w:val="24"/>
        </w:rPr>
      </w:pPr>
      <w:smartTag w:uri="urn:schemas-microsoft-com:office:smarttags" w:element="place">
        <w:smartTag w:uri="urn:schemas-microsoft-com:office:smarttags" w:element="PlaceName">
          <w:r>
            <w:rPr>
              <w:sz w:val="24"/>
              <w:szCs w:val="24"/>
            </w:rPr>
            <w:t>Alaska</w:t>
          </w:r>
        </w:smartTag>
        <w:r>
          <w:rPr>
            <w:sz w:val="24"/>
            <w:szCs w:val="24"/>
          </w:rPr>
          <w:t xml:space="preserve"> </w:t>
        </w:r>
        <w:smartTag w:uri="urn:schemas-microsoft-com:office:smarttags" w:element="PlaceName">
          <w:r>
            <w:rPr>
              <w:sz w:val="24"/>
              <w:szCs w:val="24"/>
            </w:rPr>
            <w:t>Fisheries</w:t>
          </w:r>
        </w:smartTag>
        <w:r>
          <w:rPr>
            <w:sz w:val="24"/>
            <w:szCs w:val="24"/>
          </w:rPr>
          <w:t xml:space="preserve"> </w:t>
        </w:r>
        <w:smartTag w:uri="urn:schemas-microsoft-com:office:smarttags" w:element="PlaceName">
          <w:r>
            <w:rPr>
              <w:sz w:val="24"/>
              <w:szCs w:val="24"/>
            </w:rPr>
            <w:t>Science</w:t>
          </w:r>
        </w:smartTag>
        <w:r>
          <w:rPr>
            <w:sz w:val="24"/>
            <w:szCs w:val="24"/>
          </w:rPr>
          <w:t xml:space="preserve"> </w:t>
        </w:r>
        <w:smartTag w:uri="urn:schemas-microsoft-com:office:smarttags" w:element="PlaceType">
          <w:r>
            <w:rPr>
              <w:sz w:val="24"/>
              <w:szCs w:val="24"/>
            </w:rPr>
            <w:t>Center</w:t>
          </w:r>
        </w:smartTag>
      </w:smartTag>
    </w:p>
    <w:p w:rsidR="00AE50D3" w:rsidRPr="00603571" w:rsidRDefault="00AE50D3" w:rsidP="00AE50D3">
      <w:pPr>
        <w:rPr>
          <w:sz w:val="24"/>
          <w:szCs w:val="24"/>
        </w:rPr>
      </w:pPr>
      <w:r>
        <w:rPr>
          <w:sz w:val="24"/>
          <w:szCs w:val="24"/>
        </w:rPr>
        <w:t>(530) 554-1842</w:t>
      </w:r>
    </w:p>
    <w:p w:rsidR="00AE50D3" w:rsidRDefault="00AE50D3" w:rsidP="00AE50D3">
      <w:pPr>
        <w:rPr>
          <w:sz w:val="24"/>
          <w:szCs w:val="24"/>
        </w:rPr>
      </w:pPr>
      <w:r>
        <w:rPr>
          <w:sz w:val="24"/>
          <w:szCs w:val="24"/>
        </w:rPr>
        <w:t>Dan.lew@noaa.gov</w:t>
      </w:r>
    </w:p>
    <w:p w:rsidR="00AE50D3" w:rsidRDefault="00AE50D3" w:rsidP="00AE50D3">
      <w:pPr>
        <w:rPr>
          <w:sz w:val="24"/>
          <w:szCs w:val="24"/>
        </w:rPr>
      </w:pPr>
    </w:p>
    <w:p w:rsidR="00AE50D3" w:rsidRDefault="00AE50D3" w:rsidP="00AE50D3">
      <w:pPr>
        <w:rPr>
          <w:sz w:val="24"/>
          <w:szCs w:val="24"/>
        </w:rPr>
      </w:pPr>
      <w:r>
        <w:rPr>
          <w:sz w:val="24"/>
          <w:szCs w:val="24"/>
        </w:rPr>
        <w:t>Drs. Dan Lew and Doug Larson are responsible for analyzing the data.</w:t>
      </w:r>
    </w:p>
    <w:p w:rsidR="00AE50D3" w:rsidRDefault="00AE50D3" w:rsidP="00AE50D3">
      <w:pPr>
        <w:rPr>
          <w:sz w:val="24"/>
          <w:szCs w:val="24"/>
        </w:rPr>
      </w:pPr>
    </w:p>
    <w:p w:rsidR="00AE50D3" w:rsidRDefault="00AE50D3" w:rsidP="00AE50D3">
      <w:pPr>
        <w:rPr>
          <w:sz w:val="24"/>
          <w:szCs w:val="24"/>
        </w:rPr>
      </w:pPr>
      <w:r>
        <w:rPr>
          <w:sz w:val="24"/>
          <w:szCs w:val="24"/>
        </w:rPr>
        <w:t>The contractor who will collect the data is</w:t>
      </w:r>
    </w:p>
    <w:p w:rsidR="00AE50D3" w:rsidRDefault="00AE50D3" w:rsidP="00AE50D3">
      <w:pPr>
        <w:rPr>
          <w:sz w:val="24"/>
          <w:szCs w:val="24"/>
        </w:rPr>
      </w:pPr>
    </w:p>
    <w:p w:rsidR="00AE50D3" w:rsidRDefault="00AE50D3" w:rsidP="00AE50D3">
      <w:pPr>
        <w:rPr>
          <w:sz w:val="24"/>
          <w:szCs w:val="24"/>
        </w:rPr>
      </w:pPr>
      <w:r>
        <w:rPr>
          <w:sz w:val="24"/>
          <w:szCs w:val="24"/>
        </w:rPr>
        <w:t>David C. Cox</w:t>
      </w:r>
    </w:p>
    <w:p w:rsidR="00AE50D3" w:rsidRDefault="00AE50D3" w:rsidP="00AE50D3">
      <w:pPr>
        <w:rPr>
          <w:sz w:val="24"/>
          <w:szCs w:val="24"/>
        </w:rPr>
      </w:pPr>
      <w:r>
        <w:rPr>
          <w:sz w:val="24"/>
          <w:szCs w:val="24"/>
        </w:rPr>
        <w:t xml:space="preserve">Vice President, </w:t>
      </w:r>
      <w:proofErr w:type="spellStart"/>
      <w:r>
        <w:rPr>
          <w:sz w:val="24"/>
          <w:szCs w:val="24"/>
        </w:rPr>
        <w:t>QuanTech</w:t>
      </w:r>
      <w:proofErr w:type="spellEnd"/>
    </w:p>
    <w:p w:rsidR="00AE50D3" w:rsidRPr="00C81278" w:rsidRDefault="00AE50D3" w:rsidP="00AE50D3">
      <w:pPr>
        <w:widowControl/>
        <w:rPr>
          <w:sz w:val="24"/>
          <w:szCs w:val="24"/>
        </w:rPr>
      </w:pPr>
      <w:r w:rsidRPr="00C81278">
        <w:rPr>
          <w:sz w:val="24"/>
          <w:szCs w:val="24"/>
        </w:rPr>
        <w:t>6110 Executive Blvd</w:t>
      </w:r>
      <w:r>
        <w:rPr>
          <w:sz w:val="24"/>
          <w:szCs w:val="24"/>
        </w:rPr>
        <w:t xml:space="preserve">, </w:t>
      </w:r>
      <w:r w:rsidRPr="00C81278">
        <w:rPr>
          <w:sz w:val="24"/>
          <w:szCs w:val="24"/>
        </w:rPr>
        <w:t>Suite 480</w:t>
      </w:r>
    </w:p>
    <w:p w:rsidR="00AE50D3" w:rsidRPr="00C81278" w:rsidRDefault="00AE50D3" w:rsidP="00AE50D3">
      <w:pPr>
        <w:rPr>
          <w:sz w:val="24"/>
          <w:szCs w:val="24"/>
        </w:rPr>
      </w:pPr>
      <w:r w:rsidRPr="00C81278">
        <w:rPr>
          <w:sz w:val="24"/>
          <w:szCs w:val="24"/>
        </w:rPr>
        <w:t>Rockville, MD. 20852</w:t>
      </w:r>
    </w:p>
    <w:p w:rsidR="00AE50D3" w:rsidRPr="00C81278" w:rsidRDefault="00AE50D3" w:rsidP="00AE50D3">
      <w:pPr>
        <w:widowControl/>
        <w:rPr>
          <w:sz w:val="24"/>
          <w:szCs w:val="24"/>
        </w:rPr>
      </w:pPr>
      <w:r w:rsidRPr="00C81278">
        <w:rPr>
          <w:sz w:val="24"/>
          <w:szCs w:val="24"/>
        </w:rPr>
        <w:t>(240)397-2993</w:t>
      </w:r>
    </w:p>
    <w:p w:rsidR="00AE50D3" w:rsidRPr="00C81278" w:rsidRDefault="00AE50D3" w:rsidP="00AE50D3">
      <w:r w:rsidRPr="00C81278">
        <w:rPr>
          <w:sz w:val="24"/>
          <w:szCs w:val="24"/>
        </w:rPr>
        <w:t>dcox@quantech.com</w:t>
      </w:r>
    </w:p>
    <w:p w:rsidR="00AE50D3" w:rsidRDefault="00AE50D3" w:rsidP="00AE50D3">
      <w:pPr>
        <w:rPr>
          <w:b/>
          <w:sz w:val="24"/>
          <w:szCs w:val="24"/>
        </w:rPr>
      </w:pPr>
    </w:p>
    <w:p w:rsidR="00AE50D3" w:rsidRPr="00CC33FE" w:rsidRDefault="00AE50D3" w:rsidP="00AE50D3">
      <w:pPr>
        <w:rPr>
          <w:b/>
          <w:sz w:val="24"/>
          <w:szCs w:val="24"/>
        </w:rPr>
      </w:pPr>
      <w:r w:rsidRPr="00CC33FE">
        <w:rPr>
          <w:b/>
          <w:sz w:val="24"/>
          <w:szCs w:val="24"/>
        </w:rPr>
        <w:t>References:</w:t>
      </w:r>
    </w:p>
    <w:p w:rsidR="00AE50D3" w:rsidRPr="00DA7C03" w:rsidRDefault="00AE50D3" w:rsidP="00AE50D3">
      <w:pPr>
        <w:rPr>
          <w:sz w:val="24"/>
          <w:szCs w:val="24"/>
        </w:rPr>
      </w:pPr>
    </w:p>
    <w:p w:rsidR="00AE50D3" w:rsidRPr="00DA7C03" w:rsidRDefault="00AE50D3" w:rsidP="00AE50D3">
      <w:pPr>
        <w:rPr>
          <w:sz w:val="24"/>
          <w:szCs w:val="24"/>
        </w:rPr>
      </w:pPr>
      <w:proofErr w:type="spellStart"/>
      <w:proofErr w:type="gramStart"/>
      <w:r w:rsidRPr="00DA7C03">
        <w:rPr>
          <w:sz w:val="24"/>
          <w:szCs w:val="24"/>
        </w:rPr>
        <w:t>Adamowicz</w:t>
      </w:r>
      <w:proofErr w:type="spellEnd"/>
      <w:r w:rsidRPr="00DA7C03">
        <w:rPr>
          <w:sz w:val="24"/>
          <w:szCs w:val="24"/>
        </w:rPr>
        <w:t>, W., J. Louviere, and M. Williams (1994).</w:t>
      </w:r>
      <w:proofErr w:type="gramEnd"/>
      <w:r w:rsidRPr="00DA7C03">
        <w:rPr>
          <w:sz w:val="24"/>
          <w:szCs w:val="24"/>
        </w:rPr>
        <w:t xml:space="preserve"> </w:t>
      </w:r>
      <w:r w:rsidRPr="00DA7C03">
        <w:rPr>
          <w:i/>
          <w:sz w:val="24"/>
          <w:szCs w:val="24"/>
        </w:rPr>
        <w:t xml:space="preserve"> </w:t>
      </w:r>
      <w:r w:rsidRPr="00DA7C03">
        <w:rPr>
          <w:sz w:val="24"/>
          <w:szCs w:val="24"/>
        </w:rPr>
        <w:t xml:space="preserve">“Combining Stated and Revealed Preference Methods for Valuing Environmental Amenities.”  </w:t>
      </w:r>
      <w:r w:rsidRPr="00DA7C03">
        <w:rPr>
          <w:i/>
          <w:sz w:val="24"/>
          <w:szCs w:val="24"/>
        </w:rPr>
        <w:t>Journal of Environmental Economics and Management</w:t>
      </w:r>
      <w:r w:rsidRPr="00DA7C03">
        <w:rPr>
          <w:sz w:val="24"/>
          <w:szCs w:val="24"/>
        </w:rPr>
        <w:t>, 26:  271-292.</w:t>
      </w:r>
    </w:p>
    <w:p w:rsidR="00AE50D3" w:rsidRPr="00DA7C03" w:rsidRDefault="00AE50D3" w:rsidP="00AE50D3">
      <w:pPr>
        <w:rPr>
          <w:sz w:val="24"/>
          <w:szCs w:val="24"/>
        </w:rPr>
      </w:pPr>
    </w:p>
    <w:p w:rsidR="00AE50D3" w:rsidRPr="00DA7C03" w:rsidRDefault="00AE50D3" w:rsidP="00AE50D3">
      <w:pPr>
        <w:rPr>
          <w:sz w:val="24"/>
          <w:szCs w:val="24"/>
        </w:rPr>
      </w:pPr>
      <w:proofErr w:type="spellStart"/>
      <w:proofErr w:type="gramStart"/>
      <w:r w:rsidRPr="00DA7C03">
        <w:rPr>
          <w:sz w:val="24"/>
          <w:szCs w:val="24"/>
        </w:rPr>
        <w:t>Adamowicz</w:t>
      </w:r>
      <w:proofErr w:type="spellEnd"/>
      <w:r w:rsidRPr="00DA7C03">
        <w:rPr>
          <w:sz w:val="24"/>
          <w:szCs w:val="24"/>
        </w:rPr>
        <w:t xml:space="preserve">, W., J. </w:t>
      </w:r>
      <w:proofErr w:type="spellStart"/>
      <w:r w:rsidRPr="00DA7C03">
        <w:rPr>
          <w:sz w:val="24"/>
          <w:szCs w:val="24"/>
        </w:rPr>
        <w:t>Swait</w:t>
      </w:r>
      <w:proofErr w:type="spellEnd"/>
      <w:r w:rsidRPr="00DA7C03">
        <w:rPr>
          <w:sz w:val="24"/>
          <w:szCs w:val="24"/>
        </w:rPr>
        <w:t>, P. Boxall, J. Louviere, and M. Williams (1997).</w:t>
      </w:r>
      <w:proofErr w:type="gramEnd"/>
      <w:r w:rsidRPr="00DA7C03">
        <w:rPr>
          <w:sz w:val="24"/>
          <w:szCs w:val="24"/>
        </w:rPr>
        <w:t xml:space="preserve">  “Perceptions </w:t>
      </w:r>
      <w:proofErr w:type="gramStart"/>
      <w:r w:rsidRPr="00DA7C03">
        <w:rPr>
          <w:sz w:val="24"/>
          <w:szCs w:val="24"/>
        </w:rPr>
        <w:t>Versus</w:t>
      </w:r>
      <w:proofErr w:type="gramEnd"/>
      <w:r w:rsidRPr="00DA7C03">
        <w:rPr>
          <w:sz w:val="24"/>
          <w:szCs w:val="24"/>
        </w:rPr>
        <w:t xml:space="preserve"> Objective Measures of Environmental Quality in Combined Revealed and Stated Preference Models of Environmental Valuation,” </w:t>
      </w:r>
      <w:r w:rsidRPr="00DA7C03">
        <w:rPr>
          <w:i/>
          <w:sz w:val="24"/>
          <w:szCs w:val="24"/>
        </w:rPr>
        <w:t>Journal of Environmental Economics and Management</w:t>
      </w:r>
      <w:r w:rsidRPr="00DA7C03">
        <w:rPr>
          <w:sz w:val="24"/>
          <w:szCs w:val="24"/>
        </w:rPr>
        <w:t>, 32:  65-84.</w:t>
      </w:r>
    </w:p>
    <w:p w:rsidR="00AE50D3" w:rsidRPr="00DA7C03" w:rsidRDefault="00AE50D3" w:rsidP="00AE50D3">
      <w:pPr>
        <w:rPr>
          <w:sz w:val="24"/>
          <w:szCs w:val="24"/>
        </w:rPr>
      </w:pPr>
    </w:p>
    <w:p w:rsidR="00AE50D3" w:rsidRPr="00DA7C03" w:rsidRDefault="00AE50D3" w:rsidP="00AE50D3">
      <w:pPr>
        <w:rPr>
          <w:sz w:val="24"/>
          <w:szCs w:val="24"/>
        </w:rPr>
      </w:pPr>
      <w:proofErr w:type="spellStart"/>
      <w:proofErr w:type="gramStart"/>
      <w:r w:rsidRPr="00DA7C03">
        <w:rPr>
          <w:sz w:val="24"/>
          <w:szCs w:val="24"/>
        </w:rPr>
        <w:t>Alpizar</w:t>
      </w:r>
      <w:proofErr w:type="spellEnd"/>
      <w:r w:rsidRPr="00DA7C03">
        <w:rPr>
          <w:sz w:val="24"/>
          <w:szCs w:val="24"/>
        </w:rPr>
        <w:t xml:space="preserve">, F., F. </w:t>
      </w:r>
      <w:proofErr w:type="spellStart"/>
      <w:r w:rsidRPr="00DA7C03">
        <w:rPr>
          <w:sz w:val="24"/>
          <w:szCs w:val="24"/>
        </w:rPr>
        <w:t>Carlsson</w:t>
      </w:r>
      <w:proofErr w:type="spellEnd"/>
      <w:r w:rsidRPr="00DA7C03">
        <w:rPr>
          <w:sz w:val="24"/>
          <w:szCs w:val="24"/>
        </w:rPr>
        <w:t>, and P. Martinsson (2001).</w:t>
      </w:r>
      <w:proofErr w:type="gramEnd"/>
      <w:r w:rsidRPr="00DA7C03">
        <w:rPr>
          <w:sz w:val="24"/>
          <w:szCs w:val="24"/>
        </w:rPr>
        <w:t xml:space="preserve">  </w:t>
      </w:r>
      <w:proofErr w:type="gramStart"/>
      <w:r w:rsidRPr="00DA7C03">
        <w:rPr>
          <w:sz w:val="24"/>
          <w:szCs w:val="24"/>
        </w:rPr>
        <w:t>“Using Choice Experiments for Non-Market Valuation.”</w:t>
      </w:r>
      <w:proofErr w:type="gramEnd"/>
      <w:r w:rsidRPr="00DA7C03">
        <w:rPr>
          <w:sz w:val="24"/>
          <w:szCs w:val="24"/>
        </w:rPr>
        <w:t xml:space="preserve">  </w:t>
      </w:r>
      <w:r w:rsidRPr="00DA7C03">
        <w:rPr>
          <w:i/>
          <w:sz w:val="24"/>
          <w:szCs w:val="24"/>
        </w:rPr>
        <w:t>Economic Issues</w:t>
      </w:r>
      <w:r w:rsidRPr="00DA7C03">
        <w:rPr>
          <w:sz w:val="24"/>
          <w:szCs w:val="24"/>
        </w:rPr>
        <w:t>, 8(1):  83-110.</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 xml:space="preserve">Bullock, C.H., D.A. </w:t>
      </w:r>
      <w:proofErr w:type="spellStart"/>
      <w:r w:rsidRPr="00DA7C03">
        <w:rPr>
          <w:sz w:val="24"/>
          <w:szCs w:val="24"/>
        </w:rPr>
        <w:t>Elston</w:t>
      </w:r>
      <w:proofErr w:type="spellEnd"/>
      <w:r w:rsidRPr="00DA7C03">
        <w:rPr>
          <w:sz w:val="24"/>
          <w:szCs w:val="24"/>
        </w:rPr>
        <w:t>, and N.A. Chalmers (1998).</w:t>
      </w:r>
      <w:proofErr w:type="gramEnd"/>
      <w:r w:rsidRPr="00DA7C03">
        <w:rPr>
          <w:sz w:val="24"/>
          <w:szCs w:val="24"/>
        </w:rPr>
        <w:t xml:space="preserve">  “An Application of Economic Choice Experiments to a Traditional Land Use—Deer Hunting and Landscape Change in the Scottish Highlands.”  </w:t>
      </w:r>
      <w:r w:rsidRPr="00DA7C03">
        <w:rPr>
          <w:i/>
          <w:sz w:val="24"/>
          <w:szCs w:val="24"/>
        </w:rPr>
        <w:t xml:space="preserve">Journal of Environmental Management, </w:t>
      </w:r>
      <w:r w:rsidRPr="00DA7C03">
        <w:rPr>
          <w:sz w:val="24"/>
          <w:szCs w:val="24"/>
        </w:rPr>
        <w:t>52:  335-351.</w:t>
      </w:r>
    </w:p>
    <w:p w:rsidR="00AE50D3" w:rsidRPr="00DA7C03" w:rsidRDefault="00AE50D3" w:rsidP="00AE50D3">
      <w:pPr>
        <w:rPr>
          <w:sz w:val="24"/>
          <w:szCs w:val="24"/>
        </w:rPr>
      </w:pPr>
    </w:p>
    <w:p w:rsidR="00AE50D3" w:rsidRPr="00DA7C03" w:rsidRDefault="00AE50D3" w:rsidP="00AE50D3">
      <w:pPr>
        <w:rPr>
          <w:sz w:val="24"/>
          <w:szCs w:val="24"/>
        </w:rPr>
      </w:pPr>
      <w:proofErr w:type="spellStart"/>
      <w:proofErr w:type="gramStart"/>
      <w:r w:rsidRPr="00DA7C03">
        <w:rPr>
          <w:sz w:val="24"/>
          <w:szCs w:val="24"/>
        </w:rPr>
        <w:t>Dillman</w:t>
      </w:r>
      <w:proofErr w:type="spellEnd"/>
      <w:r w:rsidRPr="00DA7C03">
        <w:rPr>
          <w:sz w:val="24"/>
          <w:szCs w:val="24"/>
        </w:rPr>
        <w:t>, D. A., J. D. Smyth, and L. M. Christian (2014).</w:t>
      </w:r>
      <w:proofErr w:type="gramEnd"/>
      <w:r w:rsidRPr="00DA7C03">
        <w:rPr>
          <w:sz w:val="24"/>
          <w:szCs w:val="24"/>
        </w:rPr>
        <w:t xml:space="preserve">  Internet, Phone, Mail, and Mixed-Mode Surveys:  The Total Design Method.  </w:t>
      </w:r>
      <w:proofErr w:type="gramStart"/>
      <w:r w:rsidRPr="00DA7C03">
        <w:rPr>
          <w:sz w:val="24"/>
          <w:szCs w:val="24"/>
        </w:rPr>
        <w:t>4</w:t>
      </w:r>
      <w:r w:rsidRPr="00DA7C03">
        <w:rPr>
          <w:sz w:val="24"/>
          <w:szCs w:val="24"/>
          <w:vertAlign w:val="superscript"/>
        </w:rPr>
        <w:t>th</w:t>
      </w:r>
      <w:r w:rsidRPr="00DA7C03">
        <w:rPr>
          <w:sz w:val="24"/>
          <w:szCs w:val="24"/>
        </w:rPr>
        <w:t xml:space="preserve"> Edition.</w:t>
      </w:r>
      <w:proofErr w:type="gramEnd"/>
      <w:r w:rsidRPr="00DA7C03">
        <w:rPr>
          <w:sz w:val="24"/>
          <w:szCs w:val="24"/>
        </w:rPr>
        <w:t xml:space="preserve">  Hoboken, NJ:  John Wiley &amp; Sons.</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 xml:space="preserve">Hanley, N., S. </w:t>
      </w:r>
      <w:proofErr w:type="spellStart"/>
      <w:r w:rsidRPr="00DA7C03">
        <w:rPr>
          <w:sz w:val="24"/>
          <w:szCs w:val="24"/>
        </w:rPr>
        <w:t>Mourato</w:t>
      </w:r>
      <w:proofErr w:type="spellEnd"/>
      <w:r w:rsidRPr="00DA7C03">
        <w:rPr>
          <w:sz w:val="24"/>
          <w:szCs w:val="24"/>
        </w:rPr>
        <w:t>, and R.E. Wright (2001).</w:t>
      </w:r>
      <w:proofErr w:type="gramEnd"/>
      <w:r w:rsidRPr="00DA7C03">
        <w:rPr>
          <w:sz w:val="24"/>
          <w:szCs w:val="24"/>
        </w:rPr>
        <w:t xml:space="preserve">  “Choice Modelling Approaches:  A Superior Alternative for Environmental Valuation?”  </w:t>
      </w:r>
      <w:r w:rsidRPr="00DA7C03">
        <w:rPr>
          <w:i/>
          <w:sz w:val="24"/>
          <w:szCs w:val="24"/>
        </w:rPr>
        <w:t>Journal of Economic Surveys</w:t>
      </w:r>
      <w:r w:rsidRPr="00DA7C03">
        <w:rPr>
          <w:sz w:val="24"/>
          <w:szCs w:val="24"/>
        </w:rPr>
        <w:t>, 15(3):  435-462.</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 xml:space="preserve">Hanley, N., R.E. Wright, and W. </w:t>
      </w:r>
      <w:proofErr w:type="spellStart"/>
      <w:r w:rsidRPr="00DA7C03">
        <w:rPr>
          <w:sz w:val="24"/>
          <w:szCs w:val="24"/>
        </w:rPr>
        <w:t>Adamowicz</w:t>
      </w:r>
      <w:proofErr w:type="spellEnd"/>
      <w:r w:rsidRPr="00DA7C03">
        <w:rPr>
          <w:sz w:val="24"/>
          <w:szCs w:val="24"/>
        </w:rPr>
        <w:t xml:space="preserve"> (1998).</w:t>
      </w:r>
      <w:proofErr w:type="gramEnd"/>
      <w:r w:rsidRPr="00DA7C03">
        <w:rPr>
          <w:sz w:val="24"/>
          <w:szCs w:val="24"/>
        </w:rPr>
        <w:t xml:space="preserve">  </w:t>
      </w:r>
      <w:proofErr w:type="gramStart"/>
      <w:r w:rsidRPr="00DA7C03">
        <w:rPr>
          <w:sz w:val="24"/>
          <w:szCs w:val="24"/>
        </w:rPr>
        <w:t xml:space="preserve">“Using Choice Experiments to Value the </w:t>
      </w:r>
      <w:r w:rsidRPr="00DA7C03">
        <w:rPr>
          <w:sz w:val="24"/>
          <w:szCs w:val="24"/>
        </w:rPr>
        <w:lastRenderedPageBreak/>
        <w:t>Environment:  Design Issues, Current Experience, and Future Prospects.”</w:t>
      </w:r>
      <w:proofErr w:type="gramEnd"/>
      <w:r w:rsidRPr="00DA7C03">
        <w:rPr>
          <w:sz w:val="24"/>
          <w:szCs w:val="24"/>
        </w:rPr>
        <w:t xml:space="preserve">  </w:t>
      </w:r>
      <w:r w:rsidRPr="00DA7C03">
        <w:rPr>
          <w:i/>
          <w:sz w:val="24"/>
          <w:szCs w:val="24"/>
        </w:rPr>
        <w:t>Environmental and Resource Economics</w:t>
      </w:r>
      <w:r w:rsidRPr="00DA7C03">
        <w:rPr>
          <w:sz w:val="24"/>
          <w:szCs w:val="24"/>
        </w:rPr>
        <w:t>, 11(3-4):  413-428.</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Hanley, N., R.E. Wright, and G. Koop (2002).</w:t>
      </w:r>
      <w:proofErr w:type="gramEnd"/>
      <w:r w:rsidRPr="00DA7C03">
        <w:rPr>
          <w:sz w:val="24"/>
          <w:szCs w:val="24"/>
        </w:rPr>
        <w:t xml:space="preserve">  “Modelling Recreation Demand Using Choice Experiments:  Climbing in Scotland.”  </w:t>
      </w:r>
      <w:proofErr w:type="gramStart"/>
      <w:r w:rsidRPr="00DA7C03">
        <w:rPr>
          <w:i/>
          <w:sz w:val="24"/>
          <w:szCs w:val="24"/>
        </w:rPr>
        <w:t>Environmental and Resource Economics</w:t>
      </w:r>
      <w:r w:rsidRPr="00DA7C03">
        <w:rPr>
          <w:sz w:val="24"/>
          <w:szCs w:val="24"/>
        </w:rPr>
        <w:t>, 22:  449-466.</w:t>
      </w:r>
      <w:proofErr w:type="gramEnd"/>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 xml:space="preserve">Lee, S.T., M. Herrmann, I. </w:t>
      </w:r>
      <w:proofErr w:type="spellStart"/>
      <w:r w:rsidRPr="00DA7C03">
        <w:rPr>
          <w:sz w:val="24"/>
          <w:szCs w:val="24"/>
        </w:rPr>
        <w:t>Wedin</w:t>
      </w:r>
      <w:proofErr w:type="spellEnd"/>
      <w:r w:rsidRPr="00DA7C03">
        <w:rPr>
          <w:sz w:val="24"/>
          <w:szCs w:val="24"/>
        </w:rPr>
        <w:t xml:space="preserve">, K. </w:t>
      </w:r>
      <w:proofErr w:type="spellStart"/>
      <w:r w:rsidRPr="00DA7C03">
        <w:rPr>
          <w:sz w:val="24"/>
          <w:szCs w:val="24"/>
        </w:rPr>
        <w:t>Criddle</w:t>
      </w:r>
      <w:proofErr w:type="spellEnd"/>
      <w:r w:rsidRPr="00DA7C03">
        <w:rPr>
          <w:sz w:val="24"/>
          <w:szCs w:val="24"/>
        </w:rPr>
        <w:t>, C. Hamel, and J. Greenberg (1999).</w:t>
      </w:r>
      <w:proofErr w:type="gramEnd"/>
      <w:r w:rsidRPr="00DA7C03">
        <w:rPr>
          <w:sz w:val="24"/>
          <w:szCs w:val="24"/>
        </w:rPr>
        <w:t xml:space="preserve">  “Summary of Angler Survey:  Saltwater Sport Fishing off the Kenai Peninsula, Alaska.”  </w:t>
      </w:r>
      <w:proofErr w:type="gramStart"/>
      <w:r w:rsidRPr="00DA7C03">
        <w:rPr>
          <w:sz w:val="24"/>
          <w:szCs w:val="24"/>
        </w:rPr>
        <w:t>Final report, Alaska Sea Grant Project 98403 R1417.</w:t>
      </w:r>
      <w:proofErr w:type="gramEnd"/>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 xml:space="preserve">Lesser, V., </w:t>
      </w:r>
      <w:proofErr w:type="spellStart"/>
      <w:r w:rsidRPr="00DA7C03">
        <w:rPr>
          <w:sz w:val="24"/>
          <w:szCs w:val="24"/>
        </w:rPr>
        <w:t>Dillman</w:t>
      </w:r>
      <w:proofErr w:type="spellEnd"/>
      <w:r w:rsidRPr="00DA7C03">
        <w:rPr>
          <w:sz w:val="24"/>
          <w:szCs w:val="24"/>
        </w:rPr>
        <w:t>, D.A., Lorenz, F.O., Carlson, J., and Brown, T.L. (1999).</w:t>
      </w:r>
      <w:proofErr w:type="gramEnd"/>
      <w:r w:rsidRPr="00DA7C03">
        <w:rPr>
          <w:sz w:val="24"/>
          <w:szCs w:val="24"/>
        </w:rPr>
        <w:t xml:space="preserve">  </w:t>
      </w:r>
      <w:proofErr w:type="gramStart"/>
      <w:r w:rsidRPr="00DA7C03">
        <w:rPr>
          <w:sz w:val="24"/>
          <w:szCs w:val="24"/>
        </w:rPr>
        <w:t>“The influence of financial incentives on mail questionnaire response rates.”</w:t>
      </w:r>
      <w:proofErr w:type="gramEnd"/>
      <w:r w:rsidRPr="00DA7C03">
        <w:rPr>
          <w:sz w:val="24"/>
          <w:szCs w:val="24"/>
        </w:rPr>
        <w:t xml:space="preserve">  Paper presented at the meeting of the Rural Sociological Society, Portland, OR.</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color w:val="000000"/>
          <w:sz w:val="24"/>
          <w:szCs w:val="24"/>
        </w:rPr>
        <w:t>Lew, Daniel K., and Douglas M. Larson.</w:t>
      </w:r>
      <w:proofErr w:type="gramEnd"/>
      <w:r w:rsidRPr="00DA7C03">
        <w:rPr>
          <w:color w:val="000000"/>
          <w:sz w:val="24"/>
          <w:szCs w:val="24"/>
        </w:rPr>
        <w:t xml:space="preserve"> </w:t>
      </w:r>
      <w:proofErr w:type="gramStart"/>
      <w:r w:rsidRPr="00DA7C03">
        <w:rPr>
          <w:color w:val="000000"/>
          <w:sz w:val="24"/>
          <w:szCs w:val="24"/>
        </w:rPr>
        <w:t>“Stated Preferences for Size and Bag Limits of Alaska Charter Boat Anglers.”</w:t>
      </w:r>
      <w:proofErr w:type="gramEnd"/>
      <w:r w:rsidRPr="00DA7C03">
        <w:rPr>
          <w:color w:val="000000"/>
          <w:sz w:val="24"/>
          <w:szCs w:val="24"/>
        </w:rPr>
        <w:t xml:space="preserve">  </w:t>
      </w:r>
      <w:r w:rsidRPr="00DA7C03">
        <w:rPr>
          <w:i/>
          <w:iCs/>
          <w:color w:val="000000"/>
          <w:sz w:val="24"/>
          <w:szCs w:val="24"/>
        </w:rPr>
        <w:t xml:space="preserve">Marine Policy </w:t>
      </w:r>
      <w:r w:rsidRPr="00DA7C03">
        <w:rPr>
          <w:color w:val="000000"/>
          <w:sz w:val="24"/>
          <w:szCs w:val="24"/>
        </w:rPr>
        <w:t>61: 66-76, 2015.</w:t>
      </w:r>
    </w:p>
    <w:p w:rsidR="00AE50D3" w:rsidRPr="00DA7C03" w:rsidRDefault="00AE50D3" w:rsidP="00AE50D3">
      <w:pPr>
        <w:rPr>
          <w:sz w:val="24"/>
          <w:szCs w:val="24"/>
        </w:rPr>
      </w:pPr>
    </w:p>
    <w:p w:rsidR="00AE50D3" w:rsidRPr="00DA7C03" w:rsidRDefault="00AE50D3" w:rsidP="00AE50D3">
      <w:pPr>
        <w:pStyle w:val="BodyTextIndent"/>
        <w:spacing w:after="0"/>
        <w:ind w:left="0"/>
      </w:pPr>
      <w:proofErr w:type="gramStart"/>
      <w:r w:rsidRPr="00DA7C03">
        <w:t>Lew, Daniel K., Jean Lee, and Douglas M. Larson (2010).</w:t>
      </w:r>
      <w:proofErr w:type="gramEnd"/>
      <w:r w:rsidRPr="00DA7C03">
        <w:t xml:space="preserve">  “Saltwater Sport Fishing in Alaska:  A Summary and Description of the Alaska Saltwater Sport Fishing Economic Survey, 2007.”  </w:t>
      </w:r>
      <w:proofErr w:type="gramStart"/>
      <w:r w:rsidRPr="00DA7C03">
        <w:t xml:space="preserve">U.S. </w:t>
      </w:r>
      <w:proofErr w:type="spellStart"/>
      <w:r w:rsidRPr="00DA7C03">
        <w:t>Dept</w:t>
      </w:r>
      <w:proofErr w:type="spellEnd"/>
      <w:r w:rsidRPr="00DA7C03">
        <w:t xml:space="preserve"> of Commerce, NOAA Technical Memorandum NMFS-AFSC-214, 229 pages.</w:t>
      </w:r>
      <w:proofErr w:type="gramEnd"/>
    </w:p>
    <w:p w:rsidR="00AE50D3" w:rsidRPr="00DA7C03" w:rsidRDefault="00AE50D3" w:rsidP="00AE50D3">
      <w:pPr>
        <w:rPr>
          <w:sz w:val="24"/>
          <w:szCs w:val="24"/>
        </w:rPr>
      </w:pPr>
    </w:p>
    <w:p w:rsidR="00AE50D3" w:rsidRPr="00DA7C03" w:rsidRDefault="00AE50D3" w:rsidP="00AE50D3">
      <w:pPr>
        <w:pStyle w:val="BodyTextIndent"/>
        <w:spacing w:after="0"/>
        <w:ind w:left="0"/>
      </w:pPr>
      <w:proofErr w:type="gramStart"/>
      <w:r w:rsidRPr="00DA7C03">
        <w:t xml:space="preserve">Lew, Daniel K., and Chang </w:t>
      </w:r>
      <w:proofErr w:type="spellStart"/>
      <w:r w:rsidRPr="00DA7C03">
        <w:t>Seung</w:t>
      </w:r>
      <w:proofErr w:type="spellEnd"/>
      <w:r w:rsidRPr="00DA7C03">
        <w:t xml:space="preserve"> (2010).</w:t>
      </w:r>
      <w:proofErr w:type="gramEnd"/>
      <w:r w:rsidRPr="00DA7C03">
        <w:t xml:space="preserve">  “The Economic Impact of Saltwater </w:t>
      </w:r>
      <w:proofErr w:type="spellStart"/>
      <w:r w:rsidRPr="00DA7C03">
        <w:t>Sportfishing</w:t>
      </w:r>
      <w:proofErr w:type="spellEnd"/>
      <w:r w:rsidRPr="00DA7C03">
        <w:t xml:space="preserve"> Harvest Restrictions in Alaska:  An Empirical Analysis of Nonresident Anglers.”  </w:t>
      </w:r>
      <w:r w:rsidRPr="00DA7C03">
        <w:rPr>
          <w:i/>
        </w:rPr>
        <w:t xml:space="preserve">North American Journal of Fisheries Management, </w:t>
      </w:r>
      <w:r w:rsidRPr="00DA7C03">
        <w:t>30: 538-551.</w:t>
      </w:r>
    </w:p>
    <w:p w:rsidR="00AE50D3" w:rsidRPr="00DA7C03" w:rsidRDefault="00AE50D3" w:rsidP="00AE50D3">
      <w:pPr>
        <w:rPr>
          <w:sz w:val="24"/>
          <w:szCs w:val="24"/>
        </w:rPr>
      </w:pPr>
    </w:p>
    <w:p w:rsidR="00AE50D3" w:rsidRPr="00DA7C03" w:rsidRDefault="00AE50D3" w:rsidP="00AE50D3">
      <w:pPr>
        <w:rPr>
          <w:color w:val="000000"/>
          <w:sz w:val="24"/>
          <w:szCs w:val="24"/>
        </w:rPr>
      </w:pPr>
      <w:proofErr w:type="gramStart"/>
      <w:r w:rsidRPr="00DA7C03">
        <w:rPr>
          <w:color w:val="000000"/>
          <w:sz w:val="24"/>
          <w:szCs w:val="24"/>
        </w:rPr>
        <w:t xml:space="preserve">Lew, Daniel K., and Chang </w:t>
      </w:r>
      <w:proofErr w:type="spellStart"/>
      <w:r w:rsidRPr="00DA7C03">
        <w:rPr>
          <w:color w:val="000000"/>
          <w:sz w:val="24"/>
          <w:szCs w:val="24"/>
        </w:rPr>
        <w:t>Seung</w:t>
      </w:r>
      <w:proofErr w:type="spellEnd"/>
      <w:r w:rsidRPr="00DA7C03">
        <w:rPr>
          <w:color w:val="000000"/>
          <w:sz w:val="24"/>
          <w:szCs w:val="24"/>
        </w:rPr>
        <w:t>.</w:t>
      </w:r>
      <w:proofErr w:type="gramEnd"/>
      <w:r w:rsidRPr="00DA7C03">
        <w:rPr>
          <w:color w:val="000000"/>
          <w:sz w:val="24"/>
          <w:szCs w:val="24"/>
        </w:rPr>
        <w:t xml:space="preserve">  (2014) “On the Statistical Significance of Regional Economic Impacts from Changes in Recreational Fishing Harvest Limits in Southern Alaska.” </w:t>
      </w:r>
      <w:r w:rsidRPr="00DA7C03">
        <w:rPr>
          <w:i/>
          <w:iCs/>
          <w:color w:val="000000"/>
          <w:sz w:val="24"/>
          <w:szCs w:val="24"/>
        </w:rPr>
        <w:t xml:space="preserve">Marine Resource Economics </w:t>
      </w:r>
      <w:r w:rsidRPr="00DA7C03">
        <w:rPr>
          <w:color w:val="000000"/>
          <w:sz w:val="24"/>
          <w:szCs w:val="24"/>
        </w:rPr>
        <w:t>29(3): 241-257.</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color w:val="000000"/>
          <w:sz w:val="24"/>
          <w:szCs w:val="24"/>
        </w:rPr>
        <w:t>Lew, Daniel K., Amber Himes-Cornell, and Jean Lee (2015).</w:t>
      </w:r>
      <w:proofErr w:type="gramEnd"/>
      <w:r w:rsidRPr="00DA7C03">
        <w:rPr>
          <w:color w:val="000000"/>
          <w:sz w:val="24"/>
          <w:szCs w:val="24"/>
        </w:rPr>
        <w:t xml:space="preserve">  </w:t>
      </w:r>
      <w:proofErr w:type="gramStart"/>
      <w:r w:rsidRPr="00DA7C03">
        <w:rPr>
          <w:color w:val="000000"/>
          <w:sz w:val="24"/>
          <w:szCs w:val="24"/>
        </w:rPr>
        <w:t>“Weighting and Data Imputation for Missing Data in a Cost and Earnings Fishery Survey.”</w:t>
      </w:r>
      <w:proofErr w:type="gramEnd"/>
      <w:r w:rsidRPr="00DA7C03">
        <w:rPr>
          <w:color w:val="000000"/>
          <w:sz w:val="24"/>
          <w:szCs w:val="24"/>
        </w:rPr>
        <w:t xml:space="preserve">  </w:t>
      </w:r>
      <w:r w:rsidRPr="00DA7C03">
        <w:rPr>
          <w:i/>
          <w:iCs/>
          <w:color w:val="000000"/>
          <w:sz w:val="24"/>
          <w:szCs w:val="24"/>
        </w:rPr>
        <w:t xml:space="preserve">Marine Resource Economics </w:t>
      </w:r>
      <w:r w:rsidRPr="00DA7C03">
        <w:rPr>
          <w:color w:val="000000"/>
          <w:sz w:val="24"/>
          <w:szCs w:val="24"/>
        </w:rPr>
        <w:t>30(2): 219-230.</w:t>
      </w:r>
    </w:p>
    <w:p w:rsidR="00AE50D3" w:rsidRPr="00DA7C03" w:rsidRDefault="00AE50D3" w:rsidP="00AE50D3">
      <w:pPr>
        <w:rPr>
          <w:sz w:val="24"/>
          <w:szCs w:val="24"/>
        </w:rPr>
      </w:pPr>
    </w:p>
    <w:p w:rsidR="00AE50D3" w:rsidRPr="00DA7C03" w:rsidRDefault="00AE50D3" w:rsidP="00AE50D3">
      <w:pPr>
        <w:rPr>
          <w:sz w:val="24"/>
          <w:szCs w:val="24"/>
        </w:rPr>
      </w:pPr>
      <w:proofErr w:type="spellStart"/>
      <w:r w:rsidRPr="00DA7C03">
        <w:rPr>
          <w:sz w:val="24"/>
          <w:szCs w:val="24"/>
        </w:rPr>
        <w:t>Lohr</w:t>
      </w:r>
      <w:proofErr w:type="spellEnd"/>
      <w:r w:rsidRPr="00DA7C03">
        <w:rPr>
          <w:sz w:val="24"/>
          <w:szCs w:val="24"/>
        </w:rPr>
        <w:t xml:space="preserve">, S.L. (1999).  </w:t>
      </w:r>
      <w:r w:rsidRPr="00DA7C03">
        <w:rPr>
          <w:i/>
          <w:sz w:val="24"/>
          <w:szCs w:val="24"/>
        </w:rPr>
        <w:t>Sampling:  Design and Analysis</w:t>
      </w:r>
      <w:r w:rsidRPr="00DA7C03">
        <w:rPr>
          <w:sz w:val="24"/>
          <w:szCs w:val="24"/>
        </w:rPr>
        <w:t>, Pacific Grove, CA:  Duxbury Press.</w:t>
      </w:r>
    </w:p>
    <w:p w:rsidR="00AE50D3" w:rsidRPr="00DA7C03" w:rsidRDefault="00AE50D3" w:rsidP="00AE50D3">
      <w:pPr>
        <w:rPr>
          <w:sz w:val="24"/>
          <w:szCs w:val="24"/>
        </w:rPr>
      </w:pPr>
    </w:p>
    <w:p w:rsidR="00AE50D3" w:rsidRPr="00DA7C03" w:rsidRDefault="00AE50D3" w:rsidP="00AE50D3">
      <w:pPr>
        <w:rPr>
          <w:sz w:val="24"/>
          <w:szCs w:val="24"/>
        </w:rPr>
      </w:pPr>
      <w:r w:rsidRPr="00DA7C03">
        <w:rPr>
          <w:sz w:val="24"/>
          <w:szCs w:val="24"/>
        </w:rPr>
        <w:t xml:space="preserve">Singer, E. (2000).  </w:t>
      </w:r>
      <w:proofErr w:type="gramStart"/>
      <w:r w:rsidRPr="00DA7C03">
        <w:rPr>
          <w:sz w:val="24"/>
          <w:szCs w:val="24"/>
        </w:rPr>
        <w:t>“The use of incentives to reduce nonresponse in household surveys.”</w:t>
      </w:r>
      <w:proofErr w:type="gramEnd"/>
      <w:r w:rsidRPr="00DA7C03">
        <w:rPr>
          <w:sz w:val="24"/>
          <w:szCs w:val="24"/>
        </w:rPr>
        <w:t xml:space="preserve">  </w:t>
      </w:r>
      <w:proofErr w:type="gramStart"/>
      <w:r w:rsidRPr="00DA7C03">
        <w:rPr>
          <w:sz w:val="24"/>
          <w:szCs w:val="24"/>
        </w:rPr>
        <w:t xml:space="preserve">In </w:t>
      </w:r>
      <w:r w:rsidRPr="00DA7C03">
        <w:rPr>
          <w:i/>
          <w:sz w:val="24"/>
          <w:szCs w:val="24"/>
        </w:rPr>
        <w:t xml:space="preserve">Survey Nonresponse, </w:t>
      </w:r>
      <w:r w:rsidRPr="00DA7C03">
        <w:rPr>
          <w:sz w:val="24"/>
          <w:szCs w:val="24"/>
        </w:rPr>
        <w:t xml:space="preserve">ed. R. Groves, D. </w:t>
      </w:r>
      <w:proofErr w:type="spellStart"/>
      <w:r w:rsidRPr="00DA7C03">
        <w:rPr>
          <w:sz w:val="24"/>
          <w:szCs w:val="24"/>
        </w:rPr>
        <w:t>Dillman</w:t>
      </w:r>
      <w:proofErr w:type="spellEnd"/>
      <w:r w:rsidRPr="00DA7C03">
        <w:rPr>
          <w:sz w:val="24"/>
          <w:szCs w:val="24"/>
        </w:rPr>
        <w:t xml:space="preserve">, J. </w:t>
      </w:r>
      <w:proofErr w:type="spellStart"/>
      <w:r w:rsidRPr="00DA7C03">
        <w:rPr>
          <w:sz w:val="24"/>
          <w:szCs w:val="24"/>
        </w:rPr>
        <w:t>Eltinge</w:t>
      </w:r>
      <w:proofErr w:type="spellEnd"/>
      <w:r w:rsidRPr="00DA7C03">
        <w:rPr>
          <w:sz w:val="24"/>
          <w:szCs w:val="24"/>
        </w:rPr>
        <w:t>, R. Little.</w:t>
      </w:r>
      <w:proofErr w:type="gramEnd"/>
      <w:r w:rsidRPr="00DA7C03">
        <w:rPr>
          <w:sz w:val="24"/>
          <w:szCs w:val="24"/>
        </w:rPr>
        <w:t xml:space="preserve">  New York:  John Wiley &amp; Sons, 163-178.</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Singer, E., and C. Ye (2013) “The Use and Effects of Incentives in Surveys.”</w:t>
      </w:r>
      <w:proofErr w:type="gramEnd"/>
      <w:r w:rsidRPr="00DA7C03">
        <w:rPr>
          <w:sz w:val="24"/>
          <w:szCs w:val="24"/>
        </w:rPr>
        <w:t xml:space="preserve">  </w:t>
      </w:r>
      <w:r w:rsidRPr="00DA7C03">
        <w:rPr>
          <w:i/>
          <w:sz w:val="24"/>
          <w:szCs w:val="24"/>
        </w:rPr>
        <w:t>The Annals of the American Academy of Political and Social Science</w:t>
      </w:r>
      <w:r w:rsidRPr="00DA7C03">
        <w:rPr>
          <w:sz w:val="24"/>
          <w:szCs w:val="24"/>
        </w:rPr>
        <w:t>, 645: 112-141.</w:t>
      </w:r>
    </w:p>
    <w:p w:rsidR="00AE50D3" w:rsidRPr="00DA7C03" w:rsidRDefault="00AE50D3" w:rsidP="00AE50D3">
      <w:pPr>
        <w:rPr>
          <w:sz w:val="24"/>
          <w:szCs w:val="24"/>
        </w:rPr>
      </w:pPr>
    </w:p>
    <w:p w:rsidR="00AE50D3" w:rsidRPr="00DA7C03" w:rsidRDefault="00AE50D3" w:rsidP="00AE50D3">
      <w:pPr>
        <w:rPr>
          <w:sz w:val="24"/>
          <w:szCs w:val="24"/>
        </w:rPr>
      </w:pPr>
      <w:proofErr w:type="gramStart"/>
      <w:r w:rsidRPr="00DA7C03">
        <w:rPr>
          <w:sz w:val="24"/>
          <w:szCs w:val="24"/>
        </w:rPr>
        <w:t xml:space="preserve">Walker, R.J., C. </w:t>
      </w:r>
      <w:proofErr w:type="spellStart"/>
      <w:r w:rsidRPr="00DA7C03">
        <w:rPr>
          <w:sz w:val="24"/>
          <w:szCs w:val="24"/>
        </w:rPr>
        <w:t>Olnes</w:t>
      </w:r>
      <w:proofErr w:type="spellEnd"/>
      <w:r w:rsidRPr="00DA7C03">
        <w:rPr>
          <w:sz w:val="24"/>
          <w:szCs w:val="24"/>
        </w:rPr>
        <w:t>, K. Sunder, A.L. Howe, and A.E. Bingham (2003).</w:t>
      </w:r>
      <w:proofErr w:type="gramEnd"/>
      <w:r w:rsidRPr="00DA7C03">
        <w:rPr>
          <w:sz w:val="24"/>
          <w:szCs w:val="24"/>
        </w:rPr>
        <w:t xml:space="preserve">  “Participation, Catch, and Harvest in Alaska Sport Fisheries </w:t>
      </w:r>
      <w:proofErr w:type="gramStart"/>
      <w:r w:rsidRPr="00DA7C03">
        <w:rPr>
          <w:sz w:val="24"/>
          <w:szCs w:val="24"/>
        </w:rPr>
        <w:t>During</w:t>
      </w:r>
      <w:proofErr w:type="gramEnd"/>
      <w:r w:rsidRPr="00DA7C03">
        <w:rPr>
          <w:sz w:val="24"/>
          <w:szCs w:val="24"/>
        </w:rPr>
        <w:t xml:space="preserve"> 2000.”  </w:t>
      </w:r>
      <w:proofErr w:type="gramStart"/>
      <w:r w:rsidRPr="00DA7C03">
        <w:rPr>
          <w:sz w:val="24"/>
          <w:szCs w:val="24"/>
        </w:rPr>
        <w:t>Alaska Department of Fish and Game, Fishery Data Series No. 03-05, Anchorage.</w:t>
      </w:r>
      <w:proofErr w:type="gramEnd"/>
    </w:p>
    <w:p w:rsidR="00AE50D3" w:rsidRPr="00DA7C03" w:rsidRDefault="00AE50D3" w:rsidP="00AE50D3">
      <w:pPr>
        <w:rPr>
          <w:b/>
          <w:sz w:val="24"/>
          <w:szCs w:val="24"/>
        </w:rPr>
      </w:pPr>
    </w:p>
    <w:p w:rsidR="00471AC4" w:rsidRDefault="00471AC4"/>
    <w:sectPr w:rsidR="00471AC4" w:rsidSect="00F306A6">
      <w:headerReference w:type="default" r:id="rId6"/>
      <w:footerReference w:type="even" r:id="rId7"/>
      <w:footerReference w:type="default" r:id="rId8"/>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12" w:rsidRDefault="00AE50D3" w:rsidP="0033396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91812" w:rsidRDefault="00AE50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12" w:rsidRDefault="00AE50D3">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Pr>
        <w:rStyle w:val="PageNumber"/>
        <w:noProof/>
        <w:sz w:val="24"/>
        <w:szCs w:val="24"/>
      </w:rPr>
      <w:t>6</w:t>
    </w:r>
    <w:r>
      <w:rPr>
        <w:rStyle w:val="PageNumber"/>
        <w:sz w:val="24"/>
        <w:szCs w:val="24"/>
      </w:rPr>
      <w:fldChar w:fldCharType="end"/>
    </w:r>
  </w:p>
  <w:p w:rsidR="00A91812" w:rsidRDefault="00AE50D3">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812" w:rsidRDefault="00AE50D3">
    <w:pPr>
      <w:framePr w:w="8496" w:wrap="notBeside" w:vAnchor="text" w:hAnchor="text" w:x="1" w:y="1"/>
      <w:jc w:val="right"/>
      <w:rPr>
        <w:rFonts w:ascii="Courier" w:hAnsi="Courier"/>
        <w:sz w:val="24"/>
      </w:rPr>
    </w:pPr>
  </w:p>
  <w:p w:rsidR="00A91812" w:rsidRDefault="00AE50D3" w:rsidP="006317D2">
    <w:pPr>
      <w:ind w:left="-432" w:right="-432"/>
      <w:jc w:val="right"/>
      <w:rPr>
        <w:rFonts w:ascii="Courier" w:hAnsi="Courie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0D3"/>
    <w:rsid w:val="00471AC4"/>
    <w:rsid w:val="00AE5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
  <w:smartTagType w:namespaceuri="urn:schemas-microsoft-com:office:smarttags" w:name="PlaceType"/>
  <w:smartTagType w:namespaceuri="urn:schemas-microsoft-com:office:smarttags" w:name="Stat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50D3"/>
    <w:pPr>
      <w:tabs>
        <w:tab w:val="center" w:pos="4320"/>
        <w:tab w:val="right" w:pos="8640"/>
      </w:tabs>
    </w:pPr>
  </w:style>
  <w:style w:type="character" w:customStyle="1" w:styleId="FooterChar">
    <w:name w:val="Footer Char"/>
    <w:basedOn w:val="DefaultParagraphFont"/>
    <w:link w:val="Footer"/>
    <w:rsid w:val="00AE50D3"/>
    <w:rPr>
      <w:rFonts w:ascii="Times New Roman" w:eastAsia="Times New Roman" w:hAnsi="Times New Roman" w:cs="Times New Roman"/>
      <w:sz w:val="20"/>
      <w:szCs w:val="20"/>
    </w:rPr>
  </w:style>
  <w:style w:type="character" w:styleId="PageNumber">
    <w:name w:val="page number"/>
    <w:basedOn w:val="DefaultParagraphFont"/>
    <w:rsid w:val="00AE50D3"/>
  </w:style>
  <w:style w:type="paragraph" w:styleId="BodyTextIndent">
    <w:name w:val="Body Text Indent"/>
    <w:basedOn w:val="Normal"/>
    <w:link w:val="BodyTextIndentChar"/>
    <w:rsid w:val="00AE50D3"/>
    <w:pPr>
      <w:widowControl/>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AE50D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0D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E50D3"/>
    <w:pPr>
      <w:tabs>
        <w:tab w:val="center" w:pos="4320"/>
        <w:tab w:val="right" w:pos="8640"/>
      </w:tabs>
    </w:pPr>
  </w:style>
  <w:style w:type="character" w:customStyle="1" w:styleId="FooterChar">
    <w:name w:val="Footer Char"/>
    <w:basedOn w:val="DefaultParagraphFont"/>
    <w:link w:val="Footer"/>
    <w:rsid w:val="00AE50D3"/>
    <w:rPr>
      <w:rFonts w:ascii="Times New Roman" w:eastAsia="Times New Roman" w:hAnsi="Times New Roman" w:cs="Times New Roman"/>
      <w:sz w:val="20"/>
      <w:szCs w:val="20"/>
    </w:rPr>
  </w:style>
  <w:style w:type="character" w:styleId="PageNumber">
    <w:name w:val="page number"/>
    <w:basedOn w:val="DefaultParagraphFont"/>
    <w:rsid w:val="00AE50D3"/>
  </w:style>
  <w:style w:type="paragraph" w:styleId="BodyTextIndent">
    <w:name w:val="Body Text Indent"/>
    <w:basedOn w:val="Normal"/>
    <w:link w:val="BodyTextIndentChar"/>
    <w:rsid w:val="00AE50D3"/>
    <w:pPr>
      <w:widowControl/>
      <w:autoSpaceDE/>
      <w:autoSpaceDN/>
      <w:adjustRightInd/>
      <w:spacing w:after="120"/>
      <w:ind w:left="360"/>
    </w:pPr>
    <w:rPr>
      <w:sz w:val="24"/>
      <w:szCs w:val="24"/>
    </w:rPr>
  </w:style>
  <w:style w:type="character" w:customStyle="1" w:styleId="BodyTextIndentChar">
    <w:name w:val="Body Text Indent Char"/>
    <w:basedOn w:val="DefaultParagraphFont"/>
    <w:link w:val="BodyTextIndent"/>
    <w:rsid w:val="00AE50D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44DB9-A320-42D6-AD5F-30FFF4B4B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2445</Words>
  <Characters>13940</Characters>
  <Application>Microsoft Office Word</Application>
  <DocSecurity>0</DocSecurity>
  <Lines>116</Lines>
  <Paragraphs>32</Paragraphs>
  <ScaleCrop>false</ScaleCrop>
  <Company>NOAA</Company>
  <LinksUpToDate>false</LinksUpToDate>
  <CharactersWithSpaces>16353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2016-08-30T18:08:00Z</dcterms:created>
  <dcterms:modified xsi:type="dcterms:W3CDTF">2016-08-30T18:10:00Z</dcterms:modified>
</cp:coreProperties>
</file>