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AA460" w14:textId="77777777" w:rsidR="00392792" w:rsidRPr="003702B9" w:rsidRDefault="00392792" w:rsidP="00392792">
      <w:pPr>
        <w:pStyle w:val="NoSpacing"/>
        <w:rPr>
          <w:rFonts w:asciiTheme="minorHAnsi" w:hAnsiTheme="minorHAnsi"/>
          <w:b w:val="0"/>
          <w:szCs w:val="24"/>
        </w:rPr>
      </w:pPr>
      <w:r w:rsidRPr="003702B9">
        <w:rPr>
          <w:rFonts w:asciiTheme="minorHAnsi" w:hAnsiTheme="minorHAnsi"/>
          <w:szCs w:val="24"/>
        </w:rPr>
        <w:t>SUPPORTING STATEMENT PART A FOR</w:t>
      </w:r>
    </w:p>
    <w:p w14:paraId="73E0B5BD" w14:textId="77777777" w:rsidR="00392792" w:rsidRPr="003702B9" w:rsidRDefault="00392792" w:rsidP="00392792">
      <w:pPr>
        <w:pStyle w:val="NoSpacing"/>
        <w:rPr>
          <w:rFonts w:asciiTheme="minorHAnsi" w:hAnsiTheme="minorHAnsi"/>
          <w:b w:val="0"/>
          <w:szCs w:val="24"/>
        </w:rPr>
      </w:pPr>
    </w:p>
    <w:p w14:paraId="0EA8FCB7" w14:textId="77777777" w:rsidR="00392792" w:rsidRPr="003702B9" w:rsidRDefault="00F26BAB" w:rsidP="00392792">
      <w:pPr>
        <w:jc w:val="center"/>
        <w:rPr>
          <w:rFonts w:asciiTheme="minorHAnsi" w:hAnsiTheme="minorHAnsi"/>
          <w:b/>
          <w:szCs w:val="24"/>
        </w:rPr>
      </w:pPr>
      <w:r>
        <w:rPr>
          <w:rFonts w:asciiTheme="minorHAnsi" w:hAnsiTheme="minorHAnsi"/>
          <w:b/>
          <w:szCs w:val="24"/>
        </w:rPr>
        <w:t>National Food Study Pilot</w:t>
      </w:r>
    </w:p>
    <w:p w14:paraId="03F39F13" w14:textId="77777777" w:rsidR="00392792" w:rsidRPr="003702B9" w:rsidRDefault="00392792" w:rsidP="00392792">
      <w:pPr>
        <w:pStyle w:val="NoSpacing"/>
        <w:rPr>
          <w:rFonts w:asciiTheme="minorHAnsi" w:hAnsiTheme="minorHAnsi"/>
          <w:b w:val="0"/>
          <w:szCs w:val="24"/>
        </w:rPr>
      </w:pPr>
    </w:p>
    <w:p w14:paraId="342A3DEC" w14:textId="77777777" w:rsidR="00392792" w:rsidRPr="003702B9" w:rsidRDefault="00392792" w:rsidP="00392792">
      <w:pPr>
        <w:pStyle w:val="NoSpacing"/>
        <w:rPr>
          <w:rFonts w:asciiTheme="minorHAnsi" w:hAnsiTheme="minorHAnsi"/>
          <w:b w:val="0"/>
          <w:szCs w:val="24"/>
        </w:rPr>
      </w:pPr>
    </w:p>
    <w:p w14:paraId="53964C0B" w14:textId="77777777" w:rsidR="00F26BAB" w:rsidRDefault="00F26BAB" w:rsidP="00392792">
      <w:pPr>
        <w:pStyle w:val="NoSpacing"/>
        <w:rPr>
          <w:rFonts w:asciiTheme="minorHAnsi" w:hAnsiTheme="minorHAnsi"/>
          <w:szCs w:val="24"/>
        </w:rPr>
      </w:pPr>
      <w:r>
        <w:rPr>
          <w:rFonts w:asciiTheme="minorHAnsi" w:hAnsiTheme="minorHAnsi"/>
          <w:szCs w:val="24"/>
        </w:rPr>
        <w:t>Food Assistance Branch</w:t>
      </w:r>
    </w:p>
    <w:p w14:paraId="47F01C82" w14:textId="77777777" w:rsidR="00F26BAB" w:rsidRDefault="00F26BAB" w:rsidP="00392792">
      <w:pPr>
        <w:pStyle w:val="NoSpacing"/>
        <w:rPr>
          <w:rFonts w:asciiTheme="minorHAnsi" w:hAnsiTheme="minorHAnsi"/>
          <w:szCs w:val="24"/>
        </w:rPr>
      </w:pPr>
      <w:r>
        <w:rPr>
          <w:rFonts w:asciiTheme="minorHAnsi" w:hAnsiTheme="minorHAnsi"/>
          <w:szCs w:val="24"/>
        </w:rPr>
        <w:t>Food Economics Division</w:t>
      </w:r>
    </w:p>
    <w:p w14:paraId="61829140" w14:textId="77777777" w:rsidR="00392792" w:rsidRPr="000F00EB" w:rsidRDefault="00F26BAB" w:rsidP="00392792">
      <w:pPr>
        <w:pStyle w:val="NoSpacing"/>
        <w:rPr>
          <w:rFonts w:asciiTheme="minorHAnsi" w:hAnsiTheme="minorHAnsi"/>
          <w:b w:val="0"/>
          <w:szCs w:val="24"/>
        </w:rPr>
      </w:pPr>
      <w:r>
        <w:rPr>
          <w:rFonts w:asciiTheme="minorHAnsi" w:hAnsiTheme="minorHAnsi"/>
          <w:szCs w:val="24"/>
        </w:rPr>
        <w:t>Economic Research Service</w:t>
      </w:r>
    </w:p>
    <w:p w14:paraId="690B1EE9" w14:textId="77777777" w:rsidR="00392792" w:rsidRPr="000F00EB" w:rsidRDefault="00392792" w:rsidP="00392792">
      <w:pPr>
        <w:pStyle w:val="NoSpacing"/>
        <w:rPr>
          <w:rFonts w:asciiTheme="minorHAnsi" w:hAnsiTheme="minorHAnsi"/>
          <w:b w:val="0"/>
          <w:szCs w:val="24"/>
        </w:rPr>
      </w:pPr>
      <w:r w:rsidRPr="000F00EB">
        <w:rPr>
          <w:rFonts w:asciiTheme="minorHAnsi" w:hAnsiTheme="minorHAnsi"/>
          <w:szCs w:val="24"/>
        </w:rPr>
        <w:t>US Department of Agriculture</w:t>
      </w:r>
    </w:p>
    <w:p w14:paraId="6AADC89A" w14:textId="77777777" w:rsidR="00392792" w:rsidRPr="000F00EB" w:rsidRDefault="00AF25DE" w:rsidP="00392792">
      <w:pPr>
        <w:pStyle w:val="NoSpacing"/>
        <w:rPr>
          <w:rFonts w:asciiTheme="minorHAnsi" w:hAnsiTheme="minorHAnsi"/>
          <w:b w:val="0"/>
          <w:szCs w:val="24"/>
        </w:rPr>
      </w:pPr>
      <w:r>
        <w:rPr>
          <w:rFonts w:asciiTheme="minorHAnsi" w:hAnsiTheme="minorHAnsi"/>
          <w:szCs w:val="24"/>
        </w:rPr>
        <w:t>1400 Independence Avenue, SW, Mail Stop 1800</w:t>
      </w:r>
    </w:p>
    <w:p w14:paraId="27F5B4BB" w14:textId="77777777" w:rsidR="00392792" w:rsidRPr="00A171AB" w:rsidRDefault="00F26BAB" w:rsidP="00392792">
      <w:pPr>
        <w:pStyle w:val="NoSpacing"/>
        <w:rPr>
          <w:rFonts w:asciiTheme="minorHAnsi" w:hAnsiTheme="minorHAnsi"/>
          <w:b w:val="0"/>
          <w:szCs w:val="24"/>
          <w:lang w:val="fr-FR"/>
        </w:rPr>
      </w:pPr>
      <w:r>
        <w:rPr>
          <w:rFonts w:asciiTheme="minorHAnsi" w:hAnsiTheme="minorHAnsi"/>
          <w:szCs w:val="24"/>
          <w:lang w:val="fr-FR"/>
        </w:rPr>
        <w:t>Washington, DC 20</w:t>
      </w:r>
      <w:r w:rsidR="00AF25DE">
        <w:rPr>
          <w:rFonts w:asciiTheme="minorHAnsi" w:hAnsiTheme="minorHAnsi"/>
          <w:szCs w:val="24"/>
          <w:lang w:val="fr-FR"/>
        </w:rPr>
        <w:t>250-1800</w:t>
      </w:r>
    </w:p>
    <w:p w14:paraId="18233C48" w14:textId="77777777" w:rsidR="00392792" w:rsidRPr="00A171AB" w:rsidRDefault="00392792" w:rsidP="00392792">
      <w:pPr>
        <w:pStyle w:val="NoSpacing"/>
        <w:rPr>
          <w:rFonts w:asciiTheme="minorHAnsi" w:hAnsiTheme="minorHAnsi"/>
          <w:b w:val="0"/>
          <w:szCs w:val="24"/>
          <w:lang w:val="fr-FR"/>
        </w:rPr>
      </w:pPr>
      <w:r w:rsidRPr="00A171AB">
        <w:rPr>
          <w:rFonts w:asciiTheme="minorHAnsi" w:hAnsiTheme="minorHAnsi"/>
          <w:szCs w:val="24"/>
          <w:lang w:val="fr-FR"/>
        </w:rPr>
        <w:t xml:space="preserve">Phone: </w:t>
      </w:r>
      <w:r w:rsidR="00F26BAB">
        <w:rPr>
          <w:rFonts w:asciiTheme="minorHAnsi" w:hAnsiTheme="minorHAnsi"/>
          <w:szCs w:val="24"/>
          <w:lang w:val="fr-FR"/>
        </w:rPr>
        <w:t>202-</w:t>
      </w:r>
      <w:r w:rsidR="00AF25DE">
        <w:rPr>
          <w:rFonts w:asciiTheme="minorHAnsi" w:hAnsiTheme="minorHAnsi"/>
          <w:szCs w:val="24"/>
          <w:lang w:val="fr-FR"/>
        </w:rPr>
        <w:t>694-5398</w:t>
      </w:r>
    </w:p>
    <w:p w14:paraId="1ACC6189" w14:textId="77777777" w:rsidR="00392792" w:rsidRDefault="00392792" w:rsidP="00392792">
      <w:pPr>
        <w:pStyle w:val="NoSpacing"/>
        <w:rPr>
          <w:rFonts w:asciiTheme="minorHAnsi" w:hAnsiTheme="minorHAnsi"/>
          <w:szCs w:val="24"/>
          <w:lang w:val="fr-FR"/>
        </w:rPr>
      </w:pPr>
      <w:r w:rsidRPr="00A171AB">
        <w:rPr>
          <w:rFonts w:asciiTheme="minorHAnsi" w:hAnsiTheme="minorHAnsi"/>
          <w:szCs w:val="24"/>
          <w:lang w:val="fr-FR"/>
        </w:rPr>
        <w:t xml:space="preserve">Fax: </w:t>
      </w:r>
      <w:r w:rsidR="00AF25DE">
        <w:rPr>
          <w:rFonts w:asciiTheme="minorHAnsi" w:hAnsiTheme="minorHAnsi"/>
          <w:szCs w:val="24"/>
          <w:lang w:val="fr-FR"/>
        </w:rPr>
        <w:t>202-694-5661</w:t>
      </w:r>
    </w:p>
    <w:p w14:paraId="2DC69445" w14:textId="77777777" w:rsidR="00AF25DE" w:rsidRPr="00A171AB" w:rsidRDefault="00AF25DE" w:rsidP="00392792">
      <w:pPr>
        <w:pStyle w:val="NoSpacing"/>
        <w:rPr>
          <w:rFonts w:asciiTheme="minorHAnsi" w:hAnsiTheme="minorHAnsi"/>
          <w:b w:val="0"/>
          <w:szCs w:val="24"/>
          <w:lang w:val="fr-FR"/>
        </w:rPr>
      </w:pPr>
      <w:r>
        <w:rPr>
          <w:rFonts w:asciiTheme="minorHAnsi" w:hAnsiTheme="minorHAnsi"/>
          <w:szCs w:val="24"/>
          <w:lang w:val="fr-FR"/>
        </w:rPr>
        <w:t>E-mail: jkirlin@ers.usda.gov</w:t>
      </w:r>
    </w:p>
    <w:p w14:paraId="3632EA31" w14:textId="77777777" w:rsidR="00392792" w:rsidRPr="00A171AB" w:rsidRDefault="00392792" w:rsidP="00392792">
      <w:pPr>
        <w:pStyle w:val="NoSpacing"/>
        <w:rPr>
          <w:rFonts w:asciiTheme="minorHAnsi" w:hAnsiTheme="minorHAnsi"/>
          <w:b w:val="0"/>
          <w:szCs w:val="24"/>
          <w:lang w:val="fr-FR"/>
        </w:rPr>
      </w:pPr>
    </w:p>
    <w:p w14:paraId="5A4F2C72" w14:textId="77777777" w:rsidR="0051381C" w:rsidRPr="00A171AB" w:rsidRDefault="0051381C" w:rsidP="0051381C">
      <w:pPr>
        <w:spacing w:line="14" w:lineRule="exact"/>
        <w:rPr>
          <w:lang w:val="fr-FR"/>
        </w:rPr>
        <w:sectPr w:rsidR="0051381C" w:rsidRPr="00A171AB" w:rsidSect="0051381C">
          <w:footerReference w:type="default" r:id="rId8"/>
          <w:pgSz w:w="12240" w:h="15840" w:code="1"/>
          <w:pgMar w:top="2520" w:right="576" w:bottom="432" w:left="662" w:header="720" w:footer="576" w:gutter="0"/>
          <w:cols w:space="720"/>
          <w:titlePg/>
          <w:docGrid w:linePitch="360"/>
        </w:sectPr>
      </w:pPr>
    </w:p>
    <w:p w14:paraId="2A68F8AB" w14:textId="77777777" w:rsidR="0051381C" w:rsidRPr="00A171AB" w:rsidRDefault="0051381C" w:rsidP="0051381C">
      <w:pPr>
        <w:spacing w:line="14" w:lineRule="exact"/>
        <w:rPr>
          <w:lang w:val="fr-FR"/>
        </w:rPr>
      </w:pPr>
    </w:p>
    <w:p w14:paraId="18187723" w14:textId="77777777" w:rsidR="007C2CD6" w:rsidRDefault="007C2CD6" w:rsidP="007C2CD6">
      <w:pPr>
        <w:pStyle w:val="TC-TableofContentsHeading"/>
      </w:pPr>
      <w:r>
        <w:t>Table of Contents</w:t>
      </w:r>
    </w:p>
    <w:p w14:paraId="7D9F4A56" w14:textId="77777777" w:rsidR="007C2CD6" w:rsidRDefault="009C4246" w:rsidP="007C2CD6">
      <w:pPr>
        <w:pStyle w:val="T0-ChapPgHd"/>
      </w:pPr>
      <w:r>
        <w:t>Section</w:t>
      </w:r>
      <w:r w:rsidR="007C2CD6">
        <w:tab/>
        <w:t>Page</w:t>
      </w:r>
    </w:p>
    <w:p w14:paraId="62F3B02A" w14:textId="77777777" w:rsidR="007C2CD6" w:rsidRDefault="007C2CD6" w:rsidP="007C2CD6">
      <w:pPr>
        <w:pStyle w:val="T0-ChapPgHd"/>
      </w:pPr>
    </w:p>
    <w:p w14:paraId="39BA1CE4" w14:textId="77777777" w:rsidR="00234CBA" w:rsidRDefault="00234CBA" w:rsidP="00234CBA">
      <w:pPr>
        <w:pStyle w:val="TOC1"/>
      </w:pPr>
      <w:r>
        <w:t>A</w:t>
      </w:r>
      <w:r>
        <w:tab/>
      </w:r>
      <w:r w:rsidRPr="005A257C">
        <w:t>Justification</w:t>
      </w:r>
      <w:r w:rsidRPr="005A257C">
        <w:tab/>
      </w:r>
      <w:r>
        <w:tab/>
      </w:r>
      <w:r w:rsidRPr="005A257C">
        <w:t>1</w:t>
      </w:r>
    </w:p>
    <w:p w14:paraId="33F3244E" w14:textId="77777777" w:rsidR="00234CBA" w:rsidRPr="005A257C" w:rsidRDefault="00234CBA" w:rsidP="00234CBA">
      <w:pPr>
        <w:pStyle w:val="TOC1"/>
        <w:rPr>
          <w:rFonts w:eastAsiaTheme="minorEastAsia"/>
        </w:rPr>
      </w:pPr>
    </w:p>
    <w:p w14:paraId="11C49723" w14:textId="77777777" w:rsidR="00234CBA" w:rsidRPr="005A257C" w:rsidRDefault="00234CBA" w:rsidP="00234CBA">
      <w:pPr>
        <w:pStyle w:val="TOC2"/>
        <w:rPr>
          <w:rFonts w:eastAsiaTheme="minorEastAsia"/>
        </w:rPr>
      </w:pPr>
      <w:r w:rsidRPr="005A257C">
        <w:t>A.1</w:t>
      </w:r>
      <w:r w:rsidRPr="005A257C">
        <w:rPr>
          <w:rFonts w:eastAsiaTheme="minorEastAsia"/>
        </w:rPr>
        <w:tab/>
      </w:r>
      <w:r w:rsidRPr="005A257C">
        <w:t>Circumstances Making the Collection of Information Necessary</w:t>
      </w:r>
      <w:r w:rsidRPr="005A257C">
        <w:tab/>
      </w:r>
      <w:r>
        <w:tab/>
      </w:r>
      <w:r w:rsidRPr="005A257C">
        <w:t>1</w:t>
      </w:r>
    </w:p>
    <w:p w14:paraId="3DE6C22D" w14:textId="77777777" w:rsidR="00234CBA" w:rsidRPr="005A257C" w:rsidRDefault="00234CBA" w:rsidP="00234CBA">
      <w:pPr>
        <w:pStyle w:val="TOC2"/>
        <w:rPr>
          <w:rFonts w:eastAsiaTheme="minorEastAsia"/>
        </w:rPr>
      </w:pPr>
      <w:r w:rsidRPr="005A257C">
        <w:t>A.2</w:t>
      </w:r>
      <w:r w:rsidRPr="005A257C">
        <w:rPr>
          <w:rFonts w:eastAsiaTheme="minorEastAsia"/>
        </w:rPr>
        <w:tab/>
      </w:r>
      <w:r w:rsidRPr="005A257C">
        <w:t>Purpose and Use of the Information</w:t>
      </w:r>
      <w:r w:rsidRPr="005A257C">
        <w:tab/>
      </w:r>
      <w:r>
        <w:tab/>
      </w:r>
      <w:r w:rsidRPr="005A257C">
        <w:t>2</w:t>
      </w:r>
    </w:p>
    <w:p w14:paraId="58B4157B" w14:textId="77777777" w:rsidR="00234CBA" w:rsidRPr="005A257C" w:rsidRDefault="00234CBA" w:rsidP="00234CBA">
      <w:pPr>
        <w:pStyle w:val="TOC2"/>
        <w:rPr>
          <w:rFonts w:eastAsiaTheme="minorEastAsia"/>
        </w:rPr>
      </w:pPr>
      <w:r w:rsidRPr="005A257C">
        <w:t>A.3</w:t>
      </w:r>
      <w:r w:rsidRPr="005A257C">
        <w:rPr>
          <w:rFonts w:eastAsiaTheme="minorEastAsia"/>
        </w:rPr>
        <w:tab/>
      </w:r>
      <w:r w:rsidRPr="005A257C">
        <w:t>Use of Information Technology and Burden Reduction</w:t>
      </w:r>
      <w:r w:rsidRPr="005A257C">
        <w:tab/>
      </w:r>
      <w:r>
        <w:tab/>
      </w:r>
      <w:r w:rsidR="00F828D2">
        <w:t>5</w:t>
      </w:r>
    </w:p>
    <w:p w14:paraId="0FA9076C" w14:textId="77777777" w:rsidR="00234CBA" w:rsidRPr="005A257C" w:rsidRDefault="00234CBA" w:rsidP="00234CBA">
      <w:pPr>
        <w:pStyle w:val="TOC2"/>
        <w:rPr>
          <w:rFonts w:eastAsiaTheme="minorEastAsia"/>
        </w:rPr>
      </w:pPr>
      <w:r w:rsidRPr="005A257C">
        <w:t>A.4</w:t>
      </w:r>
      <w:r w:rsidRPr="005A257C">
        <w:rPr>
          <w:rFonts w:eastAsiaTheme="minorEastAsia"/>
        </w:rPr>
        <w:tab/>
      </w:r>
      <w:r w:rsidRPr="005A257C">
        <w:t>Efforts to Identify Duplication and Use of Similar Information</w:t>
      </w:r>
      <w:r w:rsidRPr="005A257C">
        <w:tab/>
      </w:r>
      <w:r>
        <w:tab/>
      </w:r>
      <w:r w:rsidR="00F828D2">
        <w:t>6</w:t>
      </w:r>
    </w:p>
    <w:p w14:paraId="628E77C0" w14:textId="77777777" w:rsidR="00234CBA" w:rsidRPr="005A257C" w:rsidRDefault="00234CBA" w:rsidP="00234CBA">
      <w:pPr>
        <w:pStyle w:val="TOC2"/>
        <w:rPr>
          <w:rFonts w:eastAsiaTheme="minorEastAsia"/>
        </w:rPr>
      </w:pPr>
      <w:r w:rsidRPr="005A257C">
        <w:t>A.5</w:t>
      </w:r>
      <w:r w:rsidRPr="005A257C">
        <w:rPr>
          <w:rFonts w:eastAsiaTheme="minorEastAsia"/>
        </w:rPr>
        <w:tab/>
      </w:r>
      <w:r w:rsidRPr="005A257C">
        <w:t>Impact on Small Businesses or Other Small Entities</w:t>
      </w:r>
      <w:r w:rsidRPr="005A257C">
        <w:tab/>
      </w:r>
      <w:r>
        <w:tab/>
      </w:r>
      <w:r w:rsidR="00F828D2">
        <w:t>6</w:t>
      </w:r>
    </w:p>
    <w:p w14:paraId="0E94DF76" w14:textId="08145D2E" w:rsidR="00234CBA" w:rsidRPr="005A257C" w:rsidRDefault="00234CBA" w:rsidP="00234CBA">
      <w:pPr>
        <w:pStyle w:val="TOC2"/>
        <w:rPr>
          <w:rFonts w:eastAsiaTheme="minorEastAsia"/>
        </w:rPr>
      </w:pPr>
      <w:r w:rsidRPr="005A257C">
        <w:t>A.6</w:t>
      </w:r>
      <w:r w:rsidRPr="005A257C">
        <w:rPr>
          <w:rFonts w:eastAsiaTheme="minorEastAsia"/>
        </w:rPr>
        <w:tab/>
      </w:r>
      <w:r w:rsidRPr="005A257C">
        <w:t>Consequences of Collecting the Information Less Frequently</w:t>
      </w:r>
      <w:r w:rsidRPr="005A257C">
        <w:tab/>
      </w:r>
      <w:r>
        <w:tab/>
      </w:r>
      <w:r w:rsidR="009E282F">
        <w:t>7</w:t>
      </w:r>
    </w:p>
    <w:p w14:paraId="004D7C20" w14:textId="77777777" w:rsidR="00234CBA" w:rsidRPr="005A257C" w:rsidRDefault="00234CBA" w:rsidP="00234CBA">
      <w:pPr>
        <w:pStyle w:val="TOC2"/>
        <w:rPr>
          <w:rFonts w:eastAsiaTheme="minorEastAsia"/>
        </w:rPr>
      </w:pPr>
      <w:r w:rsidRPr="005A257C">
        <w:t>A.7</w:t>
      </w:r>
      <w:r w:rsidRPr="005A257C">
        <w:rPr>
          <w:rFonts w:eastAsiaTheme="minorEastAsia"/>
        </w:rPr>
        <w:tab/>
      </w:r>
      <w:r w:rsidRPr="005A257C">
        <w:t>Special Circumstances Relating to the Guidelin</w:t>
      </w:r>
      <w:r w:rsidR="00367A87">
        <w:t xml:space="preserve">es of 5 </w:t>
      </w:r>
      <w:r w:rsidRPr="005A257C">
        <w:t>CFR 1320.5</w:t>
      </w:r>
      <w:r w:rsidRPr="005A257C">
        <w:tab/>
      </w:r>
      <w:r>
        <w:tab/>
      </w:r>
      <w:r w:rsidR="00F828D2">
        <w:t>7</w:t>
      </w:r>
    </w:p>
    <w:p w14:paraId="379F8B54" w14:textId="77777777" w:rsidR="00234CBA" w:rsidRPr="005A257C" w:rsidRDefault="00234CBA" w:rsidP="00234CBA">
      <w:pPr>
        <w:pStyle w:val="TOC2"/>
        <w:rPr>
          <w:rFonts w:eastAsiaTheme="minorEastAsia"/>
        </w:rPr>
      </w:pPr>
      <w:r w:rsidRPr="005A257C">
        <w:t>A.8</w:t>
      </w:r>
      <w:r w:rsidRPr="005A257C">
        <w:rPr>
          <w:rFonts w:eastAsiaTheme="minorEastAsia"/>
        </w:rPr>
        <w:tab/>
      </w:r>
      <w:r w:rsidRPr="005A257C">
        <w:t xml:space="preserve">Responses to the </w:t>
      </w:r>
      <w:r w:rsidRPr="000F23D5">
        <w:rPr>
          <w:i/>
        </w:rPr>
        <w:t>Federal Register</w:t>
      </w:r>
      <w:r w:rsidRPr="005A257C">
        <w:t xml:space="preserve"> Notice and Efforts to Contact Outside Agencies</w:t>
      </w:r>
      <w:r w:rsidRPr="005A257C">
        <w:tab/>
      </w:r>
      <w:r>
        <w:tab/>
      </w:r>
      <w:r w:rsidR="00F828D2">
        <w:t>8</w:t>
      </w:r>
    </w:p>
    <w:p w14:paraId="61044258" w14:textId="77777777" w:rsidR="00234CBA" w:rsidRPr="00450128" w:rsidRDefault="00234CBA" w:rsidP="00234CBA">
      <w:pPr>
        <w:pStyle w:val="TOC3"/>
      </w:pPr>
      <w:r w:rsidRPr="000F23D5">
        <w:rPr>
          <w:i/>
        </w:rPr>
        <w:t>Federal Register</w:t>
      </w:r>
      <w:r w:rsidR="00367A87">
        <w:t xml:space="preserve"> Notice and Comments</w:t>
      </w:r>
      <w:r w:rsidR="00367A87">
        <w:tab/>
      </w:r>
      <w:r w:rsidR="00367A87">
        <w:tab/>
      </w:r>
      <w:r w:rsidR="00C864E1">
        <w:t>8</w:t>
      </w:r>
    </w:p>
    <w:p w14:paraId="7E51C3DF" w14:textId="77777777" w:rsidR="00234CBA" w:rsidRPr="005A257C" w:rsidRDefault="00234CBA" w:rsidP="00234CBA">
      <w:pPr>
        <w:pStyle w:val="TOC2"/>
        <w:rPr>
          <w:rFonts w:eastAsiaTheme="minorEastAsia"/>
        </w:rPr>
      </w:pPr>
      <w:r w:rsidRPr="005A257C">
        <w:t>A.9</w:t>
      </w:r>
      <w:r w:rsidRPr="005A257C">
        <w:rPr>
          <w:rFonts w:eastAsiaTheme="minorEastAsia"/>
        </w:rPr>
        <w:tab/>
      </w:r>
      <w:r w:rsidRPr="005A257C">
        <w:t>Explanation of Any Payment or Gift to Respondents</w:t>
      </w:r>
      <w:r w:rsidRPr="005A257C">
        <w:tab/>
      </w:r>
      <w:r>
        <w:tab/>
      </w:r>
      <w:r w:rsidR="00C864E1">
        <w:t>9</w:t>
      </w:r>
    </w:p>
    <w:p w14:paraId="21D444D7" w14:textId="5C13463D" w:rsidR="00234CBA" w:rsidRPr="005A257C" w:rsidRDefault="00234CBA" w:rsidP="00234CBA">
      <w:pPr>
        <w:pStyle w:val="TOC2"/>
        <w:rPr>
          <w:rFonts w:eastAsiaTheme="minorEastAsia"/>
        </w:rPr>
      </w:pPr>
      <w:r w:rsidRPr="005A257C">
        <w:t>A.10</w:t>
      </w:r>
      <w:r w:rsidRPr="005A257C">
        <w:rPr>
          <w:rFonts w:eastAsiaTheme="minorEastAsia"/>
        </w:rPr>
        <w:tab/>
      </w:r>
      <w:r w:rsidRPr="005A257C">
        <w:t>Assurance of Confidentiality Provided to Respondents</w:t>
      </w:r>
      <w:r w:rsidRPr="005A257C">
        <w:tab/>
      </w:r>
      <w:r>
        <w:tab/>
      </w:r>
      <w:r w:rsidR="00C864E1">
        <w:t>1</w:t>
      </w:r>
      <w:r w:rsidR="00DC5500">
        <w:t>2</w:t>
      </w:r>
    </w:p>
    <w:p w14:paraId="6761A546" w14:textId="77777777" w:rsidR="00234CBA" w:rsidRPr="005A257C" w:rsidRDefault="00234CBA" w:rsidP="00234CBA">
      <w:pPr>
        <w:pStyle w:val="TOC2"/>
        <w:rPr>
          <w:rFonts w:eastAsiaTheme="minorEastAsia"/>
        </w:rPr>
      </w:pPr>
      <w:r w:rsidRPr="005A257C">
        <w:t>A.11</w:t>
      </w:r>
      <w:r w:rsidRPr="005A257C">
        <w:rPr>
          <w:rFonts w:eastAsiaTheme="minorEastAsia"/>
        </w:rPr>
        <w:tab/>
      </w:r>
      <w:r w:rsidRPr="005A257C">
        <w:t>Justification for Sensitive Questions</w:t>
      </w:r>
      <w:r w:rsidRPr="005A257C">
        <w:tab/>
      </w:r>
      <w:r>
        <w:tab/>
      </w:r>
      <w:r w:rsidR="00C864E1">
        <w:t>12</w:t>
      </w:r>
    </w:p>
    <w:p w14:paraId="280E5EF9" w14:textId="3E982309" w:rsidR="00234CBA" w:rsidRPr="005A257C" w:rsidRDefault="00234CBA" w:rsidP="00234CBA">
      <w:pPr>
        <w:pStyle w:val="TOC2"/>
        <w:rPr>
          <w:rFonts w:eastAsiaTheme="minorEastAsia"/>
        </w:rPr>
      </w:pPr>
      <w:r w:rsidRPr="005A257C">
        <w:t>A.12</w:t>
      </w:r>
      <w:r w:rsidRPr="005A257C">
        <w:rPr>
          <w:rFonts w:eastAsiaTheme="minorEastAsia"/>
        </w:rPr>
        <w:tab/>
      </w:r>
      <w:r w:rsidRPr="005A257C">
        <w:t>Estimates of Respondent Burden Including Annualized Hourly Costs</w:t>
      </w:r>
      <w:r w:rsidRPr="005A257C">
        <w:tab/>
      </w:r>
      <w:r>
        <w:tab/>
      </w:r>
      <w:r w:rsidR="00C864E1">
        <w:t>1</w:t>
      </w:r>
      <w:r w:rsidR="009D4B45">
        <w:t>3</w:t>
      </w:r>
    </w:p>
    <w:p w14:paraId="4A5E498D" w14:textId="6D84F246" w:rsidR="00E65D83" w:rsidRDefault="00234CBA" w:rsidP="00234CBA">
      <w:pPr>
        <w:pStyle w:val="TOC2"/>
      </w:pPr>
      <w:r w:rsidRPr="005A257C">
        <w:t>A.13</w:t>
      </w:r>
      <w:r w:rsidRPr="005A257C">
        <w:rPr>
          <w:rFonts w:eastAsiaTheme="minorEastAsia"/>
        </w:rPr>
        <w:tab/>
      </w:r>
      <w:r w:rsidRPr="005A257C">
        <w:t>Estimates of Other Total Annualized Cost Burden</w:t>
      </w:r>
      <w:r w:rsidRPr="005A257C">
        <w:tab/>
      </w:r>
      <w:r>
        <w:tab/>
      </w:r>
      <w:r w:rsidR="00C864E1">
        <w:t>1</w:t>
      </w:r>
      <w:r w:rsidR="009D4B45">
        <w:t>9</w:t>
      </w:r>
    </w:p>
    <w:p w14:paraId="1E3890EC" w14:textId="204F57C0" w:rsidR="00234CBA" w:rsidRPr="005A257C" w:rsidRDefault="00234CBA" w:rsidP="00234CBA">
      <w:pPr>
        <w:pStyle w:val="TOC2"/>
        <w:rPr>
          <w:rFonts w:eastAsiaTheme="minorEastAsia"/>
        </w:rPr>
      </w:pPr>
      <w:r w:rsidRPr="005A257C">
        <w:t>A.14</w:t>
      </w:r>
      <w:r w:rsidRPr="005A257C">
        <w:rPr>
          <w:rFonts w:eastAsiaTheme="minorEastAsia"/>
        </w:rPr>
        <w:tab/>
      </w:r>
      <w:r w:rsidRPr="005A257C">
        <w:t>Annualized Cost to the Federal Government</w:t>
      </w:r>
      <w:r w:rsidRPr="005A257C">
        <w:tab/>
      </w:r>
      <w:r>
        <w:tab/>
      </w:r>
      <w:r w:rsidR="002E0729">
        <w:t>1</w:t>
      </w:r>
      <w:r w:rsidR="009D4B45">
        <w:t>9</w:t>
      </w:r>
    </w:p>
    <w:p w14:paraId="7B1C7A62" w14:textId="7D40B41E" w:rsidR="00234CBA" w:rsidRPr="005A257C" w:rsidRDefault="00234CBA" w:rsidP="00234CBA">
      <w:pPr>
        <w:pStyle w:val="TOC2"/>
        <w:rPr>
          <w:rFonts w:eastAsiaTheme="minorEastAsia"/>
        </w:rPr>
      </w:pPr>
      <w:r w:rsidRPr="005A257C">
        <w:t>A.15</w:t>
      </w:r>
      <w:r w:rsidRPr="005A257C">
        <w:rPr>
          <w:rFonts w:eastAsiaTheme="minorEastAsia"/>
        </w:rPr>
        <w:tab/>
      </w:r>
      <w:r w:rsidRPr="005A257C">
        <w:t>Explanation for Program Changes or Adjustments</w:t>
      </w:r>
      <w:r w:rsidRPr="005A257C">
        <w:tab/>
      </w:r>
      <w:r>
        <w:tab/>
      </w:r>
      <w:r w:rsidR="009D4B45">
        <w:t>20</w:t>
      </w:r>
    </w:p>
    <w:p w14:paraId="0E8FFAD7" w14:textId="6F340E01" w:rsidR="00234CBA" w:rsidRPr="005A257C" w:rsidRDefault="00234CBA" w:rsidP="00234CBA">
      <w:pPr>
        <w:pStyle w:val="TOC2"/>
        <w:rPr>
          <w:rFonts w:eastAsiaTheme="minorEastAsia"/>
        </w:rPr>
      </w:pPr>
      <w:r w:rsidRPr="005A257C">
        <w:t>A.16</w:t>
      </w:r>
      <w:r w:rsidRPr="005A257C">
        <w:rPr>
          <w:rFonts w:eastAsiaTheme="minorEastAsia"/>
        </w:rPr>
        <w:tab/>
      </w:r>
      <w:r w:rsidRPr="005A257C">
        <w:t>Plans for Tabulation and Publication and Project Time Schedule</w:t>
      </w:r>
      <w:r w:rsidRPr="005A257C">
        <w:tab/>
      </w:r>
      <w:r>
        <w:tab/>
      </w:r>
      <w:r w:rsidR="009D4B45">
        <w:t>20</w:t>
      </w:r>
    </w:p>
    <w:p w14:paraId="4496B9AF" w14:textId="106F531F" w:rsidR="00234CBA" w:rsidRPr="005A257C" w:rsidRDefault="00234CBA" w:rsidP="00234CBA">
      <w:pPr>
        <w:pStyle w:val="TOC2"/>
        <w:rPr>
          <w:rFonts w:eastAsiaTheme="minorEastAsia"/>
        </w:rPr>
      </w:pPr>
      <w:r w:rsidRPr="005A257C">
        <w:t>A.17</w:t>
      </w:r>
      <w:r w:rsidRPr="005A257C">
        <w:rPr>
          <w:rFonts w:eastAsiaTheme="minorEastAsia"/>
        </w:rPr>
        <w:tab/>
      </w:r>
      <w:r w:rsidRPr="005A257C">
        <w:t>Reason Display of OMB Expiration Date Is Inappropriate</w:t>
      </w:r>
      <w:r w:rsidRPr="005A257C">
        <w:tab/>
      </w:r>
      <w:r>
        <w:tab/>
      </w:r>
      <w:r w:rsidR="009D4B45">
        <w:t>20</w:t>
      </w:r>
    </w:p>
    <w:p w14:paraId="655E5586" w14:textId="097FD877" w:rsidR="00234CBA" w:rsidRDefault="00234CBA" w:rsidP="00234CBA">
      <w:pPr>
        <w:pStyle w:val="TOC2"/>
      </w:pPr>
      <w:r w:rsidRPr="005A257C">
        <w:t>A.18</w:t>
      </w:r>
      <w:r w:rsidRPr="005A257C">
        <w:rPr>
          <w:rFonts w:eastAsiaTheme="minorEastAsia"/>
        </w:rPr>
        <w:tab/>
      </w:r>
      <w:r w:rsidRPr="005A257C">
        <w:t>Exceptions to Certification for Paperwork Reduction Act Submissions</w:t>
      </w:r>
      <w:r w:rsidRPr="005A257C">
        <w:tab/>
      </w:r>
      <w:r>
        <w:tab/>
      </w:r>
      <w:r w:rsidR="009D4B45">
        <w:t>21</w:t>
      </w:r>
    </w:p>
    <w:p w14:paraId="6F03E58C" w14:textId="77777777" w:rsidR="00234CBA" w:rsidRDefault="00234CBA" w:rsidP="00234CBA">
      <w:pPr>
        <w:pStyle w:val="TOC2"/>
      </w:pPr>
    </w:p>
    <w:p w14:paraId="038A0CF8" w14:textId="77777777" w:rsidR="00234CBA" w:rsidRDefault="00234CBA" w:rsidP="00234CBA">
      <w:pPr>
        <w:pStyle w:val="TOC2"/>
      </w:pPr>
    </w:p>
    <w:p w14:paraId="62204927" w14:textId="77777777" w:rsidR="00FA7EE1" w:rsidRDefault="00FA7EE1" w:rsidP="00FA7EE1">
      <w:pPr>
        <w:pStyle w:val="T0-ChapPgHd"/>
      </w:pPr>
      <w:r>
        <w:t>Tables</w:t>
      </w:r>
    </w:p>
    <w:p w14:paraId="0BA34CD1" w14:textId="77777777" w:rsidR="00FA7EE1" w:rsidRDefault="00FA7EE1" w:rsidP="00FA7EE1">
      <w:pPr>
        <w:pStyle w:val="T0-ChapPgHd"/>
      </w:pPr>
    </w:p>
    <w:p w14:paraId="12C693C5" w14:textId="089FF2B3" w:rsidR="002E0729" w:rsidRDefault="002E0729" w:rsidP="00234CBA">
      <w:pPr>
        <w:pStyle w:val="TOC5"/>
      </w:pPr>
      <w:r>
        <w:t>A.9.1</w:t>
      </w:r>
      <w:r>
        <w:tab/>
      </w:r>
      <w:r w:rsidR="00483A63" w:rsidRPr="00543196">
        <w:rPr>
          <w:rFonts w:eastAsiaTheme="minorHAnsi" w:cs="Garamond"/>
          <w:color w:val="000000"/>
          <w:sz w:val="23"/>
          <w:szCs w:val="23"/>
        </w:rPr>
        <w:t>Incentives earned by data collection event and number of persons in household</w:t>
      </w:r>
      <w:r w:rsidR="004A596B">
        <w:tab/>
      </w:r>
      <w:r w:rsidR="004A596B">
        <w:tab/>
      </w:r>
      <w:r w:rsidR="00382413">
        <w:t>1</w:t>
      </w:r>
      <w:r w:rsidR="009D4B45">
        <w:t>1</w:t>
      </w:r>
    </w:p>
    <w:p w14:paraId="6A9B4AF7" w14:textId="56E43A19" w:rsidR="005E35A0" w:rsidRDefault="005E35A0" w:rsidP="00234CBA">
      <w:pPr>
        <w:pStyle w:val="TOC5"/>
      </w:pPr>
    </w:p>
    <w:p w14:paraId="750FB984" w14:textId="77777777" w:rsidR="005E35A0" w:rsidRDefault="005E35A0">
      <w:pPr>
        <w:spacing w:line="240" w:lineRule="auto"/>
      </w:pPr>
      <w:r>
        <w:br w:type="page"/>
      </w:r>
    </w:p>
    <w:p w14:paraId="671F95A0" w14:textId="2EC7F8F8" w:rsidR="002E0729" w:rsidRDefault="002E0729" w:rsidP="00234CBA">
      <w:pPr>
        <w:pStyle w:val="TOC5"/>
      </w:pPr>
    </w:p>
    <w:p w14:paraId="41BC09A5" w14:textId="77777777" w:rsidR="00065992" w:rsidRPr="00234CBA" w:rsidRDefault="00065992" w:rsidP="00065992">
      <w:pPr>
        <w:pStyle w:val="TC-TableofContentsHeading"/>
        <w:rPr>
          <w:sz w:val="24"/>
          <w:szCs w:val="24"/>
        </w:rPr>
      </w:pPr>
      <w:r w:rsidRPr="00234CBA">
        <w:rPr>
          <w:sz w:val="24"/>
          <w:szCs w:val="24"/>
        </w:rPr>
        <w:t>Contents</w:t>
      </w:r>
      <w:r>
        <w:rPr>
          <w:sz w:val="24"/>
          <w:szCs w:val="24"/>
        </w:rPr>
        <w:t xml:space="preserve"> (continued)</w:t>
      </w:r>
    </w:p>
    <w:p w14:paraId="65CAD5B5" w14:textId="77777777" w:rsidR="00065992" w:rsidRDefault="00065992" w:rsidP="00065992">
      <w:pPr>
        <w:pStyle w:val="T0-ChapPgHd"/>
      </w:pPr>
      <w:r w:rsidRPr="00065992">
        <w:rPr>
          <w:u w:val="single"/>
        </w:rPr>
        <w:t>Tables (continued</w:t>
      </w:r>
      <w:r>
        <w:t>)</w:t>
      </w:r>
    </w:p>
    <w:p w14:paraId="317567A2" w14:textId="77777777" w:rsidR="00065992" w:rsidRDefault="00065992" w:rsidP="00065992">
      <w:pPr>
        <w:pStyle w:val="T0-ChapPgHd"/>
      </w:pPr>
      <w:r>
        <w:tab/>
      </w:r>
    </w:p>
    <w:p w14:paraId="00157464" w14:textId="2634575B" w:rsidR="00065992" w:rsidRDefault="00065992" w:rsidP="00234CBA">
      <w:pPr>
        <w:pStyle w:val="TOC5"/>
      </w:pPr>
      <w:r>
        <w:t>A.9.</w:t>
      </w:r>
      <w:r w:rsidR="00483A63">
        <w:t>2</w:t>
      </w:r>
      <w:r>
        <w:tab/>
        <w:t xml:space="preserve">Incentive levels for different types of households in </w:t>
      </w:r>
      <w:r w:rsidR="00EE53A2">
        <w:t>FoodAPS-1</w:t>
      </w:r>
      <w:r w:rsidR="005208A7">
        <w:tab/>
      </w:r>
      <w:r w:rsidR="005208A7">
        <w:tab/>
      </w:r>
      <w:r w:rsidR="00382413">
        <w:t>11</w:t>
      </w:r>
    </w:p>
    <w:p w14:paraId="521EDF31" w14:textId="7B2E699B" w:rsidR="00234CBA" w:rsidRPr="005A257C" w:rsidRDefault="00234CBA" w:rsidP="00234CBA">
      <w:pPr>
        <w:pStyle w:val="TOC5"/>
        <w:rPr>
          <w:rFonts w:eastAsiaTheme="minorEastAsia"/>
        </w:rPr>
      </w:pPr>
      <w:r>
        <w:t>A.12.1</w:t>
      </w:r>
      <w:r w:rsidRPr="005A257C">
        <w:rPr>
          <w:rFonts w:eastAsiaTheme="minorEastAsia"/>
        </w:rPr>
        <w:tab/>
      </w:r>
      <w:r w:rsidRPr="005A257C">
        <w:t>Respondent burden and cost estimate</w:t>
      </w:r>
      <w:r w:rsidRPr="005A257C">
        <w:tab/>
      </w:r>
      <w:r>
        <w:tab/>
      </w:r>
      <w:r w:rsidR="005208A7">
        <w:t>1</w:t>
      </w:r>
      <w:r w:rsidR="009D4B45">
        <w:t>8</w:t>
      </w:r>
    </w:p>
    <w:p w14:paraId="056543DB" w14:textId="2A4B1138" w:rsidR="00234CBA" w:rsidRPr="005A257C" w:rsidRDefault="00234CBA" w:rsidP="00234CBA">
      <w:pPr>
        <w:pStyle w:val="TOC5"/>
        <w:rPr>
          <w:rFonts w:eastAsiaTheme="minorEastAsia"/>
        </w:rPr>
      </w:pPr>
      <w:r>
        <w:t>A.16.1</w:t>
      </w:r>
      <w:r w:rsidRPr="005A257C">
        <w:rPr>
          <w:rFonts w:eastAsiaTheme="minorEastAsia"/>
        </w:rPr>
        <w:tab/>
      </w:r>
      <w:r w:rsidR="007B3BD0">
        <w:t xml:space="preserve">NFS </w:t>
      </w:r>
      <w:r w:rsidR="00DE015C">
        <w:t xml:space="preserve">Pilot </w:t>
      </w:r>
      <w:r w:rsidR="007B3BD0">
        <w:t>project</w:t>
      </w:r>
      <w:r w:rsidRPr="005A257C">
        <w:t xml:space="preserve"> schedule</w:t>
      </w:r>
      <w:r w:rsidRPr="005A257C">
        <w:tab/>
      </w:r>
      <w:r>
        <w:tab/>
      </w:r>
      <w:r w:rsidR="009D4B45">
        <w:t>20</w:t>
      </w:r>
    </w:p>
    <w:p w14:paraId="18E8DCA3" w14:textId="77777777" w:rsidR="00743583" w:rsidRDefault="00743583" w:rsidP="007C2CD6">
      <w:pPr>
        <w:pStyle w:val="T0-ChapPgHd"/>
      </w:pPr>
    </w:p>
    <w:p w14:paraId="386515E8" w14:textId="28857CA5" w:rsidR="007C2CD6" w:rsidRDefault="007C2CD6" w:rsidP="007C2CD6">
      <w:pPr>
        <w:pStyle w:val="T0-ChapPgHd"/>
      </w:pPr>
      <w:r>
        <w:t>Appendi</w:t>
      </w:r>
      <w:r w:rsidR="00B56A3C">
        <w:t>c</w:t>
      </w:r>
      <w:r>
        <w:t>es</w:t>
      </w:r>
      <w:r w:rsidR="00234CBA">
        <w:tab/>
      </w:r>
    </w:p>
    <w:p w14:paraId="19064411" w14:textId="77777777" w:rsidR="007C2CD6" w:rsidRDefault="007C2CD6" w:rsidP="007C2CD6">
      <w:pPr>
        <w:pStyle w:val="T0-ChapPgHd"/>
      </w:pPr>
    </w:p>
    <w:p w14:paraId="206E1166" w14:textId="77777777" w:rsidR="001061E4" w:rsidRPr="001061E4" w:rsidRDefault="001061E4" w:rsidP="007C2CD6">
      <w:pPr>
        <w:pStyle w:val="T0-ChapPgHd"/>
        <w:rPr>
          <w:u w:val="single"/>
        </w:rPr>
      </w:pPr>
      <w:r w:rsidRPr="001061E4">
        <w:rPr>
          <w:u w:val="single"/>
        </w:rPr>
        <w:t>Appendix A: Forms and Letters</w:t>
      </w:r>
    </w:p>
    <w:p w14:paraId="399E4C00" w14:textId="77777777" w:rsidR="001061E4" w:rsidRPr="001061E4" w:rsidRDefault="001061E4" w:rsidP="007C2CD6">
      <w:pPr>
        <w:pStyle w:val="T0-ChapPgHd"/>
        <w:rPr>
          <w:u w:val="none"/>
        </w:rPr>
      </w:pPr>
    </w:p>
    <w:p w14:paraId="08D65C98" w14:textId="77777777" w:rsidR="004A596B" w:rsidRDefault="009C4246" w:rsidP="007979B1">
      <w:pPr>
        <w:pStyle w:val="TOC5"/>
        <w:spacing w:line="360" w:lineRule="atLeast"/>
      </w:pPr>
      <w:r>
        <w:t>A</w:t>
      </w:r>
      <w:r w:rsidR="001061E4">
        <w:t>1</w:t>
      </w:r>
      <w:r>
        <w:tab/>
      </w:r>
      <w:r w:rsidR="004A596B">
        <w:t>Advance Letter</w:t>
      </w:r>
    </w:p>
    <w:p w14:paraId="22AAD65D" w14:textId="77777777" w:rsidR="004A596B" w:rsidRDefault="004A596B" w:rsidP="007979B1">
      <w:pPr>
        <w:pStyle w:val="TOC5"/>
        <w:spacing w:line="360" w:lineRule="atLeast"/>
      </w:pPr>
      <w:r>
        <w:t>A2</w:t>
      </w:r>
      <w:r>
        <w:tab/>
        <w:t>Information Sheet</w:t>
      </w:r>
    </w:p>
    <w:p w14:paraId="0EEE6888" w14:textId="77777777" w:rsidR="009C4246" w:rsidRDefault="004A596B" w:rsidP="007979B1">
      <w:pPr>
        <w:pStyle w:val="TOC5"/>
        <w:spacing w:line="360" w:lineRule="atLeast"/>
      </w:pPr>
      <w:r>
        <w:t>A3</w:t>
      </w:r>
      <w:r>
        <w:tab/>
      </w:r>
      <w:r w:rsidR="00743583">
        <w:t>Disclaimer Form</w:t>
      </w:r>
    </w:p>
    <w:p w14:paraId="6B2CEC77" w14:textId="77777777" w:rsidR="00743583" w:rsidRDefault="004A596B" w:rsidP="007979B1">
      <w:pPr>
        <w:pStyle w:val="TOC5"/>
        <w:spacing w:line="360" w:lineRule="atLeast"/>
      </w:pPr>
      <w:r>
        <w:t>A4</w:t>
      </w:r>
      <w:r w:rsidR="00743583">
        <w:tab/>
        <w:t>Study Consent Form</w:t>
      </w:r>
    </w:p>
    <w:p w14:paraId="357880E0" w14:textId="21F68937" w:rsidR="004A596B" w:rsidRDefault="004A596B" w:rsidP="007979B1">
      <w:pPr>
        <w:pStyle w:val="TOC5"/>
        <w:spacing w:line="360" w:lineRule="atLeast"/>
      </w:pPr>
      <w:r>
        <w:t>A5</w:t>
      </w:r>
      <w:r w:rsidR="00067332">
        <w:t>a</w:t>
      </w:r>
      <w:r>
        <w:tab/>
      </w:r>
      <w:r w:rsidR="00CF6322">
        <w:t>Parental Consent</w:t>
      </w:r>
      <w:r>
        <w:t xml:space="preserve"> Form</w:t>
      </w:r>
    </w:p>
    <w:p w14:paraId="09FAD5EE" w14:textId="1A32E9D1" w:rsidR="00067332" w:rsidRDefault="00067332" w:rsidP="007979B1">
      <w:pPr>
        <w:pStyle w:val="TOC5"/>
        <w:spacing w:line="360" w:lineRule="atLeast"/>
      </w:pPr>
      <w:r>
        <w:t>A5b</w:t>
      </w:r>
      <w:r>
        <w:tab/>
        <w:t>Individual Assent-Consent Form</w:t>
      </w:r>
    </w:p>
    <w:p w14:paraId="6AF4DDBA" w14:textId="77777777" w:rsidR="00C633BB" w:rsidRDefault="004A596B" w:rsidP="007979B1">
      <w:pPr>
        <w:pStyle w:val="TOC5"/>
        <w:spacing w:line="360" w:lineRule="atLeast"/>
      </w:pPr>
      <w:r>
        <w:t>A6</w:t>
      </w:r>
      <w:r w:rsidR="00C633BB">
        <w:tab/>
        <w:t>Westat Confidentiality and Nondisclosure Agreement</w:t>
      </w:r>
    </w:p>
    <w:p w14:paraId="4EEB05EE" w14:textId="77777777" w:rsidR="00C633BB" w:rsidRDefault="004A596B" w:rsidP="007979B1">
      <w:pPr>
        <w:pStyle w:val="TOC5"/>
        <w:spacing w:line="360" w:lineRule="atLeast"/>
      </w:pPr>
      <w:r>
        <w:t>A7</w:t>
      </w:r>
      <w:r w:rsidR="00C633BB">
        <w:tab/>
        <w:t>Westat IRB Approval Letter</w:t>
      </w:r>
    </w:p>
    <w:p w14:paraId="774CECAB" w14:textId="592DFA87" w:rsidR="005E35A0" w:rsidRDefault="005E35A0" w:rsidP="007979B1">
      <w:pPr>
        <w:pStyle w:val="TOC5"/>
        <w:spacing w:line="360" w:lineRule="atLeast"/>
      </w:pPr>
      <w:r>
        <w:t>A8</w:t>
      </w:r>
      <w:r w:rsidR="00067332">
        <w:t>a</w:t>
      </w:r>
      <w:r>
        <w:tab/>
      </w:r>
      <w:r w:rsidR="00067332">
        <w:t xml:space="preserve">60 Day </w:t>
      </w:r>
      <w:r>
        <w:t>Federal Register Notice</w:t>
      </w:r>
    </w:p>
    <w:p w14:paraId="51AE7ABF" w14:textId="2E67019D" w:rsidR="00067332" w:rsidRDefault="00067332" w:rsidP="007979B1">
      <w:pPr>
        <w:pStyle w:val="TOC5"/>
        <w:spacing w:line="360" w:lineRule="atLeast"/>
      </w:pPr>
      <w:r>
        <w:t>A8b</w:t>
      </w:r>
      <w:r>
        <w:tab/>
        <w:t>Comments Received on 60 Day Federal Register Notice</w:t>
      </w:r>
    </w:p>
    <w:p w14:paraId="3DDE9A0E" w14:textId="759D79B4" w:rsidR="005A35B4" w:rsidRDefault="005A35B4" w:rsidP="007979B1">
      <w:pPr>
        <w:pStyle w:val="TOC5"/>
        <w:spacing w:line="360" w:lineRule="atLeast"/>
      </w:pPr>
      <w:r>
        <w:t>A9</w:t>
      </w:r>
      <w:r>
        <w:tab/>
        <w:t>OMB Form 83-I</w:t>
      </w:r>
    </w:p>
    <w:p w14:paraId="77B594AF" w14:textId="0C15EEDF" w:rsidR="008222C8" w:rsidRDefault="008222C8" w:rsidP="007979B1">
      <w:pPr>
        <w:pStyle w:val="TOC5"/>
        <w:spacing w:line="360" w:lineRule="atLeast"/>
      </w:pPr>
      <w:r>
        <w:t>A10</w:t>
      </w:r>
      <w:r>
        <w:tab/>
        <w:t>Pretest Report</w:t>
      </w:r>
    </w:p>
    <w:p w14:paraId="294F61E4" w14:textId="77777777" w:rsidR="005A31EE" w:rsidRDefault="005A31EE" w:rsidP="00072FFE">
      <w:pPr>
        <w:pStyle w:val="TOC5"/>
      </w:pPr>
    </w:p>
    <w:p w14:paraId="656B26EA" w14:textId="77777777" w:rsidR="00562AB4" w:rsidRPr="001061E4" w:rsidRDefault="00562AB4" w:rsidP="00562AB4">
      <w:pPr>
        <w:pStyle w:val="T0-ChapPgHd"/>
        <w:rPr>
          <w:u w:val="single"/>
        </w:rPr>
      </w:pPr>
      <w:r>
        <w:rPr>
          <w:u w:val="single"/>
        </w:rPr>
        <w:t>Appendix B</w:t>
      </w:r>
      <w:r w:rsidRPr="001061E4">
        <w:rPr>
          <w:u w:val="single"/>
        </w:rPr>
        <w:t xml:space="preserve">: </w:t>
      </w:r>
      <w:r w:rsidR="004A596B">
        <w:rPr>
          <w:u w:val="single"/>
        </w:rPr>
        <w:t xml:space="preserve">Data Collection </w:t>
      </w:r>
      <w:r>
        <w:rPr>
          <w:u w:val="single"/>
        </w:rPr>
        <w:t>Instruments</w:t>
      </w:r>
    </w:p>
    <w:p w14:paraId="5AC0DCF6" w14:textId="77777777" w:rsidR="00562AB4" w:rsidRPr="001061E4" w:rsidRDefault="00562AB4" w:rsidP="00562AB4">
      <w:pPr>
        <w:pStyle w:val="T0-ChapPgHd"/>
        <w:rPr>
          <w:u w:val="none"/>
        </w:rPr>
      </w:pPr>
    </w:p>
    <w:p w14:paraId="33E9B02B" w14:textId="77777777" w:rsidR="009C4246" w:rsidRDefault="009C4246" w:rsidP="007979B1">
      <w:pPr>
        <w:pStyle w:val="TOC5"/>
        <w:spacing w:line="360" w:lineRule="atLeast"/>
        <w:rPr>
          <w:lang w:val="fr-FR"/>
        </w:rPr>
      </w:pPr>
      <w:r w:rsidRPr="0034369A">
        <w:rPr>
          <w:lang w:val="fr-FR"/>
        </w:rPr>
        <w:t>B</w:t>
      </w:r>
      <w:r w:rsidR="00562AB4">
        <w:rPr>
          <w:lang w:val="fr-FR"/>
        </w:rPr>
        <w:t>1</w:t>
      </w:r>
      <w:r w:rsidRPr="0034369A">
        <w:rPr>
          <w:lang w:val="fr-FR"/>
        </w:rPr>
        <w:tab/>
      </w:r>
      <w:r w:rsidR="00562AB4">
        <w:rPr>
          <w:lang w:val="fr-FR"/>
        </w:rPr>
        <w:t>Household Screener</w:t>
      </w:r>
    </w:p>
    <w:p w14:paraId="2718438E" w14:textId="77777777" w:rsidR="00562AB4" w:rsidRDefault="00562AB4" w:rsidP="007979B1">
      <w:pPr>
        <w:pStyle w:val="TOC5"/>
        <w:spacing w:line="360" w:lineRule="atLeast"/>
        <w:rPr>
          <w:lang w:val="fr-FR"/>
        </w:rPr>
      </w:pPr>
      <w:r>
        <w:rPr>
          <w:lang w:val="fr-FR"/>
        </w:rPr>
        <w:t>B2</w:t>
      </w:r>
      <w:r>
        <w:rPr>
          <w:lang w:val="fr-FR"/>
        </w:rPr>
        <w:tab/>
        <w:t>Initial Interview</w:t>
      </w:r>
    </w:p>
    <w:p w14:paraId="68E46192" w14:textId="77777777" w:rsidR="00007D86" w:rsidRDefault="00007D86" w:rsidP="007979B1">
      <w:pPr>
        <w:pStyle w:val="TOC5"/>
        <w:spacing w:line="360" w:lineRule="atLeast"/>
        <w:rPr>
          <w:lang w:val="fr-FR"/>
        </w:rPr>
      </w:pPr>
      <w:r>
        <w:rPr>
          <w:lang w:val="fr-FR"/>
        </w:rPr>
        <w:t>B3</w:t>
      </w:r>
      <w:r>
        <w:rPr>
          <w:lang w:val="fr-FR"/>
        </w:rPr>
        <w:tab/>
        <w:t>Food Log</w:t>
      </w:r>
    </w:p>
    <w:p w14:paraId="1C8006B7" w14:textId="77777777" w:rsidR="00007D86" w:rsidRDefault="00007D86" w:rsidP="007979B1">
      <w:pPr>
        <w:pStyle w:val="TOC5"/>
        <w:spacing w:line="360" w:lineRule="atLeast"/>
        <w:rPr>
          <w:lang w:val="fr-FR"/>
        </w:rPr>
      </w:pPr>
      <w:r>
        <w:rPr>
          <w:lang w:val="fr-FR"/>
        </w:rPr>
        <w:t>B4</w:t>
      </w:r>
      <w:r>
        <w:rPr>
          <w:lang w:val="fr-FR"/>
        </w:rPr>
        <w:tab/>
        <w:t>Income Worksheet</w:t>
      </w:r>
    </w:p>
    <w:p w14:paraId="768E6ACD" w14:textId="77777777" w:rsidR="00007D86" w:rsidRDefault="00007D86" w:rsidP="007979B1">
      <w:pPr>
        <w:pStyle w:val="TOC5"/>
        <w:spacing w:line="360" w:lineRule="atLeast"/>
        <w:rPr>
          <w:lang w:val="fr-FR"/>
        </w:rPr>
      </w:pPr>
      <w:r>
        <w:rPr>
          <w:lang w:val="fr-FR"/>
        </w:rPr>
        <w:t>B5</w:t>
      </w:r>
      <w:r>
        <w:rPr>
          <w:lang w:val="fr-FR"/>
        </w:rPr>
        <w:tab/>
        <w:t>Meals and Snacks Form</w:t>
      </w:r>
    </w:p>
    <w:p w14:paraId="50A42FE2" w14:textId="77777777" w:rsidR="00007D86" w:rsidRDefault="00007D86" w:rsidP="007979B1">
      <w:pPr>
        <w:pStyle w:val="TOC5"/>
        <w:spacing w:line="360" w:lineRule="atLeast"/>
        <w:rPr>
          <w:lang w:val="fr-FR"/>
        </w:rPr>
      </w:pPr>
      <w:r>
        <w:rPr>
          <w:lang w:val="fr-FR"/>
        </w:rPr>
        <w:t>B6</w:t>
      </w:r>
      <w:r>
        <w:rPr>
          <w:lang w:val="fr-FR"/>
        </w:rPr>
        <w:tab/>
        <w:t>Nonresponse Form</w:t>
      </w:r>
    </w:p>
    <w:p w14:paraId="45CDE338" w14:textId="77777777" w:rsidR="00007D86" w:rsidRDefault="00007D86" w:rsidP="007979B1">
      <w:pPr>
        <w:pStyle w:val="TOC5"/>
        <w:spacing w:line="360" w:lineRule="atLeast"/>
        <w:rPr>
          <w:lang w:val="fr-FR"/>
        </w:rPr>
      </w:pPr>
      <w:r>
        <w:rPr>
          <w:lang w:val="fr-FR"/>
        </w:rPr>
        <w:t>B7</w:t>
      </w:r>
      <w:r>
        <w:rPr>
          <w:lang w:val="fr-FR"/>
        </w:rPr>
        <w:tab/>
        <w:t>Final Interview</w:t>
      </w:r>
    </w:p>
    <w:p w14:paraId="0692A753" w14:textId="77777777" w:rsidR="00007D86" w:rsidRDefault="00007D86" w:rsidP="007979B1">
      <w:pPr>
        <w:pStyle w:val="TOC5"/>
        <w:spacing w:line="360" w:lineRule="atLeast"/>
        <w:rPr>
          <w:lang w:val="fr-FR"/>
        </w:rPr>
      </w:pPr>
      <w:r>
        <w:rPr>
          <w:lang w:val="fr-FR"/>
        </w:rPr>
        <w:t>B8</w:t>
      </w:r>
      <w:r>
        <w:rPr>
          <w:lang w:val="fr-FR"/>
        </w:rPr>
        <w:tab/>
        <w:t>Respondent Feedback Form</w:t>
      </w:r>
    </w:p>
    <w:p w14:paraId="4329D5AC" w14:textId="35CCCADA" w:rsidR="00007D86" w:rsidRPr="0034369A" w:rsidRDefault="00007D86" w:rsidP="007979B1">
      <w:pPr>
        <w:pStyle w:val="TOC5"/>
        <w:spacing w:line="360" w:lineRule="atLeast"/>
        <w:rPr>
          <w:lang w:val="fr-FR"/>
        </w:rPr>
      </w:pPr>
      <w:r>
        <w:rPr>
          <w:lang w:val="fr-FR"/>
        </w:rPr>
        <w:t>B9</w:t>
      </w:r>
      <w:r>
        <w:rPr>
          <w:lang w:val="fr-FR"/>
        </w:rPr>
        <w:tab/>
        <w:t>Re</w:t>
      </w:r>
      <w:r w:rsidR="00C61CED">
        <w:rPr>
          <w:lang w:val="fr-FR"/>
        </w:rPr>
        <w:t>call I</w:t>
      </w:r>
      <w:r>
        <w:rPr>
          <w:lang w:val="fr-FR"/>
        </w:rPr>
        <w:t>nterview</w:t>
      </w:r>
    </w:p>
    <w:p w14:paraId="3C2E8802" w14:textId="77777777" w:rsidR="002534B9" w:rsidRDefault="002534B9" w:rsidP="002534B9">
      <w:pPr>
        <w:pStyle w:val="TOC5"/>
      </w:pPr>
    </w:p>
    <w:p w14:paraId="60247FCE" w14:textId="77777777" w:rsidR="002534B9" w:rsidRDefault="002534B9" w:rsidP="002534B9">
      <w:pPr>
        <w:pStyle w:val="TOC5"/>
        <w:sectPr w:rsidR="002534B9" w:rsidSect="009C2750">
          <w:headerReference w:type="default" r:id="rId9"/>
          <w:headerReference w:type="first" r:id="rId10"/>
          <w:footerReference w:type="first" r:id="rId11"/>
          <w:pgSz w:w="12240" w:h="15840" w:code="1"/>
          <w:pgMar w:top="1440" w:right="1440" w:bottom="1440" w:left="1440" w:header="720" w:footer="576" w:gutter="0"/>
          <w:pgNumType w:fmt="lowerRoman"/>
          <w:cols w:space="720"/>
          <w:titlePg/>
          <w:docGrid w:linePitch="326"/>
        </w:sectPr>
      </w:pPr>
    </w:p>
    <w:p w14:paraId="7347DBD2" w14:textId="77777777" w:rsidR="00271489" w:rsidRDefault="00271489" w:rsidP="00271489">
      <w:pPr>
        <w:pStyle w:val="Heading1"/>
      </w:pPr>
      <w:bookmarkStart w:id="0" w:name="_Toc286158948"/>
      <w:bookmarkStart w:id="1" w:name="_Toc286160537"/>
      <w:bookmarkStart w:id="2" w:name="_Toc290021760"/>
      <w:bookmarkStart w:id="3" w:name="_Toc282506023"/>
      <w:bookmarkStart w:id="4" w:name="_Toc329675296"/>
      <w:bookmarkStart w:id="5" w:name="_Toc329675884"/>
      <w:r>
        <w:lastRenderedPageBreak/>
        <w:t>Part A. Justification</w:t>
      </w:r>
    </w:p>
    <w:p w14:paraId="26C90D43" w14:textId="77777777" w:rsidR="00271489" w:rsidRDefault="00271489" w:rsidP="00271489">
      <w:pPr>
        <w:pStyle w:val="Heading1"/>
      </w:pPr>
    </w:p>
    <w:p w14:paraId="0A0E947E" w14:textId="77777777" w:rsidR="00271489" w:rsidRPr="003702B9" w:rsidRDefault="00271489" w:rsidP="00271489">
      <w:pPr>
        <w:pStyle w:val="Heading2"/>
      </w:pPr>
      <w:r>
        <w:t>A.1</w:t>
      </w:r>
      <w:r w:rsidRPr="003702B9">
        <w:tab/>
        <w:t xml:space="preserve">Circumstances </w:t>
      </w:r>
      <w:bookmarkEnd w:id="0"/>
      <w:bookmarkEnd w:id="1"/>
      <w:bookmarkEnd w:id="2"/>
      <w:r w:rsidRPr="003702B9">
        <w:t>Making the Collection of Information Necessary</w:t>
      </w:r>
    </w:p>
    <w:bookmarkEnd w:id="3"/>
    <w:bookmarkEnd w:id="4"/>
    <w:bookmarkEnd w:id="5"/>
    <w:p w14:paraId="6C634E62" w14:textId="77777777" w:rsidR="00271489" w:rsidRPr="002F126A" w:rsidRDefault="00271489" w:rsidP="00271489">
      <w:pPr>
        <w:pStyle w:val="L1-FlLSp12"/>
        <w:rPr>
          <w:b/>
        </w:rPr>
      </w:pPr>
      <w:r w:rsidRPr="002F126A">
        <w:rPr>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14:paraId="38C2F0AD" w14:textId="77777777" w:rsidR="00271489" w:rsidRDefault="00271489" w:rsidP="00271489">
      <w:pPr>
        <w:pStyle w:val="L1-FlLSp12"/>
      </w:pPr>
    </w:p>
    <w:p w14:paraId="2997E60E" w14:textId="6B6B8139" w:rsidR="00FC3E87" w:rsidRDefault="004E1BB2" w:rsidP="00643E82">
      <w:pPr>
        <w:autoSpaceDE w:val="0"/>
        <w:autoSpaceDN w:val="0"/>
        <w:adjustRightInd w:val="0"/>
        <w:spacing w:line="360" w:lineRule="atLeast"/>
        <w:rPr>
          <w:rFonts w:cs="Garamond"/>
          <w:color w:val="000000"/>
          <w:sz w:val="23"/>
          <w:szCs w:val="23"/>
        </w:rPr>
      </w:pPr>
      <w:r>
        <w:rPr>
          <w:rFonts w:cs="Garamond"/>
          <w:color w:val="000000"/>
          <w:sz w:val="23"/>
          <w:szCs w:val="23"/>
        </w:rPr>
        <w:t xml:space="preserve">The </w:t>
      </w:r>
      <w:r w:rsidR="00A63AEB" w:rsidRPr="00A63AEB">
        <w:rPr>
          <w:rFonts w:cs="Garamond"/>
          <w:color w:val="000000"/>
          <w:sz w:val="23"/>
          <w:szCs w:val="23"/>
        </w:rPr>
        <w:t xml:space="preserve">Economic Research Service (ERS), U.S. Department of Agriculture (USDA), is requesting Office of Management and Budget (OMB) approval to conduct the </w:t>
      </w:r>
      <w:r w:rsidRPr="004E1BB2">
        <w:rPr>
          <w:rFonts w:cs="Garamond"/>
          <w:b/>
          <w:color w:val="000000"/>
          <w:sz w:val="23"/>
          <w:szCs w:val="23"/>
        </w:rPr>
        <w:t xml:space="preserve">Alternative Data Collection Method </w:t>
      </w:r>
      <w:r w:rsidRPr="00FC3E87">
        <w:rPr>
          <w:rFonts w:cs="Garamond"/>
          <w:b/>
          <w:color w:val="000000"/>
          <w:sz w:val="23"/>
          <w:szCs w:val="23"/>
        </w:rPr>
        <w:t>(ADCM) for Collecting FoodAPS-Like Data</w:t>
      </w:r>
      <w:r w:rsidR="00A63AEB" w:rsidRPr="00A63AEB">
        <w:rPr>
          <w:rFonts w:cs="Garamond"/>
          <w:b/>
          <w:bCs/>
          <w:color w:val="000000"/>
          <w:sz w:val="23"/>
          <w:szCs w:val="23"/>
        </w:rPr>
        <w:t xml:space="preserve"> </w:t>
      </w:r>
      <w:r w:rsidRPr="00FC3E87">
        <w:rPr>
          <w:rFonts w:cs="Garamond"/>
          <w:b/>
          <w:bCs/>
          <w:color w:val="000000"/>
          <w:sz w:val="23"/>
          <w:szCs w:val="23"/>
        </w:rPr>
        <w:t xml:space="preserve">Study </w:t>
      </w:r>
      <w:r w:rsidR="00A63AEB" w:rsidRPr="00A63AEB">
        <w:rPr>
          <w:rFonts w:cs="Garamond"/>
          <w:color w:val="000000"/>
          <w:sz w:val="23"/>
          <w:szCs w:val="23"/>
        </w:rPr>
        <w:t xml:space="preserve">(aka the </w:t>
      </w:r>
      <w:r w:rsidR="00A63AEB" w:rsidRPr="00A63AEB">
        <w:rPr>
          <w:rFonts w:cs="Garamond"/>
          <w:b/>
          <w:bCs/>
          <w:color w:val="000000"/>
          <w:sz w:val="23"/>
          <w:szCs w:val="23"/>
        </w:rPr>
        <w:t>National Food Study</w:t>
      </w:r>
      <w:r w:rsidRPr="00FC3E87">
        <w:rPr>
          <w:rFonts w:cs="Garamond"/>
          <w:b/>
          <w:bCs/>
          <w:color w:val="000000"/>
          <w:sz w:val="23"/>
          <w:szCs w:val="23"/>
        </w:rPr>
        <w:t xml:space="preserve"> Pilot</w:t>
      </w:r>
      <w:r w:rsidR="00A63AEB" w:rsidRPr="00A63AEB">
        <w:rPr>
          <w:rFonts w:cs="Garamond"/>
          <w:color w:val="000000"/>
          <w:sz w:val="23"/>
          <w:szCs w:val="23"/>
        </w:rPr>
        <w:t xml:space="preserve">). The mission of ERS is to provide timely research and analysis to public and private decision makers on topics related to agriculture, food, the environment, and rural America. To achieve this mission, ERS requires a variety of data that describe agricultural production, food distribution channels, availability and price of food at the point of sale, and household demand for food products. </w:t>
      </w:r>
      <w:r w:rsidR="00FC3E87" w:rsidRPr="00FC3E87">
        <w:rPr>
          <w:rFonts w:cs="Garamond"/>
          <w:color w:val="000000"/>
          <w:sz w:val="23"/>
          <w:szCs w:val="23"/>
        </w:rPr>
        <w:t xml:space="preserve">In 2009 ERS sponsored the National Household Food </w:t>
      </w:r>
      <w:r w:rsidR="004B1F93" w:rsidRPr="00FC3E87">
        <w:rPr>
          <w:rFonts w:cs="Garamond"/>
          <w:color w:val="000000"/>
          <w:sz w:val="23"/>
          <w:szCs w:val="23"/>
        </w:rPr>
        <w:t>Acquisi</w:t>
      </w:r>
      <w:r w:rsidR="004B1F93">
        <w:rPr>
          <w:rFonts w:cs="Garamond"/>
          <w:color w:val="000000"/>
          <w:sz w:val="23"/>
          <w:szCs w:val="23"/>
        </w:rPr>
        <w:t>ti</w:t>
      </w:r>
      <w:r w:rsidR="004B1F93" w:rsidRPr="00FC3E87">
        <w:rPr>
          <w:rFonts w:cs="Garamond"/>
          <w:color w:val="000000"/>
          <w:sz w:val="23"/>
          <w:szCs w:val="23"/>
        </w:rPr>
        <w:t>on</w:t>
      </w:r>
      <w:r w:rsidR="00FC3E87" w:rsidRPr="00FC3E87">
        <w:rPr>
          <w:rFonts w:cs="Garamond"/>
          <w:color w:val="000000"/>
          <w:sz w:val="23"/>
          <w:szCs w:val="23"/>
        </w:rPr>
        <w:t xml:space="preserve"> and Purchase Study (FoodAPS)</w:t>
      </w:r>
      <w:r w:rsidR="000145BE">
        <w:rPr>
          <w:rFonts w:cs="Garamond"/>
          <w:color w:val="000000"/>
          <w:sz w:val="23"/>
          <w:szCs w:val="23"/>
        </w:rPr>
        <w:t xml:space="preserve">, </w:t>
      </w:r>
      <w:r w:rsidR="00856D54">
        <w:rPr>
          <w:rFonts w:cs="Garamond"/>
          <w:color w:val="000000"/>
          <w:sz w:val="23"/>
          <w:szCs w:val="23"/>
        </w:rPr>
        <w:t>fielded</w:t>
      </w:r>
      <w:r w:rsidR="000145BE">
        <w:rPr>
          <w:rFonts w:cs="Garamond"/>
          <w:color w:val="000000"/>
          <w:sz w:val="23"/>
          <w:szCs w:val="23"/>
        </w:rPr>
        <w:t xml:space="preserve"> in 2012,</w:t>
      </w:r>
      <w:r w:rsidR="00FC3E87" w:rsidRPr="00FC3E87">
        <w:rPr>
          <w:rFonts w:cs="Garamond"/>
          <w:color w:val="000000"/>
          <w:sz w:val="23"/>
          <w:szCs w:val="23"/>
        </w:rPr>
        <w:t xml:space="preserve"> to </w:t>
      </w:r>
      <w:r w:rsidR="000145BE">
        <w:rPr>
          <w:rFonts w:cs="Garamond"/>
          <w:color w:val="000000"/>
          <w:sz w:val="23"/>
          <w:szCs w:val="23"/>
        </w:rPr>
        <w:t>support these data needs</w:t>
      </w:r>
      <w:r w:rsidR="00FC3E87" w:rsidRPr="00FC3E87">
        <w:rPr>
          <w:rFonts w:cs="Garamond"/>
          <w:color w:val="000000"/>
          <w:sz w:val="23"/>
          <w:szCs w:val="23"/>
        </w:rPr>
        <w:t xml:space="preserve">. </w:t>
      </w:r>
      <w:r w:rsidR="000145BE">
        <w:rPr>
          <w:rFonts w:cs="Garamond"/>
          <w:color w:val="000000"/>
          <w:sz w:val="23"/>
          <w:szCs w:val="23"/>
        </w:rPr>
        <w:t xml:space="preserve">ERS plans to conduct the next FoodAPS study </w:t>
      </w:r>
      <w:r w:rsidR="00722D09">
        <w:rPr>
          <w:rFonts w:cs="Garamond"/>
          <w:color w:val="000000"/>
          <w:sz w:val="23"/>
          <w:szCs w:val="23"/>
        </w:rPr>
        <w:t>in the next couple years</w:t>
      </w:r>
      <w:r w:rsidR="000145BE">
        <w:rPr>
          <w:rFonts w:cs="Garamond"/>
          <w:color w:val="000000"/>
          <w:sz w:val="23"/>
          <w:szCs w:val="23"/>
        </w:rPr>
        <w:t>. The</w:t>
      </w:r>
      <w:r w:rsidR="00FC3E87" w:rsidRPr="00FC3E87">
        <w:rPr>
          <w:rFonts w:cs="Garamond"/>
          <w:color w:val="000000"/>
          <w:sz w:val="23"/>
          <w:szCs w:val="23"/>
        </w:rPr>
        <w:t xml:space="preserve"> findings from the National Food Study </w:t>
      </w:r>
      <w:r w:rsidR="00DE015C" w:rsidRPr="00FC3E87">
        <w:rPr>
          <w:rFonts w:cs="Garamond"/>
          <w:color w:val="000000"/>
          <w:sz w:val="23"/>
          <w:szCs w:val="23"/>
        </w:rPr>
        <w:t xml:space="preserve">(NFS) </w:t>
      </w:r>
      <w:r w:rsidR="00FC3E87" w:rsidRPr="00FC3E87">
        <w:rPr>
          <w:rFonts w:cs="Garamond"/>
          <w:color w:val="000000"/>
          <w:sz w:val="23"/>
          <w:szCs w:val="23"/>
        </w:rPr>
        <w:t xml:space="preserve">Pilot will inform the </w:t>
      </w:r>
      <w:r w:rsidR="00E549B0">
        <w:rPr>
          <w:rFonts w:cs="Garamond"/>
          <w:color w:val="000000"/>
          <w:sz w:val="23"/>
          <w:szCs w:val="23"/>
        </w:rPr>
        <w:t xml:space="preserve">sample </w:t>
      </w:r>
      <w:r w:rsidR="00FC3E87" w:rsidRPr="00FC3E87">
        <w:rPr>
          <w:rFonts w:cs="Garamond"/>
          <w:color w:val="000000"/>
          <w:sz w:val="23"/>
          <w:szCs w:val="23"/>
        </w:rPr>
        <w:t>design and data collection method</w:t>
      </w:r>
      <w:r w:rsidR="009F7470">
        <w:rPr>
          <w:rFonts w:cs="Garamond"/>
          <w:color w:val="000000"/>
          <w:sz w:val="23"/>
          <w:szCs w:val="23"/>
        </w:rPr>
        <w:t>(s)</w:t>
      </w:r>
      <w:r w:rsidR="00FC3E87" w:rsidRPr="00FC3E87">
        <w:rPr>
          <w:rFonts w:cs="Garamond"/>
          <w:color w:val="000000"/>
          <w:sz w:val="23"/>
          <w:szCs w:val="23"/>
        </w:rPr>
        <w:t xml:space="preserve"> for the next FoodAPS.</w:t>
      </w:r>
      <w:r w:rsidR="00643E82">
        <w:rPr>
          <w:rFonts w:cs="Garamond"/>
          <w:color w:val="000000"/>
          <w:sz w:val="23"/>
          <w:szCs w:val="23"/>
        </w:rPr>
        <w:t xml:space="preserve"> </w:t>
      </w:r>
      <w:r w:rsidR="00643E82">
        <w:rPr>
          <w:sz w:val="23"/>
          <w:szCs w:val="23"/>
        </w:rPr>
        <w:t>Section 17 [7 U.S.C. 2026] (a)(1) of the Food and Nutrition Act of 2008 provides legislative authority for the next planned FoodAPS data collection.</w:t>
      </w:r>
    </w:p>
    <w:p w14:paraId="43616C52" w14:textId="77777777" w:rsidR="00643E82" w:rsidRDefault="00643E82" w:rsidP="004E1BB2">
      <w:pPr>
        <w:autoSpaceDE w:val="0"/>
        <w:autoSpaceDN w:val="0"/>
        <w:adjustRightInd w:val="0"/>
        <w:spacing w:line="360" w:lineRule="atLeast"/>
        <w:rPr>
          <w:rFonts w:cs="Garamond"/>
          <w:color w:val="000000"/>
          <w:sz w:val="23"/>
          <w:szCs w:val="23"/>
        </w:rPr>
      </w:pPr>
    </w:p>
    <w:p w14:paraId="0B855956" w14:textId="3A7F1949" w:rsidR="00FC3E87" w:rsidRDefault="00EE53A2" w:rsidP="004E1BB2">
      <w:pPr>
        <w:autoSpaceDE w:val="0"/>
        <w:autoSpaceDN w:val="0"/>
        <w:adjustRightInd w:val="0"/>
        <w:spacing w:line="360" w:lineRule="atLeast"/>
        <w:rPr>
          <w:rFonts w:cs="Garamond"/>
          <w:color w:val="000000"/>
          <w:sz w:val="23"/>
          <w:szCs w:val="23"/>
        </w:rPr>
      </w:pPr>
      <w:r>
        <w:rPr>
          <w:sz w:val="23"/>
          <w:szCs w:val="23"/>
          <w:lang w:val="en"/>
        </w:rPr>
        <w:t>FoodAPS-1</w:t>
      </w:r>
      <w:r w:rsidR="000145BE">
        <w:rPr>
          <w:sz w:val="23"/>
          <w:szCs w:val="23"/>
          <w:lang w:val="en"/>
        </w:rPr>
        <w:t xml:space="preserve"> was the </w:t>
      </w:r>
      <w:r w:rsidR="00FC3E87" w:rsidRPr="00A539BC">
        <w:rPr>
          <w:sz w:val="23"/>
          <w:szCs w:val="23"/>
          <w:lang w:val="en"/>
        </w:rPr>
        <w:t xml:space="preserve">first nationally representative survey of American households to collect comprehensive information about food purchased or otherwise acquired. </w:t>
      </w:r>
      <w:r w:rsidR="00FC3E87" w:rsidRPr="00A539BC">
        <w:rPr>
          <w:rFonts w:eastAsia="Calibri"/>
          <w:sz w:val="23"/>
          <w:szCs w:val="23"/>
          <w:lang w:val="en"/>
        </w:rPr>
        <w:t xml:space="preserve">The survey sample was designed to select Supplemental Nutrition Assistance Program (SNAP) households and other low-income households at higher rates to better understand food acquisition behaviors and improve </w:t>
      </w:r>
      <w:r w:rsidR="00FC3E87" w:rsidRPr="00A539BC">
        <w:rPr>
          <w:sz w:val="23"/>
          <w:szCs w:val="23"/>
        </w:rPr>
        <w:t>service to this segment of the population</w:t>
      </w:r>
      <w:r w:rsidR="00FC3E87" w:rsidRPr="00A539BC">
        <w:rPr>
          <w:rFonts w:eastAsia="Calibri"/>
          <w:sz w:val="23"/>
          <w:szCs w:val="23"/>
          <w:lang w:val="en"/>
        </w:rPr>
        <w:t xml:space="preserve">. </w:t>
      </w:r>
      <w:r w:rsidR="00FC3E87" w:rsidRPr="00A539BC">
        <w:rPr>
          <w:sz w:val="23"/>
          <w:szCs w:val="23"/>
        </w:rPr>
        <w:t xml:space="preserve">ERS is seeking to build on the successes from </w:t>
      </w:r>
      <w:r>
        <w:rPr>
          <w:sz w:val="23"/>
          <w:szCs w:val="23"/>
        </w:rPr>
        <w:t>FoodAPS-1</w:t>
      </w:r>
      <w:r w:rsidR="00FC3E87" w:rsidRPr="00A539BC">
        <w:rPr>
          <w:sz w:val="23"/>
          <w:szCs w:val="23"/>
        </w:rPr>
        <w:t xml:space="preserve"> and potentially improve data collection and efficiency for the next </w:t>
      </w:r>
      <w:r w:rsidR="00643E82">
        <w:rPr>
          <w:sz w:val="23"/>
          <w:szCs w:val="23"/>
        </w:rPr>
        <w:t>FoodAPS</w:t>
      </w:r>
      <w:r w:rsidR="00FC3E87" w:rsidRPr="00A539BC">
        <w:rPr>
          <w:sz w:val="23"/>
          <w:szCs w:val="23"/>
        </w:rPr>
        <w:t xml:space="preserve">. </w:t>
      </w:r>
      <w:r w:rsidR="00E549B0">
        <w:rPr>
          <w:sz w:val="23"/>
          <w:szCs w:val="23"/>
        </w:rPr>
        <w:t>So far</w:t>
      </w:r>
      <w:r w:rsidR="00FC3E87" w:rsidRPr="00A539BC">
        <w:rPr>
          <w:sz w:val="23"/>
          <w:szCs w:val="23"/>
        </w:rPr>
        <w:t xml:space="preserve">, ERS has undertaken both internal and external efforts to evaluate the quality of </w:t>
      </w:r>
      <w:r>
        <w:rPr>
          <w:sz w:val="23"/>
          <w:szCs w:val="23"/>
        </w:rPr>
        <w:t>FoodAPS-1</w:t>
      </w:r>
      <w:r w:rsidR="00FC3E87" w:rsidRPr="00A539BC">
        <w:rPr>
          <w:sz w:val="23"/>
          <w:szCs w:val="23"/>
        </w:rPr>
        <w:t xml:space="preserve"> data, collection methods, and processing procedures to identify ways to improve future data collections</w:t>
      </w:r>
      <w:r w:rsidR="00E549B0">
        <w:rPr>
          <w:sz w:val="23"/>
          <w:szCs w:val="23"/>
        </w:rPr>
        <w:t xml:space="preserve"> by reducing burden while improving accuracy</w:t>
      </w:r>
      <w:r w:rsidR="00FC3E87" w:rsidRPr="00A539BC">
        <w:rPr>
          <w:sz w:val="23"/>
          <w:szCs w:val="23"/>
        </w:rPr>
        <w:t>. Although much can be learned from assessing the 2012 data to make design improvements, some potential enhancements require a pilot test to determine their feasibility and likely impact.</w:t>
      </w:r>
    </w:p>
    <w:p w14:paraId="15C10007" w14:textId="77777777" w:rsidR="00FC3E87" w:rsidRDefault="00FC3E87" w:rsidP="004E1BB2">
      <w:pPr>
        <w:autoSpaceDE w:val="0"/>
        <w:autoSpaceDN w:val="0"/>
        <w:adjustRightInd w:val="0"/>
        <w:spacing w:line="360" w:lineRule="atLeast"/>
        <w:rPr>
          <w:rFonts w:cs="Garamond"/>
          <w:color w:val="000000"/>
          <w:sz w:val="23"/>
          <w:szCs w:val="23"/>
        </w:rPr>
      </w:pPr>
    </w:p>
    <w:p w14:paraId="282AC078" w14:textId="4302CE99" w:rsidR="00047A17" w:rsidRDefault="00722D09" w:rsidP="00BF724C">
      <w:pPr>
        <w:autoSpaceDE w:val="0"/>
        <w:autoSpaceDN w:val="0"/>
        <w:adjustRightInd w:val="0"/>
        <w:spacing w:line="360" w:lineRule="atLeast"/>
        <w:rPr>
          <w:rFonts w:eastAsia="Calibri"/>
          <w:sz w:val="23"/>
          <w:szCs w:val="23"/>
        </w:rPr>
      </w:pPr>
      <w:r>
        <w:rPr>
          <w:rFonts w:cs="Garamond"/>
          <w:color w:val="000000"/>
          <w:sz w:val="23"/>
          <w:szCs w:val="23"/>
        </w:rPr>
        <w:lastRenderedPageBreak/>
        <w:t xml:space="preserve">The NFS Pilot will make use of the latest </w:t>
      </w:r>
      <w:r w:rsidR="00E549B0">
        <w:rPr>
          <w:rFonts w:cs="Garamond"/>
          <w:color w:val="000000"/>
          <w:sz w:val="23"/>
          <w:szCs w:val="23"/>
        </w:rPr>
        <w:t xml:space="preserve">computer </w:t>
      </w:r>
      <w:r w:rsidR="00643E82">
        <w:rPr>
          <w:rFonts w:cs="Garamond"/>
          <w:color w:val="000000"/>
          <w:sz w:val="23"/>
          <w:szCs w:val="23"/>
        </w:rPr>
        <w:t>technologies</w:t>
      </w:r>
      <w:r>
        <w:rPr>
          <w:rFonts w:cs="Garamond"/>
          <w:color w:val="000000"/>
          <w:sz w:val="23"/>
          <w:szCs w:val="23"/>
        </w:rPr>
        <w:t xml:space="preserve"> to collect data on foods acquire</w:t>
      </w:r>
      <w:r w:rsidR="00643E82">
        <w:rPr>
          <w:rFonts w:cs="Garamond"/>
          <w:color w:val="000000"/>
          <w:sz w:val="23"/>
          <w:szCs w:val="23"/>
        </w:rPr>
        <w:t>d</w:t>
      </w:r>
      <w:r w:rsidR="003C4AEB">
        <w:rPr>
          <w:rFonts w:cs="Garamond"/>
          <w:color w:val="000000"/>
          <w:sz w:val="23"/>
          <w:szCs w:val="23"/>
        </w:rPr>
        <w:t xml:space="preserve"> and </w:t>
      </w:r>
      <w:r w:rsidR="00BF724C">
        <w:rPr>
          <w:rFonts w:cs="Garamond"/>
          <w:color w:val="000000"/>
          <w:sz w:val="23"/>
          <w:szCs w:val="23"/>
        </w:rPr>
        <w:t xml:space="preserve">to </w:t>
      </w:r>
      <w:r w:rsidR="003C4AEB">
        <w:rPr>
          <w:rFonts w:cs="Garamond"/>
          <w:color w:val="000000"/>
          <w:sz w:val="23"/>
          <w:szCs w:val="23"/>
        </w:rPr>
        <w:t>monitor data collection</w:t>
      </w:r>
      <w:r>
        <w:rPr>
          <w:rFonts w:cs="Garamond"/>
          <w:color w:val="000000"/>
          <w:sz w:val="23"/>
          <w:szCs w:val="23"/>
        </w:rPr>
        <w:t xml:space="preserve">. These </w:t>
      </w:r>
      <w:r w:rsidR="004B1F93">
        <w:rPr>
          <w:rFonts w:cs="Garamond"/>
          <w:color w:val="000000"/>
          <w:sz w:val="23"/>
          <w:szCs w:val="23"/>
        </w:rPr>
        <w:t>innovations</w:t>
      </w:r>
      <w:r w:rsidR="00BF724C">
        <w:rPr>
          <w:rFonts w:cs="Garamond"/>
          <w:color w:val="000000"/>
          <w:sz w:val="23"/>
          <w:szCs w:val="23"/>
        </w:rPr>
        <w:t xml:space="preserve"> </w:t>
      </w:r>
      <w:r>
        <w:rPr>
          <w:rFonts w:cs="Garamond"/>
          <w:color w:val="000000"/>
          <w:sz w:val="23"/>
          <w:szCs w:val="23"/>
        </w:rPr>
        <w:t xml:space="preserve">include applications on </w:t>
      </w:r>
      <w:r w:rsidR="003C4AEB">
        <w:rPr>
          <w:rFonts w:cs="Garamond"/>
          <w:color w:val="000000"/>
          <w:sz w:val="23"/>
          <w:szCs w:val="23"/>
        </w:rPr>
        <w:t xml:space="preserve">respondent </w:t>
      </w:r>
      <w:r>
        <w:rPr>
          <w:rFonts w:cs="Garamond"/>
          <w:color w:val="000000"/>
          <w:sz w:val="23"/>
          <w:szCs w:val="23"/>
        </w:rPr>
        <w:t>smartphones to scan barcodes</w:t>
      </w:r>
      <w:r w:rsidR="003C4AEB">
        <w:rPr>
          <w:rFonts w:cs="Garamond"/>
          <w:color w:val="000000"/>
          <w:sz w:val="23"/>
          <w:szCs w:val="23"/>
        </w:rPr>
        <w:t xml:space="preserve"> of foods acquired</w:t>
      </w:r>
      <w:r w:rsidR="00B015D2">
        <w:rPr>
          <w:rFonts w:cs="Garamond"/>
          <w:color w:val="000000"/>
          <w:sz w:val="23"/>
          <w:szCs w:val="23"/>
        </w:rPr>
        <w:t xml:space="preserve"> and to enter foods obtained for purchase or for free</w:t>
      </w:r>
      <w:r>
        <w:rPr>
          <w:rFonts w:cs="Garamond"/>
          <w:color w:val="000000"/>
          <w:sz w:val="23"/>
          <w:szCs w:val="23"/>
        </w:rPr>
        <w:t xml:space="preserve">, </w:t>
      </w:r>
      <w:r w:rsidR="003C4AEB">
        <w:rPr>
          <w:rFonts w:cs="Garamond"/>
          <w:color w:val="000000"/>
          <w:sz w:val="23"/>
          <w:szCs w:val="23"/>
        </w:rPr>
        <w:t xml:space="preserve">the use of the web to capture income earned and the foods acquired over a 7-day period, </w:t>
      </w:r>
      <w:r w:rsidR="009F7470">
        <w:rPr>
          <w:rFonts w:cs="Garamond"/>
          <w:color w:val="000000"/>
          <w:sz w:val="23"/>
          <w:szCs w:val="23"/>
        </w:rPr>
        <w:t xml:space="preserve">and </w:t>
      </w:r>
      <w:r w:rsidR="003C4AEB">
        <w:rPr>
          <w:rFonts w:cs="Garamond"/>
          <w:color w:val="000000"/>
          <w:sz w:val="23"/>
          <w:szCs w:val="23"/>
        </w:rPr>
        <w:t xml:space="preserve">tracking </w:t>
      </w:r>
      <w:r w:rsidR="009F7470">
        <w:rPr>
          <w:rFonts w:cs="Garamond"/>
          <w:color w:val="000000"/>
          <w:sz w:val="23"/>
          <w:szCs w:val="23"/>
        </w:rPr>
        <w:t xml:space="preserve">survey </w:t>
      </w:r>
      <w:r w:rsidR="003C4AEB">
        <w:rPr>
          <w:rFonts w:cs="Garamond"/>
          <w:color w:val="000000"/>
          <w:sz w:val="23"/>
          <w:szCs w:val="23"/>
        </w:rPr>
        <w:t xml:space="preserve">paradata via interviewer’s smartphones and </w:t>
      </w:r>
      <w:r w:rsidR="00146350">
        <w:rPr>
          <w:rFonts w:cs="Garamond"/>
          <w:color w:val="000000"/>
          <w:sz w:val="23"/>
          <w:szCs w:val="23"/>
        </w:rPr>
        <w:t>study dashboards.</w:t>
      </w:r>
      <w:r w:rsidR="00624C50">
        <w:rPr>
          <w:rFonts w:cs="Garamond"/>
          <w:color w:val="000000"/>
          <w:sz w:val="23"/>
          <w:szCs w:val="23"/>
        </w:rPr>
        <w:t xml:space="preserve"> Preliminary versions were tested during the Pretest (see Appendix A10)</w:t>
      </w:r>
      <w:r w:rsidR="0018127F">
        <w:rPr>
          <w:rFonts w:cs="Garamond"/>
          <w:color w:val="000000"/>
          <w:sz w:val="23"/>
          <w:szCs w:val="23"/>
        </w:rPr>
        <w:t>.</w:t>
      </w:r>
      <w:r w:rsidR="00146350">
        <w:rPr>
          <w:rFonts w:cs="Garamond"/>
          <w:color w:val="000000"/>
          <w:sz w:val="23"/>
          <w:szCs w:val="23"/>
        </w:rPr>
        <w:t xml:space="preserve"> </w:t>
      </w:r>
      <w:r w:rsidR="001A5914">
        <w:rPr>
          <w:rFonts w:cs="Garamond"/>
          <w:color w:val="000000"/>
          <w:sz w:val="23"/>
          <w:szCs w:val="23"/>
        </w:rPr>
        <w:t xml:space="preserve">In addition, the incentive approach proposed is guided by gamification theory. </w:t>
      </w:r>
      <w:r w:rsidR="00643E82">
        <w:rPr>
          <w:rFonts w:cs="Garamond"/>
          <w:color w:val="000000"/>
          <w:sz w:val="23"/>
          <w:szCs w:val="23"/>
        </w:rPr>
        <w:t xml:space="preserve">If these innovations yield better data they will become </w:t>
      </w:r>
      <w:r w:rsidR="00047A17">
        <w:rPr>
          <w:rFonts w:cs="Garamond"/>
          <w:color w:val="000000"/>
          <w:sz w:val="23"/>
          <w:szCs w:val="23"/>
        </w:rPr>
        <w:t xml:space="preserve">a </w:t>
      </w:r>
      <w:r w:rsidR="00643E82">
        <w:rPr>
          <w:rFonts w:cs="Garamond"/>
          <w:color w:val="000000"/>
          <w:sz w:val="23"/>
          <w:szCs w:val="23"/>
        </w:rPr>
        <w:t xml:space="preserve">part of the requirements for the next FoodAPS. </w:t>
      </w:r>
      <w:r w:rsidR="002146EA" w:rsidRPr="00B347A2">
        <w:rPr>
          <w:rFonts w:eastAsia="Calibri"/>
          <w:sz w:val="23"/>
          <w:szCs w:val="23"/>
        </w:rPr>
        <w:t>There is evidence that some households will not be capable of using the technology. As such, to fu</w:t>
      </w:r>
      <w:r w:rsidR="00047A17">
        <w:rPr>
          <w:rFonts w:eastAsia="Calibri"/>
          <w:sz w:val="23"/>
          <w:szCs w:val="23"/>
        </w:rPr>
        <w:t xml:space="preserve">lly understand if this mode is </w:t>
      </w:r>
      <w:r w:rsidR="002146EA">
        <w:rPr>
          <w:rFonts w:eastAsia="Calibri"/>
          <w:sz w:val="23"/>
          <w:szCs w:val="23"/>
        </w:rPr>
        <w:t>feasible for the next</w:t>
      </w:r>
      <w:r w:rsidR="002146EA" w:rsidRPr="00B347A2">
        <w:rPr>
          <w:rFonts w:eastAsia="Calibri"/>
          <w:sz w:val="23"/>
          <w:szCs w:val="23"/>
        </w:rPr>
        <w:t xml:space="preserve"> FoodAPS </w:t>
      </w:r>
      <w:r w:rsidR="002146EA">
        <w:rPr>
          <w:rFonts w:eastAsia="Calibri"/>
          <w:sz w:val="23"/>
          <w:szCs w:val="23"/>
        </w:rPr>
        <w:t>ERS needs to test the method</w:t>
      </w:r>
      <w:r w:rsidR="002146EA" w:rsidRPr="00B347A2">
        <w:rPr>
          <w:rFonts w:eastAsia="Calibri"/>
          <w:sz w:val="23"/>
          <w:szCs w:val="23"/>
        </w:rPr>
        <w:t>.</w:t>
      </w:r>
    </w:p>
    <w:p w14:paraId="0B2690B7" w14:textId="77777777" w:rsidR="00047A17" w:rsidRDefault="00047A17" w:rsidP="00BF724C">
      <w:pPr>
        <w:autoSpaceDE w:val="0"/>
        <w:autoSpaceDN w:val="0"/>
        <w:adjustRightInd w:val="0"/>
        <w:spacing w:line="360" w:lineRule="atLeast"/>
        <w:rPr>
          <w:rFonts w:eastAsia="Calibri"/>
          <w:sz w:val="23"/>
          <w:szCs w:val="23"/>
        </w:rPr>
      </w:pPr>
    </w:p>
    <w:p w14:paraId="618A7D24" w14:textId="73CF2992" w:rsidR="00BF724C" w:rsidRPr="00643E82" w:rsidRDefault="00146350" w:rsidP="00BF724C">
      <w:pPr>
        <w:autoSpaceDE w:val="0"/>
        <w:autoSpaceDN w:val="0"/>
        <w:adjustRightInd w:val="0"/>
        <w:spacing w:line="360" w:lineRule="atLeast"/>
        <w:rPr>
          <w:rFonts w:cs="Garamond"/>
          <w:color w:val="000000"/>
          <w:sz w:val="23"/>
          <w:szCs w:val="23"/>
        </w:rPr>
      </w:pPr>
      <w:r>
        <w:rPr>
          <w:rFonts w:cs="Garamond"/>
          <w:color w:val="000000"/>
          <w:sz w:val="23"/>
          <w:szCs w:val="23"/>
        </w:rPr>
        <w:t xml:space="preserve">The Pilot will </w:t>
      </w:r>
      <w:r w:rsidR="001E307C">
        <w:rPr>
          <w:rFonts w:cs="Garamond"/>
          <w:color w:val="000000"/>
          <w:sz w:val="23"/>
          <w:szCs w:val="23"/>
        </w:rPr>
        <w:t xml:space="preserve">also </w:t>
      </w:r>
      <w:r>
        <w:rPr>
          <w:rFonts w:cs="Garamond"/>
          <w:color w:val="000000"/>
          <w:sz w:val="23"/>
          <w:szCs w:val="23"/>
        </w:rPr>
        <w:t xml:space="preserve">collect both SNAP and WIC </w:t>
      </w:r>
      <w:r w:rsidR="001E307C">
        <w:rPr>
          <w:rFonts w:cs="Garamond"/>
          <w:color w:val="000000"/>
          <w:sz w:val="23"/>
          <w:szCs w:val="23"/>
        </w:rPr>
        <w:t xml:space="preserve">participant </w:t>
      </w:r>
      <w:r>
        <w:rPr>
          <w:rFonts w:cs="Garamond"/>
          <w:color w:val="000000"/>
          <w:sz w:val="23"/>
          <w:szCs w:val="23"/>
        </w:rPr>
        <w:t xml:space="preserve">lists from the sampled states. SNAP participants will be a part of the sampling frame; WIC participant lists will be used to </w:t>
      </w:r>
      <w:r w:rsidR="00206297">
        <w:rPr>
          <w:rFonts w:cs="Garamond"/>
          <w:color w:val="000000"/>
          <w:sz w:val="23"/>
          <w:szCs w:val="23"/>
        </w:rPr>
        <w:t xml:space="preserve">evaluate </w:t>
      </w:r>
      <w:r w:rsidR="009F7470">
        <w:rPr>
          <w:rFonts w:cs="Garamond"/>
          <w:color w:val="000000"/>
          <w:sz w:val="23"/>
          <w:szCs w:val="23"/>
        </w:rPr>
        <w:t>S</w:t>
      </w:r>
      <w:r w:rsidR="00BF724C">
        <w:rPr>
          <w:rFonts w:cs="Garamond"/>
          <w:color w:val="000000"/>
          <w:sz w:val="23"/>
          <w:szCs w:val="23"/>
        </w:rPr>
        <w:t>tate</w:t>
      </w:r>
      <w:r w:rsidR="009F7470">
        <w:rPr>
          <w:rFonts w:cs="Garamond"/>
          <w:color w:val="000000"/>
          <w:sz w:val="23"/>
          <w:szCs w:val="23"/>
        </w:rPr>
        <w:t xml:space="preserve"> WIC agencies</w:t>
      </w:r>
      <w:r w:rsidR="00643E82">
        <w:rPr>
          <w:rFonts w:cs="Garamond"/>
          <w:color w:val="000000"/>
          <w:sz w:val="23"/>
          <w:szCs w:val="23"/>
        </w:rPr>
        <w:t>’</w:t>
      </w:r>
      <w:r w:rsidR="00BF724C">
        <w:rPr>
          <w:rFonts w:cs="Garamond"/>
          <w:color w:val="000000"/>
          <w:sz w:val="23"/>
          <w:szCs w:val="23"/>
        </w:rPr>
        <w:t xml:space="preserve"> </w:t>
      </w:r>
      <w:r w:rsidR="00BF724C" w:rsidRPr="006E30BC">
        <w:rPr>
          <w:sz w:val="23"/>
          <w:szCs w:val="23"/>
        </w:rPr>
        <w:t>willingness and ability to provide address information and the quality of the data provided (through matching to a U.S. Postal Department data base</w:t>
      </w:r>
      <w:r w:rsidR="00BF724C" w:rsidRPr="006E30BC">
        <w:rPr>
          <w:color w:val="000000" w:themeColor="text1"/>
          <w:sz w:val="23"/>
          <w:szCs w:val="23"/>
        </w:rPr>
        <w:t>).</w:t>
      </w:r>
      <w:r w:rsidR="00BF724C" w:rsidRPr="006E30BC">
        <w:rPr>
          <w:sz w:val="23"/>
          <w:szCs w:val="23"/>
        </w:rPr>
        <w:t xml:space="preserve"> If the NFS Pilot is able to obtain accurate address information from the WIC agencies, ERS </w:t>
      </w:r>
      <w:r w:rsidR="00643E82" w:rsidRPr="006E30BC">
        <w:rPr>
          <w:sz w:val="23"/>
          <w:szCs w:val="23"/>
        </w:rPr>
        <w:t>may specify</w:t>
      </w:r>
      <w:r w:rsidR="00BF724C" w:rsidRPr="006E30BC">
        <w:rPr>
          <w:sz w:val="23"/>
          <w:szCs w:val="23"/>
        </w:rPr>
        <w:t xml:space="preserve"> this approach to </w:t>
      </w:r>
      <w:r w:rsidR="009F7470">
        <w:rPr>
          <w:sz w:val="23"/>
          <w:szCs w:val="23"/>
        </w:rPr>
        <w:t xml:space="preserve">efficiently </w:t>
      </w:r>
      <w:r w:rsidR="00BF724C" w:rsidRPr="006E30BC">
        <w:rPr>
          <w:sz w:val="23"/>
          <w:szCs w:val="23"/>
        </w:rPr>
        <w:t>increase the number of sampled WIC participants in the next FoodAPS.</w:t>
      </w:r>
    </w:p>
    <w:p w14:paraId="18EFC4EB" w14:textId="77777777" w:rsidR="00A539BC" w:rsidRDefault="00A539BC" w:rsidP="00FC3E87">
      <w:pPr>
        <w:pStyle w:val="L1-FlLSp12"/>
      </w:pPr>
    </w:p>
    <w:p w14:paraId="416221FE" w14:textId="77777777" w:rsidR="00A539BC" w:rsidRPr="003702B9" w:rsidRDefault="00A539BC" w:rsidP="00FC3E87">
      <w:pPr>
        <w:pStyle w:val="L1-FlLSp12"/>
      </w:pPr>
    </w:p>
    <w:p w14:paraId="6CBEF712" w14:textId="77777777" w:rsidR="00271489" w:rsidRPr="003702B9" w:rsidRDefault="00271489" w:rsidP="00271489">
      <w:pPr>
        <w:pStyle w:val="Heading2"/>
      </w:pPr>
      <w:bookmarkStart w:id="6" w:name="_Toc286158949"/>
      <w:bookmarkStart w:id="7" w:name="_Toc286160538"/>
      <w:bookmarkStart w:id="8" w:name="_Toc290021761"/>
      <w:bookmarkStart w:id="9" w:name="_Toc329341674"/>
      <w:bookmarkStart w:id="10" w:name="_Toc400376123"/>
      <w:r w:rsidRPr="003702B9">
        <w:t>A.2</w:t>
      </w:r>
      <w:r w:rsidRPr="003702B9">
        <w:tab/>
      </w:r>
      <w:bookmarkEnd w:id="6"/>
      <w:bookmarkEnd w:id="7"/>
      <w:bookmarkEnd w:id="8"/>
      <w:r w:rsidRPr="003702B9">
        <w:t>Purpose and Use of the Information</w:t>
      </w:r>
      <w:bookmarkEnd w:id="9"/>
      <w:bookmarkEnd w:id="10"/>
    </w:p>
    <w:p w14:paraId="751959A8" w14:textId="77777777" w:rsidR="00271489" w:rsidRPr="002F126A" w:rsidRDefault="00271489" w:rsidP="00271489">
      <w:pPr>
        <w:pStyle w:val="L1-FlLSp12"/>
        <w:rPr>
          <w:b/>
        </w:rPr>
      </w:pPr>
      <w:r w:rsidRPr="002F126A">
        <w:rPr>
          <w:b/>
        </w:rPr>
        <w:t xml:space="preserve">Indicate how, by whom, </w:t>
      </w:r>
      <w:r w:rsidRPr="007C3EE8">
        <w:rPr>
          <w:b/>
        </w:rPr>
        <w:t>how frequently, and for what purpose the information is to be used.</w:t>
      </w:r>
      <w:r w:rsidRPr="002F126A">
        <w:rPr>
          <w:b/>
        </w:rPr>
        <w:t xml:space="preserve"> Except for a new collection, indicate the actual use the agency has made of the information received from the current collection.</w:t>
      </w:r>
    </w:p>
    <w:p w14:paraId="6891866D" w14:textId="77777777" w:rsidR="00271489" w:rsidRPr="003702B9" w:rsidRDefault="00271489" w:rsidP="00271489">
      <w:pPr>
        <w:pStyle w:val="L1-FlLSp12"/>
      </w:pPr>
    </w:p>
    <w:p w14:paraId="31DF024D" w14:textId="77777777" w:rsidR="00DF356B" w:rsidRPr="00DF356B" w:rsidRDefault="00271489" w:rsidP="00790EB5">
      <w:pPr>
        <w:pStyle w:val="L1-FlLSp12"/>
        <w:rPr>
          <w:sz w:val="23"/>
          <w:szCs w:val="23"/>
        </w:rPr>
      </w:pPr>
      <w:r w:rsidRPr="00DF356B">
        <w:rPr>
          <w:sz w:val="23"/>
          <w:szCs w:val="23"/>
        </w:rPr>
        <w:t xml:space="preserve">The data collection described in this document </w:t>
      </w:r>
      <w:r w:rsidR="00E25D1C" w:rsidRPr="00DF356B">
        <w:rPr>
          <w:sz w:val="23"/>
          <w:szCs w:val="23"/>
        </w:rPr>
        <w:t xml:space="preserve">will provide information that is critical to </w:t>
      </w:r>
      <w:r w:rsidR="00850158">
        <w:rPr>
          <w:sz w:val="23"/>
          <w:szCs w:val="23"/>
        </w:rPr>
        <w:t>ERS’</w:t>
      </w:r>
      <w:r w:rsidR="00E25D1C" w:rsidRPr="00DF356B">
        <w:rPr>
          <w:sz w:val="23"/>
          <w:szCs w:val="23"/>
        </w:rPr>
        <w:t xml:space="preserve"> plans for the next round of FoodAPS data collection. </w:t>
      </w:r>
      <w:r w:rsidR="002968D8" w:rsidRPr="00DF356B">
        <w:rPr>
          <w:sz w:val="23"/>
          <w:szCs w:val="23"/>
        </w:rPr>
        <w:t>The NFS Pilot findings will be use</w:t>
      </w:r>
      <w:r w:rsidR="00B015D2">
        <w:rPr>
          <w:sz w:val="23"/>
          <w:szCs w:val="23"/>
        </w:rPr>
        <w:t>d</w:t>
      </w:r>
      <w:r w:rsidR="002968D8" w:rsidRPr="00DF356B">
        <w:rPr>
          <w:sz w:val="23"/>
          <w:szCs w:val="23"/>
        </w:rPr>
        <w:t xml:space="preserve"> to improve the sampling design and data collection methodology for the next FoodAPS Study.</w:t>
      </w:r>
      <w:r w:rsidR="00DF356B" w:rsidRPr="00DF356B">
        <w:rPr>
          <w:sz w:val="23"/>
          <w:szCs w:val="23"/>
        </w:rPr>
        <w:t xml:space="preserve">  Specifically, the Pilot will accomplish the following</w:t>
      </w:r>
      <w:r w:rsidR="004662B4">
        <w:rPr>
          <w:sz w:val="23"/>
          <w:szCs w:val="23"/>
        </w:rPr>
        <w:t xml:space="preserve"> to inform the sampling and data collection methodology for the next FoodAPS.</w:t>
      </w:r>
    </w:p>
    <w:p w14:paraId="536823BB" w14:textId="77777777" w:rsidR="00DF356B" w:rsidRPr="00DF356B" w:rsidRDefault="00DF356B" w:rsidP="002968D8">
      <w:pPr>
        <w:pStyle w:val="L1-FlLSp12"/>
        <w:rPr>
          <w:sz w:val="23"/>
          <w:szCs w:val="23"/>
        </w:rPr>
      </w:pPr>
    </w:p>
    <w:p w14:paraId="5D2F9C04" w14:textId="77777777" w:rsidR="00790EB5" w:rsidRDefault="00E05BD6" w:rsidP="00790EB5">
      <w:pPr>
        <w:pStyle w:val="L1-FlLSp12"/>
        <w:widowControl w:val="0"/>
        <w:numPr>
          <w:ilvl w:val="0"/>
          <w:numId w:val="19"/>
        </w:numPr>
        <w:tabs>
          <w:tab w:val="clear" w:pos="1152"/>
          <w:tab w:val="left" w:pos="1260"/>
        </w:tabs>
        <w:spacing w:after="120"/>
        <w:ind w:left="1267" w:hanging="547"/>
        <w:rPr>
          <w:bCs/>
          <w:sz w:val="23"/>
          <w:szCs w:val="23"/>
        </w:rPr>
      </w:pPr>
      <w:r>
        <w:rPr>
          <w:bCs/>
          <w:sz w:val="23"/>
          <w:szCs w:val="23"/>
        </w:rPr>
        <w:t>T</w:t>
      </w:r>
      <w:r w:rsidR="00FB0010" w:rsidRPr="00FB0010">
        <w:rPr>
          <w:bCs/>
          <w:sz w:val="23"/>
          <w:szCs w:val="23"/>
        </w:rPr>
        <w:t>est</w:t>
      </w:r>
      <w:r>
        <w:rPr>
          <w:bCs/>
          <w:sz w:val="23"/>
          <w:szCs w:val="23"/>
        </w:rPr>
        <w:t>ing</w:t>
      </w:r>
      <w:r w:rsidR="00FB0010" w:rsidRPr="00FB0010">
        <w:rPr>
          <w:bCs/>
          <w:sz w:val="23"/>
          <w:szCs w:val="23"/>
        </w:rPr>
        <w:t xml:space="preserve"> </w:t>
      </w:r>
      <w:r w:rsidR="00790EB5">
        <w:rPr>
          <w:bCs/>
          <w:sz w:val="23"/>
          <w:szCs w:val="23"/>
        </w:rPr>
        <w:t xml:space="preserve">whether </w:t>
      </w:r>
      <w:r w:rsidR="00FB0010" w:rsidRPr="00FB0010">
        <w:rPr>
          <w:bCs/>
          <w:sz w:val="23"/>
          <w:szCs w:val="23"/>
        </w:rPr>
        <w:t>an alternative method of collecting data on the foods acquired by American households leads to more complete and accurate information about patterns of food acquisitions</w:t>
      </w:r>
      <w:r w:rsidR="00850158">
        <w:rPr>
          <w:bCs/>
          <w:sz w:val="23"/>
          <w:szCs w:val="23"/>
        </w:rPr>
        <w:t xml:space="preserve"> </w:t>
      </w:r>
      <w:r w:rsidR="00850158" w:rsidRPr="00083472">
        <w:rPr>
          <w:sz w:val="23"/>
          <w:szCs w:val="23"/>
        </w:rPr>
        <w:t>such as food item descriptions, quantities and prices, where the food is acquired, and the form(s) of tender used.</w:t>
      </w:r>
    </w:p>
    <w:p w14:paraId="0681328D" w14:textId="77777777" w:rsidR="00F30236" w:rsidRDefault="00790EB5" w:rsidP="00790EB5">
      <w:pPr>
        <w:pStyle w:val="L1-FlLSp12"/>
        <w:widowControl w:val="0"/>
        <w:numPr>
          <w:ilvl w:val="0"/>
          <w:numId w:val="19"/>
        </w:numPr>
        <w:tabs>
          <w:tab w:val="clear" w:pos="1152"/>
          <w:tab w:val="left" w:pos="1260"/>
        </w:tabs>
        <w:spacing w:after="120"/>
        <w:ind w:left="1267" w:hanging="547"/>
        <w:rPr>
          <w:bCs/>
          <w:sz w:val="23"/>
          <w:szCs w:val="23"/>
        </w:rPr>
      </w:pPr>
      <w:r>
        <w:rPr>
          <w:bCs/>
          <w:sz w:val="23"/>
          <w:szCs w:val="23"/>
        </w:rPr>
        <w:t>E</w:t>
      </w:r>
      <w:r w:rsidR="00FB0010" w:rsidRPr="00FB0010">
        <w:rPr>
          <w:bCs/>
          <w:sz w:val="23"/>
          <w:szCs w:val="23"/>
        </w:rPr>
        <w:t>xplor</w:t>
      </w:r>
      <w:r w:rsidR="00E05BD6">
        <w:rPr>
          <w:bCs/>
          <w:sz w:val="23"/>
          <w:szCs w:val="23"/>
        </w:rPr>
        <w:t>ing</w:t>
      </w:r>
      <w:r w:rsidR="00FB0010" w:rsidRPr="00FB0010">
        <w:rPr>
          <w:bCs/>
          <w:sz w:val="23"/>
          <w:szCs w:val="23"/>
        </w:rPr>
        <w:t xml:space="preserve"> the feasibility of expanding the </w:t>
      </w:r>
      <w:r w:rsidR="00F30236">
        <w:rPr>
          <w:bCs/>
          <w:sz w:val="23"/>
          <w:szCs w:val="23"/>
        </w:rPr>
        <w:t>sample</w:t>
      </w:r>
      <w:r w:rsidR="00FB0010" w:rsidRPr="00FB0010">
        <w:rPr>
          <w:bCs/>
          <w:sz w:val="23"/>
          <w:szCs w:val="23"/>
        </w:rPr>
        <w:t xml:space="preserve"> of </w:t>
      </w:r>
      <w:r>
        <w:rPr>
          <w:bCs/>
          <w:sz w:val="23"/>
          <w:szCs w:val="23"/>
        </w:rPr>
        <w:t xml:space="preserve">the next FoodAPS study </w:t>
      </w:r>
      <w:r w:rsidR="00FB0010" w:rsidRPr="00FB0010">
        <w:rPr>
          <w:bCs/>
          <w:sz w:val="23"/>
          <w:szCs w:val="23"/>
        </w:rPr>
        <w:t xml:space="preserve">to include </w:t>
      </w:r>
      <w:r w:rsidR="00FB0010" w:rsidRPr="00FB0010">
        <w:rPr>
          <w:bCs/>
          <w:sz w:val="23"/>
          <w:szCs w:val="23"/>
        </w:rPr>
        <w:lastRenderedPageBreak/>
        <w:t>households receiving benefits from the Special Supplemental Nutrition Program for Women, Infants, and Children (WIC)</w:t>
      </w:r>
      <w:r w:rsidR="00F30236">
        <w:rPr>
          <w:bCs/>
          <w:sz w:val="23"/>
          <w:szCs w:val="23"/>
        </w:rPr>
        <w:t>.</w:t>
      </w:r>
    </w:p>
    <w:p w14:paraId="257D10AF" w14:textId="77777777" w:rsidR="00F30236" w:rsidRDefault="00F30236" w:rsidP="00790EB5">
      <w:pPr>
        <w:pStyle w:val="L1-FlLSp12"/>
        <w:widowControl w:val="0"/>
        <w:numPr>
          <w:ilvl w:val="0"/>
          <w:numId w:val="19"/>
        </w:numPr>
        <w:tabs>
          <w:tab w:val="clear" w:pos="1152"/>
          <w:tab w:val="left" w:pos="1260"/>
        </w:tabs>
        <w:spacing w:after="120"/>
        <w:ind w:left="1267" w:hanging="547"/>
        <w:rPr>
          <w:bCs/>
          <w:sz w:val="23"/>
          <w:szCs w:val="23"/>
        </w:rPr>
      </w:pPr>
      <w:r>
        <w:rPr>
          <w:bCs/>
          <w:sz w:val="23"/>
          <w:szCs w:val="23"/>
        </w:rPr>
        <w:t>Determin</w:t>
      </w:r>
      <w:r w:rsidR="00E05BD6">
        <w:rPr>
          <w:bCs/>
          <w:sz w:val="23"/>
          <w:szCs w:val="23"/>
        </w:rPr>
        <w:t>ing</w:t>
      </w:r>
      <w:r>
        <w:rPr>
          <w:bCs/>
          <w:sz w:val="23"/>
          <w:szCs w:val="23"/>
        </w:rPr>
        <w:t xml:space="preserve"> whether the modified protocol surrounding the collection of income information will yield</w:t>
      </w:r>
      <w:r w:rsidR="00FB0010" w:rsidRPr="00FB0010">
        <w:rPr>
          <w:bCs/>
          <w:sz w:val="23"/>
          <w:szCs w:val="23"/>
        </w:rPr>
        <w:t xml:space="preserve"> more complete and accurate information on income</w:t>
      </w:r>
      <w:r w:rsidR="00850158">
        <w:rPr>
          <w:bCs/>
          <w:sz w:val="23"/>
          <w:szCs w:val="23"/>
        </w:rPr>
        <w:t xml:space="preserve"> sources and amounts</w:t>
      </w:r>
      <w:r w:rsidR="00FB0010" w:rsidRPr="00FB0010">
        <w:rPr>
          <w:bCs/>
          <w:sz w:val="23"/>
          <w:szCs w:val="23"/>
        </w:rPr>
        <w:t xml:space="preserve">. </w:t>
      </w:r>
    </w:p>
    <w:p w14:paraId="49F5CBA9" w14:textId="77777777" w:rsidR="00F30236" w:rsidRDefault="00850158" w:rsidP="00790EB5">
      <w:pPr>
        <w:pStyle w:val="L1-FlLSp12"/>
        <w:widowControl w:val="0"/>
        <w:numPr>
          <w:ilvl w:val="0"/>
          <w:numId w:val="19"/>
        </w:numPr>
        <w:tabs>
          <w:tab w:val="clear" w:pos="1152"/>
          <w:tab w:val="left" w:pos="1260"/>
        </w:tabs>
        <w:spacing w:after="120"/>
        <w:ind w:left="1267" w:hanging="547"/>
        <w:rPr>
          <w:bCs/>
          <w:sz w:val="23"/>
          <w:szCs w:val="23"/>
        </w:rPr>
      </w:pPr>
      <w:r w:rsidRPr="00850158">
        <w:rPr>
          <w:bCs/>
          <w:sz w:val="23"/>
          <w:szCs w:val="23"/>
        </w:rPr>
        <w:t>Us</w:t>
      </w:r>
      <w:r w:rsidR="00E05BD6">
        <w:rPr>
          <w:bCs/>
          <w:sz w:val="23"/>
          <w:szCs w:val="23"/>
        </w:rPr>
        <w:t>ing</w:t>
      </w:r>
      <w:r w:rsidRPr="00850158">
        <w:rPr>
          <w:bCs/>
          <w:sz w:val="23"/>
          <w:szCs w:val="23"/>
        </w:rPr>
        <w:t xml:space="preserve"> computer technology to reduce burden associated with responding to the request for information. Households will be able to choose from alternative technology options</w:t>
      </w:r>
      <w:r>
        <w:rPr>
          <w:bCs/>
          <w:sz w:val="23"/>
          <w:szCs w:val="23"/>
        </w:rPr>
        <w:t>.</w:t>
      </w:r>
    </w:p>
    <w:p w14:paraId="7592F42C" w14:textId="77777777" w:rsidR="002968D8" w:rsidRPr="00157711" w:rsidRDefault="00F7710A" w:rsidP="002968D8">
      <w:pPr>
        <w:pStyle w:val="L1-FlLSp12"/>
        <w:widowControl w:val="0"/>
        <w:numPr>
          <w:ilvl w:val="0"/>
          <w:numId w:val="19"/>
        </w:numPr>
        <w:tabs>
          <w:tab w:val="clear" w:pos="1152"/>
          <w:tab w:val="left" w:pos="1260"/>
        </w:tabs>
        <w:spacing w:after="120"/>
        <w:ind w:left="1267" w:hanging="547"/>
        <w:rPr>
          <w:bCs/>
          <w:sz w:val="23"/>
          <w:szCs w:val="23"/>
        </w:rPr>
      </w:pPr>
      <w:r>
        <w:rPr>
          <w:bCs/>
          <w:sz w:val="23"/>
          <w:szCs w:val="23"/>
        </w:rPr>
        <w:t>Us</w:t>
      </w:r>
      <w:r w:rsidR="00E05BD6">
        <w:rPr>
          <w:bCs/>
          <w:sz w:val="23"/>
          <w:szCs w:val="23"/>
        </w:rPr>
        <w:t>ing</w:t>
      </w:r>
      <w:r w:rsidR="00850158">
        <w:t xml:space="preserve"> </w:t>
      </w:r>
      <w:r w:rsidR="00850158" w:rsidRPr="00083472">
        <w:rPr>
          <w:sz w:val="23"/>
          <w:szCs w:val="23"/>
        </w:rPr>
        <w:t>sampling and weighting methods for ensuring a representative sample of children.</w:t>
      </w:r>
      <w:r w:rsidR="00850158">
        <w:t xml:space="preserve"> </w:t>
      </w:r>
    </w:p>
    <w:p w14:paraId="21AE3DC3" w14:textId="77777777" w:rsidR="00146350" w:rsidRPr="00236B29" w:rsidRDefault="00146350" w:rsidP="00236B29">
      <w:pPr>
        <w:pStyle w:val="L1-FlLSp12"/>
        <w:rPr>
          <w:sz w:val="23"/>
          <w:szCs w:val="23"/>
        </w:rPr>
      </w:pPr>
      <w:bookmarkStart w:id="11" w:name="_Toc329341675"/>
      <w:bookmarkStart w:id="12" w:name="_Toc400376124"/>
    </w:p>
    <w:p w14:paraId="34842C65" w14:textId="77777777" w:rsidR="00236B29" w:rsidRPr="00236B29" w:rsidRDefault="00236B29" w:rsidP="00236B29">
      <w:pPr>
        <w:spacing w:line="360" w:lineRule="atLeast"/>
        <w:rPr>
          <w:color w:val="000000"/>
          <w:sz w:val="23"/>
          <w:szCs w:val="23"/>
        </w:rPr>
      </w:pPr>
      <w:r w:rsidRPr="00236B29">
        <w:rPr>
          <w:color w:val="000000"/>
          <w:sz w:val="23"/>
          <w:szCs w:val="23"/>
        </w:rPr>
        <w:t xml:space="preserve">The NFS </w:t>
      </w:r>
      <w:r w:rsidR="00E05BD6">
        <w:rPr>
          <w:color w:val="000000"/>
          <w:sz w:val="23"/>
          <w:szCs w:val="23"/>
        </w:rPr>
        <w:t xml:space="preserve">Pilot </w:t>
      </w:r>
      <w:r w:rsidRPr="00236B29">
        <w:rPr>
          <w:color w:val="000000"/>
          <w:sz w:val="23"/>
          <w:szCs w:val="23"/>
        </w:rPr>
        <w:t xml:space="preserve">sample will be selected from an address-based sampling frame from 12 Primary Sampling Units (PSUs) in nine states. The survey will attempt to collect nationally representative data from 500 households, including approximately 150 households participating in the Supplemental Nutrition Assistance Program (SNAP, formerly the Food Stamp Program). </w:t>
      </w:r>
    </w:p>
    <w:p w14:paraId="4DA7EE44" w14:textId="77777777" w:rsidR="00236B29" w:rsidRPr="00236B29" w:rsidRDefault="00236B29" w:rsidP="00236B29">
      <w:pPr>
        <w:autoSpaceDE w:val="0"/>
        <w:autoSpaceDN w:val="0"/>
        <w:adjustRightInd w:val="0"/>
        <w:spacing w:line="360" w:lineRule="atLeast"/>
        <w:rPr>
          <w:color w:val="000000"/>
          <w:sz w:val="23"/>
          <w:szCs w:val="23"/>
        </w:rPr>
      </w:pPr>
    </w:p>
    <w:p w14:paraId="3E6C7CCC" w14:textId="35E6CD0A" w:rsidR="00236B29" w:rsidRPr="00236B29" w:rsidRDefault="00E05BD6" w:rsidP="00236B29">
      <w:pPr>
        <w:spacing w:line="360" w:lineRule="atLeast"/>
        <w:rPr>
          <w:sz w:val="23"/>
          <w:szCs w:val="23"/>
        </w:rPr>
      </w:pPr>
      <w:r>
        <w:rPr>
          <w:sz w:val="23"/>
          <w:szCs w:val="23"/>
        </w:rPr>
        <w:t xml:space="preserve">The </w:t>
      </w:r>
      <w:r w:rsidR="00236B29" w:rsidRPr="00236B29">
        <w:rPr>
          <w:sz w:val="23"/>
          <w:szCs w:val="23"/>
        </w:rPr>
        <w:t xml:space="preserve">NFS </w:t>
      </w:r>
      <w:r>
        <w:rPr>
          <w:sz w:val="23"/>
          <w:szCs w:val="23"/>
        </w:rPr>
        <w:t xml:space="preserve">Pilot </w:t>
      </w:r>
      <w:r w:rsidR="00236B29" w:rsidRPr="00236B29">
        <w:rPr>
          <w:sz w:val="23"/>
          <w:szCs w:val="23"/>
        </w:rPr>
        <w:t xml:space="preserve">data collection will be conducted in both English and Spanish. </w:t>
      </w:r>
      <w:r w:rsidR="00644740">
        <w:rPr>
          <w:sz w:val="23"/>
          <w:szCs w:val="23"/>
        </w:rPr>
        <w:t xml:space="preserve">This is a single data collection effort that will </w:t>
      </w:r>
      <w:r w:rsidR="00236B29" w:rsidRPr="00236B29">
        <w:rPr>
          <w:sz w:val="23"/>
          <w:szCs w:val="23"/>
        </w:rPr>
        <w:t xml:space="preserve">be implemented </w:t>
      </w:r>
      <w:r w:rsidR="002B1176">
        <w:rPr>
          <w:sz w:val="23"/>
          <w:szCs w:val="23"/>
        </w:rPr>
        <w:t xml:space="preserve">during a four-month period following OMB approval </w:t>
      </w:r>
      <w:r w:rsidR="00236B29" w:rsidRPr="00236B29">
        <w:rPr>
          <w:sz w:val="23"/>
          <w:szCs w:val="23"/>
        </w:rPr>
        <w:t>as follows:</w:t>
      </w:r>
    </w:p>
    <w:p w14:paraId="62FC6CA2" w14:textId="77777777" w:rsidR="00236B29" w:rsidRPr="00236B29" w:rsidRDefault="00236B29" w:rsidP="00236B29">
      <w:pPr>
        <w:spacing w:line="360" w:lineRule="atLeast"/>
        <w:rPr>
          <w:sz w:val="23"/>
          <w:szCs w:val="23"/>
        </w:rPr>
      </w:pPr>
    </w:p>
    <w:p w14:paraId="08E06A7B" w14:textId="6B5184A5" w:rsidR="00236B29" w:rsidRPr="00236B29" w:rsidRDefault="00236B29" w:rsidP="00236B29">
      <w:pPr>
        <w:pStyle w:val="ListParagraph"/>
        <w:numPr>
          <w:ilvl w:val="0"/>
          <w:numId w:val="21"/>
        </w:numPr>
        <w:spacing w:after="120" w:line="360" w:lineRule="atLeast"/>
        <w:rPr>
          <w:color w:val="000000" w:themeColor="text1"/>
          <w:sz w:val="23"/>
          <w:szCs w:val="23"/>
        </w:rPr>
      </w:pPr>
      <w:r w:rsidRPr="00236B29">
        <w:rPr>
          <w:color w:val="000000" w:themeColor="text1"/>
          <w:sz w:val="23"/>
          <w:szCs w:val="23"/>
        </w:rPr>
        <w:t>Sampled households will be mailed a</w:t>
      </w:r>
      <w:r w:rsidR="00157B09">
        <w:rPr>
          <w:color w:val="000000" w:themeColor="text1"/>
          <w:sz w:val="23"/>
          <w:szCs w:val="23"/>
        </w:rPr>
        <w:t xml:space="preserve"> single</w:t>
      </w:r>
      <w:r w:rsidRPr="00236B29">
        <w:rPr>
          <w:color w:val="000000" w:themeColor="text1"/>
          <w:sz w:val="23"/>
          <w:szCs w:val="23"/>
        </w:rPr>
        <w:t xml:space="preserve"> </w:t>
      </w:r>
      <w:r w:rsidRPr="00236B29">
        <w:rPr>
          <w:b/>
          <w:color w:val="000000" w:themeColor="text1"/>
          <w:sz w:val="23"/>
          <w:szCs w:val="23"/>
        </w:rPr>
        <w:t>advance letter (</w:t>
      </w:r>
      <w:r>
        <w:rPr>
          <w:color w:val="000000" w:themeColor="text1"/>
          <w:sz w:val="23"/>
          <w:szCs w:val="23"/>
        </w:rPr>
        <w:t xml:space="preserve">Appendix A1) </w:t>
      </w:r>
      <w:r w:rsidRPr="00236B29">
        <w:rPr>
          <w:color w:val="000000" w:themeColor="text1"/>
          <w:sz w:val="23"/>
          <w:szCs w:val="23"/>
        </w:rPr>
        <w:t xml:space="preserve">introducing the study and alerting the household about the interviewer’s visit. The mailing will include a one-page </w:t>
      </w:r>
      <w:r w:rsidRPr="00236B29">
        <w:rPr>
          <w:b/>
          <w:color w:val="000000" w:themeColor="text1"/>
          <w:sz w:val="23"/>
          <w:szCs w:val="23"/>
        </w:rPr>
        <w:t>information sheet</w:t>
      </w:r>
      <w:r w:rsidRPr="00236B29">
        <w:rPr>
          <w:color w:val="000000" w:themeColor="text1"/>
          <w:sz w:val="23"/>
          <w:szCs w:val="23"/>
        </w:rPr>
        <w:t xml:space="preserve"> </w:t>
      </w:r>
      <w:r>
        <w:rPr>
          <w:color w:val="000000" w:themeColor="text1"/>
          <w:sz w:val="23"/>
          <w:szCs w:val="23"/>
        </w:rPr>
        <w:t xml:space="preserve">(Appendix A2) </w:t>
      </w:r>
      <w:r w:rsidRPr="00236B29">
        <w:rPr>
          <w:color w:val="000000" w:themeColor="text1"/>
          <w:sz w:val="23"/>
          <w:szCs w:val="23"/>
        </w:rPr>
        <w:t>designed to answer the household’s initial questions about the NFS</w:t>
      </w:r>
      <w:r w:rsidR="00DE015C">
        <w:rPr>
          <w:color w:val="000000" w:themeColor="text1"/>
          <w:sz w:val="23"/>
          <w:szCs w:val="23"/>
        </w:rPr>
        <w:t xml:space="preserve"> Pilot</w:t>
      </w:r>
      <w:r w:rsidRPr="00236B29">
        <w:rPr>
          <w:color w:val="000000" w:themeColor="text1"/>
          <w:sz w:val="23"/>
          <w:szCs w:val="23"/>
        </w:rPr>
        <w:t>.</w:t>
      </w:r>
    </w:p>
    <w:p w14:paraId="2461AC2E" w14:textId="77777777" w:rsidR="00236B29" w:rsidRPr="00236B29" w:rsidRDefault="00236B29" w:rsidP="00236B29">
      <w:pPr>
        <w:pStyle w:val="ListParagraph"/>
        <w:numPr>
          <w:ilvl w:val="0"/>
          <w:numId w:val="21"/>
        </w:numPr>
        <w:spacing w:after="120" w:line="360" w:lineRule="atLeast"/>
        <w:rPr>
          <w:sz w:val="23"/>
          <w:szCs w:val="23"/>
        </w:rPr>
      </w:pPr>
      <w:r w:rsidRPr="00236B29">
        <w:rPr>
          <w:color w:val="000000" w:themeColor="text1"/>
          <w:sz w:val="23"/>
          <w:szCs w:val="23"/>
        </w:rPr>
        <w:t>Next, interviewers will visit the household in an attempt to enroll them in the NFS</w:t>
      </w:r>
      <w:r w:rsidR="00DE015C">
        <w:rPr>
          <w:color w:val="000000" w:themeColor="text1"/>
          <w:sz w:val="23"/>
          <w:szCs w:val="23"/>
        </w:rPr>
        <w:t xml:space="preserve"> Pilot</w:t>
      </w:r>
      <w:r w:rsidRPr="00236B29">
        <w:rPr>
          <w:color w:val="000000" w:themeColor="text1"/>
          <w:sz w:val="23"/>
          <w:szCs w:val="23"/>
        </w:rPr>
        <w:t xml:space="preserve">. They will provide the household with a study </w:t>
      </w:r>
      <w:r w:rsidRPr="00236B29">
        <w:rPr>
          <w:b/>
          <w:color w:val="000000" w:themeColor="text1"/>
          <w:sz w:val="23"/>
          <w:szCs w:val="23"/>
        </w:rPr>
        <w:t>disclaimer form</w:t>
      </w:r>
      <w:r>
        <w:rPr>
          <w:color w:val="000000" w:themeColor="text1"/>
          <w:sz w:val="23"/>
          <w:szCs w:val="23"/>
        </w:rPr>
        <w:t xml:space="preserve"> (Appendix A3) </w:t>
      </w:r>
      <w:r w:rsidRPr="00236B29">
        <w:rPr>
          <w:color w:val="000000" w:themeColor="text1"/>
          <w:sz w:val="23"/>
          <w:szCs w:val="23"/>
        </w:rPr>
        <w:t xml:space="preserve">that describes the NFS </w:t>
      </w:r>
      <w:r w:rsidR="00DE015C">
        <w:rPr>
          <w:color w:val="000000" w:themeColor="text1"/>
          <w:sz w:val="23"/>
          <w:szCs w:val="23"/>
        </w:rPr>
        <w:t xml:space="preserve">Pilot’s </w:t>
      </w:r>
      <w:r w:rsidRPr="00236B29">
        <w:rPr>
          <w:color w:val="000000" w:themeColor="text1"/>
          <w:sz w:val="23"/>
          <w:szCs w:val="23"/>
        </w:rPr>
        <w:t xml:space="preserve">confidentiality procedures. Once they reach an adult member of the household they will attempt to administer the NFS </w:t>
      </w:r>
      <w:r w:rsidR="00DE015C">
        <w:rPr>
          <w:color w:val="000000" w:themeColor="text1"/>
          <w:sz w:val="23"/>
          <w:szCs w:val="23"/>
        </w:rPr>
        <w:t xml:space="preserve">Pilot </w:t>
      </w:r>
      <w:r w:rsidRPr="00236B29">
        <w:rPr>
          <w:b/>
          <w:color w:val="000000" w:themeColor="text1"/>
          <w:sz w:val="23"/>
          <w:szCs w:val="23"/>
        </w:rPr>
        <w:t>Household Screener</w:t>
      </w:r>
      <w:r>
        <w:rPr>
          <w:b/>
          <w:color w:val="000000" w:themeColor="text1"/>
          <w:sz w:val="23"/>
          <w:szCs w:val="23"/>
        </w:rPr>
        <w:t xml:space="preserve"> </w:t>
      </w:r>
      <w:r w:rsidRPr="00236B29">
        <w:rPr>
          <w:color w:val="000000" w:themeColor="text1"/>
          <w:sz w:val="23"/>
          <w:szCs w:val="23"/>
        </w:rPr>
        <w:t>(Appendix B1). The screener interview dete</w:t>
      </w:r>
      <w:r w:rsidRPr="00236B29">
        <w:rPr>
          <w:sz w:val="23"/>
          <w:szCs w:val="23"/>
        </w:rPr>
        <w:t>rmines the household’s eligibility to participate. Households will be screened out based on income</w:t>
      </w:r>
      <w:r w:rsidR="00E05BD6">
        <w:rPr>
          <w:sz w:val="23"/>
          <w:szCs w:val="23"/>
        </w:rPr>
        <w:t xml:space="preserve"> and program participation</w:t>
      </w:r>
      <w:r w:rsidRPr="00236B29">
        <w:rPr>
          <w:sz w:val="23"/>
          <w:szCs w:val="23"/>
        </w:rPr>
        <w:t>.</w:t>
      </w:r>
    </w:p>
    <w:p w14:paraId="52171CBA" w14:textId="39551210" w:rsidR="00236B29" w:rsidRPr="00236B29" w:rsidRDefault="00236B29" w:rsidP="00236B29">
      <w:pPr>
        <w:pStyle w:val="ListParagraph"/>
        <w:numPr>
          <w:ilvl w:val="0"/>
          <w:numId w:val="21"/>
        </w:numPr>
        <w:spacing w:after="120" w:line="360" w:lineRule="atLeast"/>
        <w:rPr>
          <w:sz w:val="23"/>
          <w:szCs w:val="23"/>
        </w:rPr>
      </w:pPr>
      <w:r w:rsidRPr="00236B29">
        <w:rPr>
          <w:sz w:val="23"/>
          <w:szCs w:val="23"/>
        </w:rPr>
        <w:t xml:space="preserve">If the household is found to be eligible, the interviewer will ask to speak with the primary respondent (i.e., the main food shopper or the meal planner) and will ask this respondent to read through the study </w:t>
      </w:r>
      <w:r w:rsidRPr="009A74F7">
        <w:rPr>
          <w:b/>
          <w:sz w:val="23"/>
          <w:szCs w:val="23"/>
        </w:rPr>
        <w:t>consent form</w:t>
      </w:r>
      <w:r>
        <w:rPr>
          <w:sz w:val="23"/>
          <w:szCs w:val="23"/>
        </w:rPr>
        <w:t xml:space="preserve"> (Appendix A4)</w:t>
      </w:r>
      <w:r w:rsidRPr="00236B29">
        <w:rPr>
          <w:sz w:val="23"/>
          <w:szCs w:val="23"/>
        </w:rPr>
        <w:t xml:space="preserve">, sign it, and complete the </w:t>
      </w:r>
      <w:r w:rsidRPr="00236B29">
        <w:rPr>
          <w:b/>
          <w:sz w:val="23"/>
          <w:szCs w:val="23"/>
        </w:rPr>
        <w:t>Initial Household Interview</w:t>
      </w:r>
      <w:r w:rsidR="001620FD">
        <w:rPr>
          <w:b/>
          <w:sz w:val="23"/>
          <w:szCs w:val="23"/>
        </w:rPr>
        <w:t xml:space="preserve"> </w:t>
      </w:r>
      <w:r w:rsidR="001620FD" w:rsidRPr="001620FD">
        <w:rPr>
          <w:sz w:val="23"/>
          <w:szCs w:val="23"/>
        </w:rPr>
        <w:t>(Appendix B2)</w:t>
      </w:r>
      <w:r w:rsidRPr="001620FD">
        <w:rPr>
          <w:sz w:val="23"/>
          <w:szCs w:val="23"/>
        </w:rPr>
        <w:t xml:space="preserve">.  </w:t>
      </w:r>
      <w:r w:rsidRPr="00236B29">
        <w:rPr>
          <w:sz w:val="23"/>
          <w:szCs w:val="23"/>
        </w:rPr>
        <w:t xml:space="preserve">This interview will enumerate all members of the household and identify household members eligible for the 7-day </w:t>
      </w:r>
      <w:r w:rsidR="00E05BD6" w:rsidRPr="009A74F7">
        <w:rPr>
          <w:b/>
          <w:sz w:val="23"/>
          <w:szCs w:val="23"/>
        </w:rPr>
        <w:t xml:space="preserve">Purchased or Free </w:t>
      </w:r>
      <w:r w:rsidR="001620FD" w:rsidRPr="009A74F7">
        <w:rPr>
          <w:b/>
          <w:sz w:val="23"/>
          <w:szCs w:val="23"/>
        </w:rPr>
        <w:t>Food Log</w:t>
      </w:r>
      <w:r w:rsidR="00E05BD6">
        <w:rPr>
          <w:sz w:val="23"/>
          <w:szCs w:val="23"/>
        </w:rPr>
        <w:t xml:space="preserve"> (Food Log, See Appendix B3)</w:t>
      </w:r>
      <w:r w:rsidRPr="00236B29">
        <w:rPr>
          <w:sz w:val="23"/>
          <w:szCs w:val="23"/>
        </w:rPr>
        <w:t xml:space="preserve"> collection. If the household has minors, the interviewer will ask an adult </w:t>
      </w:r>
      <w:r w:rsidRPr="00236B29">
        <w:rPr>
          <w:sz w:val="23"/>
          <w:szCs w:val="23"/>
        </w:rPr>
        <w:lastRenderedPageBreak/>
        <w:t xml:space="preserve">household member to </w:t>
      </w:r>
      <w:r w:rsidR="00B30144">
        <w:rPr>
          <w:sz w:val="23"/>
          <w:szCs w:val="23"/>
        </w:rPr>
        <w:t xml:space="preserve">consent </w:t>
      </w:r>
      <w:r w:rsidRPr="00236B29">
        <w:rPr>
          <w:sz w:val="23"/>
          <w:szCs w:val="23"/>
        </w:rPr>
        <w:t xml:space="preserve">for minors between the age of 11 and 18 to access the </w:t>
      </w:r>
      <w:r w:rsidR="00E05BD6">
        <w:rPr>
          <w:sz w:val="23"/>
          <w:szCs w:val="23"/>
        </w:rPr>
        <w:t>Food Log</w:t>
      </w:r>
      <w:r w:rsidRPr="00236B29">
        <w:rPr>
          <w:sz w:val="23"/>
          <w:szCs w:val="23"/>
        </w:rPr>
        <w:t xml:space="preserve"> themselves</w:t>
      </w:r>
      <w:r w:rsidR="001620FD">
        <w:rPr>
          <w:sz w:val="23"/>
          <w:szCs w:val="23"/>
        </w:rPr>
        <w:t xml:space="preserve">. </w:t>
      </w:r>
      <w:r w:rsidR="00B01739">
        <w:rPr>
          <w:sz w:val="23"/>
          <w:szCs w:val="23"/>
        </w:rPr>
        <w:t>In addition, when</w:t>
      </w:r>
      <w:r w:rsidR="00E401D0">
        <w:rPr>
          <w:sz w:val="23"/>
          <w:szCs w:val="23"/>
        </w:rPr>
        <w:t xml:space="preserve"> participant</w:t>
      </w:r>
      <w:r w:rsidR="00B01739">
        <w:rPr>
          <w:sz w:val="23"/>
          <w:szCs w:val="23"/>
        </w:rPr>
        <w:t>s</w:t>
      </w:r>
      <w:r w:rsidR="00E401D0">
        <w:rPr>
          <w:sz w:val="23"/>
          <w:szCs w:val="23"/>
        </w:rPr>
        <w:t xml:space="preserve"> </w:t>
      </w:r>
      <w:r w:rsidR="00D3107A">
        <w:rPr>
          <w:sz w:val="23"/>
          <w:szCs w:val="23"/>
        </w:rPr>
        <w:t>access</w:t>
      </w:r>
      <w:r w:rsidR="00B01739">
        <w:rPr>
          <w:sz w:val="23"/>
          <w:szCs w:val="23"/>
        </w:rPr>
        <w:t xml:space="preserve"> the Food Log for the first time, we confirm that they are agreeing to take part in the study. </w:t>
      </w:r>
      <w:r w:rsidR="001620FD">
        <w:rPr>
          <w:sz w:val="23"/>
          <w:szCs w:val="23"/>
        </w:rPr>
        <w:t>See Appendi</w:t>
      </w:r>
      <w:r w:rsidR="00B01739">
        <w:rPr>
          <w:sz w:val="23"/>
          <w:szCs w:val="23"/>
        </w:rPr>
        <w:t>ces</w:t>
      </w:r>
      <w:r w:rsidR="001620FD">
        <w:rPr>
          <w:sz w:val="23"/>
          <w:szCs w:val="23"/>
        </w:rPr>
        <w:t xml:space="preserve"> A5</w:t>
      </w:r>
      <w:r w:rsidR="00E401D0">
        <w:rPr>
          <w:sz w:val="23"/>
          <w:szCs w:val="23"/>
        </w:rPr>
        <w:t>a</w:t>
      </w:r>
      <w:r w:rsidR="00B01739">
        <w:rPr>
          <w:sz w:val="23"/>
          <w:szCs w:val="23"/>
        </w:rPr>
        <w:t xml:space="preserve"> and A5b</w:t>
      </w:r>
      <w:r w:rsidR="001620FD">
        <w:rPr>
          <w:sz w:val="23"/>
          <w:szCs w:val="23"/>
        </w:rPr>
        <w:t xml:space="preserve"> for the </w:t>
      </w:r>
      <w:r w:rsidR="00B30144" w:rsidRPr="009A74F7">
        <w:rPr>
          <w:b/>
          <w:sz w:val="23"/>
          <w:szCs w:val="23"/>
        </w:rPr>
        <w:t>parental consent</w:t>
      </w:r>
      <w:r w:rsidRPr="009A74F7">
        <w:rPr>
          <w:b/>
          <w:sz w:val="23"/>
          <w:szCs w:val="23"/>
        </w:rPr>
        <w:t xml:space="preserve"> </w:t>
      </w:r>
      <w:r w:rsidR="00B01739">
        <w:rPr>
          <w:b/>
          <w:sz w:val="23"/>
          <w:szCs w:val="23"/>
        </w:rPr>
        <w:t xml:space="preserve">and </w:t>
      </w:r>
      <w:r w:rsidR="00E07101">
        <w:rPr>
          <w:b/>
          <w:sz w:val="23"/>
          <w:szCs w:val="23"/>
        </w:rPr>
        <w:t>individual assent/consent</w:t>
      </w:r>
      <w:r w:rsidR="00B01739">
        <w:rPr>
          <w:b/>
          <w:sz w:val="23"/>
          <w:szCs w:val="23"/>
        </w:rPr>
        <w:t xml:space="preserve"> </w:t>
      </w:r>
      <w:r w:rsidRPr="009A74F7">
        <w:rPr>
          <w:b/>
          <w:sz w:val="23"/>
          <w:szCs w:val="23"/>
        </w:rPr>
        <w:t>form</w:t>
      </w:r>
      <w:r w:rsidR="00B01739">
        <w:rPr>
          <w:b/>
          <w:sz w:val="23"/>
          <w:szCs w:val="23"/>
        </w:rPr>
        <w:t>s</w:t>
      </w:r>
      <w:r w:rsidRPr="00236B29">
        <w:rPr>
          <w:sz w:val="23"/>
          <w:szCs w:val="23"/>
        </w:rPr>
        <w:t xml:space="preserve">. When needed, the primary respondent </w:t>
      </w:r>
      <w:r w:rsidR="000E3C8A">
        <w:rPr>
          <w:sz w:val="23"/>
          <w:szCs w:val="23"/>
        </w:rPr>
        <w:t xml:space="preserve">or his or her designee </w:t>
      </w:r>
      <w:r w:rsidRPr="00236B29">
        <w:rPr>
          <w:sz w:val="23"/>
          <w:szCs w:val="23"/>
        </w:rPr>
        <w:t xml:space="preserve">will report for all minors, those below age 11 and those for whom </w:t>
      </w:r>
      <w:r w:rsidR="00B30144">
        <w:rPr>
          <w:sz w:val="23"/>
          <w:szCs w:val="23"/>
        </w:rPr>
        <w:t>consent</w:t>
      </w:r>
      <w:r w:rsidR="00B30144" w:rsidRPr="00236B29">
        <w:rPr>
          <w:sz w:val="23"/>
          <w:szCs w:val="23"/>
        </w:rPr>
        <w:t xml:space="preserve"> </w:t>
      </w:r>
      <w:r w:rsidRPr="00236B29">
        <w:rPr>
          <w:sz w:val="23"/>
          <w:szCs w:val="23"/>
        </w:rPr>
        <w:t xml:space="preserve">is not provided to access the </w:t>
      </w:r>
      <w:r w:rsidR="00E05BD6">
        <w:rPr>
          <w:sz w:val="23"/>
          <w:szCs w:val="23"/>
        </w:rPr>
        <w:t>Food Log.</w:t>
      </w:r>
      <w:r w:rsidR="009C16BD">
        <w:rPr>
          <w:sz w:val="23"/>
          <w:szCs w:val="23"/>
        </w:rPr>
        <w:t xml:space="preserve"> </w:t>
      </w:r>
      <w:r w:rsidR="00CD4314">
        <w:rPr>
          <w:sz w:val="23"/>
          <w:szCs w:val="23"/>
        </w:rPr>
        <w:t xml:space="preserve">The Food Log will be completed daily for a week. </w:t>
      </w:r>
      <w:r w:rsidR="009C16BD">
        <w:rPr>
          <w:sz w:val="23"/>
          <w:szCs w:val="23"/>
        </w:rPr>
        <w:t>If the household is unable to use the electronic Fo</w:t>
      </w:r>
      <w:r w:rsidR="00BA3FFF">
        <w:rPr>
          <w:sz w:val="23"/>
          <w:szCs w:val="23"/>
        </w:rPr>
        <w:t xml:space="preserve">od Log, they will be ineligible for the </w:t>
      </w:r>
      <w:r w:rsidR="009A74F7">
        <w:rPr>
          <w:sz w:val="23"/>
          <w:szCs w:val="23"/>
        </w:rPr>
        <w:t xml:space="preserve">survey </w:t>
      </w:r>
      <w:r w:rsidR="00BA3FFF">
        <w:rPr>
          <w:sz w:val="23"/>
          <w:szCs w:val="23"/>
        </w:rPr>
        <w:t>because the primary purpose of the Pilot is to test the feasibility of electronic media to collect food acquisitions.</w:t>
      </w:r>
    </w:p>
    <w:p w14:paraId="5BB5F85D" w14:textId="409C1332" w:rsidR="00236B29" w:rsidRPr="00236B29" w:rsidRDefault="00236B29" w:rsidP="00236B29">
      <w:pPr>
        <w:pStyle w:val="ListParagraph"/>
        <w:numPr>
          <w:ilvl w:val="0"/>
          <w:numId w:val="21"/>
        </w:numPr>
        <w:spacing w:after="120" w:line="360" w:lineRule="atLeast"/>
        <w:rPr>
          <w:sz w:val="23"/>
          <w:szCs w:val="23"/>
        </w:rPr>
      </w:pPr>
      <w:r w:rsidRPr="00236B29">
        <w:rPr>
          <w:sz w:val="23"/>
          <w:szCs w:val="23"/>
        </w:rPr>
        <w:t xml:space="preserve">Next, the interviewer will train all household members </w:t>
      </w:r>
      <w:r w:rsidR="000E3C8A">
        <w:rPr>
          <w:sz w:val="23"/>
          <w:szCs w:val="23"/>
        </w:rPr>
        <w:t xml:space="preserve">age 16 and over </w:t>
      </w:r>
      <w:r w:rsidR="0016607D">
        <w:rPr>
          <w:sz w:val="23"/>
          <w:szCs w:val="23"/>
        </w:rPr>
        <w:t xml:space="preserve">and, assuming parental consent, those between the ages of 11 and 15 </w:t>
      </w:r>
      <w:r w:rsidRPr="00236B29">
        <w:rPr>
          <w:sz w:val="23"/>
          <w:szCs w:val="23"/>
        </w:rPr>
        <w:t>who are available on how to complete</w:t>
      </w:r>
      <w:r w:rsidR="00FB6B8F">
        <w:rPr>
          <w:sz w:val="23"/>
          <w:szCs w:val="23"/>
        </w:rPr>
        <w:t>:</w:t>
      </w:r>
      <w:r w:rsidRPr="00236B29">
        <w:rPr>
          <w:sz w:val="23"/>
          <w:szCs w:val="23"/>
        </w:rPr>
        <w:t xml:space="preserve"> the </w:t>
      </w:r>
      <w:r w:rsidRPr="007979B1">
        <w:rPr>
          <w:b/>
          <w:sz w:val="23"/>
          <w:szCs w:val="23"/>
        </w:rPr>
        <w:t>Food Log</w:t>
      </w:r>
      <w:r w:rsidR="00FB6B8F">
        <w:rPr>
          <w:sz w:val="23"/>
          <w:szCs w:val="23"/>
        </w:rPr>
        <w:t>,</w:t>
      </w:r>
      <w:r w:rsidR="00614673" w:rsidRPr="009A74F7">
        <w:rPr>
          <w:sz w:val="23"/>
          <w:szCs w:val="23"/>
        </w:rPr>
        <w:t xml:space="preserve"> </w:t>
      </w:r>
      <w:r w:rsidR="001620FD" w:rsidRPr="009A74F7">
        <w:rPr>
          <w:sz w:val="23"/>
          <w:szCs w:val="23"/>
        </w:rPr>
        <w:t>(</w:t>
      </w:r>
      <w:r w:rsidR="001620FD" w:rsidRPr="001620FD">
        <w:rPr>
          <w:sz w:val="23"/>
          <w:szCs w:val="23"/>
        </w:rPr>
        <w:t>Appendix B3)</w:t>
      </w:r>
      <w:r w:rsidR="00FB6B8F">
        <w:rPr>
          <w:sz w:val="23"/>
          <w:szCs w:val="23"/>
        </w:rPr>
        <w:t>;</w:t>
      </w:r>
      <w:r w:rsidRPr="00236B29">
        <w:rPr>
          <w:b/>
          <w:sz w:val="23"/>
          <w:szCs w:val="23"/>
        </w:rPr>
        <w:t xml:space="preserve"> </w:t>
      </w:r>
      <w:r w:rsidR="00FB6B8F" w:rsidRPr="00FB6B8F">
        <w:rPr>
          <w:sz w:val="23"/>
          <w:szCs w:val="23"/>
        </w:rPr>
        <w:t>the</w:t>
      </w:r>
      <w:r w:rsidR="00FB6B8F">
        <w:rPr>
          <w:b/>
          <w:sz w:val="23"/>
          <w:szCs w:val="23"/>
        </w:rPr>
        <w:t xml:space="preserve"> </w:t>
      </w:r>
      <w:r w:rsidRPr="00236B29">
        <w:rPr>
          <w:b/>
          <w:sz w:val="23"/>
          <w:szCs w:val="23"/>
        </w:rPr>
        <w:t>Income Worksheet</w:t>
      </w:r>
      <w:r w:rsidR="001620FD">
        <w:rPr>
          <w:b/>
          <w:sz w:val="23"/>
          <w:szCs w:val="23"/>
        </w:rPr>
        <w:t xml:space="preserve"> </w:t>
      </w:r>
      <w:r w:rsidR="001620FD" w:rsidRPr="001620FD">
        <w:rPr>
          <w:sz w:val="23"/>
          <w:szCs w:val="23"/>
        </w:rPr>
        <w:t>(Appendix B4)</w:t>
      </w:r>
      <w:r w:rsidR="00FB6B8F">
        <w:rPr>
          <w:sz w:val="23"/>
          <w:szCs w:val="23"/>
        </w:rPr>
        <w:t>;</w:t>
      </w:r>
      <w:r w:rsidRPr="001620FD">
        <w:rPr>
          <w:sz w:val="23"/>
          <w:szCs w:val="23"/>
        </w:rPr>
        <w:t xml:space="preserve"> </w:t>
      </w:r>
      <w:r w:rsidRPr="009A74F7">
        <w:rPr>
          <w:sz w:val="23"/>
          <w:szCs w:val="23"/>
        </w:rPr>
        <w:t>and</w:t>
      </w:r>
      <w:r w:rsidR="00FB6B8F">
        <w:rPr>
          <w:sz w:val="23"/>
          <w:szCs w:val="23"/>
        </w:rPr>
        <w:t xml:space="preserve"> the</w:t>
      </w:r>
      <w:r w:rsidRPr="00236B29">
        <w:rPr>
          <w:b/>
          <w:sz w:val="23"/>
          <w:szCs w:val="23"/>
        </w:rPr>
        <w:t xml:space="preserve"> Meals and Snacks Form</w:t>
      </w:r>
      <w:r w:rsidR="00FE38A0">
        <w:rPr>
          <w:b/>
          <w:sz w:val="23"/>
          <w:szCs w:val="23"/>
        </w:rPr>
        <w:t xml:space="preserve"> </w:t>
      </w:r>
      <w:r w:rsidR="00FE38A0" w:rsidRPr="00FE38A0">
        <w:rPr>
          <w:sz w:val="23"/>
          <w:szCs w:val="23"/>
        </w:rPr>
        <w:t>(Appendix B5)</w:t>
      </w:r>
      <w:r w:rsidR="00820BCC" w:rsidRPr="00820BCC">
        <w:rPr>
          <w:sz w:val="23"/>
          <w:szCs w:val="23"/>
        </w:rPr>
        <w:t xml:space="preserve"> </w:t>
      </w:r>
      <w:r w:rsidR="00820BCC" w:rsidRPr="009A74F7">
        <w:rPr>
          <w:sz w:val="23"/>
          <w:szCs w:val="23"/>
        </w:rPr>
        <w:t>either from a computer or from a smartphone</w:t>
      </w:r>
      <w:r w:rsidRPr="00FE38A0">
        <w:rPr>
          <w:sz w:val="23"/>
          <w:szCs w:val="23"/>
        </w:rPr>
        <w:t xml:space="preserve">. </w:t>
      </w:r>
      <w:r w:rsidR="00820BCC">
        <w:rPr>
          <w:sz w:val="23"/>
          <w:szCs w:val="23"/>
        </w:rPr>
        <w:t>P</w:t>
      </w:r>
      <w:r w:rsidRPr="00236B29">
        <w:rPr>
          <w:sz w:val="23"/>
          <w:szCs w:val="23"/>
        </w:rPr>
        <w:t xml:space="preserve">articipants </w:t>
      </w:r>
      <w:r w:rsidR="00820BCC">
        <w:rPr>
          <w:sz w:val="23"/>
          <w:szCs w:val="23"/>
        </w:rPr>
        <w:t xml:space="preserve">are asked </w:t>
      </w:r>
      <w:r w:rsidRPr="00236B29">
        <w:rPr>
          <w:sz w:val="23"/>
          <w:szCs w:val="23"/>
        </w:rPr>
        <w:t xml:space="preserve">to report </w:t>
      </w:r>
      <w:r w:rsidR="00820BCC">
        <w:rPr>
          <w:sz w:val="23"/>
          <w:szCs w:val="23"/>
        </w:rPr>
        <w:t xml:space="preserve">their </w:t>
      </w:r>
      <w:r w:rsidRPr="00236B29">
        <w:rPr>
          <w:sz w:val="23"/>
          <w:szCs w:val="23"/>
        </w:rPr>
        <w:t>income</w:t>
      </w:r>
      <w:r w:rsidR="00820BCC">
        <w:rPr>
          <w:sz w:val="23"/>
          <w:szCs w:val="23"/>
        </w:rPr>
        <w:t xml:space="preserve"> once during the period; the Food Log and Meals and S</w:t>
      </w:r>
      <w:r w:rsidR="00752121">
        <w:rPr>
          <w:sz w:val="23"/>
          <w:szCs w:val="23"/>
        </w:rPr>
        <w:t>nacks F</w:t>
      </w:r>
      <w:r w:rsidR="00820BCC">
        <w:rPr>
          <w:sz w:val="23"/>
          <w:szCs w:val="23"/>
        </w:rPr>
        <w:t xml:space="preserve">orm are completed daily for </w:t>
      </w:r>
      <w:r w:rsidR="00752121">
        <w:rPr>
          <w:sz w:val="23"/>
          <w:szCs w:val="23"/>
        </w:rPr>
        <w:t xml:space="preserve">a </w:t>
      </w:r>
      <w:r w:rsidRPr="00236B29">
        <w:rPr>
          <w:sz w:val="23"/>
          <w:szCs w:val="23"/>
        </w:rPr>
        <w:t xml:space="preserve">week. Household members </w:t>
      </w:r>
      <w:r w:rsidR="00820BCC">
        <w:rPr>
          <w:sz w:val="23"/>
          <w:szCs w:val="23"/>
        </w:rPr>
        <w:t xml:space="preserve">will be able </w:t>
      </w:r>
      <w:r w:rsidRPr="00236B29">
        <w:rPr>
          <w:sz w:val="23"/>
          <w:szCs w:val="23"/>
        </w:rPr>
        <w:t xml:space="preserve"> to access the</w:t>
      </w:r>
      <w:r w:rsidR="00083472">
        <w:rPr>
          <w:sz w:val="23"/>
          <w:szCs w:val="23"/>
        </w:rPr>
        <w:t>se forms</w:t>
      </w:r>
      <w:r w:rsidR="00644740">
        <w:rPr>
          <w:sz w:val="23"/>
          <w:szCs w:val="23"/>
        </w:rPr>
        <w:t xml:space="preserve"> </w:t>
      </w:r>
      <w:r w:rsidRPr="00236B29">
        <w:rPr>
          <w:sz w:val="23"/>
          <w:szCs w:val="23"/>
        </w:rPr>
        <w:t>from their own device</w:t>
      </w:r>
      <w:r w:rsidR="006C4538">
        <w:rPr>
          <w:sz w:val="23"/>
          <w:szCs w:val="23"/>
        </w:rPr>
        <w:t>s</w:t>
      </w:r>
      <w:r w:rsidRPr="00236B29">
        <w:rPr>
          <w:sz w:val="23"/>
          <w:szCs w:val="23"/>
        </w:rPr>
        <w:t xml:space="preserve">. Households without the necessary equipment will be provided a smartphone and/or a laptop and MiFi. A </w:t>
      </w:r>
      <w:r w:rsidR="004B1F93" w:rsidRPr="00236B29">
        <w:rPr>
          <w:sz w:val="23"/>
          <w:szCs w:val="23"/>
        </w:rPr>
        <w:t>MiFi</w:t>
      </w:r>
      <w:r w:rsidRPr="00236B29">
        <w:rPr>
          <w:sz w:val="23"/>
          <w:szCs w:val="23"/>
        </w:rPr>
        <w:t xml:space="preserve"> is a wireless router that acts as a mobile Wi</w:t>
      </w:r>
      <w:r w:rsidR="004B1F93">
        <w:rPr>
          <w:sz w:val="23"/>
          <w:szCs w:val="23"/>
        </w:rPr>
        <w:t>F</w:t>
      </w:r>
      <w:r w:rsidRPr="00236B29">
        <w:rPr>
          <w:sz w:val="23"/>
          <w:szCs w:val="23"/>
        </w:rPr>
        <w:t>i hotspot providing Internet to the household.</w:t>
      </w:r>
      <w:r w:rsidR="006C4538">
        <w:rPr>
          <w:sz w:val="23"/>
          <w:szCs w:val="23"/>
        </w:rPr>
        <w:t xml:space="preserve"> The equipment and associated data usage plans will be provided to the household for the survey week at no cost.</w:t>
      </w:r>
    </w:p>
    <w:p w14:paraId="6F05FE18" w14:textId="77777777" w:rsidR="00236B29" w:rsidRPr="00236B29" w:rsidRDefault="00236B29" w:rsidP="00236B29">
      <w:pPr>
        <w:spacing w:after="120" w:line="360" w:lineRule="atLeast"/>
        <w:ind w:left="720"/>
        <w:rPr>
          <w:sz w:val="23"/>
          <w:szCs w:val="23"/>
        </w:rPr>
      </w:pPr>
      <w:r w:rsidRPr="00236B29">
        <w:rPr>
          <w:sz w:val="23"/>
          <w:szCs w:val="23"/>
        </w:rPr>
        <w:t xml:space="preserve">All eligible household members will be sent electronic communications </w:t>
      </w:r>
      <w:r w:rsidR="00F9580F">
        <w:rPr>
          <w:sz w:val="23"/>
          <w:szCs w:val="23"/>
        </w:rPr>
        <w:t xml:space="preserve">(texts or e-mails) </w:t>
      </w:r>
      <w:r w:rsidRPr="00236B29">
        <w:rPr>
          <w:sz w:val="23"/>
          <w:szCs w:val="23"/>
        </w:rPr>
        <w:t xml:space="preserve">with regard to their food </w:t>
      </w:r>
      <w:r w:rsidR="00614673">
        <w:rPr>
          <w:sz w:val="23"/>
          <w:szCs w:val="23"/>
        </w:rPr>
        <w:t>logging</w:t>
      </w:r>
      <w:r w:rsidR="00614673" w:rsidRPr="00236B29">
        <w:rPr>
          <w:sz w:val="23"/>
          <w:szCs w:val="23"/>
        </w:rPr>
        <w:t xml:space="preserve"> </w:t>
      </w:r>
      <w:r w:rsidRPr="00236B29">
        <w:rPr>
          <w:sz w:val="23"/>
          <w:szCs w:val="23"/>
        </w:rPr>
        <w:t>status and the amount of incentive accumulated. If needed, all eligible household members will also be contacted by interviewers at different points in the week to discuss any issues or problems that they might be experiencing reporting their food and income. Interviewers will leave their phone numbers and the study’s toll-free with the households so that household members can call them if they encounter problems or have questions.</w:t>
      </w:r>
    </w:p>
    <w:p w14:paraId="53F1D7A7" w14:textId="34530475" w:rsidR="00236B29" w:rsidRDefault="00236B29" w:rsidP="00236B29">
      <w:pPr>
        <w:pStyle w:val="ListParagraph"/>
        <w:numPr>
          <w:ilvl w:val="0"/>
          <w:numId w:val="22"/>
        </w:numPr>
        <w:spacing w:after="120" w:line="360" w:lineRule="atLeast"/>
        <w:rPr>
          <w:sz w:val="23"/>
          <w:szCs w:val="23"/>
        </w:rPr>
      </w:pPr>
      <w:r w:rsidRPr="00236B29">
        <w:rPr>
          <w:sz w:val="23"/>
          <w:szCs w:val="23"/>
        </w:rPr>
        <w:t xml:space="preserve">Interviewers will attempt to complete a brief </w:t>
      </w:r>
      <w:r w:rsidRPr="00236B29">
        <w:rPr>
          <w:b/>
          <w:sz w:val="23"/>
          <w:szCs w:val="23"/>
        </w:rPr>
        <w:t>Nonresponse Form</w:t>
      </w:r>
      <w:r w:rsidRPr="00236B29">
        <w:rPr>
          <w:sz w:val="23"/>
          <w:szCs w:val="23"/>
        </w:rPr>
        <w:t xml:space="preserve"> </w:t>
      </w:r>
      <w:r w:rsidR="00F9580F">
        <w:rPr>
          <w:sz w:val="23"/>
          <w:szCs w:val="23"/>
        </w:rPr>
        <w:t xml:space="preserve">(Appendix B6) </w:t>
      </w:r>
      <w:r w:rsidR="00CD4314">
        <w:rPr>
          <w:sz w:val="23"/>
          <w:szCs w:val="23"/>
        </w:rPr>
        <w:t xml:space="preserve">once </w:t>
      </w:r>
      <w:r w:rsidR="00EA3D2E">
        <w:rPr>
          <w:sz w:val="23"/>
          <w:szCs w:val="23"/>
        </w:rPr>
        <w:t xml:space="preserve">with households who complete the screener interview but subsequently </w:t>
      </w:r>
      <w:r w:rsidRPr="00236B29">
        <w:rPr>
          <w:sz w:val="23"/>
          <w:szCs w:val="23"/>
        </w:rPr>
        <w:t>refuse to continue with the NFS</w:t>
      </w:r>
      <w:r w:rsidR="00DE015C">
        <w:rPr>
          <w:sz w:val="23"/>
          <w:szCs w:val="23"/>
        </w:rPr>
        <w:t xml:space="preserve"> Pilot</w:t>
      </w:r>
      <w:r w:rsidRPr="00236B29">
        <w:rPr>
          <w:sz w:val="23"/>
          <w:szCs w:val="23"/>
        </w:rPr>
        <w:t xml:space="preserve">. </w:t>
      </w:r>
      <w:r w:rsidR="005638B2">
        <w:rPr>
          <w:sz w:val="23"/>
          <w:szCs w:val="23"/>
        </w:rPr>
        <w:t>Section B.1 lists the</w:t>
      </w:r>
      <w:r w:rsidR="00EA3D2E">
        <w:rPr>
          <w:sz w:val="23"/>
          <w:szCs w:val="23"/>
        </w:rPr>
        <w:t xml:space="preserve"> points where this survey will be initiated</w:t>
      </w:r>
      <w:r w:rsidR="005638B2">
        <w:rPr>
          <w:sz w:val="23"/>
          <w:szCs w:val="23"/>
        </w:rPr>
        <w:t xml:space="preserve">. </w:t>
      </w:r>
      <w:r w:rsidRPr="00236B29">
        <w:rPr>
          <w:sz w:val="23"/>
          <w:szCs w:val="23"/>
        </w:rPr>
        <w:t>If the interviewer is present at the time of the refusal, the nonresponse form will be attempted in-person. If the interviewer is not present or the household refuses to complete the questions with the interviewer, the non-response form will be mailed to the household.</w:t>
      </w:r>
    </w:p>
    <w:p w14:paraId="7FEB0219" w14:textId="649DE62E" w:rsidR="00236B29" w:rsidRPr="00236B29" w:rsidRDefault="00236B29" w:rsidP="00236B29">
      <w:pPr>
        <w:pStyle w:val="ListParagraph"/>
        <w:numPr>
          <w:ilvl w:val="0"/>
          <w:numId w:val="21"/>
        </w:numPr>
        <w:spacing w:after="120" w:line="360" w:lineRule="atLeast"/>
        <w:rPr>
          <w:sz w:val="23"/>
          <w:szCs w:val="23"/>
        </w:rPr>
      </w:pPr>
      <w:r w:rsidRPr="00236B29">
        <w:rPr>
          <w:sz w:val="23"/>
          <w:szCs w:val="23"/>
        </w:rPr>
        <w:lastRenderedPageBreak/>
        <w:t xml:space="preserve">At the end of the seven-day data collection period, the interviewer will visit the household </w:t>
      </w:r>
      <w:r w:rsidR="00CD4314">
        <w:rPr>
          <w:sz w:val="23"/>
          <w:szCs w:val="23"/>
        </w:rPr>
        <w:t>to complete the Final Household Interview and Recall Interviews</w:t>
      </w:r>
      <w:r w:rsidRPr="00236B29">
        <w:rPr>
          <w:sz w:val="23"/>
          <w:szCs w:val="23"/>
        </w:rPr>
        <w:t>. During this visit, interviewers will:</w:t>
      </w:r>
    </w:p>
    <w:p w14:paraId="75BC7084" w14:textId="0F6D0A3D" w:rsidR="00236B29" w:rsidRPr="00236B29" w:rsidRDefault="00236B29" w:rsidP="00236B29">
      <w:pPr>
        <w:pStyle w:val="ListParagraph"/>
        <w:numPr>
          <w:ilvl w:val="1"/>
          <w:numId w:val="21"/>
        </w:numPr>
        <w:spacing w:after="120" w:line="360" w:lineRule="atLeast"/>
        <w:rPr>
          <w:sz w:val="23"/>
          <w:szCs w:val="23"/>
        </w:rPr>
      </w:pPr>
      <w:r w:rsidRPr="00236B29">
        <w:rPr>
          <w:sz w:val="23"/>
          <w:szCs w:val="23"/>
        </w:rPr>
        <w:t xml:space="preserve">Administer the </w:t>
      </w:r>
      <w:r w:rsidRPr="00236B29">
        <w:rPr>
          <w:b/>
          <w:sz w:val="23"/>
          <w:szCs w:val="23"/>
        </w:rPr>
        <w:t xml:space="preserve">Final Household Interview </w:t>
      </w:r>
      <w:r w:rsidR="005F03E1" w:rsidRPr="005F03E1">
        <w:rPr>
          <w:sz w:val="23"/>
          <w:szCs w:val="23"/>
        </w:rPr>
        <w:t>(Appendix B7)</w:t>
      </w:r>
      <w:r w:rsidR="005F03E1">
        <w:rPr>
          <w:b/>
          <w:sz w:val="23"/>
          <w:szCs w:val="23"/>
        </w:rPr>
        <w:t xml:space="preserve"> </w:t>
      </w:r>
      <w:r w:rsidRPr="00236B29">
        <w:rPr>
          <w:sz w:val="23"/>
          <w:szCs w:val="23"/>
        </w:rPr>
        <w:t xml:space="preserve">and </w:t>
      </w:r>
      <w:r w:rsidRPr="00236B29">
        <w:rPr>
          <w:b/>
          <w:sz w:val="23"/>
          <w:szCs w:val="23"/>
        </w:rPr>
        <w:t>Respondent Feedback Form</w:t>
      </w:r>
      <w:r w:rsidRPr="00236B29">
        <w:rPr>
          <w:sz w:val="23"/>
          <w:szCs w:val="23"/>
        </w:rPr>
        <w:t xml:space="preserve"> </w:t>
      </w:r>
      <w:r w:rsidR="005F03E1">
        <w:rPr>
          <w:sz w:val="23"/>
          <w:szCs w:val="23"/>
        </w:rPr>
        <w:t xml:space="preserve">(Appendix B8) </w:t>
      </w:r>
      <w:r w:rsidRPr="00236B29">
        <w:rPr>
          <w:sz w:val="23"/>
          <w:szCs w:val="23"/>
        </w:rPr>
        <w:t>to the primary respondent</w:t>
      </w:r>
      <w:r w:rsidR="00CD4314">
        <w:rPr>
          <w:sz w:val="23"/>
          <w:szCs w:val="23"/>
        </w:rPr>
        <w:t xml:space="preserve"> just once</w:t>
      </w:r>
      <w:r w:rsidRPr="00236B29">
        <w:rPr>
          <w:sz w:val="23"/>
          <w:szCs w:val="23"/>
        </w:rPr>
        <w:t xml:space="preserve">; </w:t>
      </w:r>
    </w:p>
    <w:p w14:paraId="59356679" w14:textId="0F2F2D88" w:rsidR="00236B29" w:rsidRPr="00236B29" w:rsidRDefault="00236B29" w:rsidP="00236B29">
      <w:pPr>
        <w:pStyle w:val="ListParagraph"/>
        <w:numPr>
          <w:ilvl w:val="1"/>
          <w:numId w:val="21"/>
        </w:numPr>
        <w:spacing w:after="120" w:line="360" w:lineRule="atLeast"/>
        <w:rPr>
          <w:sz w:val="23"/>
          <w:szCs w:val="23"/>
        </w:rPr>
      </w:pPr>
      <w:r w:rsidRPr="00236B29">
        <w:rPr>
          <w:sz w:val="23"/>
          <w:szCs w:val="23"/>
        </w:rPr>
        <w:t xml:space="preserve">Conduct the </w:t>
      </w:r>
      <w:r w:rsidRPr="00236B29">
        <w:rPr>
          <w:b/>
          <w:sz w:val="23"/>
          <w:szCs w:val="23"/>
        </w:rPr>
        <w:t>Re</w:t>
      </w:r>
      <w:r w:rsidR="005638B2">
        <w:rPr>
          <w:b/>
          <w:sz w:val="23"/>
          <w:szCs w:val="23"/>
        </w:rPr>
        <w:t>call I</w:t>
      </w:r>
      <w:r w:rsidRPr="00236B29">
        <w:rPr>
          <w:b/>
          <w:sz w:val="23"/>
          <w:szCs w:val="23"/>
        </w:rPr>
        <w:t>nterview</w:t>
      </w:r>
      <w:r w:rsidRPr="00236B29">
        <w:rPr>
          <w:sz w:val="23"/>
          <w:szCs w:val="23"/>
        </w:rPr>
        <w:t xml:space="preserve"> </w:t>
      </w:r>
      <w:r w:rsidR="00CD4314">
        <w:rPr>
          <w:sz w:val="23"/>
          <w:szCs w:val="23"/>
        </w:rPr>
        <w:t xml:space="preserve">once </w:t>
      </w:r>
      <w:r w:rsidR="005F03E1">
        <w:rPr>
          <w:sz w:val="23"/>
          <w:szCs w:val="23"/>
        </w:rPr>
        <w:t xml:space="preserve">(Appendix B9) </w:t>
      </w:r>
      <w:r w:rsidRPr="00236B29">
        <w:rPr>
          <w:sz w:val="23"/>
          <w:szCs w:val="23"/>
        </w:rPr>
        <w:t xml:space="preserve">with the primary respondent and </w:t>
      </w:r>
      <w:r w:rsidR="00CD4314">
        <w:rPr>
          <w:sz w:val="23"/>
          <w:szCs w:val="23"/>
        </w:rPr>
        <w:t xml:space="preserve">then once again with </w:t>
      </w:r>
      <w:r w:rsidRPr="00236B29">
        <w:rPr>
          <w:sz w:val="23"/>
          <w:szCs w:val="23"/>
        </w:rPr>
        <w:t>one other household member selected at random</w:t>
      </w:r>
      <w:r w:rsidR="005638B2">
        <w:rPr>
          <w:sz w:val="23"/>
          <w:szCs w:val="23"/>
        </w:rPr>
        <w:t xml:space="preserve"> on completion of the Initial Interview</w:t>
      </w:r>
      <w:r w:rsidR="00D3107A">
        <w:rPr>
          <w:sz w:val="23"/>
          <w:szCs w:val="23"/>
        </w:rPr>
        <w:t>,</w:t>
      </w:r>
    </w:p>
    <w:p w14:paraId="70A906CC" w14:textId="3400B6AB" w:rsidR="00236B29" w:rsidRPr="00236B29" w:rsidRDefault="00236B29" w:rsidP="00236B29">
      <w:pPr>
        <w:pStyle w:val="ListParagraph"/>
        <w:numPr>
          <w:ilvl w:val="1"/>
          <w:numId w:val="21"/>
        </w:numPr>
        <w:spacing w:after="120" w:line="360" w:lineRule="atLeast"/>
        <w:rPr>
          <w:sz w:val="23"/>
          <w:szCs w:val="23"/>
        </w:rPr>
      </w:pPr>
      <w:r w:rsidRPr="00236B29">
        <w:rPr>
          <w:sz w:val="23"/>
          <w:szCs w:val="23"/>
        </w:rPr>
        <w:t>Collect any study</w:t>
      </w:r>
      <w:r w:rsidR="005F2DE5">
        <w:rPr>
          <w:sz w:val="23"/>
          <w:szCs w:val="23"/>
        </w:rPr>
        <w:t>-</w:t>
      </w:r>
      <w:r w:rsidRPr="00236B29">
        <w:rPr>
          <w:sz w:val="23"/>
          <w:szCs w:val="23"/>
        </w:rPr>
        <w:t>provided equipment (smartphone, laptop, MiFi) loaned to the household and any food or restaurant receipts and materials such as school menus that respondents have saved</w:t>
      </w:r>
      <w:r w:rsidR="00FB6B8F">
        <w:rPr>
          <w:sz w:val="23"/>
          <w:szCs w:val="23"/>
        </w:rPr>
        <w:t>;</w:t>
      </w:r>
      <w:r w:rsidRPr="00236B29">
        <w:rPr>
          <w:sz w:val="23"/>
          <w:szCs w:val="23"/>
        </w:rPr>
        <w:t xml:space="preserve"> and </w:t>
      </w:r>
    </w:p>
    <w:p w14:paraId="1F76ADF5" w14:textId="77777777" w:rsidR="00236B29" w:rsidRDefault="00236B29" w:rsidP="00236B29">
      <w:pPr>
        <w:pStyle w:val="ListParagraph"/>
        <w:numPr>
          <w:ilvl w:val="1"/>
          <w:numId w:val="21"/>
        </w:numPr>
        <w:spacing w:after="120" w:line="360" w:lineRule="atLeast"/>
        <w:rPr>
          <w:rFonts w:ascii="Times New Roman" w:hAnsi="Times New Roman"/>
        </w:rPr>
      </w:pPr>
      <w:r w:rsidRPr="00236B29">
        <w:rPr>
          <w:sz w:val="23"/>
          <w:szCs w:val="23"/>
        </w:rPr>
        <w:t>Provide the household with information on the amount of the incentives earned. The primary respondent will receive an incentive check within a few days.</w:t>
      </w:r>
      <w:r w:rsidRPr="00C47047">
        <w:rPr>
          <w:rFonts w:ascii="Times New Roman" w:hAnsi="Times New Roman"/>
        </w:rPr>
        <w:t xml:space="preserve"> </w:t>
      </w:r>
    </w:p>
    <w:p w14:paraId="26FC4E92" w14:textId="77777777" w:rsidR="00236B29" w:rsidRDefault="00236B29" w:rsidP="00271489">
      <w:pPr>
        <w:pStyle w:val="L1-FlLSp12"/>
      </w:pPr>
    </w:p>
    <w:p w14:paraId="385F0437" w14:textId="77777777" w:rsidR="00146350" w:rsidRPr="003702B9" w:rsidRDefault="00146350" w:rsidP="00271489">
      <w:pPr>
        <w:pStyle w:val="L1-FlLSp12"/>
      </w:pPr>
    </w:p>
    <w:p w14:paraId="30318F44" w14:textId="77777777" w:rsidR="00271489" w:rsidRPr="003702B9" w:rsidRDefault="00271489" w:rsidP="00271489">
      <w:pPr>
        <w:pStyle w:val="Heading2"/>
      </w:pPr>
      <w:r w:rsidRPr="003702B9">
        <w:t>A.3</w:t>
      </w:r>
      <w:r w:rsidRPr="003702B9">
        <w:tab/>
        <w:t>Use of Information Technology and Burden Reduction</w:t>
      </w:r>
      <w:bookmarkEnd w:id="11"/>
      <w:bookmarkEnd w:id="12"/>
    </w:p>
    <w:p w14:paraId="78520302" w14:textId="77777777" w:rsidR="00271489" w:rsidRPr="002F126A" w:rsidRDefault="00271489" w:rsidP="00271489">
      <w:pPr>
        <w:pStyle w:val="L1-FlLSp12"/>
        <w:rPr>
          <w:b/>
        </w:rPr>
      </w:pPr>
      <w:r w:rsidRPr="002F126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D4A65B9" w14:textId="77777777" w:rsidR="00271489" w:rsidRPr="003702B9" w:rsidRDefault="00271489" w:rsidP="00271489">
      <w:pPr>
        <w:pStyle w:val="L1-FlLSp12"/>
        <w:rPr>
          <w:i/>
        </w:rPr>
      </w:pPr>
    </w:p>
    <w:p w14:paraId="2A2D701B" w14:textId="77777777" w:rsidR="00B347A2" w:rsidRDefault="00B347A2" w:rsidP="00B347A2">
      <w:pPr>
        <w:pStyle w:val="L1-FlLSp12"/>
        <w:rPr>
          <w:rFonts w:eastAsia="Calibri"/>
          <w:sz w:val="23"/>
          <w:szCs w:val="23"/>
        </w:rPr>
      </w:pPr>
      <w:r w:rsidRPr="00083472">
        <w:rPr>
          <w:rFonts w:cs="Arial"/>
          <w:spacing w:val="-3"/>
          <w:sz w:val="23"/>
          <w:szCs w:val="23"/>
        </w:rPr>
        <w:t>ER</w:t>
      </w:r>
      <w:r w:rsidR="00EC0B17" w:rsidRPr="00083472">
        <w:rPr>
          <w:rFonts w:cs="Arial"/>
          <w:spacing w:val="-3"/>
          <w:sz w:val="23"/>
          <w:szCs w:val="23"/>
        </w:rPr>
        <w:t>S is committed to compliance with the E-Government Act, 2002.</w:t>
      </w:r>
      <w:r>
        <w:rPr>
          <w:rFonts w:cs="Arial"/>
          <w:spacing w:val="-3"/>
          <w:sz w:val="23"/>
          <w:szCs w:val="23"/>
        </w:rPr>
        <w:t xml:space="preserve"> A </w:t>
      </w:r>
      <w:r w:rsidRPr="00B347A2">
        <w:rPr>
          <w:rFonts w:eastAsia="Calibri"/>
          <w:sz w:val="23"/>
          <w:szCs w:val="23"/>
        </w:rPr>
        <w:t xml:space="preserve">primary objective </w:t>
      </w:r>
      <w:r>
        <w:rPr>
          <w:rFonts w:eastAsia="Calibri"/>
          <w:sz w:val="23"/>
          <w:szCs w:val="23"/>
        </w:rPr>
        <w:t xml:space="preserve">of the NFS Pilot </w:t>
      </w:r>
      <w:r w:rsidRPr="00B347A2">
        <w:rPr>
          <w:rFonts w:eastAsia="Calibri"/>
          <w:sz w:val="23"/>
          <w:szCs w:val="23"/>
        </w:rPr>
        <w:t xml:space="preserve">is to identify an alternative data collection method (ADCM) that collects more accurate data on the prices and quantities of all food items acquired from all members of sampled households over a 7-day period while reducing respondent burden. </w:t>
      </w:r>
    </w:p>
    <w:p w14:paraId="2C328610" w14:textId="77777777" w:rsidR="00B347A2" w:rsidRDefault="00B347A2" w:rsidP="00B347A2">
      <w:pPr>
        <w:pStyle w:val="L1-FlLSp12"/>
        <w:rPr>
          <w:rFonts w:eastAsia="Calibri"/>
          <w:sz w:val="23"/>
          <w:szCs w:val="23"/>
        </w:rPr>
      </w:pPr>
    </w:p>
    <w:p w14:paraId="294DEDE1" w14:textId="4B466C3A" w:rsidR="00B347A2" w:rsidRDefault="00B347A2" w:rsidP="00B347A2">
      <w:pPr>
        <w:pStyle w:val="L1-FlLSp12"/>
        <w:rPr>
          <w:rFonts w:eastAsia="Calibri"/>
          <w:sz w:val="23"/>
          <w:szCs w:val="23"/>
        </w:rPr>
      </w:pPr>
      <w:r w:rsidRPr="00B347A2">
        <w:rPr>
          <w:rFonts w:eastAsia="Calibri"/>
          <w:sz w:val="23"/>
          <w:szCs w:val="23"/>
        </w:rPr>
        <w:t xml:space="preserve">In </w:t>
      </w:r>
      <w:r w:rsidR="00EE53A2">
        <w:rPr>
          <w:rFonts w:eastAsia="Calibri"/>
          <w:sz w:val="23"/>
          <w:szCs w:val="23"/>
        </w:rPr>
        <w:t>FoodAPS-1</w:t>
      </w:r>
      <w:r w:rsidRPr="00B347A2">
        <w:rPr>
          <w:rFonts w:eastAsia="Calibri"/>
          <w:sz w:val="23"/>
          <w:szCs w:val="23"/>
        </w:rPr>
        <w:t xml:space="preserve">, the food purchasing data were collected using paper diaries and reported via telephone three times during the 7-day data collection window. </w:t>
      </w:r>
      <w:r w:rsidRPr="00B347A2">
        <w:rPr>
          <w:sz w:val="23"/>
          <w:szCs w:val="23"/>
          <w:lang w:val="en"/>
        </w:rPr>
        <w:t xml:space="preserve">The paper diaries were completed by each household member age 11 or older, or by the primary respondent (PR) for all members age 10 or below. </w:t>
      </w:r>
      <w:r w:rsidRPr="00B347A2">
        <w:rPr>
          <w:rFonts w:eastAsia="Calibri"/>
          <w:sz w:val="23"/>
          <w:szCs w:val="23"/>
        </w:rPr>
        <w:t>The paper diaries were supplemented by handheld barcode scanners that recorded food item barcodes. The h</w:t>
      </w:r>
      <w:r w:rsidRPr="00B347A2">
        <w:rPr>
          <w:sz w:val="23"/>
          <w:szCs w:val="23"/>
        </w:rPr>
        <w:t xml:space="preserve">andheld scanners were used to scan the universal product codes (UPCs, or barcodes) to obtain item descriptions when possible. </w:t>
      </w:r>
      <w:r w:rsidRPr="00B347A2">
        <w:rPr>
          <w:rFonts w:eastAsia="Calibri"/>
          <w:sz w:val="23"/>
          <w:szCs w:val="23"/>
        </w:rPr>
        <w:t>The diaries were collected during a final in-person interview.</w:t>
      </w:r>
      <w:r>
        <w:rPr>
          <w:rFonts w:eastAsia="Calibri"/>
          <w:sz w:val="23"/>
          <w:szCs w:val="23"/>
        </w:rPr>
        <w:t xml:space="preserve"> </w:t>
      </w:r>
    </w:p>
    <w:p w14:paraId="2DAB90F4" w14:textId="77777777" w:rsidR="00B347A2" w:rsidRDefault="00B347A2" w:rsidP="00B347A2">
      <w:pPr>
        <w:pStyle w:val="L1-FlLSp12"/>
        <w:rPr>
          <w:rFonts w:eastAsia="Calibri"/>
          <w:sz w:val="23"/>
          <w:szCs w:val="23"/>
        </w:rPr>
      </w:pPr>
    </w:p>
    <w:p w14:paraId="29E4ADAB" w14:textId="6D243C0C" w:rsidR="00B347A2" w:rsidRPr="00B347A2" w:rsidRDefault="00B347A2" w:rsidP="002146EA">
      <w:pPr>
        <w:pStyle w:val="L1-FlLSp12"/>
        <w:rPr>
          <w:rFonts w:eastAsia="Calibri"/>
          <w:sz w:val="23"/>
          <w:szCs w:val="23"/>
        </w:rPr>
      </w:pPr>
      <w:r>
        <w:rPr>
          <w:rFonts w:eastAsia="Calibri"/>
          <w:sz w:val="23"/>
          <w:szCs w:val="23"/>
        </w:rPr>
        <w:t xml:space="preserve">The NFS Pilot </w:t>
      </w:r>
      <w:r w:rsidR="006E239E">
        <w:rPr>
          <w:rFonts w:eastAsia="Calibri"/>
          <w:sz w:val="23"/>
          <w:szCs w:val="23"/>
        </w:rPr>
        <w:t xml:space="preserve">data collection is </w:t>
      </w:r>
      <w:r w:rsidR="00A1335E">
        <w:rPr>
          <w:rFonts w:eastAsia="Calibri"/>
          <w:sz w:val="23"/>
          <w:szCs w:val="23"/>
        </w:rPr>
        <w:t>electronic</w:t>
      </w:r>
      <w:r w:rsidR="006E239E">
        <w:rPr>
          <w:rFonts w:eastAsia="Calibri"/>
          <w:sz w:val="23"/>
          <w:szCs w:val="23"/>
        </w:rPr>
        <w:t xml:space="preserve"> and</w:t>
      </w:r>
      <w:r>
        <w:rPr>
          <w:rFonts w:eastAsia="Calibri"/>
          <w:sz w:val="23"/>
          <w:szCs w:val="23"/>
        </w:rPr>
        <w:t xml:space="preserve"> does not r</w:t>
      </w:r>
      <w:r w:rsidR="006E239E">
        <w:rPr>
          <w:rFonts w:eastAsia="Calibri"/>
          <w:sz w:val="23"/>
          <w:szCs w:val="23"/>
        </w:rPr>
        <w:t>equire</w:t>
      </w:r>
      <w:r>
        <w:rPr>
          <w:rFonts w:eastAsia="Calibri"/>
          <w:sz w:val="23"/>
          <w:szCs w:val="23"/>
        </w:rPr>
        <w:t xml:space="preserve"> study participants to carry paper diaries for a week and jot down product details. Instead, participants will be able to use their own smartphones to scan the barcodes of products in stores, at home, at the office</w:t>
      </w:r>
      <w:r w:rsidR="006E239E">
        <w:rPr>
          <w:rFonts w:eastAsia="Calibri"/>
          <w:sz w:val="23"/>
          <w:szCs w:val="23"/>
        </w:rPr>
        <w:t>, or in</w:t>
      </w:r>
      <w:r>
        <w:rPr>
          <w:rFonts w:eastAsia="Calibri"/>
          <w:sz w:val="23"/>
          <w:szCs w:val="23"/>
        </w:rPr>
        <w:t xml:space="preserve"> restaurant</w:t>
      </w:r>
      <w:r w:rsidR="006E239E">
        <w:rPr>
          <w:rFonts w:eastAsia="Calibri"/>
          <w:sz w:val="23"/>
          <w:szCs w:val="23"/>
        </w:rPr>
        <w:t>s</w:t>
      </w:r>
      <w:r>
        <w:rPr>
          <w:rFonts w:eastAsia="Calibri"/>
          <w:sz w:val="23"/>
          <w:szCs w:val="23"/>
        </w:rPr>
        <w:t xml:space="preserve">. A </w:t>
      </w:r>
      <w:r w:rsidR="00F70A11">
        <w:rPr>
          <w:rFonts w:eastAsia="Calibri"/>
          <w:sz w:val="23"/>
          <w:szCs w:val="23"/>
        </w:rPr>
        <w:t xml:space="preserve">successfully </w:t>
      </w:r>
      <w:r>
        <w:rPr>
          <w:rFonts w:eastAsia="Calibri"/>
          <w:sz w:val="23"/>
          <w:szCs w:val="23"/>
        </w:rPr>
        <w:t xml:space="preserve">scanned barcode </w:t>
      </w:r>
      <w:r w:rsidR="00B71692">
        <w:rPr>
          <w:rFonts w:eastAsia="Calibri"/>
          <w:sz w:val="23"/>
          <w:szCs w:val="23"/>
        </w:rPr>
        <w:t xml:space="preserve">that is in the lookup database </w:t>
      </w:r>
      <w:r>
        <w:rPr>
          <w:rFonts w:eastAsia="Calibri"/>
          <w:sz w:val="23"/>
          <w:szCs w:val="23"/>
        </w:rPr>
        <w:t xml:space="preserve">provides a description of the product and therefore eliminates the need for providing additional detail. Households with no smartphones </w:t>
      </w:r>
      <w:r w:rsidR="002146EA">
        <w:rPr>
          <w:rFonts w:eastAsia="Calibri"/>
          <w:sz w:val="23"/>
          <w:szCs w:val="23"/>
        </w:rPr>
        <w:t xml:space="preserve">or Internet connectivity </w:t>
      </w:r>
      <w:r>
        <w:rPr>
          <w:rFonts w:eastAsia="Calibri"/>
          <w:sz w:val="23"/>
          <w:szCs w:val="23"/>
        </w:rPr>
        <w:t xml:space="preserve">will be loaned an iPhone </w:t>
      </w:r>
      <w:r w:rsidR="00FB00C6">
        <w:rPr>
          <w:rFonts w:eastAsia="Calibri"/>
          <w:sz w:val="23"/>
          <w:szCs w:val="23"/>
        </w:rPr>
        <w:t>or</w:t>
      </w:r>
      <w:r w:rsidR="002146EA">
        <w:rPr>
          <w:rFonts w:eastAsia="Calibri"/>
          <w:sz w:val="23"/>
          <w:szCs w:val="23"/>
        </w:rPr>
        <w:t xml:space="preserve"> MiFi device </w:t>
      </w:r>
      <w:r>
        <w:rPr>
          <w:rFonts w:eastAsia="Calibri"/>
          <w:sz w:val="23"/>
          <w:szCs w:val="23"/>
        </w:rPr>
        <w:t xml:space="preserve">for the duration of their </w:t>
      </w:r>
      <w:r w:rsidR="004B1F93">
        <w:rPr>
          <w:rFonts w:eastAsia="Calibri"/>
          <w:sz w:val="23"/>
          <w:szCs w:val="23"/>
        </w:rPr>
        <w:t>participation</w:t>
      </w:r>
      <w:r>
        <w:rPr>
          <w:rFonts w:eastAsia="Calibri"/>
          <w:sz w:val="23"/>
          <w:szCs w:val="23"/>
        </w:rPr>
        <w:t xml:space="preserve">. Participants can also </w:t>
      </w:r>
      <w:r w:rsidR="00A1335E">
        <w:rPr>
          <w:rFonts w:eastAsia="Calibri"/>
          <w:sz w:val="23"/>
          <w:szCs w:val="23"/>
        </w:rPr>
        <w:t xml:space="preserve">choose to </w:t>
      </w:r>
      <w:r>
        <w:rPr>
          <w:rFonts w:eastAsia="Calibri"/>
          <w:sz w:val="23"/>
          <w:szCs w:val="23"/>
        </w:rPr>
        <w:t xml:space="preserve">use a desktop computer or tablet </w:t>
      </w:r>
      <w:r w:rsidR="00135486">
        <w:rPr>
          <w:rFonts w:eastAsia="Calibri"/>
          <w:sz w:val="23"/>
          <w:szCs w:val="23"/>
        </w:rPr>
        <w:t>with</w:t>
      </w:r>
      <w:r>
        <w:rPr>
          <w:rFonts w:eastAsia="Calibri"/>
          <w:sz w:val="23"/>
          <w:szCs w:val="23"/>
        </w:rPr>
        <w:t xml:space="preserve"> a handheld scanner to complete their Food Log. Participants will be trained to take pictures of meals</w:t>
      </w:r>
      <w:r w:rsidR="00A1335E">
        <w:rPr>
          <w:rFonts w:eastAsia="Calibri"/>
          <w:sz w:val="23"/>
          <w:szCs w:val="23"/>
        </w:rPr>
        <w:t xml:space="preserve"> and to record voice or text memo</w:t>
      </w:r>
      <w:r w:rsidR="00083472">
        <w:rPr>
          <w:rFonts w:eastAsia="Calibri"/>
          <w:sz w:val="23"/>
          <w:szCs w:val="23"/>
        </w:rPr>
        <w:t>s</w:t>
      </w:r>
      <w:r w:rsidR="00A1335E">
        <w:rPr>
          <w:rFonts w:eastAsia="Calibri"/>
          <w:sz w:val="23"/>
          <w:szCs w:val="23"/>
        </w:rPr>
        <w:t xml:space="preserve"> on the meals</w:t>
      </w:r>
      <w:r>
        <w:rPr>
          <w:rFonts w:eastAsia="Calibri"/>
          <w:sz w:val="23"/>
          <w:szCs w:val="23"/>
        </w:rPr>
        <w:t xml:space="preserve"> and will be permitted to append school menus instead of having to transcribe the details into their daily logs.</w:t>
      </w:r>
      <w:r w:rsidR="002146EA">
        <w:rPr>
          <w:rFonts w:eastAsia="Calibri"/>
          <w:sz w:val="23"/>
          <w:szCs w:val="23"/>
        </w:rPr>
        <w:t xml:space="preserve"> </w:t>
      </w:r>
    </w:p>
    <w:p w14:paraId="44E74878" w14:textId="77777777" w:rsidR="00271489" w:rsidRDefault="00271489" w:rsidP="00271489">
      <w:pPr>
        <w:pStyle w:val="L1-FlLSp12"/>
      </w:pPr>
    </w:p>
    <w:p w14:paraId="77D40B24" w14:textId="77777777" w:rsidR="00271489" w:rsidRPr="003702B9" w:rsidRDefault="00271489" w:rsidP="00271489">
      <w:pPr>
        <w:pStyle w:val="L1-FlLSp12"/>
      </w:pPr>
    </w:p>
    <w:p w14:paraId="1CBC6555" w14:textId="77777777" w:rsidR="00271489" w:rsidRPr="003702B9" w:rsidRDefault="00271489" w:rsidP="00271489">
      <w:pPr>
        <w:pStyle w:val="Heading2"/>
      </w:pPr>
      <w:bookmarkStart w:id="13" w:name="_Toc286158951"/>
      <w:bookmarkStart w:id="14" w:name="_Toc286160540"/>
      <w:bookmarkStart w:id="15" w:name="_Toc290021763"/>
      <w:bookmarkStart w:id="16" w:name="_Toc329341676"/>
      <w:bookmarkStart w:id="17" w:name="_Toc400376125"/>
      <w:r w:rsidRPr="003702B9">
        <w:t>A.4</w:t>
      </w:r>
      <w:r w:rsidRPr="003702B9">
        <w:tab/>
      </w:r>
      <w:bookmarkEnd w:id="13"/>
      <w:bookmarkEnd w:id="14"/>
      <w:bookmarkEnd w:id="15"/>
      <w:r w:rsidRPr="003702B9">
        <w:t>Efforts to Identify Duplication and Use of Similar Information</w:t>
      </w:r>
      <w:bookmarkEnd w:id="16"/>
      <w:bookmarkEnd w:id="17"/>
    </w:p>
    <w:p w14:paraId="02882E19" w14:textId="77777777" w:rsidR="00271489" w:rsidRPr="002F126A" w:rsidRDefault="00271489" w:rsidP="00271489">
      <w:pPr>
        <w:pStyle w:val="L1-FlLSp12"/>
        <w:rPr>
          <w:b/>
        </w:rPr>
      </w:pPr>
      <w:r w:rsidRPr="002F126A">
        <w:rPr>
          <w:b/>
        </w:rPr>
        <w:t xml:space="preserve">Describe efforts to identify duplication. Show specifically why any similar information </w:t>
      </w:r>
      <w:r w:rsidRPr="00772184">
        <w:rPr>
          <w:b/>
        </w:rPr>
        <w:t>already available cannot be used or modified for use for the purpose</w:t>
      </w:r>
      <w:r w:rsidRPr="002F126A">
        <w:rPr>
          <w:b/>
        </w:rPr>
        <w:t xml:space="preserve"> described in item 2</w:t>
      </w:r>
      <w:r w:rsidR="008D2F1B">
        <w:rPr>
          <w:b/>
        </w:rPr>
        <w:t xml:space="preserve"> </w:t>
      </w:r>
      <w:r w:rsidRPr="002F126A">
        <w:rPr>
          <w:b/>
        </w:rPr>
        <w:t>above.</w:t>
      </w:r>
    </w:p>
    <w:p w14:paraId="3D5D1BBF" w14:textId="77777777" w:rsidR="00271489" w:rsidRPr="003702B9" w:rsidRDefault="00271489" w:rsidP="00271489">
      <w:pPr>
        <w:pStyle w:val="L1-FlLSp12"/>
      </w:pPr>
    </w:p>
    <w:p w14:paraId="37FE3DBD" w14:textId="222079B2" w:rsidR="00DE74DE" w:rsidRPr="00083472" w:rsidRDefault="00DE74DE" w:rsidP="00EC0B17">
      <w:pPr>
        <w:pStyle w:val="L1-FlLSp12"/>
        <w:rPr>
          <w:sz w:val="23"/>
          <w:szCs w:val="23"/>
        </w:rPr>
      </w:pPr>
      <w:r w:rsidRPr="00083472">
        <w:rPr>
          <w:sz w:val="23"/>
          <w:szCs w:val="23"/>
        </w:rPr>
        <w:t xml:space="preserve">Every effort has been made to avoid duplication. The data requirements for the NFS Pilot have been carefully reviewed to determine whether the needed information is already available. </w:t>
      </w:r>
      <w:r w:rsidR="00271489" w:rsidRPr="00083472">
        <w:rPr>
          <w:sz w:val="23"/>
          <w:szCs w:val="23"/>
        </w:rPr>
        <w:t xml:space="preserve">To our knowledge, there is no similar information already available or being collected for the study’s timeframe that can be used to independently evaluate </w:t>
      </w:r>
      <w:r w:rsidRPr="00083472">
        <w:rPr>
          <w:sz w:val="23"/>
          <w:szCs w:val="23"/>
        </w:rPr>
        <w:t xml:space="preserve">the use of electronic media to collect detailed information on food acquisitions at home or away from home. We also conducted a literature search to research optimum ways to </w:t>
      </w:r>
      <w:r w:rsidR="004B1F93" w:rsidRPr="00083472">
        <w:rPr>
          <w:sz w:val="23"/>
          <w:szCs w:val="23"/>
        </w:rPr>
        <w:t>obtain</w:t>
      </w:r>
      <w:r w:rsidRPr="00083472">
        <w:rPr>
          <w:sz w:val="23"/>
          <w:szCs w:val="23"/>
        </w:rPr>
        <w:t xml:space="preserve"> income amounts and sources.  Our findings indicated that</w:t>
      </w:r>
      <w:r w:rsidR="004461AC" w:rsidRPr="00083472">
        <w:rPr>
          <w:sz w:val="23"/>
          <w:szCs w:val="23"/>
        </w:rPr>
        <w:t xml:space="preserve"> we need</w:t>
      </w:r>
      <w:r w:rsidRPr="00083472">
        <w:rPr>
          <w:sz w:val="23"/>
          <w:szCs w:val="23"/>
        </w:rPr>
        <w:t xml:space="preserve"> to test the questions that we </w:t>
      </w:r>
      <w:r w:rsidR="004461AC" w:rsidRPr="00083472">
        <w:rPr>
          <w:sz w:val="23"/>
          <w:szCs w:val="23"/>
        </w:rPr>
        <w:t>have developed</w:t>
      </w:r>
      <w:r w:rsidRPr="00083472">
        <w:rPr>
          <w:sz w:val="23"/>
          <w:szCs w:val="23"/>
        </w:rPr>
        <w:t xml:space="preserve"> to determine whether </w:t>
      </w:r>
      <w:r w:rsidR="004461AC" w:rsidRPr="00083472">
        <w:rPr>
          <w:sz w:val="23"/>
          <w:szCs w:val="23"/>
        </w:rPr>
        <w:t>our</w:t>
      </w:r>
      <w:r w:rsidRPr="00083472">
        <w:rPr>
          <w:sz w:val="23"/>
          <w:szCs w:val="23"/>
        </w:rPr>
        <w:t xml:space="preserve"> approach will yield mo</w:t>
      </w:r>
      <w:r w:rsidR="004461AC" w:rsidRPr="00083472">
        <w:rPr>
          <w:sz w:val="23"/>
          <w:szCs w:val="23"/>
        </w:rPr>
        <w:t>re accurate results while reducing</w:t>
      </w:r>
      <w:r w:rsidRPr="00083472">
        <w:rPr>
          <w:sz w:val="23"/>
          <w:szCs w:val="23"/>
        </w:rPr>
        <w:t xml:space="preserve"> nonresponse.</w:t>
      </w:r>
    </w:p>
    <w:p w14:paraId="2F9353DA" w14:textId="77777777" w:rsidR="0047782E" w:rsidRDefault="0047782E" w:rsidP="00271489">
      <w:pPr>
        <w:pStyle w:val="L1-FlLSp12"/>
        <w:rPr>
          <w:rFonts w:cs="Arial"/>
          <w:szCs w:val="24"/>
        </w:rPr>
      </w:pPr>
    </w:p>
    <w:p w14:paraId="4204A404" w14:textId="77777777" w:rsidR="00DE74DE" w:rsidRPr="003702B9" w:rsidRDefault="00DE74DE" w:rsidP="00271489">
      <w:pPr>
        <w:pStyle w:val="L1-FlLSp12"/>
        <w:rPr>
          <w:rFonts w:cs="Arial"/>
          <w:szCs w:val="24"/>
        </w:rPr>
      </w:pPr>
    </w:p>
    <w:p w14:paraId="471514C7" w14:textId="77777777" w:rsidR="00271489" w:rsidRPr="003702B9" w:rsidRDefault="00271489" w:rsidP="00271489">
      <w:pPr>
        <w:pStyle w:val="Heading2"/>
      </w:pPr>
      <w:bookmarkStart w:id="18" w:name="_Toc400376126"/>
      <w:bookmarkStart w:id="19" w:name="_Toc280797903"/>
      <w:r w:rsidRPr="003702B9">
        <w:t>A.5</w:t>
      </w:r>
      <w:r w:rsidRPr="003702B9">
        <w:tab/>
        <w:t>Impact on Small Businesses or Other Small Entities</w:t>
      </w:r>
      <w:bookmarkEnd w:id="18"/>
    </w:p>
    <w:p w14:paraId="0ECB02A5" w14:textId="77777777" w:rsidR="00271489" w:rsidRPr="002F126A" w:rsidRDefault="00271489" w:rsidP="00271489">
      <w:pPr>
        <w:pStyle w:val="L1-FlLSp12"/>
        <w:rPr>
          <w:b/>
        </w:rPr>
      </w:pPr>
      <w:r w:rsidRPr="002F126A">
        <w:rPr>
          <w:b/>
        </w:rPr>
        <w:t>If the collection of information impacts small businesses or other small entities, describe any methods used to minimize burden.</w:t>
      </w:r>
    </w:p>
    <w:p w14:paraId="1D311A15" w14:textId="77777777" w:rsidR="00271489" w:rsidRPr="003702B9" w:rsidRDefault="00271489" w:rsidP="00271489">
      <w:pPr>
        <w:pStyle w:val="L1-FlLSp12"/>
      </w:pPr>
    </w:p>
    <w:p w14:paraId="7FC25C8F" w14:textId="77777777" w:rsidR="00705148" w:rsidRPr="00083472" w:rsidRDefault="00F7710A" w:rsidP="00271489">
      <w:pPr>
        <w:pStyle w:val="L1-FlLSp12"/>
        <w:rPr>
          <w:sz w:val="23"/>
          <w:szCs w:val="23"/>
        </w:rPr>
      </w:pPr>
      <w:r w:rsidRPr="00083472">
        <w:rPr>
          <w:sz w:val="23"/>
          <w:szCs w:val="23"/>
        </w:rPr>
        <w:lastRenderedPageBreak/>
        <w:t xml:space="preserve">The NFS Pilot is targeting </w:t>
      </w:r>
      <w:r w:rsidR="008A31AB" w:rsidRPr="00083472">
        <w:rPr>
          <w:sz w:val="23"/>
          <w:szCs w:val="23"/>
        </w:rPr>
        <w:t xml:space="preserve">residential </w:t>
      </w:r>
      <w:r w:rsidRPr="00083472">
        <w:rPr>
          <w:sz w:val="23"/>
          <w:szCs w:val="23"/>
        </w:rPr>
        <w:t>households in nine states. We are not collecting information from small businesses or other small entities.</w:t>
      </w:r>
    </w:p>
    <w:p w14:paraId="5E65DE59" w14:textId="77777777" w:rsidR="00271489" w:rsidRPr="003702B9" w:rsidRDefault="00271489" w:rsidP="00271489">
      <w:pPr>
        <w:pStyle w:val="L1-FlLSp12"/>
      </w:pPr>
    </w:p>
    <w:p w14:paraId="050FD4AD" w14:textId="77777777" w:rsidR="00271489" w:rsidRPr="003702B9" w:rsidRDefault="00271489" w:rsidP="00271489">
      <w:pPr>
        <w:pStyle w:val="L1-FlLSp12"/>
      </w:pPr>
    </w:p>
    <w:p w14:paraId="4B5EAA3E" w14:textId="77777777" w:rsidR="00271489" w:rsidRPr="003702B9" w:rsidRDefault="00271489" w:rsidP="00271489">
      <w:pPr>
        <w:pStyle w:val="Heading2"/>
      </w:pPr>
      <w:bookmarkStart w:id="20" w:name="_Toc329341678"/>
      <w:bookmarkStart w:id="21" w:name="_Toc400376127"/>
      <w:bookmarkStart w:id="22" w:name="_Toc280797904"/>
      <w:r w:rsidRPr="003702B9">
        <w:t>A.6</w:t>
      </w:r>
      <w:r w:rsidRPr="003702B9">
        <w:tab/>
        <w:t>Consequences of Collecting the Information Less Frequently</w:t>
      </w:r>
      <w:bookmarkEnd w:id="20"/>
      <w:bookmarkEnd w:id="21"/>
    </w:p>
    <w:p w14:paraId="09B5EB9C" w14:textId="77777777" w:rsidR="00271489" w:rsidRPr="002F126A" w:rsidRDefault="00271489" w:rsidP="00271489">
      <w:pPr>
        <w:pStyle w:val="L1-FlLSp12"/>
        <w:rPr>
          <w:b/>
        </w:rPr>
      </w:pPr>
      <w:r w:rsidRPr="002F126A">
        <w:rPr>
          <w:b/>
        </w:rPr>
        <w:t>Describe the consequence to Federal program or policy activities if the collection is not conducted or is conducted less frequently, as well as any technical or legal obstacles to reducing burden.</w:t>
      </w:r>
    </w:p>
    <w:p w14:paraId="231C8668" w14:textId="77777777" w:rsidR="00271489" w:rsidRPr="003702B9" w:rsidRDefault="00271489" w:rsidP="00271489">
      <w:pPr>
        <w:pStyle w:val="L1-FlLSp12"/>
      </w:pPr>
    </w:p>
    <w:p w14:paraId="185D093E" w14:textId="77777777" w:rsidR="00271489" w:rsidRPr="00083472" w:rsidRDefault="00A13B5E" w:rsidP="0084172C">
      <w:pPr>
        <w:pStyle w:val="L1-FlLSp12"/>
        <w:rPr>
          <w:sz w:val="23"/>
          <w:szCs w:val="23"/>
        </w:rPr>
      </w:pPr>
      <w:r w:rsidRPr="00083472">
        <w:rPr>
          <w:sz w:val="23"/>
          <w:szCs w:val="23"/>
        </w:rPr>
        <w:t>This is a one-time data collection activity.</w:t>
      </w:r>
      <w:r w:rsidR="00271489" w:rsidRPr="00083472">
        <w:rPr>
          <w:sz w:val="23"/>
          <w:szCs w:val="23"/>
        </w:rPr>
        <w:t xml:space="preserve"> If this information collection is not conducted, USDA/</w:t>
      </w:r>
      <w:r w:rsidR="005857BB" w:rsidRPr="00083472">
        <w:rPr>
          <w:sz w:val="23"/>
          <w:szCs w:val="23"/>
        </w:rPr>
        <w:t>ERS</w:t>
      </w:r>
      <w:r w:rsidR="00271489" w:rsidRPr="00083472">
        <w:rPr>
          <w:sz w:val="23"/>
          <w:szCs w:val="23"/>
        </w:rPr>
        <w:t xml:space="preserve"> will not have </w:t>
      </w:r>
      <w:r w:rsidR="005857BB" w:rsidRPr="00083472">
        <w:rPr>
          <w:sz w:val="23"/>
          <w:szCs w:val="23"/>
        </w:rPr>
        <w:t xml:space="preserve">the information needed to specify the requirements for the next national FoodAPS. </w:t>
      </w:r>
    </w:p>
    <w:p w14:paraId="4438519C" w14:textId="77777777" w:rsidR="00460BBB" w:rsidRDefault="00460BBB" w:rsidP="0084172C">
      <w:pPr>
        <w:pStyle w:val="L1-FlLSp12"/>
      </w:pPr>
    </w:p>
    <w:p w14:paraId="3F9FAF74" w14:textId="77777777" w:rsidR="00986958" w:rsidRDefault="00986958" w:rsidP="00271489">
      <w:pPr>
        <w:pStyle w:val="L1-FlLSp12"/>
      </w:pPr>
    </w:p>
    <w:p w14:paraId="6C1AD08D" w14:textId="77777777" w:rsidR="00271489" w:rsidRPr="003702B9" w:rsidRDefault="00271489" w:rsidP="00271489">
      <w:pPr>
        <w:pStyle w:val="Heading2"/>
      </w:pPr>
      <w:bookmarkStart w:id="23" w:name="_Toc329341679"/>
      <w:bookmarkStart w:id="24" w:name="_Toc400376128"/>
      <w:bookmarkEnd w:id="22"/>
      <w:r w:rsidRPr="003702B9">
        <w:t>A.7</w:t>
      </w:r>
      <w:r w:rsidRPr="003702B9">
        <w:tab/>
        <w:t>Special Circumstances Relating to the Guidelines of 5</w:t>
      </w:r>
      <w:r w:rsidR="005857BB">
        <w:t xml:space="preserve"> </w:t>
      </w:r>
      <w:r w:rsidRPr="003702B9">
        <w:t>CFR 1320.5</w:t>
      </w:r>
      <w:bookmarkEnd w:id="23"/>
      <w:bookmarkEnd w:id="24"/>
    </w:p>
    <w:p w14:paraId="5BBFA223" w14:textId="77777777" w:rsidR="00271489" w:rsidRPr="002F126A" w:rsidRDefault="00271489" w:rsidP="00271489">
      <w:pPr>
        <w:pStyle w:val="L1-FlLSp12"/>
        <w:rPr>
          <w:b/>
        </w:rPr>
      </w:pPr>
      <w:bookmarkStart w:id="25" w:name="_Toc400376129"/>
      <w:r w:rsidRPr="002F126A">
        <w:rPr>
          <w:b/>
        </w:rPr>
        <w:t>Explain any special circumstances that would cause an information collection to be conducted in a manner:</w:t>
      </w:r>
      <w:bookmarkEnd w:id="25"/>
    </w:p>
    <w:p w14:paraId="61BC0EBA" w14:textId="77777777" w:rsidR="00271489" w:rsidRPr="003702B9" w:rsidRDefault="00271489" w:rsidP="00271489">
      <w:pPr>
        <w:pStyle w:val="L1-FlLSp12"/>
      </w:pPr>
    </w:p>
    <w:p w14:paraId="068DD2A3" w14:textId="77777777" w:rsidR="00271489" w:rsidRPr="00392792" w:rsidRDefault="00271489" w:rsidP="0047782E">
      <w:pPr>
        <w:pStyle w:val="N1-1stBullet"/>
        <w:rPr>
          <w:b/>
        </w:rPr>
      </w:pPr>
      <w:bookmarkStart w:id="26" w:name="_Toc315090007"/>
      <w:bookmarkStart w:id="27" w:name="_Toc316652478"/>
      <w:bookmarkStart w:id="28" w:name="_Toc325472105"/>
      <w:bookmarkStart w:id="29" w:name="_Toc325552279"/>
      <w:bookmarkStart w:id="30" w:name="_Toc400376130"/>
      <w:r w:rsidRPr="00392792">
        <w:rPr>
          <w:b/>
        </w:rPr>
        <w:t>Requiring respondents to report information to the agency more often than quarterly;</w:t>
      </w:r>
      <w:bookmarkEnd w:id="26"/>
      <w:bookmarkEnd w:id="27"/>
      <w:bookmarkEnd w:id="28"/>
      <w:bookmarkEnd w:id="29"/>
      <w:bookmarkEnd w:id="30"/>
    </w:p>
    <w:p w14:paraId="09D65B42" w14:textId="77777777" w:rsidR="00271489" w:rsidRPr="00392792" w:rsidRDefault="00271489" w:rsidP="0047782E">
      <w:pPr>
        <w:pStyle w:val="N1-1stBullet"/>
        <w:rPr>
          <w:b/>
        </w:rPr>
      </w:pPr>
      <w:bookmarkStart w:id="31" w:name="_Toc315090008"/>
      <w:bookmarkStart w:id="32" w:name="_Toc316652479"/>
      <w:bookmarkStart w:id="33" w:name="_Toc325472106"/>
      <w:bookmarkStart w:id="34" w:name="_Toc325552280"/>
      <w:bookmarkStart w:id="35" w:name="_Toc400376131"/>
      <w:r w:rsidRPr="00392792">
        <w:rPr>
          <w:b/>
        </w:rPr>
        <w:t>Requiring respondents to prepare a written response to a collection of information in fewer than 30 days after receipt of it;</w:t>
      </w:r>
      <w:bookmarkEnd w:id="31"/>
      <w:bookmarkEnd w:id="32"/>
      <w:bookmarkEnd w:id="33"/>
      <w:bookmarkEnd w:id="34"/>
      <w:bookmarkEnd w:id="35"/>
    </w:p>
    <w:p w14:paraId="7F77B49C" w14:textId="77777777" w:rsidR="00271489" w:rsidRPr="00392792" w:rsidRDefault="00271489" w:rsidP="0047782E">
      <w:pPr>
        <w:pStyle w:val="N1-1stBullet"/>
        <w:rPr>
          <w:b/>
        </w:rPr>
      </w:pPr>
      <w:bookmarkStart w:id="36" w:name="_Toc315090009"/>
      <w:bookmarkStart w:id="37" w:name="_Toc316652480"/>
      <w:bookmarkStart w:id="38" w:name="_Toc325472107"/>
      <w:bookmarkStart w:id="39" w:name="_Toc325552281"/>
      <w:bookmarkStart w:id="40" w:name="_Toc400376132"/>
      <w:r w:rsidRPr="00392792">
        <w:rPr>
          <w:b/>
        </w:rPr>
        <w:t>Requiring respondents to submit more than an original and two copies of any document;</w:t>
      </w:r>
      <w:bookmarkEnd w:id="36"/>
      <w:bookmarkEnd w:id="37"/>
      <w:bookmarkEnd w:id="38"/>
      <w:bookmarkEnd w:id="39"/>
      <w:bookmarkEnd w:id="40"/>
    </w:p>
    <w:p w14:paraId="2E58C95F" w14:textId="77777777" w:rsidR="00271489" w:rsidRPr="00392792" w:rsidRDefault="00271489" w:rsidP="0047782E">
      <w:pPr>
        <w:pStyle w:val="N1-1stBullet"/>
        <w:rPr>
          <w:b/>
        </w:rPr>
      </w:pPr>
      <w:bookmarkStart w:id="41" w:name="_Toc315090010"/>
      <w:bookmarkStart w:id="42" w:name="_Toc316652481"/>
      <w:bookmarkStart w:id="43" w:name="_Toc325472108"/>
      <w:bookmarkStart w:id="44" w:name="_Toc325552282"/>
      <w:bookmarkStart w:id="45" w:name="_Toc400376133"/>
      <w:r w:rsidRPr="00392792">
        <w:rPr>
          <w:b/>
        </w:rPr>
        <w:t>Requiring respondents to retain records, other than health, medical, government contract, grant-in-aid, or tax records for more than 3 years;</w:t>
      </w:r>
      <w:bookmarkEnd w:id="41"/>
      <w:bookmarkEnd w:id="42"/>
      <w:bookmarkEnd w:id="43"/>
      <w:bookmarkEnd w:id="44"/>
      <w:bookmarkEnd w:id="45"/>
    </w:p>
    <w:p w14:paraId="1F320F5D" w14:textId="77777777" w:rsidR="00271489" w:rsidRPr="00392792" w:rsidRDefault="00271489" w:rsidP="0047782E">
      <w:pPr>
        <w:pStyle w:val="N1-1stBullet"/>
        <w:rPr>
          <w:b/>
        </w:rPr>
      </w:pPr>
      <w:bookmarkStart w:id="46" w:name="_Toc315090011"/>
      <w:bookmarkStart w:id="47" w:name="_Toc316652482"/>
      <w:bookmarkStart w:id="48" w:name="_Toc325472109"/>
      <w:bookmarkStart w:id="49" w:name="_Toc325552283"/>
      <w:bookmarkStart w:id="50" w:name="_Toc400376134"/>
      <w:r w:rsidRPr="00392792">
        <w:rPr>
          <w:b/>
        </w:rPr>
        <w:t>In connection with a statistical surveys, that is not designed to produce valid and reliable results that can be generalized to the universe of study;</w:t>
      </w:r>
      <w:bookmarkEnd w:id="46"/>
      <w:bookmarkEnd w:id="47"/>
      <w:bookmarkEnd w:id="48"/>
      <w:bookmarkEnd w:id="49"/>
      <w:bookmarkEnd w:id="50"/>
    </w:p>
    <w:p w14:paraId="5E84320F" w14:textId="77777777" w:rsidR="00271489" w:rsidRPr="00392792" w:rsidRDefault="00271489" w:rsidP="0047782E">
      <w:pPr>
        <w:pStyle w:val="N1-1stBullet"/>
        <w:rPr>
          <w:b/>
        </w:rPr>
      </w:pPr>
      <w:bookmarkStart w:id="51" w:name="_Toc315090012"/>
      <w:bookmarkStart w:id="52" w:name="_Toc316652483"/>
      <w:bookmarkStart w:id="53" w:name="_Toc325472110"/>
      <w:bookmarkStart w:id="54" w:name="_Toc325552284"/>
      <w:bookmarkStart w:id="55" w:name="_Toc400376135"/>
      <w:r w:rsidRPr="00392792">
        <w:rPr>
          <w:b/>
        </w:rPr>
        <w:t>Requiring the use of a statistical data classification that has not been reviewed and approved by OMB;</w:t>
      </w:r>
      <w:bookmarkEnd w:id="51"/>
      <w:bookmarkEnd w:id="52"/>
      <w:bookmarkEnd w:id="53"/>
      <w:bookmarkEnd w:id="54"/>
      <w:bookmarkEnd w:id="55"/>
    </w:p>
    <w:p w14:paraId="10814A09" w14:textId="77777777" w:rsidR="00271489" w:rsidRPr="00392792" w:rsidRDefault="00271489" w:rsidP="0047782E">
      <w:pPr>
        <w:pStyle w:val="N1-1stBullet"/>
        <w:rPr>
          <w:b/>
        </w:rPr>
      </w:pPr>
      <w:bookmarkStart w:id="56" w:name="_Toc315090013"/>
      <w:bookmarkStart w:id="57" w:name="_Toc316652484"/>
      <w:bookmarkStart w:id="58" w:name="_Toc325472111"/>
      <w:bookmarkStart w:id="59" w:name="_Toc325552285"/>
      <w:bookmarkStart w:id="60" w:name="_Toc400376136"/>
      <w:r w:rsidRPr="00392792">
        <w:rPr>
          <w:b/>
        </w:rPr>
        <w:t xml:space="preserve">That includes a pledge of confidentiality that is not supported by authority established in statute or regulation, that is not supported by disclosure and data </w:t>
      </w:r>
      <w:r w:rsidRPr="00392792">
        <w:rPr>
          <w:b/>
        </w:rPr>
        <w:lastRenderedPageBreak/>
        <w:t>security policies that are consistent with the pledge, or which unnecessarily impedes sharing of data with other agencies for compatible confidential use; or</w:t>
      </w:r>
      <w:bookmarkStart w:id="61" w:name="_Toc315090014"/>
      <w:bookmarkStart w:id="62" w:name="_Toc316652485"/>
      <w:bookmarkStart w:id="63" w:name="_Toc325472112"/>
      <w:bookmarkStart w:id="64" w:name="_Toc325552286"/>
      <w:bookmarkEnd w:id="56"/>
      <w:bookmarkEnd w:id="57"/>
      <w:bookmarkEnd w:id="58"/>
      <w:bookmarkEnd w:id="59"/>
      <w:bookmarkEnd w:id="60"/>
    </w:p>
    <w:p w14:paraId="4B01F3EA" w14:textId="77777777" w:rsidR="00271489" w:rsidRPr="00392792" w:rsidRDefault="00271489" w:rsidP="0047782E">
      <w:pPr>
        <w:pStyle w:val="N1-1stBullet"/>
        <w:rPr>
          <w:b/>
        </w:rPr>
      </w:pPr>
      <w:bookmarkStart w:id="65" w:name="_Toc400376137"/>
      <w:r w:rsidRPr="00392792">
        <w:rPr>
          <w:b/>
        </w:rPr>
        <w:t>Requiring respondents to submit proprietary trade secret, or other confidential information unless the agency can demonstrate that it has instituted procedures to protect the information’s confidentiality to the extent permitted by law.</w:t>
      </w:r>
      <w:bookmarkEnd w:id="61"/>
      <w:bookmarkEnd w:id="62"/>
      <w:bookmarkEnd w:id="63"/>
      <w:bookmarkEnd w:id="64"/>
      <w:bookmarkEnd w:id="65"/>
    </w:p>
    <w:p w14:paraId="24F73E23" w14:textId="77777777" w:rsidR="004B415F" w:rsidRPr="00083472" w:rsidRDefault="00271489" w:rsidP="00271489">
      <w:pPr>
        <w:pStyle w:val="L1-FlLSp12"/>
        <w:rPr>
          <w:sz w:val="23"/>
          <w:szCs w:val="23"/>
        </w:rPr>
      </w:pPr>
      <w:r w:rsidRPr="00083472">
        <w:rPr>
          <w:sz w:val="23"/>
          <w:szCs w:val="23"/>
        </w:rPr>
        <w:t>There are no special circumstances relating to the guidelines of 5 CFR 1320.5. This request fully complies with 5 CFR 1320.5</w:t>
      </w:r>
    </w:p>
    <w:p w14:paraId="3C178E4C" w14:textId="77777777" w:rsidR="004B415F" w:rsidRDefault="004B415F" w:rsidP="00271489">
      <w:pPr>
        <w:pStyle w:val="L1-FlLSp12"/>
      </w:pPr>
    </w:p>
    <w:p w14:paraId="6EBABB52" w14:textId="77777777" w:rsidR="005857BB" w:rsidRDefault="005857BB" w:rsidP="00271489">
      <w:pPr>
        <w:pStyle w:val="L1-FlLSp12"/>
      </w:pPr>
    </w:p>
    <w:p w14:paraId="0CB11E18" w14:textId="77777777" w:rsidR="00271489" w:rsidRPr="003702B9" w:rsidRDefault="00271489" w:rsidP="00271489">
      <w:pPr>
        <w:pStyle w:val="Heading2"/>
      </w:pPr>
      <w:bookmarkStart w:id="66" w:name="_Toc286158956"/>
      <w:bookmarkStart w:id="67" w:name="_Toc286160544"/>
      <w:bookmarkStart w:id="68" w:name="_Toc290021767"/>
      <w:bookmarkStart w:id="69" w:name="_Toc329341681"/>
      <w:bookmarkStart w:id="70" w:name="_Toc400376138"/>
      <w:r w:rsidRPr="003702B9">
        <w:t>A.8</w:t>
      </w:r>
      <w:r w:rsidRPr="003702B9">
        <w:tab/>
      </w:r>
      <w:bookmarkEnd w:id="66"/>
      <w:bookmarkEnd w:id="67"/>
      <w:bookmarkEnd w:id="68"/>
      <w:r w:rsidRPr="003702B9">
        <w:t xml:space="preserve">Responses to the </w:t>
      </w:r>
      <w:r w:rsidRPr="007536EC">
        <w:rPr>
          <w:i/>
        </w:rPr>
        <w:t>Federal Register</w:t>
      </w:r>
      <w:r w:rsidRPr="003702B9">
        <w:t xml:space="preserve"> Notice and Efforts to Contact Outside Agencies</w:t>
      </w:r>
      <w:bookmarkEnd w:id="69"/>
      <w:bookmarkEnd w:id="70"/>
    </w:p>
    <w:p w14:paraId="01DC4861" w14:textId="77777777" w:rsidR="00271489" w:rsidRPr="002F126A" w:rsidRDefault="00271489" w:rsidP="00271489">
      <w:pPr>
        <w:pStyle w:val="L1-FlLSp12"/>
        <w:rPr>
          <w:b/>
        </w:rPr>
      </w:pPr>
      <w:bookmarkStart w:id="71" w:name="_Toc400376139"/>
      <w:r w:rsidRPr="002F126A">
        <w:rPr>
          <w:b/>
        </w:rPr>
        <w:t xml:space="preserve">If applicable, identify the date and page number of publication in the </w:t>
      </w:r>
      <w:r w:rsidRPr="007536EC">
        <w:rPr>
          <w:b/>
          <w:i/>
        </w:rPr>
        <w:t>Federal Register</w:t>
      </w:r>
      <w:r w:rsidRPr="002F126A">
        <w:rPr>
          <w:b/>
        </w:rPr>
        <w:t xml:space="preserve"> of the agency’s notice, soliciting comments on the information collection prior to submission to OMB. Summarize public comments received in response to that notice and describe actions taken by the agency in response to these comments.</w:t>
      </w:r>
      <w:bookmarkEnd w:id="71"/>
    </w:p>
    <w:p w14:paraId="7AD1538D" w14:textId="77777777" w:rsidR="00271489" w:rsidRPr="002F126A" w:rsidRDefault="00271489" w:rsidP="00271489">
      <w:pPr>
        <w:pStyle w:val="L1-FlLSp12"/>
        <w:rPr>
          <w:b/>
        </w:rPr>
      </w:pPr>
      <w:bookmarkStart w:id="72" w:name="_Toc316652487"/>
      <w:bookmarkStart w:id="73" w:name="_Toc325472114"/>
      <w:bookmarkStart w:id="74" w:name="_Toc325552288"/>
      <w:bookmarkStart w:id="75" w:name="_Toc400376140"/>
      <w:r w:rsidRPr="002F126A">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72"/>
      <w:bookmarkEnd w:id="73"/>
      <w:bookmarkEnd w:id="74"/>
      <w:bookmarkEnd w:id="75"/>
    </w:p>
    <w:p w14:paraId="4B7F4FC5" w14:textId="77777777" w:rsidR="00271489" w:rsidRDefault="00271489" w:rsidP="00271489">
      <w:pPr>
        <w:pStyle w:val="L1-FlLSp12"/>
      </w:pPr>
    </w:p>
    <w:p w14:paraId="6E241999" w14:textId="77777777" w:rsidR="00271489" w:rsidRPr="00450128" w:rsidRDefault="00271489" w:rsidP="0047782E">
      <w:pPr>
        <w:pStyle w:val="Heading5"/>
      </w:pPr>
      <w:r w:rsidRPr="003702B9">
        <w:tab/>
        <w:t>Federal Register</w:t>
      </w:r>
      <w:r>
        <w:t xml:space="preserve"> Notice and Comments</w:t>
      </w:r>
    </w:p>
    <w:p w14:paraId="5B301310" w14:textId="52C3CD67" w:rsidR="00D45139" w:rsidRDefault="005857BB" w:rsidP="00271489">
      <w:pPr>
        <w:pStyle w:val="L1-FlLSp12"/>
        <w:rPr>
          <w:sz w:val="23"/>
          <w:szCs w:val="23"/>
        </w:rPr>
      </w:pPr>
      <w:r w:rsidRPr="00083472">
        <w:rPr>
          <w:sz w:val="23"/>
          <w:szCs w:val="23"/>
        </w:rPr>
        <w:t>ER</w:t>
      </w:r>
      <w:r w:rsidR="00271489" w:rsidRPr="00083472">
        <w:rPr>
          <w:sz w:val="23"/>
          <w:szCs w:val="23"/>
        </w:rPr>
        <w:t xml:space="preserve">S published a notice on </w:t>
      </w:r>
      <w:r w:rsidRPr="00083472">
        <w:rPr>
          <w:sz w:val="23"/>
          <w:szCs w:val="23"/>
        </w:rPr>
        <w:t>April 6</w:t>
      </w:r>
      <w:r w:rsidR="00271489" w:rsidRPr="00083472">
        <w:rPr>
          <w:sz w:val="23"/>
          <w:szCs w:val="23"/>
        </w:rPr>
        <w:t xml:space="preserve">, </w:t>
      </w:r>
      <w:r w:rsidRPr="00083472">
        <w:rPr>
          <w:sz w:val="23"/>
          <w:szCs w:val="23"/>
        </w:rPr>
        <w:t>2016</w:t>
      </w:r>
      <w:r w:rsidR="00271489" w:rsidRPr="00083472">
        <w:rPr>
          <w:sz w:val="23"/>
          <w:szCs w:val="23"/>
        </w:rPr>
        <w:t xml:space="preserve"> in the </w:t>
      </w:r>
      <w:r w:rsidR="00271489" w:rsidRPr="00083472">
        <w:rPr>
          <w:i/>
          <w:sz w:val="23"/>
          <w:szCs w:val="23"/>
        </w:rPr>
        <w:t>Federal Register</w:t>
      </w:r>
      <w:r w:rsidR="00271489" w:rsidRPr="00083472">
        <w:rPr>
          <w:sz w:val="23"/>
          <w:szCs w:val="23"/>
        </w:rPr>
        <w:t xml:space="preserve">, </w:t>
      </w:r>
      <w:r w:rsidR="00D2551D" w:rsidRPr="00083472">
        <w:rPr>
          <w:sz w:val="23"/>
          <w:szCs w:val="23"/>
        </w:rPr>
        <w:t xml:space="preserve">Document Citation: </w:t>
      </w:r>
      <w:r w:rsidR="00741A68">
        <w:rPr>
          <w:sz w:val="23"/>
          <w:szCs w:val="23"/>
        </w:rPr>
        <w:t xml:space="preserve">Volume </w:t>
      </w:r>
      <w:r w:rsidR="00D2551D" w:rsidRPr="00083472">
        <w:rPr>
          <w:sz w:val="23"/>
          <w:szCs w:val="23"/>
        </w:rPr>
        <w:t>81</w:t>
      </w:r>
      <w:r w:rsidR="00741A68">
        <w:rPr>
          <w:sz w:val="23"/>
          <w:szCs w:val="23"/>
        </w:rPr>
        <w:t>, No. 66</w:t>
      </w:r>
      <w:r w:rsidR="00D2551D" w:rsidRPr="00083472">
        <w:rPr>
          <w:sz w:val="23"/>
          <w:szCs w:val="23"/>
        </w:rPr>
        <w:t xml:space="preserve"> </w:t>
      </w:r>
      <w:r w:rsidR="00D3107A">
        <w:rPr>
          <w:sz w:val="23"/>
          <w:szCs w:val="23"/>
        </w:rPr>
        <w:t>April 6, 2016</w:t>
      </w:r>
      <w:r w:rsidR="00271489" w:rsidRPr="00083472">
        <w:rPr>
          <w:sz w:val="23"/>
          <w:szCs w:val="23"/>
        </w:rPr>
        <w:t xml:space="preserve">, pages </w:t>
      </w:r>
      <w:r w:rsidR="00D2551D" w:rsidRPr="00083472">
        <w:rPr>
          <w:sz w:val="23"/>
          <w:szCs w:val="23"/>
        </w:rPr>
        <w:t>19951-19953</w:t>
      </w:r>
      <w:r w:rsidR="00FA55FA" w:rsidRPr="00083472">
        <w:rPr>
          <w:sz w:val="23"/>
          <w:szCs w:val="23"/>
        </w:rPr>
        <w:t>, Document Number:</w:t>
      </w:r>
      <w:r w:rsidR="00271489" w:rsidRPr="00083472">
        <w:rPr>
          <w:sz w:val="23"/>
          <w:szCs w:val="23"/>
        </w:rPr>
        <w:t xml:space="preserve"> </w:t>
      </w:r>
      <w:r w:rsidR="00FA55FA" w:rsidRPr="00083472">
        <w:rPr>
          <w:sz w:val="23"/>
          <w:szCs w:val="23"/>
        </w:rPr>
        <w:t>2016-07850</w:t>
      </w:r>
      <w:r w:rsidR="00E764B4">
        <w:rPr>
          <w:sz w:val="23"/>
          <w:szCs w:val="23"/>
        </w:rPr>
        <w:t xml:space="preserve"> (See Appendix A8a)</w:t>
      </w:r>
      <w:r w:rsidR="00FA55FA" w:rsidRPr="00083472">
        <w:rPr>
          <w:sz w:val="23"/>
          <w:szCs w:val="23"/>
        </w:rPr>
        <w:t>. The</w:t>
      </w:r>
      <w:r w:rsidR="00271489" w:rsidRPr="00083472">
        <w:rPr>
          <w:sz w:val="23"/>
          <w:szCs w:val="23"/>
        </w:rPr>
        <w:t xml:space="preserve"> 60-day period for public comments</w:t>
      </w:r>
      <w:r w:rsidR="00D2551D" w:rsidRPr="00083472">
        <w:rPr>
          <w:sz w:val="23"/>
          <w:szCs w:val="23"/>
        </w:rPr>
        <w:t xml:space="preserve"> ended June 6, 2016. </w:t>
      </w:r>
    </w:p>
    <w:p w14:paraId="7A2B1FAB" w14:textId="77777777" w:rsidR="00D45139" w:rsidRDefault="00D45139" w:rsidP="00271489">
      <w:pPr>
        <w:pStyle w:val="L1-FlLSp12"/>
        <w:rPr>
          <w:sz w:val="23"/>
          <w:szCs w:val="23"/>
        </w:rPr>
      </w:pPr>
    </w:p>
    <w:p w14:paraId="79F6E509" w14:textId="763AC77E" w:rsidR="00267F75" w:rsidRDefault="00D2551D" w:rsidP="00271489">
      <w:pPr>
        <w:pStyle w:val="L1-FlLSp12"/>
        <w:rPr>
          <w:sz w:val="23"/>
          <w:szCs w:val="23"/>
        </w:rPr>
      </w:pPr>
      <w:r w:rsidRPr="00083472">
        <w:rPr>
          <w:sz w:val="23"/>
          <w:szCs w:val="23"/>
        </w:rPr>
        <w:t>ERS</w:t>
      </w:r>
      <w:r w:rsidR="00271489" w:rsidRPr="00083472">
        <w:rPr>
          <w:sz w:val="23"/>
          <w:szCs w:val="23"/>
        </w:rPr>
        <w:t xml:space="preserve"> received </w:t>
      </w:r>
      <w:r w:rsidR="00C2121D">
        <w:rPr>
          <w:sz w:val="23"/>
          <w:szCs w:val="23"/>
        </w:rPr>
        <w:t>one</w:t>
      </w:r>
      <w:r w:rsidR="00271489" w:rsidRPr="00083472">
        <w:rPr>
          <w:sz w:val="23"/>
          <w:szCs w:val="23"/>
        </w:rPr>
        <w:t xml:space="preserve"> comment</w:t>
      </w:r>
      <w:r w:rsidR="00D3107A">
        <w:rPr>
          <w:sz w:val="23"/>
          <w:szCs w:val="23"/>
        </w:rPr>
        <w:t xml:space="preserve"> (see Appendix A8b)</w:t>
      </w:r>
      <w:r w:rsidR="00267F75" w:rsidRPr="00083472">
        <w:rPr>
          <w:sz w:val="23"/>
          <w:szCs w:val="23"/>
        </w:rPr>
        <w:t>.</w:t>
      </w:r>
      <w:r w:rsidR="00D45139">
        <w:rPr>
          <w:sz w:val="23"/>
          <w:szCs w:val="23"/>
        </w:rPr>
        <w:t xml:space="preserve"> The comment recommended that the ADCM be shut down because ERS has too many surveys and needs to keep spending down. It also indicated that ERS does not need the information requested.  </w:t>
      </w:r>
      <w:r w:rsidR="00D3107A">
        <w:rPr>
          <w:sz w:val="23"/>
          <w:szCs w:val="23"/>
        </w:rPr>
        <w:t>ERS respond</w:t>
      </w:r>
      <w:r w:rsidR="00FB6B8F">
        <w:rPr>
          <w:sz w:val="23"/>
          <w:szCs w:val="23"/>
        </w:rPr>
        <w:t>s</w:t>
      </w:r>
      <w:r w:rsidR="00D3107A">
        <w:rPr>
          <w:sz w:val="23"/>
          <w:szCs w:val="23"/>
        </w:rPr>
        <w:t xml:space="preserve"> as follows:</w:t>
      </w:r>
    </w:p>
    <w:p w14:paraId="4CDA89BC" w14:textId="77777777" w:rsidR="00D3107A" w:rsidRPr="00083472" w:rsidRDefault="00D3107A" w:rsidP="00271489">
      <w:pPr>
        <w:pStyle w:val="L1-FlLSp12"/>
        <w:rPr>
          <w:sz w:val="23"/>
          <w:szCs w:val="23"/>
        </w:rPr>
      </w:pPr>
    </w:p>
    <w:p w14:paraId="2C461FCC" w14:textId="47A06C35" w:rsidR="00094D2F" w:rsidRPr="008C0E5D" w:rsidRDefault="00D3107A" w:rsidP="00A85395">
      <w:pPr>
        <w:spacing w:line="360" w:lineRule="atLeast"/>
        <w:rPr>
          <w:sz w:val="23"/>
          <w:szCs w:val="23"/>
        </w:rPr>
      </w:pPr>
      <w:r>
        <w:t>“</w:t>
      </w:r>
      <w:r w:rsidR="00094D2F" w:rsidRPr="008C0E5D">
        <w:rPr>
          <w:sz w:val="23"/>
          <w:szCs w:val="23"/>
        </w:rPr>
        <w:t xml:space="preserve">The Agency has made no changes to plans for the National Food Study (NFS) Pilot in response to this comment. Every effort has been made to allocate Federal resources wisely in planning for and conducting the NFS Pilot. The Agency believes that the NFS Pilot is an important step in testing a more efficient, less costly, and less burdensome means of collecting information on U.S. household food </w:t>
      </w:r>
      <w:r w:rsidR="00094D2F" w:rsidRPr="008C0E5D">
        <w:rPr>
          <w:sz w:val="23"/>
          <w:szCs w:val="23"/>
        </w:rPr>
        <w:lastRenderedPageBreak/>
        <w:t>acquisition patterns. Information on food acquisition patterns, in turn, is needed to help Federal food assistance and nutrition agencies and policy makers improve programs designed to improve nutrition and health of low-income households.</w:t>
      </w:r>
      <w:r>
        <w:rPr>
          <w:sz w:val="23"/>
          <w:szCs w:val="23"/>
        </w:rPr>
        <w:t>”</w:t>
      </w:r>
      <w:r w:rsidR="00094D2F" w:rsidRPr="008C0E5D">
        <w:rPr>
          <w:sz w:val="23"/>
          <w:szCs w:val="23"/>
        </w:rPr>
        <w:t xml:space="preserve">  </w:t>
      </w:r>
    </w:p>
    <w:p w14:paraId="61DDAD8A" w14:textId="77777777" w:rsidR="00423382" w:rsidRDefault="00423382" w:rsidP="00271489">
      <w:pPr>
        <w:pStyle w:val="L1-FlLSp12"/>
        <w:rPr>
          <w:sz w:val="23"/>
          <w:szCs w:val="23"/>
        </w:rPr>
      </w:pPr>
    </w:p>
    <w:p w14:paraId="290FA4AE" w14:textId="46A39BC7" w:rsidR="00271489" w:rsidRPr="00083472" w:rsidRDefault="00271489" w:rsidP="00271489">
      <w:pPr>
        <w:pStyle w:val="L1-FlLSp12"/>
        <w:rPr>
          <w:sz w:val="23"/>
          <w:szCs w:val="23"/>
        </w:rPr>
      </w:pPr>
      <w:r w:rsidRPr="00083472">
        <w:rPr>
          <w:sz w:val="23"/>
          <w:szCs w:val="23"/>
        </w:rPr>
        <w:t xml:space="preserve">The information collection request has been reviewed by </w:t>
      </w:r>
      <w:bookmarkStart w:id="76" w:name="_Toc400376145"/>
      <w:bookmarkEnd w:id="19"/>
      <w:r w:rsidR="00C803C7">
        <w:rPr>
          <w:sz w:val="23"/>
          <w:szCs w:val="23"/>
        </w:rPr>
        <w:t xml:space="preserve">Dr. </w:t>
      </w:r>
      <w:r w:rsidR="0085499E">
        <w:rPr>
          <w:sz w:val="23"/>
          <w:szCs w:val="23"/>
        </w:rPr>
        <w:t>Barbara Murphy</w:t>
      </w:r>
      <w:r w:rsidR="00C803C7">
        <w:rPr>
          <w:sz w:val="23"/>
          <w:szCs w:val="23"/>
        </w:rPr>
        <w:t xml:space="preserve">, Chief-SNAP Analysis Branch, </w:t>
      </w:r>
      <w:r w:rsidR="0085499E">
        <w:rPr>
          <w:sz w:val="23"/>
          <w:szCs w:val="23"/>
        </w:rPr>
        <w:t>Office of Policy Support (OPS)</w:t>
      </w:r>
      <w:r w:rsidR="00C803C7">
        <w:rPr>
          <w:sz w:val="23"/>
          <w:szCs w:val="23"/>
        </w:rPr>
        <w:t>,</w:t>
      </w:r>
      <w:r w:rsidR="0085499E">
        <w:rPr>
          <w:sz w:val="23"/>
          <w:szCs w:val="23"/>
        </w:rPr>
        <w:t xml:space="preserve"> Food and Nutrition Service (</w:t>
      </w:r>
      <w:r w:rsidR="00F70A11">
        <w:rPr>
          <w:sz w:val="23"/>
          <w:szCs w:val="23"/>
        </w:rPr>
        <w:t>FNS</w:t>
      </w:r>
      <w:r w:rsidR="0085499E">
        <w:rPr>
          <w:sz w:val="23"/>
          <w:szCs w:val="23"/>
        </w:rPr>
        <w:t>) of the U.S. Department of Agriculture</w:t>
      </w:r>
      <w:r w:rsidR="0040581F">
        <w:rPr>
          <w:sz w:val="23"/>
          <w:szCs w:val="23"/>
        </w:rPr>
        <w:t xml:space="preserve"> </w:t>
      </w:r>
      <w:r w:rsidR="00C803C7">
        <w:rPr>
          <w:sz w:val="23"/>
          <w:szCs w:val="23"/>
        </w:rPr>
        <w:t>(703-305-2532),</w:t>
      </w:r>
      <w:r w:rsidR="00FB6B8F">
        <w:rPr>
          <w:sz w:val="23"/>
          <w:szCs w:val="23"/>
        </w:rPr>
        <w:t xml:space="preserve"> </w:t>
      </w:r>
      <w:r w:rsidR="0040581F">
        <w:rPr>
          <w:sz w:val="23"/>
          <w:szCs w:val="23"/>
        </w:rPr>
        <w:t xml:space="preserve">and </w:t>
      </w:r>
      <w:r w:rsidR="00C803C7">
        <w:rPr>
          <w:sz w:val="23"/>
          <w:szCs w:val="23"/>
        </w:rPr>
        <w:t xml:space="preserve">Dr. </w:t>
      </w:r>
      <w:r w:rsidR="0040581F">
        <w:rPr>
          <w:sz w:val="23"/>
          <w:szCs w:val="23"/>
        </w:rPr>
        <w:t xml:space="preserve">Brady </w:t>
      </w:r>
      <w:r w:rsidR="00FB6B8F">
        <w:rPr>
          <w:sz w:val="23"/>
          <w:szCs w:val="23"/>
        </w:rPr>
        <w:t xml:space="preserve">T. </w:t>
      </w:r>
      <w:r w:rsidR="0040581F">
        <w:rPr>
          <w:sz w:val="23"/>
          <w:szCs w:val="23"/>
        </w:rPr>
        <w:t>West</w:t>
      </w:r>
      <w:r w:rsidR="00C803C7">
        <w:rPr>
          <w:sz w:val="23"/>
          <w:szCs w:val="23"/>
        </w:rPr>
        <w:t>, Research Assistant Professor,</w:t>
      </w:r>
      <w:r w:rsidR="0040581F">
        <w:rPr>
          <w:sz w:val="23"/>
          <w:szCs w:val="23"/>
        </w:rPr>
        <w:t xml:space="preserve"> </w:t>
      </w:r>
      <w:r w:rsidR="00FB6B8F">
        <w:rPr>
          <w:sz w:val="23"/>
          <w:szCs w:val="23"/>
        </w:rPr>
        <w:t>S</w:t>
      </w:r>
      <w:r w:rsidR="00C803C7">
        <w:rPr>
          <w:sz w:val="23"/>
          <w:szCs w:val="23"/>
        </w:rPr>
        <w:t>urvey Methodology Program (SMP), Survey Research Center (SRC), Institute for Social Research (ISR) at</w:t>
      </w:r>
      <w:r w:rsidR="00FB6B8F">
        <w:rPr>
          <w:sz w:val="23"/>
          <w:szCs w:val="23"/>
        </w:rPr>
        <w:t xml:space="preserve"> the </w:t>
      </w:r>
      <w:r w:rsidR="0040581F">
        <w:rPr>
          <w:sz w:val="23"/>
          <w:szCs w:val="23"/>
        </w:rPr>
        <w:t>University of Michigan</w:t>
      </w:r>
      <w:r w:rsidR="00FB6B8F">
        <w:rPr>
          <w:sz w:val="23"/>
          <w:szCs w:val="23"/>
        </w:rPr>
        <w:t>-Ann Arbor</w:t>
      </w:r>
      <w:r w:rsidR="0040581F">
        <w:rPr>
          <w:sz w:val="23"/>
          <w:szCs w:val="23"/>
        </w:rPr>
        <w:t xml:space="preserve"> </w:t>
      </w:r>
      <w:r w:rsidR="00FB6B8F">
        <w:rPr>
          <w:sz w:val="23"/>
          <w:szCs w:val="23"/>
        </w:rPr>
        <w:t>(734-647-4615)</w:t>
      </w:r>
      <w:r w:rsidR="0040581F">
        <w:rPr>
          <w:sz w:val="23"/>
          <w:szCs w:val="23"/>
        </w:rPr>
        <w:t>.</w:t>
      </w:r>
    </w:p>
    <w:p w14:paraId="582D80C0" w14:textId="77777777" w:rsidR="0047782E" w:rsidRDefault="0047782E" w:rsidP="00271489">
      <w:pPr>
        <w:pStyle w:val="L1-FlLSp12"/>
      </w:pPr>
    </w:p>
    <w:p w14:paraId="7A6ED184" w14:textId="0D9C063A" w:rsidR="00F828D2" w:rsidRDefault="00F828D2">
      <w:pPr>
        <w:spacing w:line="240" w:lineRule="auto"/>
        <w:rPr>
          <w:rFonts w:ascii="Franklin Gothic Medium" w:hAnsi="Franklin Gothic Medium"/>
          <w:b/>
          <w:color w:val="324162"/>
          <w:sz w:val="32"/>
        </w:rPr>
      </w:pPr>
    </w:p>
    <w:p w14:paraId="0868A80C" w14:textId="77777777" w:rsidR="00271489" w:rsidRPr="003702B9" w:rsidRDefault="00271489" w:rsidP="00271489">
      <w:pPr>
        <w:pStyle w:val="Heading2"/>
      </w:pPr>
      <w:r w:rsidRPr="003702B9">
        <w:t>A.9</w:t>
      </w:r>
      <w:r w:rsidRPr="003702B9">
        <w:tab/>
        <w:t>Explanation of Any Payment or Gift to Respondents</w:t>
      </w:r>
      <w:bookmarkEnd w:id="76"/>
    </w:p>
    <w:p w14:paraId="320387D6" w14:textId="77777777" w:rsidR="00267F75" w:rsidRPr="002F126A" w:rsidRDefault="00271489" w:rsidP="00271489">
      <w:pPr>
        <w:pStyle w:val="L1-FlLSp12"/>
        <w:rPr>
          <w:b/>
        </w:rPr>
      </w:pPr>
      <w:r w:rsidRPr="002F126A">
        <w:rPr>
          <w:b/>
        </w:rPr>
        <w:t>Explain any decision to provide any payment or gift to respondents, other than remuneration of contractors or grantees</w:t>
      </w:r>
      <w:r w:rsidR="00267F75" w:rsidRPr="002F126A">
        <w:rPr>
          <w:b/>
        </w:rPr>
        <w:t>.</w:t>
      </w:r>
    </w:p>
    <w:p w14:paraId="4C7EEE6A" w14:textId="77777777" w:rsidR="0047782E" w:rsidRDefault="0047782E" w:rsidP="00271489">
      <w:pPr>
        <w:pStyle w:val="L1-FlLSp12"/>
      </w:pPr>
    </w:p>
    <w:p w14:paraId="52F220C8" w14:textId="74C6255E" w:rsidR="006414F6" w:rsidRDefault="007C4303" w:rsidP="007C4303">
      <w:pPr>
        <w:spacing w:line="360" w:lineRule="atLeast"/>
        <w:rPr>
          <w:sz w:val="23"/>
          <w:szCs w:val="23"/>
        </w:rPr>
      </w:pPr>
      <w:r>
        <w:rPr>
          <w:sz w:val="23"/>
          <w:szCs w:val="23"/>
        </w:rPr>
        <w:t xml:space="preserve">Permission is being requested to offer financial incentives to households. </w:t>
      </w:r>
      <w:r w:rsidR="006414F6">
        <w:rPr>
          <w:sz w:val="23"/>
          <w:szCs w:val="23"/>
        </w:rPr>
        <w:t xml:space="preserve">The ADCM </w:t>
      </w:r>
      <w:r w:rsidR="000F5953">
        <w:rPr>
          <w:sz w:val="23"/>
          <w:szCs w:val="23"/>
        </w:rPr>
        <w:t xml:space="preserve">Pilot Test </w:t>
      </w:r>
      <w:r w:rsidR="006414F6">
        <w:rPr>
          <w:sz w:val="23"/>
          <w:szCs w:val="23"/>
        </w:rPr>
        <w:t xml:space="preserve">has a complex data collection protocol. </w:t>
      </w:r>
      <w:r w:rsidR="001D7543">
        <w:rPr>
          <w:sz w:val="23"/>
          <w:szCs w:val="23"/>
        </w:rPr>
        <w:t xml:space="preserve">The incentive plan is designed to </w:t>
      </w:r>
      <w:r w:rsidR="00C67FD5">
        <w:rPr>
          <w:sz w:val="23"/>
          <w:szCs w:val="23"/>
        </w:rPr>
        <w:t xml:space="preserve">compensate </w:t>
      </w:r>
      <w:r w:rsidR="001D7543">
        <w:rPr>
          <w:sz w:val="23"/>
          <w:szCs w:val="23"/>
        </w:rPr>
        <w:t xml:space="preserve">respondents </w:t>
      </w:r>
      <w:r w:rsidR="00C67FD5">
        <w:rPr>
          <w:sz w:val="23"/>
          <w:szCs w:val="23"/>
        </w:rPr>
        <w:t xml:space="preserve">for the burden associated with </w:t>
      </w:r>
      <w:r w:rsidR="006414F6">
        <w:rPr>
          <w:sz w:val="23"/>
          <w:szCs w:val="23"/>
        </w:rPr>
        <w:t xml:space="preserve">completing several CAPI instruments, a seven-day food log, and </w:t>
      </w:r>
      <w:r w:rsidR="001D7543">
        <w:rPr>
          <w:sz w:val="23"/>
          <w:szCs w:val="23"/>
        </w:rPr>
        <w:t xml:space="preserve">an </w:t>
      </w:r>
      <w:r w:rsidR="006414F6">
        <w:rPr>
          <w:sz w:val="23"/>
          <w:szCs w:val="23"/>
        </w:rPr>
        <w:t>income</w:t>
      </w:r>
      <w:r w:rsidR="001D7543">
        <w:rPr>
          <w:sz w:val="23"/>
          <w:szCs w:val="23"/>
        </w:rPr>
        <w:t xml:space="preserve"> worksheet</w:t>
      </w:r>
      <w:r w:rsidR="006414F6">
        <w:rPr>
          <w:sz w:val="23"/>
          <w:szCs w:val="23"/>
        </w:rPr>
        <w:t xml:space="preserve">. </w:t>
      </w:r>
      <w:r w:rsidR="001D7543">
        <w:rPr>
          <w:sz w:val="23"/>
          <w:szCs w:val="23"/>
        </w:rPr>
        <w:t xml:space="preserve">The field test conducted </w:t>
      </w:r>
      <w:r w:rsidR="00CD4F8B">
        <w:rPr>
          <w:sz w:val="23"/>
          <w:szCs w:val="23"/>
        </w:rPr>
        <w:t>for the 2012 FoodAPS</w:t>
      </w:r>
      <w:r w:rsidR="001D7543">
        <w:rPr>
          <w:sz w:val="23"/>
          <w:szCs w:val="23"/>
        </w:rPr>
        <w:t xml:space="preserve"> showed that response rates increased by a couple percentage points when respondents were offered </w:t>
      </w:r>
      <w:r w:rsidR="000F5953">
        <w:rPr>
          <w:sz w:val="23"/>
          <w:szCs w:val="23"/>
        </w:rPr>
        <w:t>a base incentive of $100 compared to $50</w:t>
      </w:r>
      <w:r w:rsidR="001D7543">
        <w:rPr>
          <w:sz w:val="23"/>
          <w:szCs w:val="23"/>
        </w:rPr>
        <w:t xml:space="preserve">. </w:t>
      </w:r>
      <w:r w:rsidR="00CD4F8B">
        <w:rPr>
          <w:sz w:val="23"/>
          <w:szCs w:val="23"/>
        </w:rPr>
        <w:t>The tables that follow show that the</w:t>
      </w:r>
      <w:r w:rsidR="001D7543">
        <w:rPr>
          <w:sz w:val="23"/>
          <w:szCs w:val="23"/>
        </w:rPr>
        <w:t xml:space="preserve"> </w:t>
      </w:r>
      <w:r w:rsidR="00CD4F8B">
        <w:rPr>
          <w:sz w:val="23"/>
          <w:szCs w:val="23"/>
        </w:rPr>
        <w:t xml:space="preserve">proposed incentive plan is very similar to the one </w:t>
      </w:r>
      <w:r w:rsidR="006414F6">
        <w:rPr>
          <w:sz w:val="23"/>
          <w:szCs w:val="23"/>
        </w:rPr>
        <w:t>implemented dur</w:t>
      </w:r>
      <w:r w:rsidR="00CD4F8B">
        <w:rPr>
          <w:sz w:val="23"/>
          <w:szCs w:val="23"/>
        </w:rPr>
        <w:t>ing the 2012 FoodAPS</w:t>
      </w:r>
      <w:r w:rsidR="006414F6">
        <w:rPr>
          <w:sz w:val="23"/>
          <w:szCs w:val="23"/>
        </w:rPr>
        <w:t xml:space="preserve">. However, the </w:t>
      </w:r>
      <w:r w:rsidR="006131D6">
        <w:rPr>
          <w:sz w:val="23"/>
          <w:szCs w:val="23"/>
        </w:rPr>
        <w:t>proposed plan</w:t>
      </w:r>
      <w:r w:rsidR="006414F6">
        <w:rPr>
          <w:sz w:val="23"/>
          <w:szCs w:val="23"/>
        </w:rPr>
        <w:t xml:space="preserve"> </w:t>
      </w:r>
      <w:r w:rsidR="00AA3FE8">
        <w:rPr>
          <w:sz w:val="23"/>
          <w:szCs w:val="23"/>
        </w:rPr>
        <w:t>is structured differently and</w:t>
      </w:r>
      <w:r w:rsidR="006414F6">
        <w:rPr>
          <w:sz w:val="23"/>
          <w:szCs w:val="23"/>
        </w:rPr>
        <w:t xml:space="preserve"> is guided by</w:t>
      </w:r>
      <w:r w:rsidR="00CD4F8B">
        <w:rPr>
          <w:sz w:val="23"/>
          <w:szCs w:val="23"/>
        </w:rPr>
        <w:t xml:space="preserve"> </w:t>
      </w:r>
      <w:r w:rsidR="006414F6">
        <w:rPr>
          <w:sz w:val="23"/>
          <w:szCs w:val="23"/>
        </w:rPr>
        <w:t xml:space="preserve">gamification theory.  </w:t>
      </w:r>
      <w:r w:rsidR="00CD4F8B">
        <w:rPr>
          <w:sz w:val="23"/>
          <w:szCs w:val="23"/>
        </w:rPr>
        <w:t xml:space="preserve">The design </w:t>
      </w:r>
      <w:r w:rsidR="006131D6">
        <w:rPr>
          <w:sz w:val="23"/>
          <w:szCs w:val="23"/>
        </w:rPr>
        <w:t>is intended to</w:t>
      </w:r>
      <w:r w:rsidR="006414F6">
        <w:rPr>
          <w:sz w:val="23"/>
          <w:szCs w:val="23"/>
        </w:rPr>
        <w:t xml:space="preserve"> reduce overall survey costs by improving response rates and data quality.</w:t>
      </w:r>
    </w:p>
    <w:p w14:paraId="16C341BE" w14:textId="77777777" w:rsidR="006414F6" w:rsidRDefault="006414F6" w:rsidP="007C4303">
      <w:pPr>
        <w:spacing w:line="360" w:lineRule="atLeast"/>
        <w:rPr>
          <w:sz w:val="23"/>
          <w:szCs w:val="23"/>
        </w:rPr>
      </w:pPr>
    </w:p>
    <w:p w14:paraId="3C8D31E6" w14:textId="70948793" w:rsidR="007C4303" w:rsidRPr="007C4303" w:rsidRDefault="007C4303" w:rsidP="007C4303">
      <w:pPr>
        <w:spacing w:line="360" w:lineRule="atLeast"/>
        <w:rPr>
          <w:sz w:val="23"/>
          <w:szCs w:val="23"/>
        </w:rPr>
      </w:pPr>
      <w:r w:rsidRPr="007C4303">
        <w:rPr>
          <w:sz w:val="23"/>
          <w:szCs w:val="23"/>
        </w:rPr>
        <w:t xml:space="preserve">Westat </w:t>
      </w:r>
      <w:r>
        <w:rPr>
          <w:sz w:val="23"/>
          <w:szCs w:val="23"/>
        </w:rPr>
        <w:t xml:space="preserve">would like </w:t>
      </w:r>
      <w:r w:rsidRPr="007C4303">
        <w:rPr>
          <w:sz w:val="23"/>
          <w:szCs w:val="23"/>
        </w:rPr>
        <w:t xml:space="preserve">to implement an incentive scheme guided by the gamification theory (Richter, Raban, and Rafaeli, 2015) to increase survey response rates and also </w:t>
      </w:r>
      <w:r>
        <w:rPr>
          <w:sz w:val="23"/>
          <w:szCs w:val="23"/>
        </w:rPr>
        <w:t>food log</w:t>
      </w:r>
      <w:r w:rsidRPr="007C4303">
        <w:rPr>
          <w:sz w:val="23"/>
          <w:szCs w:val="23"/>
        </w:rPr>
        <w:t xml:space="preserve"> entries throughout the week. The proposed incentive scheme has two parts. The first part involves household-level incentives that are the same for all sampled households</w:t>
      </w:r>
      <w:r w:rsidR="00A1335E">
        <w:rPr>
          <w:sz w:val="23"/>
          <w:szCs w:val="23"/>
        </w:rPr>
        <w:t>; for instance, households will receive $50 upon completing the Initial Interview</w:t>
      </w:r>
      <w:r w:rsidR="00EB32A3">
        <w:rPr>
          <w:sz w:val="23"/>
          <w:szCs w:val="23"/>
        </w:rPr>
        <w:t xml:space="preserve">. </w:t>
      </w:r>
      <w:r w:rsidRPr="007C4303">
        <w:rPr>
          <w:sz w:val="23"/>
          <w:szCs w:val="23"/>
        </w:rPr>
        <w:t xml:space="preserve">The second part is </w:t>
      </w:r>
      <w:r w:rsidR="00EB32A3">
        <w:rPr>
          <w:sz w:val="23"/>
          <w:szCs w:val="23"/>
        </w:rPr>
        <w:t xml:space="preserve">a </w:t>
      </w:r>
      <w:r w:rsidRPr="007C4303">
        <w:rPr>
          <w:sz w:val="23"/>
          <w:szCs w:val="23"/>
        </w:rPr>
        <w:t xml:space="preserve">cumulative incentive driven by </w:t>
      </w:r>
      <w:r w:rsidR="006131D6">
        <w:rPr>
          <w:sz w:val="23"/>
          <w:szCs w:val="23"/>
        </w:rPr>
        <w:t xml:space="preserve">food </w:t>
      </w:r>
      <w:r w:rsidR="00EB32A3">
        <w:rPr>
          <w:sz w:val="23"/>
          <w:szCs w:val="23"/>
        </w:rPr>
        <w:t>log</w:t>
      </w:r>
      <w:r w:rsidR="006131D6">
        <w:rPr>
          <w:sz w:val="23"/>
          <w:szCs w:val="23"/>
        </w:rPr>
        <w:t>-</w:t>
      </w:r>
      <w:r w:rsidRPr="007C4303">
        <w:rPr>
          <w:sz w:val="23"/>
          <w:szCs w:val="23"/>
        </w:rPr>
        <w:t xml:space="preserve">keeping behaviors; we propose to give $3 per day for each person </w:t>
      </w:r>
      <w:r w:rsidR="00A1335E">
        <w:rPr>
          <w:sz w:val="23"/>
          <w:szCs w:val="23"/>
        </w:rPr>
        <w:t xml:space="preserve">who has logged foods obtained (for purchase or for free) </w:t>
      </w:r>
      <w:r w:rsidRPr="007C4303">
        <w:rPr>
          <w:sz w:val="23"/>
          <w:szCs w:val="23"/>
        </w:rPr>
        <w:t>for that day and a bonus of $50 to the whole household that record</w:t>
      </w:r>
      <w:r w:rsidR="00EB32A3">
        <w:rPr>
          <w:sz w:val="23"/>
          <w:szCs w:val="23"/>
        </w:rPr>
        <w:t>s</w:t>
      </w:r>
      <w:r w:rsidRPr="007C4303">
        <w:rPr>
          <w:sz w:val="23"/>
          <w:szCs w:val="23"/>
        </w:rPr>
        <w:t xml:space="preserve"> food </w:t>
      </w:r>
      <w:r w:rsidR="00EB32A3">
        <w:rPr>
          <w:sz w:val="23"/>
          <w:szCs w:val="23"/>
        </w:rPr>
        <w:t>logs</w:t>
      </w:r>
      <w:r w:rsidRPr="007C4303">
        <w:rPr>
          <w:sz w:val="23"/>
          <w:szCs w:val="23"/>
        </w:rPr>
        <w:t xml:space="preserve"> for all 7 days and </w:t>
      </w:r>
      <w:r w:rsidR="00EB32A3">
        <w:rPr>
          <w:sz w:val="23"/>
          <w:szCs w:val="23"/>
        </w:rPr>
        <w:t>completes the final interview</w:t>
      </w:r>
      <w:r w:rsidRPr="007C4303">
        <w:rPr>
          <w:sz w:val="23"/>
          <w:szCs w:val="23"/>
        </w:rPr>
        <w:t>. Following the gamifica</w:t>
      </w:r>
      <w:r w:rsidR="00EB32A3">
        <w:rPr>
          <w:sz w:val="23"/>
          <w:szCs w:val="23"/>
        </w:rPr>
        <w:t xml:space="preserve">tion theory, Westat will send </w:t>
      </w:r>
      <w:r w:rsidRPr="007C4303">
        <w:rPr>
          <w:sz w:val="23"/>
          <w:szCs w:val="23"/>
        </w:rPr>
        <w:t>daily notification</w:t>
      </w:r>
      <w:r w:rsidR="00EB32A3">
        <w:rPr>
          <w:sz w:val="23"/>
          <w:szCs w:val="23"/>
        </w:rPr>
        <w:t>s</w:t>
      </w:r>
      <w:r w:rsidRPr="007C4303">
        <w:rPr>
          <w:sz w:val="23"/>
          <w:szCs w:val="23"/>
        </w:rPr>
        <w:t xml:space="preserve"> to respondents </w:t>
      </w:r>
      <w:r w:rsidR="00EB32A3">
        <w:rPr>
          <w:sz w:val="23"/>
          <w:szCs w:val="23"/>
        </w:rPr>
        <w:t xml:space="preserve">via text or e-mail (depending on respondent preference) </w:t>
      </w:r>
      <w:r w:rsidRPr="007C4303">
        <w:rPr>
          <w:sz w:val="23"/>
          <w:szCs w:val="23"/>
        </w:rPr>
        <w:t xml:space="preserve">of the amount of incentives they have accumulated. In </w:t>
      </w:r>
      <w:r w:rsidRPr="007C4303">
        <w:rPr>
          <w:sz w:val="23"/>
          <w:szCs w:val="23"/>
        </w:rPr>
        <w:lastRenderedPageBreak/>
        <w:t>addition, every time a household member logs in</w:t>
      </w:r>
      <w:r w:rsidR="00A1335E">
        <w:rPr>
          <w:sz w:val="23"/>
          <w:szCs w:val="23"/>
        </w:rPr>
        <w:t>to the Food Log</w:t>
      </w:r>
      <w:r w:rsidRPr="007C4303">
        <w:rPr>
          <w:sz w:val="23"/>
          <w:szCs w:val="23"/>
        </w:rPr>
        <w:t xml:space="preserve">, the amount of incentives accumulated </w:t>
      </w:r>
      <w:r w:rsidR="00EB32A3">
        <w:rPr>
          <w:sz w:val="23"/>
          <w:szCs w:val="23"/>
        </w:rPr>
        <w:t>will be</w:t>
      </w:r>
      <w:r w:rsidRPr="007C4303">
        <w:rPr>
          <w:sz w:val="23"/>
          <w:szCs w:val="23"/>
        </w:rPr>
        <w:t xml:space="preserve"> displayed to the household member. </w:t>
      </w:r>
    </w:p>
    <w:p w14:paraId="0FC012C8" w14:textId="77777777" w:rsidR="007C4303" w:rsidRPr="007C4303" w:rsidRDefault="007C4303" w:rsidP="007C4303">
      <w:pPr>
        <w:spacing w:line="360" w:lineRule="atLeast"/>
        <w:rPr>
          <w:b/>
          <w:sz w:val="23"/>
          <w:szCs w:val="23"/>
        </w:rPr>
      </w:pPr>
    </w:p>
    <w:p w14:paraId="569D4E68" w14:textId="77777777" w:rsidR="007C4303" w:rsidRPr="00E740B1" w:rsidRDefault="007C4303" w:rsidP="007C4303">
      <w:pPr>
        <w:spacing w:line="360" w:lineRule="atLeast"/>
      </w:pPr>
      <w:r w:rsidRPr="007C4303">
        <w:rPr>
          <w:sz w:val="23"/>
          <w:szCs w:val="23"/>
        </w:rPr>
        <w:t xml:space="preserve">Gamification is shown to improve user experience and user encouragement and increase user loyalty (Richter, Raban, and Rafaeli, 2015) and has been increasingly applied to marketing (Richter, Raban, and Rafaeli, 2015), education (Richter, Raban, and Rafaeli, 2015), and even survey research (Puleston, 2011). One study empirically examined the effects of gamifying incentives (Dan and Lai, 2013). In a pilot study for which respondents were asked to keep a 6-week diary on viewing of TV programs, Nielsen adopted three gaming mechanics to encourage reporting of TV viewing; respondents earn different kinds of badges, accumulate more points, and advance to higher levels if they report more TV viewing in the diary. Nielsen found that the gaming mechanics have a significantly positive impact on the number of visits to the diary system and number of entries on TV viewing. Motivated by the Nielsen study, Westat </w:t>
      </w:r>
      <w:r w:rsidR="00EB32A3">
        <w:rPr>
          <w:sz w:val="23"/>
          <w:szCs w:val="23"/>
        </w:rPr>
        <w:t>would like to use</w:t>
      </w:r>
      <w:r w:rsidRPr="007C4303">
        <w:rPr>
          <w:sz w:val="23"/>
          <w:szCs w:val="23"/>
        </w:rPr>
        <w:t xml:space="preserve"> a cumulative incentive scheme driven by households’ </w:t>
      </w:r>
      <w:r w:rsidR="00A1335E">
        <w:rPr>
          <w:sz w:val="23"/>
          <w:szCs w:val="23"/>
        </w:rPr>
        <w:t>Food L</w:t>
      </w:r>
      <w:r w:rsidR="00EB32A3">
        <w:rPr>
          <w:sz w:val="23"/>
          <w:szCs w:val="23"/>
        </w:rPr>
        <w:t>og</w:t>
      </w:r>
      <w:r w:rsidRPr="007C4303">
        <w:rPr>
          <w:sz w:val="23"/>
          <w:szCs w:val="23"/>
        </w:rPr>
        <w:t xml:space="preserve"> reporting and a mechanism to convey the accumulated amount back to respondents.</w:t>
      </w:r>
      <w:r>
        <w:t xml:space="preserve"> </w:t>
      </w:r>
    </w:p>
    <w:p w14:paraId="6BD5DE1F" w14:textId="77777777" w:rsidR="007C4303" w:rsidRPr="003702B9" w:rsidRDefault="007C4303" w:rsidP="00271489">
      <w:pPr>
        <w:pStyle w:val="L1-FlLSp12"/>
      </w:pPr>
    </w:p>
    <w:p w14:paraId="06B72C26" w14:textId="77777777" w:rsidR="002E7F87" w:rsidRPr="002E7F87" w:rsidRDefault="002E7F87" w:rsidP="002E7F87">
      <w:pPr>
        <w:spacing w:line="360" w:lineRule="atLeast"/>
        <w:rPr>
          <w:sz w:val="23"/>
          <w:szCs w:val="23"/>
        </w:rPr>
      </w:pPr>
      <w:r w:rsidRPr="002E7F87">
        <w:rPr>
          <w:sz w:val="23"/>
          <w:szCs w:val="23"/>
        </w:rPr>
        <w:t>Enrolled households will receive the following incentives</w:t>
      </w:r>
      <w:r>
        <w:rPr>
          <w:sz w:val="23"/>
          <w:szCs w:val="23"/>
        </w:rPr>
        <w:t xml:space="preserve"> in the form of a check mailed to the primary respondent after the interviewer’s final visit with the household</w:t>
      </w:r>
      <w:r w:rsidRPr="002E7F87">
        <w:rPr>
          <w:sz w:val="23"/>
          <w:szCs w:val="23"/>
        </w:rPr>
        <w:t>:</w:t>
      </w:r>
    </w:p>
    <w:p w14:paraId="3C255C09" w14:textId="199422C3" w:rsidR="002E7F87" w:rsidRPr="002E7F87" w:rsidRDefault="002E7F87" w:rsidP="002E7F87">
      <w:pPr>
        <w:pStyle w:val="ListParagraph"/>
        <w:numPr>
          <w:ilvl w:val="0"/>
          <w:numId w:val="21"/>
        </w:numPr>
        <w:spacing w:line="360" w:lineRule="atLeast"/>
        <w:contextualSpacing/>
        <w:rPr>
          <w:sz w:val="23"/>
          <w:szCs w:val="23"/>
        </w:rPr>
      </w:pPr>
      <w:r w:rsidRPr="002E7F87">
        <w:rPr>
          <w:sz w:val="23"/>
          <w:szCs w:val="23"/>
        </w:rPr>
        <w:t xml:space="preserve">$50 </w:t>
      </w:r>
      <w:r w:rsidR="00F70A11">
        <w:rPr>
          <w:sz w:val="23"/>
          <w:szCs w:val="23"/>
        </w:rPr>
        <w:t>for</w:t>
      </w:r>
      <w:r w:rsidR="00F70A11" w:rsidRPr="002E7F87">
        <w:rPr>
          <w:sz w:val="23"/>
          <w:szCs w:val="23"/>
        </w:rPr>
        <w:t xml:space="preserve"> </w:t>
      </w:r>
      <w:r w:rsidRPr="002E7F87">
        <w:rPr>
          <w:sz w:val="23"/>
          <w:szCs w:val="23"/>
        </w:rPr>
        <w:t>completi</w:t>
      </w:r>
      <w:r w:rsidR="00F70A11">
        <w:rPr>
          <w:sz w:val="23"/>
          <w:szCs w:val="23"/>
        </w:rPr>
        <w:t>ng</w:t>
      </w:r>
      <w:r w:rsidRPr="002E7F87">
        <w:rPr>
          <w:sz w:val="23"/>
          <w:szCs w:val="23"/>
        </w:rPr>
        <w:t xml:space="preserve"> the initial interview</w:t>
      </w:r>
      <w:r w:rsidR="003840ED">
        <w:rPr>
          <w:sz w:val="23"/>
          <w:szCs w:val="23"/>
        </w:rPr>
        <w:t xml:space="preserve"> and participating in training</w:t>
      </w:r>
      <w:r w:rsidRPr="002E7F87">
        <w:rPr>
          <w:sz w:val="23"/>
          <w:szCs w:val="23"/>
        </w:rPr>
        <w:t>.</w:t>
      </w:r>
    </w:p>
    <w:p w14:paraId="0048A1E3" w14:textId="77777777" w:rsidR="002E7F87" w:rsidRPr="002E7F87" w:rsidRDefault="002E7F87" w:rsidP="002E7F87">
      <w:pPr>
        <w:pStyle w:val="ListParagraph"/>
        <w:numPr>
          <w:ilvl w:val="0"/>
          <w:numId w:val="21"/>
        </w:numPr>
        <w:spacing w:line="360" w:lineRule="atLeast"/>
        <w:contextualSpacing/>
        <w:rPr>
          <w:sz w:val="23"/>
          <w:szCs w:val="23"/>
        </w:rPr>
      </w:pPr>
      <w:r w:rsidRPr="002E7F87">
        <w:rPr>
          <w:sz w:val="23"/>
          <w:szCs w:val="23"/>
        </w:rPr>
        <w:t>$3 per day for each household member whose food acquisition behavior is recorded in the Food Log.</w:t>
      </w:r>
    </w:p>
    <w:p w14:paraId="7D77220E" w14:textId="77777777" w:rsidR="002E7F87" w:rsidRPr="002E7F87" w:rsidRDefault="002E7F87" w:rsidP="002E7F87">
      <w:pPr>
        <w:pStyle w:val="ListParagraph"/>
        <w:numPr>
          <w:ilvl w:val="0"/>
          <w:numId w:val="21"/>
        </w:numPr>
        <w:spacing w:line="360" w:lineRule="atLeast"/>
        <w:contextualSpacing/>
        <w:rPr>
          <w:sz w:val="23"/>
          <w:szCs w:val="23"/>
        </w:rPr>
      </w:pPr>
      <w:r w:rsidRPr="002E7F87">
        <w:rPr>
          <w:sz w:val="23"/>
          <w:szCs w:val="23"/>
        </w:rPr>
        <w:t>$5 if all household members complete the income questions.</w:t>
      </w:r>
    </w:p>
    <w:p w14:paraId="5E6273D0" w14:textId="77777777" w:rsidR="002E7F87" w:rsidRPr="002E7F87" w:rsidRDefault="002E7F87" w:rsidP="002E7F87">
      <w:pPr>
        <w:pStyle w:val="ListParagraph"/>
        <w:numPr>
          <w:ilvl w:val="0"/>
          <w:numId w:val="21"/>
        </w:numPr>
        <w:spacing w:line="360" w:lineRule="atLeast"/>
        <w:contextualSpacing/>
        <w:rPr>
          <w:sz w:val="23"/>
          <w:szCs w:val="23"/>
        </w:rPr>
      </w:pPr>
      <w:r w:rsidRPr="002E7F87">
        <w:rPr>
          <w:sz w:val="23"/>
          <w:szCs w:val="23"/>
        </w:rPr>
        <w:t xml:space="preserve">A bonus of $50 if all household members record food acquisitions on each of the 7 days and the primary respondent completes the final interview. </w:t>
      </w:r>
    </w:p>
    <w:p w14:paraId="0201DD0A" w14:textId="02122B1F" w:rsidR="002E7F87" w:rsidRPr="002E7F87" w:rsidRDefault="002E7F87" w:rsidP="002E7F87">
      <w:pPr>
        <w:pStyle w:val="ListParagraph"/>
        <w:numPr>
          <w:ilvl w:val="0"/>
          <w:numId w:val="21"/>
        </w:numPr>
        <w:spacing w:line="360" w:lineRule="atLeast"/>
        <w:contextualSpacing/>
        <w:rPr>
          <w:sz w:val="23"/>
          <w:szCs w:val="23"/>
        </w:rPr>
      </w:pPr>
      <w:r w:rsidRPr="002E7F87">
        <w:rPr>
          <w:sz w:val="23"/>
          <w:szCs w:val="23"/>
        </w:rPr>
        <w:t xml:space="preserve">$50 if both household members complete the </w:t>
      </w:r>
      <w:r w:rsidR="00943B84" w:rsidRPr="002E7F87">
        <w:rPr>
          <w:sz w:val="23"/>
          <w:szCs w:val="23"/>
        </w:rPr>
        <w:t>re</w:t>
      </w:r>
      <w:r w:rsidR="00943B84">
        <w:rPr>
          <w:sz w:val="23"/>
          <w:szCs w:val="23"/>
        </w:rPr>
        <w:t>call interview</w:t>
      </w:r>
      <w:r w:rsidRPr="002E7F87">
        <w:rPr>
          <w:sz w:val="23"/>
          <w:szCs w:val="23"/>
        </w:rPr>
        <w:t xml:space="preserve">.  </w:t>
      </w:r>
    </w:p>
    <w:p w14:paraId="1C898062" w14:textId="77777777" w:rsidR="002E7F87" w:rsidRDefault="002E7F87">
      <w:pPr>
        <w:pStyle w:val="L1-FlLSp12"/>
        <w:rPr>
          <w:rFonts w:cs="CJPCAL+TimesNewRoman"/>
          <w:sz w:val="23"/>
          <w:szCs w:val="23"/>
        </w:rPr>
      </w:pPr>
    </w:p>
    <w:p w14:paraId="620EE879" w14:textId="16260CC4" w:rsidR="00142A64" w:rsidRPr="00142A64" w:rsidRDefault="00BB3BF6" w:rsidP="0084172C">
      <w:pPr>
        <w:pStyle w:val="L1-FlLSp12"/>
        <w:rPr>
          <w:rFonts w:eastAsiaTheme="minorHAnsi" w:cs="Garamond"/>
          <w:color w:val="000000"/>
          <w:szCs w:val="24"/>
        </w:rPr>
      </w:pPr>
      <w:r>
        <w:rPr>
          <w:rFonts w:cs="CJPCAL+TimesNewRoman"/>
          <w:sz w:val="23"/>
          <w:szCs w:val="23"/>
        </w:rPr>
        <w:t>T</w:t>
      </w:r>
      <w:r w:rsidR="00142A64">
        <w:rPr>
          <w:rFonts w:cs="CJPCAL+TimesNewRoman"/>
          <w:sz w:val="23"/>
          <w:szCs w:val="23"/>
        </w:rPr>
        <w:t xml:space="preserve">able </w:t>
      </w:r>
      <w:r>
        <w:rPr>
          <w:rFonts w:cs="CJPCAL+TimesNewRoman"/>
          <w:sz w:val="23"/>
          <w:szCs w:val="23"/>
        </w:rPr>
        <w:t xml:space="preserve">A.9.1 </w:t>
      </w:r>
      <w:r w:rsidR="00142A64">
        <w:rPr>
          <w:rFonts w:cs="CJPCAL+TimesNewRoman"/>
          <w:sz w:val="23"/>
          <w:szCs w:val="23"/>
        </w:rPr>
        <w:t xml:space="preserve">displays the </w:t>
      </w:r>
      <w:r w:rsidR="00B151FF">
        <w:rPr>
          <w:rFonts w:cs="CJPCAL+TimesNewRoman"/>
          <w:sz w:val="23"/>
          <w:szCs w:val="23"/>
        </w:rPr>
        <w:t>incentive</w:t>
      </w:r>
      <w:r w:rsidR="00C26AE0">
        <w:rPr>
          <w:rFonts w:cs="CJPCAL+TimesNewRoman"/>
          <w:sz w:val="23"/>
          <w:szCs w:val="23"/>
        </w:rPr>
        <w:t xml:space="preserve">s by data collection event and number of household members.  Since the Food Log incentive is at the person-level, households </w:t>
      </w:r>
      <w:r w:rsidR="009A74F7">
        <w:rPr>
          <w:rFonts w:cs="CJPCAL+TimesNewRoman"/>
          <w:sz w:val="23"/>
          <w:szCs w:val="23"/>
        </w:rPr>
        <w:t xml:space="preserve">can </w:t>
      </w:r>
      <w:r w:rsidR="00C26AE0">
        <w:rPr>
          <w:rFonts w:cs="CJPCAL+TimesNewRoman"/>
          <w:sz w:val="23"/>
          <w:szCs w:val="23"/>
        </w:rPr>
        <w:t xml:space="preserve">earn </w:t>
      </w:r>
      <w:r w:rsidR="009A74F7">
        <w:rPr>
          <w:rFonts w:cs="CJPCAL+TimesNewRoman"/>
          <w:sz w:val="23"/>
          <w:szCs w:val="23"/>
        </w:rPr>
        <w:t xml:space="preserve">up to </w:t>
      </w:r>
      <w:r w:rsidR="00C26AE0">
        <w:rPr>
          <w:rFonts w:cs="CJPCAL+TimesNewRoman"/>
          <w:sz w:val="23"/>
          <w:szCs w:val="23"/>
        </w:rPr>
        <w:t>an extra $21 for each additional household member</w:t>
      </w:r>
      <w:r w:rsidR="009A74F7">
        <w:rPr>
          <w:rFonts w:cs="CJPCAL+TimesNewRoman"/>
          <w:sz w:val="23"/>
          <w:szCs w:val="23"/>
        </w:rPr>
        <w:t>.</w:t>
      </w:r>
      <w:r w:rsidR="00C26AE0">
        <w:rPr>
          <w:rFonts w:cs="CJPCAL+TimesNewRoman"/>
          <w:sz w:val="23"/>
          <w:szCs w:val="23"/>
        </w:rPr>
        <w:t xml:space="preserve"> </w:t>
      </w:r>
      <w:r w:rsidR="009A74F7">
        <w:rPr>
          <w:rFonts w:cs="CJPCAL+TimesNewRoman"/>
          <w:sz w:val="23"/>
          <w:szCs w:val="23"/>
        </w:rPr>
        <w:t xml:space="preserve"> That is</w:t>
      </w:r>
      <w:r w:rsidR="00142A64" w:rsidRPr="00142A64">
        <w:rPr>
          <w:rFonts w:eastAsiaTheme="minorHAnsi" w:cs="Garamond"/>
          <w:color w:val="000000"/>
          <w:szCs w:val="24"/>
        </w:rPr>
        <w:t xml:space="preserve">, each additional person can earn </w:t>
      </w:r>
      <w:r w:rsidR="00142A64">
        <w:rPr>
          <w:rFonts w:eastAsiaTheme="minorHAnsi" w:cs="Garamond"/>
          <w:color w:val="000000"/>
          <w:szCs w:val="24"/>
        </w:rPr>
        <w:t>$3 per day</w:t>
      </w:r>
      <w:r w:rsidR="00142A64" w:rsidRPr="00142A64">
        <w:rPr>
          <w:rFonts w:eastAsiaTheme="minorHAnsi" w:cs="Garamond"/>
          <w:color w:val="000000"/>
          <w:szCs w:val="24"/>
        </w:rPr>
        <w:t xml:space="preserve"> for completing the Food Log.</w:t>
      </w:r>
      <w:r w:rsidR="00C26AE0">
        <w:rPr>
          <w:rFonts w:eastAsiaTheme="minorHAnsi" w:cs="Garamond"/>
          <w:color w:val="000000"/>
          <w:szCs w:val="24"/>
        </w:rPr>
        <w:t xml:space="preserve"> </w:t>
      </w:r>
      <w:r w:rsidR="00C26AE0" w:rsidRPr="00823559">
        <w:rPr>
          <w:rFonts w:eastAsiaTheme="minorHAnsi" w:cs="Garamond"/>
          <w:color w:val="000000"/>
          <w:sz w:val="23"/>
          <w:szCs w:val="23"/>
        </w:rPr>
        <w:t>The NFS Pilot does not vary the incentive based on the age of the household member</w:t>
      </w:r>
      <w:r w:rsidR="00C26AE0">
        <w:rPr>
          <w:rFonts w:eastAsiaTheme="minorHAnsi" w:cs="Garamond"/>
          <w:color w:val="000000"/>
          <w:sz w:val="23"/>
          <w:szCs w:val="23"/>
        </w:rPr>
        <w:t>.</w:t>
      </w:r>
    </w:p>
    <w:p w14:paraId="70F955A0" w14:textId="77777777" w:rsidR="00142A64" w:rsidRPr="00BE1DF0" w:rsidRDefault="00142A64" w:rsidP="0084172C">
      <w:pPr>
        <w:autoSpaceDE w:val="0"/>
        <w:autoSpaceDN w:val="0"/>
        <w:adjustRightInd w:val="0"/>
        <w:spacing w:line="360" w:lineRule="atLeast"/>
        <w:rPr>
          <w:rFonts w:eastAsiaTheme="minorHAnsi" w:cs="Garamond"/>
          <w:color w:val="000000"/>
          <w:sz w:val="23"/>
          <w:szCs w:val="23"/>
        </w:rPr>
      </w:pPr>
    </w:p>
    <w:p w14:paraId="2858F9D2" w14:textId="77777777" w:rsidR="009D4B45" w:rsidRDefault="009D4B45">
      <w:pPr>
        <w:spacing w:line="240" w:lineRule="auto"/>
        <w:rPr>
          <w:rFonts w:eastAsiaTheme="minorHAnsi" w:cs="Garamond"/>
          <w:b/>
          <w:color w:val="000000"/>
          <w:sz w:val="23"/>
          <w:szCs w:val="23"/>
        </w:rPr>
      </w:pPr>
      <w:r>
        <w:rPr>
          <w:rFonts w:eastAsiaTheme="minorHAnsi" w:cs="Garamond"/>
          <w:b/>
          <w:color w:val="000000"/>
          <w:sz w:val="23"/>
          <w:szCs w:val="23"/>
        </w:rPr>
        <w:br w:type="page"/>
      </w:r>
    </w:p>
    <w:p w14:paraId="2856DC01" w14:textId="506AB2C4" w:rsidR="00BE1DF0" w:rsidRPr="00BE1DF0" w:rsidRDefault="00BE1DF0" w:rsidP="00142A64">
      <w:pPr>
        <w:autoSpaceDE w:val="0"/>
        <w:autoSpaceDN w:val="0"/>
        <w:adjustRightInd w:val="0"/>
        <w:spacing w:line="240" w:lineRule="auto"/>
        <w:rPr>
          <w:rFonts w:eastAsiaTheme="minorHAnsi" w:cs="Garamond"/>
          <w:b/>
          <w:color w:val="000000"/>
          <w:sz w:val="23"/>
          <w:szCs w:val="23"/>
        </w:rPr>
      </w:pPr>
      <w:r w:rsidRPr="00BE1DF0">
        <w:rPr>
          <w:rFonts w:eastAsiaTheme="minorHAnsi" w:cs="Garamond"/>
          <w:b/>
          <w:color w:val="000000"/>
          <w:sz w:val="23"/>
          <w:szCs w:val="23"/>
        </w:rPr>
        <w:lastRenderedPageBreak/>
        <w:t>Table A.9.1</w:t>
      </w:r>
      <w:r w:rsidRPr="00BE1DF0">
        <w:rPr>
          <w:rFonts w:eastAsiaTheme="minorHAnsi" w:cs="Garamond"/>
          <w:b/>
          <w:color w:val="000000"/>
          <w:sz w:val="23"/>
          <w:szCs w:val="23"/>
        </w:rPr>
        <w:tab/>
        <w:t>Incentive</w:t>
      </w:r>
      <w:r w:rsidR="00C26AE0">
        <w:rPr>
          <w:rFonts w:eastAsiaTheme="minorHAnsi" w:cs="Garamond"/>
          <w:b/>
          <w:color w:val="000000"/>
          <w:sz w:val="23"/>
          <w:szCs w:val="23"/>
        </w:rPr>
        <w:t>s earned by data collection event and number of persons in household</w:t>
      </w:r>
    </w:p>
    <w:p w14:paraId="2742D606" w14:textId="77777777" w:rsidR="00BE1DF0" w:rsidRDefault="00BE1DF0" w:rsidP="00142A64">
      <w:pPr>
        <w:autoSpaceDE w:val="0"/>
        <w:autoSpaceDN w:val="0"/>
        <w:adjustRightInd w:val="0"/>
        <w:spacing w:line="240" w:lineRule="auto"/>
        <w:rPr>
          <w:rFonts w:eastAsiaTheme="minorHAnsi" w:cs="Garamond"/>
          <w:b/>
          <w:color w:val="000000"/>
          <w:szCs w:val="24"/>
        </w:rPr>
      </w:pPr>
    </w:p>
    <w:p w14:paraId="6264F953" w14:textId="77777777" w:rsidR="004B6399" w:rsidRDefault="004B6399" w:rsidP="00142A64">
      <w:pPr>
        <w:autoSpaceDE w:val="0"/>
        <w:autoSpaceDN w:val="0"/>
        <w:adjustRightInd w:val="0"/>
        <w:spacing w:line="240" w:lineRule="auto"/>
        <w:rPr>
          <w:rFonts w:eastAsiaTheme="minorHAnsi" w:cs="Garamond"/>
          <w:b/>
          <w:color w:val="000000"/>
          <w:szCs w:val="24"/>
        </w:rPr>
      </w:pPr>
    </w:p>
    <w:tbl>
      <w:tblPr>
        <w:tblStyle w:val="TableGrid"/>
        <w:tblW w:w="0" w:type="auto"/>
        <w:tblLayout w:type="fixed"/>
        <w:tblLook w:val="04A0" w:firstRow="1" w:lastRow="0" w:firstColumn="1" w:lastColumn="0" w:noHBand="0" w:noVBand="1"/>
      </w:tblPr>
      <w:tblGrid>
        <w:gridCol w:w="1008"/>
        <w:gridCol w:w="1080"/>
        <w:gridCol w:w="1440"/>
        <w:gridCol w:w="1440"/>
        <w:gridCol w:w="1440"/>
        <w:gridCol w:w="1387"/>
        <w:gridCol w:w="974"/>
      </w:tblGrid>
      <w:tr w:rsidR="00C26AE0" w14:paraId="097AA19D" w14:textId="77777777" w:rsidTr="009A74F7">
        <w:tc>
          <w:tcPr>
            <w:tcW w:w="1008" w:type="dxa"/>
          </w:tcPr>
          <w:p w14:paraId="5D29D2BE" w14:textId="1584156F" w:rsidR="00C26AE0" w:rsidRDefault="00C26AE0" w:rsidP="009A74F7">
            <w:pPr>
              <w:autoSpaceDE w:val="0"/>
              <w:autoSpaceDN w:val="0"/>
              <w:adjustRightInd w:val="0"/>
              <w:spacing w:line="240" w:lineRule="auto"/>
              <w:jc w:val="center"/>
              <w:rPr>
                <w:rFonts w:eastAsiaTheme="minorHAnsi" w:cs="Garamond"/>
                <w:b/>
                <w:color w:val="000000"/>
                <w:szCs w:val="24"/>
              </w:rPr>
            </w:pPr>
            <w:r w:rsidRPr="001D6447">
              <w:rPr>
                <w:rFonts w:cs="Garamond"/>
                <w:color w:val="000000"/>
                <w:sz w:val="23"/>
                <w:szCs w:val="23"/>
              </w:rPr>
              <w:t>Number of Persons</w:t>
            </w:r>
          </w:p>
        </w:tc>
        <w:tc>
          <w:tcPr>
            <w:tcW w:w="1080" w:type="dxa"/>
          </w:tcPr>
          <w:p w14:paraId="2886AD93" w14:textId="27302073" w:rsidR="00C26AE0" w:rsidRDefault="00C26AE0" w:rsidP="009A74F7">
            <w:pPr>
              <w:autoSpaceDE w:val="0"/>
              <w:autoSpaceDN w:val="0"/>
              <w:adjustRightInd w:val="0"/>
              <w:spacing w:line="240" w:lineRule="auto"/>
              <w:jc w:val="center"/>
              <w:rPr>
                <w:rFonts w:eastAsiaTheme="minorHAnsi" w:cs="Garamond"/>
                <w:b/>
                <w:color w:val="000000"/>
                <w:szCs w:val="24"/>
              </w:rPr>
            </w:pPr>
            <w:r w:rsidRPr="00142A64">
              <w:rPr>
                <w:rFonts w:eastAsiaTheme="minorEastAsia" w:cstheme="minorBidi"/>
                <w:sz w:val="22"/>
                <w:szCs w:val="23"/>
              </w:rPr>
              <w:t>Initial Interview</w:t>
            </w:r>
          </w:p>
        </w:tc>
        <w:tc>
          <w:tcPr>
            <w:tcW w:w="1440" w:type="dxa"/>
          </w:tcPr>
          <w:p w14:paraId="51BD9F1E" w14:textId="1DECCA08" w:rsidR="00C26AE0" w:rsidRDefault="00C26AE0" w:rsidP="009A74F7">
            <w:pPr>
              <w:autoSpaceDE w:val="0"/>
              <w:autoSpaceDN w:val="0"/>
              <w:adjustRightInd w:val="0"/>
              <w:spacing w:line="240" w:lineRule="auto"/>
              <w:jc w:val="center"/>
              <w:rPr>
                <w:rFonts w:eastAsiaTheme="minorHAnsi" w:cs="Garamond"/>
                <w:b/>
                <w:color w:val="000000"/>
                <w:szCs w:val="24"/>
              </w:rPr>
            </w:pPr>
            <w:r w:rsidRPr="00142A64">
              <w:rPr>
                <w:rFonts w:eastAsiaTheme="minorEastAsia" w:cstheme="minorBidi"/>
                <w:sz w:val="22"/>
                <w:szCs w:val="23"/>
              </w:rPr>
              <w:t>Food Log</w:t>
            </w:r>
            <w:r w:rsidRPr="00F338C1">
              <w:rPr>
                <w:rFonts w:eastAsiaTheme="minorEastAsia" w:cstheme="minorBidi"/>
                <w:sz w:val="22"/>
                <w:szCs w:val="23"/>
              </w:rPr>
              <w:t xml:space="preserve"> ($3 per day for each person)</w:t>
            </w:r>
          </w:p>
        </w:tc>
        <w:tc>
          <w:tcPr>
            <w:tcW w:w="1440" w:type="dxa"/>
          </w:tcPr>
          <w:p w14:paraId="728E1D02" w14:textId="0AC9B862" w:rsidR="00C26AE0" w:rsidRDefault="00C26AE0" w:rsidP="009A74F7">
            <w:pPr>
              <w:autoSpaceDE w:val="0"/>
              <w:autoSpaceDN w:val="0"/>
              <w:adjustRightInd w:val="0"/>
              <w:spacing w:line="240" w:lineRule="auto"/>
              <w:jc w:val="center"/>
              <w:rPr>
                <w:rFonts w:eastAsiaTheme="minorHAnsi" w:cs="Garamond"/>
                <w:b/>
                <w:color w:val="000000"/>
                <w:szCs w:val="24"/>
              </w:rPr>
            </w:pPr>
            <w:r w:rsidRPr="00142A64">
              <w:rPr>
                <w:rFonts w:eastAsiaTheme="minorEastAsia" w:cstheme="minorBidi"/>
                <w:sz w:val="22"/>
                <w:szCs w:val="23"/>
              </w:rPr>
              <w:t>Income Worksheet</w:t>
            </w:r>
            <w:r w:rsidRPr="00F338C1">
              <w:rPr>
                <w:rFonts w:eastAsiaTheme="minorEastAsia" w:cstheme="minorBidi"/>
                <w:sz w:val="22"/>
                <w:szCs w:val="23"/>
              </w:rPr>
              <w:t xml:space="preserve"> (provided if all persons complete)</w:t>
            </w:r>
          </w:p>
        </w:tc>
        <w:tc>
          <w:tcPr>
            <w:tcW w:w="1440" w:type="dxa"/>
          </w:tcPr>
          <w:p w14:paraId="50FBD122" w14:textId="0AD6BB22" w:rsidR="00C26AE0" w:rsidRDefault="00C26AE0" w:rsidP="009A74F7">
            <w:pPr>
              <w:autoSpaceDE w:val="0"/>
              <w:autoSpaceDN w:val="0"/>
              <w:adjustRightInd w:val="0"/>
              <w:spacing w:line="240" w:lineRule="auto"/>
              <w:jc w:val="center"/>
              <w:rPr>
                <w:rFonts w:eastAsiaTheme="minorHAnsi" w:cs="Garamond"/>
                <w:b/>
                <w:color w:val="000000"/>
                <w:szCs w:val="24"/>
              </w:rPr>
            </w:pPr>
            <w:r w:rsidRPr="00142A64">
              <w:rPr>
                <w:rFonts w:eastAsiaTheme="minorEastAsia" w:cstheme="minorBidi"/>
                <w:sz w:val="22"/>
                <w:szCs w:val="23"/>
              </w:rPr>
              <w:t xml:space="preserve">Final Interview </w:t>
            </w:r>
            <w:r w:rsidRPr="00F338C1">
              <w:rPr>
                <w:rFonts w:eastAsiaTheme="minorEastAsia" w:cstheme="minorBidi"/>
                <w:sz w:val="22"/>
                <w:szCs w:val="23"/>
              </w:rPr>
              <w:t>and</w:t>
            </w:r>
            <w:r w:rsidRPr="00142A64">
              <w:rPr>
                <w:rFonts w:eastAsiaTheme="minorEastAsia" w:cstheme="minorBidi"/>
                <w:sz w:val="22"/>
                <w:szCs w:val="23"/>
              </w:rPr>
              <w:t xml:space="preserve"> </w:t>
            </w:r>
            <w:r w:rsidRPr="00F338C1">
              <w:rPr>
                <w:rFonts w:eastAsiaTheme="minorEastAsia" w:cstheme="minorBidi"/>
                <w:sz w:val="22"/>
                <w:szCs w:val="23"/>
              </w:rPr>
              <w:t>A</w:t>
            </w:r>
            <w:r w:rsidRPr="00142A64">
              <w:rPr>
                <w:rFonts w:eastAsiaTheme="minorEastAsia" w:cstheme="minorBidi"/>
                <w:sz w:val="22"/>
                <w:szCs w:val="23"/>
              </w:rPr>
              <w:t>ll Persons Complete Food Log</w:t>
            </w:r>
          </w:p>
        </w:tc>
        <w:tc>
          <w:tcPr>
            <w:tcW w:w="1387" w:type="dxa"/>
          </w:tcPr>
          <w:p w14:paraId="002224A5" w14:textId="4CC48070" w:rsidR="00C26AE0" w:rsidRPr="009A74F7" w:rsidRDefault="00C26AE0" w:rsidP="009A74F7">
            <w:pPr>
              <w:autoSpaceDE w:val="0"/>
              <w:autoSpaceDN w:val="0"/>
              <w:adjustRightInd w:val="0"/>
              <w:spacing w:line="240" w:lineRule="auto"/>
              <w:jc w:val="center"/>
              <w:rPr>
                <w:rFonts w:eastAsiaTheme="minorHAnsi" w:cs="Garamond"/>
                <w:color w:val="000000"/>
                <w:szCs w:val="24"/>
              </w:rPr>
            </w:pPr>
            <w:r w:rsidRPr="009A74F7">
              <w:rPr>
                <w:rFonts w:eastAsiaTheme="minorHAnsi" w:cs="Garamond"/>
                <w:color w:val="000000"/>
                <w:szCs w:val="24"/>
              </w:rPr>
              <w:t xml:space="preserve">Recall </w:t>
            </w:r>
            <w:r>
              <w:rPr>
                <w:rFonts w:eastAsiaTheme="minorHAnsi" w:cs="Garamond"/>
                <w:color w:val="000000"/>
                <w:szCs w:val="24"/>
              </w:rPr>
              <w:t xml:space="preserve">Interview (if both </w:t>
            </w:r>
            <w:r w:rsidR="004B1F93">
              <w:rPr>
                <w:rFonts w:eastAsiaTheme="minorHAnsi" w:cs="Garamond"/>
                <w:color w:val="000000"/>
                <w:szCs w:val="24"/>
              </w:rPr>
              <w:t>persons</w:t>
            </w:r>
            <w:r>
              <w:rPr>
                <w:rFonts w:eastAsiaTheme="minorHAnsi" w:cs="Garamond"/>
                <w:color w:val="000000"/>
                <w:szCs w:val="24"/>
              </w:rPr>
              <w:t xml:space="preserve"> selected complete)</w:t>
            </w:r>
          </w:p>
        </w:tc>
        <w:tc>
          <w:tcPr>
            <w:tcW w:w="974" w:type="dxa"/>
          </w:tcPr>
          <w:p w14:paraId="6792E57C" w14:textId="358A7992" w:rsidR="00C26AE0" w:rsidRDefault="00C26AE0" w:rsidP="009A74F7">
            <w:pPr>
              <w:autoSpaceDE w:val="0"/>
              <w:autoSpaceDN w:val="0"/>
              <w:adjustRightInd w:val="0"/>
              <w:spacing w:line="240" w:lineRule="auto"/>
              <w:jc w:val="center"/>
              <w:rPr>
                <w:rFonts w:eastAsiaTheme="minorHAnsi" w:cs="Garamond"/>
                <w:b/>
                <w:color w:val="000000"/>
                <w:szCs w:val="24"/>
              </w:rPr>
            </w:pPr>
            <w:r>
              <w:rPr>
                <w:rFonts w:eastAsiaTheme="minorHAnsi" w:cs="Garamond"/>
                <w:b/>
                <w:color w:val="000000"/>
                <w:szCs w:val="24"/>
              </w:rPr>
              <w:t>Total</w:t>
            </w:r>
          </w:p>
        </w:tc>
      </w:tr>
      <w:tr w:rsidR="00C26AE0" w:rsidRPr="004B6399" w14:paraId="068B4877" w14:textId="77777777" w:rsidTr="009A74F7">
        <w:tc>
          <w:tcPr>
            <w:tcW w:w="1008" w:type="dxa"/>
          </w:tcPr>
          <w:p w14:paraId="4096B62A" w14:textId="05BD8B32" w:rsidR="00C26AE0" w:rsidRPr="009A74F7" w:rsidRDefault="00C26AE0" w:rsidP="009A74F7">
            <w:pPr>
              <w:autoSpaceDE w:val="0"/>
              <w:autoSpaceDN w:val="0"/>
              <w:adjustRightInd w:val="0"/>
              <w:spacing w:line="240" w:lineRule="auto"/>
              <w:jc w:val="center"/>
              <w:rPr>
                <w:rFonts w:eastAsiaTheme="minorHAnsi" w:cs="Garamond"/>
                <w:color w:val="000000"/>
                <w:szCs w:val="24"/>
              </w:rPr>
            </w:pPr>
            <w:r w:rsidRPr="009A74F7">
              <w:rPr>
                <w:rFonts w:eastAsiaTheme="minorHAnsi" w:cs="Garamond"/>
                <w:color w:val="000000"/>
                <w:szCs w:val="24"/>
              </w:rPr>
              <w:t>1</w:t>
            </w:r>
          </w:p>
        </w:tc>
        <w:tc>
          <w:tcPr>
            <w:tcW w:w="1080" w:type="dxa"/>
          </w:tcPr>
          <w:p w14:paraId="70D73096" w14:textId="2A05ED5D" w:rsidR="00C26AE0" w:rsidRDefault="00C26AE0" w:rsidP="00142A64">
            <w:pPr>
              <w:autoSpaceDE w:val="0"/>
              <w:autoSpaceDN w:val="0"/>
              <w:adjustRightInd w:val="0"/>
              <w:spacing w:line="240" w:lineRule="auto"/>
              <w:rPr>
                <w:rFonts w:eastAsiaTheme="minorHAnsi" w:cs="Garamond"/>
                <w:b/>
                <w:color w:val="000000"/>
                <w:szCs w:val="24"/>
              </w:rPr>
            </w:pPr>
            <w:r w:rsidRPr="00142A64">
              <w:rPr>
                <w:rFonts w:eastAsiaTheme="minorEastAsia" w:cstheme="minorBidi"/>
                <w:sz w:val="22"/>
                <w:szCs w:val="23"/>
              </w:rPr>
              <w:t>$50</w:t>
            </w:r>
          </w:p>
        </w:tc>
        <w:tc>
          <w:tcPr>
            <w:tcW w:w="1440" w:type="dxa"/>
          </w:tcPr>
          <w:p w14:paraId="0A6FE7B3" w14:textId="200F57F8" w:rsidR="00C26AE0" w:rsidRPr="009A74F7" w:rsidRDefault="00C26AE0" w:rsidP="00142A64">
            <w:pPr>
              <w:autoSpaceDE w:val="0"/>
              <w:autoSpaceDN w:val="0"/>
              <w:adjustRightInd w:val="0"/>
              <w:spacing w:line="240" w:lineRule="auto"/>
              <w:rPr>
                <w:rFonts w:eastAsiaTheme="minorHAnsi" w:cs="Garamond"/>
                <w:color w:val="000000"/>
                <w:szCs w:val="24"/>
              </w:rPr>
            </w:pPr>
            <w:r w:rsidRPr="009A74F7">
              <w:rPr>
                <w:rFonts w:eastAsiaTheme="minorHAnsi" w:cs="Garamond"/>
                <w:color w:val="000000"/>
                <w:szCs w:val="24"/>
              </w:rPr>
              <w:t>$21</w:t>
            </w:r>
          </w:p>
        </w:tc>
        <w:tc>
          <w:tcPr>
            <w:tcW w:w="1440" w:type="dxa"/>
          </w:tcPr>
          <w:p w14:paraId="02188597" w14:textId="325326B4" w:rsidR="00C26AE0" w:rsidRPr="009A74F7" w:rsidRDefault="00C26AE0" w:rsidP="00142A64">
            <w:pPr>
              <w:autoSpaceDE w:val="0"/>
              <w:autoSpaceDN w:val="0"/>
              <w:adjustRightInd w:val="0"/>
              <w:spacing w:line="240" w:lineRule="auto"/>
              <w:rPr>
                <w:rFonts w:eastAsiaTheme="minorHAnsi" w:cs="Garamond"/>
                <w:color w:val="000000"/>
                <w:szCs w:val="24"/>
              </w:rPr>
            </w:pPr>
            <w:r w:rsidRPr="00CA029C">
              <w:rPr>
                <w:rFonts w:eastAsiaTheme="minorEastAsia" w:cstheme="minorBidi"/>
                <w:sz w:val="22"/>
                <w:szCs w:val="23"/>
              </w:rPr>
              <w:t>$5</w:t>
            </w:r>
          </w:p>
        </w:tc>
        <w:tc>
          <w:tcPr>
            <w:tcW w:w="1440" w:type="dxa"/>
          </w:tcPr>
          <w:p w14:paraId="01C990E1" w14:textId="002899A5" w:rsidR="00C26AE0" w:rsidRPr="009A74F7" w:rsidRDefault="00C26AE0" w:rsidP="00142A64">
            <w:pPr>
              <w:autoSpaceDE w:val="0"/>
              <w:autoSpaceDN w:val="0"/>
              <w:adjustRightInd w:val="0"/>
              <w:spacing w:line="240" w:lineRule="auto"/>
              <w:rPr>
                <w:rFonts w:eastAsiaTheme="minorHAnsi" w:cs="Garamond"/>
                <w:color w:val="000000"/>
                <w:szCs w:val="24"/>
              </w:rPr>
            </w:pPr>
            <w:r w:rsidRPr="00775A18">
              <w:rPr>
                <w:rFonts w:eastAsiaTheme="minorEastAsia" w:cstheme="minorBidi"/>
                <w:sz w:val="22"/>
                <w:szCs w:val="23"/>
              </w:rPr>
              <w:t>$50</w:t>
            </w:r>
          </w:p>
        </w:tc>
        <w:tc>
          <w:tcPr>
            <w:tcW w:w="1387" w:type="dxa"/>
          </w:tcPr>
          <w:p w14:paraId="27595902" w14:textId="7A64DCB3" w:rsidR="00C26AE0" w:rsidRPr="00F2516B" w:rsidRDefault="00C26AE0" w:rsidP="00142A64">
            <w:pPr>
              <w:autoSpaceDE w:val="0"/>
              <w:autoSpaceDN w:val="0"/>
              <w:adjustRightInd w:val="0"/>
              <w:spacing w:line="240" w:lineRule="auto"/>
              <w:rPr>
                <w:rFonts w:eastAsiaTheme="minorHAnsi" w:cs="Garamond"/>
                <w:color w:val="000000"/>
                <w:szCs w:val="24"/>
              </w:rPr>
            </w:pPr>
            <w:r w:rsidRPr="00722BAC">
              <w:rPr>
                <w:rFonts w:eastAsiaTheme="minorEastAsia" w:cstheme="minorBidi"/>
                <w:sz w:val="22"/>
                <w:szCs w:val="23"/>
              </w:rPr>
              <w:t>$50</w:t>
            </w:r>
          </w:p>
        </w:tc>
        <w:tc>
          <w:tcPr>
            <w:tcW w:w="974" w:type="dxa"/>
          </w:tcPr>
          <w:p w14:paraId="2CC7C2DC" w14:textId="1C66A278" w:rsidR="00C26AE0" w:rsidRPr="00F2516B" w:rsidRDefault="00C26AE0" w:rsidP="00142A64">
            <w:pPr>
              <w:autoSpaceDE w:val="0"/>
              <w:autoSpaceDN w:val="0"/>
              <w:adjustRightInd w:val="0"/>
              <w:spacing w:line="240" w:lineRule="auto"/>
              <w:rPr>
                <w:rFonts w:eastAsiaTheme="minorHAnsi" w:cs="Garamond"/>
                <w:b/>
                <w:color w:val="000000"/>
                <w:szCs w:val="24"/>
              </w:rPr>
            </w:pPr>
            <w:r w:rsidRPr="009A74F7">
              <w:rPr>
                <w:rFonts w:eastAsiaTheme="minorHAnsi" w:cs="Garamond"/>
                <w:b/>
                <w:color w:val="000000"/>
                <w:szCs w:val="24"/>
              </w:rPr>
              <w:t>$176</w:t>
            </w:r>
          </w:p>
        </w:tc>
      </w:tr>
      <w:tr w:rsidR="00C26AE0" w:rsidRPr="004B6399" w14:paraId="61C7F9F2" w14:textId="77777777" w:rsidTr="009A74F7">
        <w:tc>
          <w:tcPr>
            <w:tcW w:w="1008" w:type="dxa"/>
          </w:tcPr>
          <w:p w14:paraId="2867A133" w14:textId="14EACF82" w:rsidR="00C26AE0" w:rsidRDefault="00C26AE0" w:rsidP="009A74F7">
            <w:pPr>
              <w:autoSpaceDE w:val="0"/>
              <w:autoSpaceDN w:val="0"/>
              <w:adjustRightInd w:val="0"/>
              <w:spacing w:line="240" w:lineRule="auto"/>
              <w:jc w:val="center"/>
              <w:rPr>
                <w:rFonts w:eastAsiaTheme="minorHAnsi" w:cs="Garamond"/>
                <w:b/>
                <w:color w:val="000000"/>
                <w:szCs w:val="24"/>
              </w:rPr>
            </w:pPr>
            <w:r>
              <w:rPr>
                <w:rFonts w:cs="Garamond"/>
                <w:color w:val="000000"/>
                <w:sz w:val="23"/>
                <w:szCs w:val="23"/>
              </w:rPr>
              <w:t>2</w:t>
            </w:r>
          </w:p>
        </w:tc>
        <w:tc>
          <w:tcPr>
            <w:tcW w:w="1080" w:type="dxa"/>
          </w:tcPr>
          <w:p w14:paraId="2A9FDC33" w14:textId="5274B368" w:rsidR="00C26AE0" w:rsidRDefault="00C26AE0" w:rsidP="00142A64">
            <w:pPr>
              <w:autoSpaceDE w:val="0"/>
              <w:autoSpaceDN w:val="0"/>
              <w:adjustRightInd w:val="0"/>
              <w:spacing w:line="240" w:lineRule="auto"/>
              <w:rPr>
                <w:rFonts w:eastAsiaTheme="minorHAnsi" w:cs="Garamond"/>
                <w:b/>
                <w:color w:val="000000"/>
                <w:szCs w:val="24"/>
              </w:rPr>
            </w:pPr>
            <w:r w:rsidRPr="00476143">
              <w:rPr>
                <w:rFonts w:eastAsiaTheme="minorEastAsia" w:cstheme="minorBidi"/>
                <w:sz w:val="22"/>
                <w:szCs w:val="23"/>
              </w:rPr>
              <w:t>$50</w:t>
            </w:r>
          </w:p>
        </w:tc>
        <w:tc>
          <w:tcPr>
            <w:tcW w:w="1440" w:type="dxa"/>
          </w:tcPr>
          <w:p w14:paraId="51CF4C9E" w14:textId="07AE8E61" w:rsidR="00C26AE0" w:rsidRPr="009A74F7" w:rsidRDefault="00C26AE0" w:rsidP="00142A64">
            <w:pPr>
              <w:autoSpaceDE w:val="0"/>
              <w:autoSpaceDN w:val="0"/>
              <w:adjustRightInd w:val="0"/>
              <w:spacing w:line="240" w:lineRule="auto"/>
              <w:rPr>
                <w:rFonts w:eastAsiaTheme="minorHAnsi" w:cs="Garamond"/>
                <w:color w:val="000000"/>
                <w:szCs w:val="24"/>
              </w:rPr>
            </w:pPr>
            <w:r>
              <w:rPr>
                <w:rFonts w:eastAsiaTheme="minorHAnsi" w:cs="Garamond"/>
                <w:color w:val="000000"/>
                <w:szCs w:val="24"/>
              </w:rPr>
              <w:t>$42</w:t>
            </w:r>
          </w:p>
        </w:tc>
        <w:tc>
          <w:tcPr>
            <w:tcW w:w="1440" w:type="dxa"/>
          </w:tcPr>
          <w:p w14:paraId="18BB3D2A" w14:textId="3B00A26E" w:rsidR="00C26AE0" w:rsidRPr="009A74F7" w:rsidRDefault="00C26AE0" w:rsidP="00142A64">
            <w:pPr>
              <w:autoSpaceDE w:val="0"/>
              <w:autoSpaceDN w:val="0"/>
              <w:adjustRightInd w:val="0"/>
              <w:spacing w:line="240" w:lineRule="auto"/>
              <w:rPr>
                <w:rFonts w:eastAsiaTheme="minorHAnsi" w:cs="Garamond"/>
                <w:color w:val="000000"/>
                <w:szCs w:val="24"/>
              </w:rPr>
            </w:pPr>
            <w:r w:rsidRPr="00CA029C">
              <w:rPr>
                <w:rFonts w:eastAsiaTheme="minorEastAsia" w:cstheme="minorBidi"/>
                <w:sz w:val="22"/>
                <w:szCs w:val="23"/>
              </w:rPr>
              <w:t>$5</w:t>
            </w:r>
          </w:p>
        </w:tc>
        <w:tc>
          <w:tcPr>
            <w:tcW w:w="1440" w:type="dxa"/>
          </w:tcPr>
          <w:p w14:paraId="62264015" w14:textId="309AFD66" w:rsidR="00C26AE0" w:rsidRPr="009A74F7" w:rsidRDefault="00C26AE0" w:rsidP="00142A64">
            <w:pPr>
              <w:autoSpaceDE w:val="0"/>
              <w:autoSpaceDN w:val="0"/>
              <w:adjustRightInd w:val="0"/>
              <w:spacing w:line="240" w:lineRule="auto"/>
              <w:rPr>
                <w:rFonts w:eastAsiaTheme="minorHAnsi" w:cs="Garamond"/>
                <w:color w:val="000000"/>
                <w:szCs w:val="24"/>
              </w:rPr>
            </w:pPr>
            <w:r w:rsidRPr="00775A18">
              <w:rPr>
                <w:rFonts w:eastAsiaTheme="minorEastAsia" w:cstheme="minorBidi"/>
                <w:sz w:val="22"/>
                <w:szCs w:val="23"/>
              </w:rPr>
              <w:t>$50</w:t>
            </w:r>
          </w:p>
        </w:tc>
        <w:tc>
          <w:tcPr>
            <w:tcW w:w="1387" w:type="dxa"/>
          </w:tcPr>
          <w:p w14:paraId="7A7CB158" w14:textId="0A73A78E" w:rsidR="00C26AE0" w:rsidRPr="00F2516B" w:rsidRDefault="00C26AE0" w:rsidP="00142A64">
            <w:pPr>
              <w:autoSpaceDE w:val="0"/>
              <w:autoSpaceDN w:val="0"/>
              <w:adjustRightInd w:val="0"/>
              <w:spacing w:line="240" w:lineRule="auto"/>
              <w:rPr>
                <w:rFonts w:eastAsiaTheme="minorHAnsi" w:cs="Garamond"/>
                <w:color w:val="000000"/>
                <w:szCs w:val="24"/>
              </w:rPr>
            </w:pPr>
            <w:r w:rsidRPr="00722BAC">
              <w:rPr>
                <w:rFonts w:eastAsiaTheme="minorEastAsia" w:cstheme="minorBidi"/>
                <w:sz w:val="22"/>
                <w:szCs w:val="23"/>
              </w:rPr>
              <w:t>$50</w:t>
            </w:r>
          </w:p>
        </w:tc>
        <w:tc>
          <w:tcPr>
            <w:tcW w:w="974" w:type="dxa"/>
          </w:tcPr>
          <w:p w14:paraId="70755EEF" w14:textId="28739390" w:rsidR="00C26AE0" w:rsidRPr="00F2516B" w:rsidRDefault="00C26AE0" w:rsidP="00142A64">
            <w:pPr>
              <w:autoSpaceDE w:val="0"/>
              <w:autoSpaceDN w:val="0"/>
              <w:adjustRightInd w:val="0"/>
              <w:spacing w:line="240" w:lineRule="auto"/>
              <w:rPr>
                <w:rFonts w:eastAsiaTheme="minorHAnsi" w:cs="Garamond"/>
                <w:b/>
                <w:color w:val="000000"/>
                <w:szCs w:val="24"/>
              </w:rPr>
            </w:pPr>
            <w:r w:rsidRPr="009A74F7">
              <w:rPr>
                <w:rFonts w:eastAsiaTheme="minorHAnsi" w:cs="Garamond"/>
                <w:b/>
                <w:color w:val="000000"/>
                <w:szCs w:val="24"/>
              </w:rPr>
              <w:t>$197</w:t>
            </w:r>
          </w:p>
        </w:tc>
      </w:tr>
      <w:tr w:rsidR="00C26AE0" w:rsidRPr="004B6399" w14:paraId="29C24243" w14:textId="77777777" w:rsidTr="009A74F7">
        <w:tc>
          <w:tcPr>
            <w:tcW w:w="1008" w:type="dxa"/>
          </w:tcPr>
          <w:p w14:paraId="4FCCB42C" w14:textId="73AE35A4" w:rsidR="00C26AE0" w:rsidRDefault="00C26AE0" w:rsidP="009A74F7">
            <w:pPr>
              <w:autoSpaceDE w:val="0"/>
              <w:autoSpaceDN w:val="0"/>
              <w:adjustRightInd w:val="0"/>
              <w:spacing w:line="240" w:lineRule="auto"/>
              <w:jc w:val="center"/>
              <w:rPr>
                <w:rFonts w:eastAsiaTheme="minorHAnsi" w:cs="Garamond"/>
                <w:b/>
                <w:color w:val="000000"/>
                <w:szCs w:val="24"/>
              </w:rPr>
            </w:pPr>
            <w:r>
              <w:rPr>
                <w:rFonts w:cs="Garamond"/>
                <w:color w:val="000000"/>
                <w:sz w:val="23"/>
                <w:szCs w:val="23"/>
              </w:rPr>
              <w:t>3</w:t>
            </w:r>
          </w:p>
        </w:tc>
        <w:tc>
          <w:tcPr>
            <w:tcW w:w="1080" w:type="dxa"/>
          </w:tcPr>
          <w:p w14:paraId="7B28CE1A" w14:textId="62137B90" w:rsidR="00C26AE0" w:rsidRDefault="00C26AE0" w:rsidP="00142A64">
            <w:pPr>
              <w:autoSpaceDE w:val="0"/>
              <w:autoSpaceDN w:val="0"/>
              <w:adjustRightInd w:val="0"/>
              <w:spacing w:line="240" w:lineRule="auto"/>
              <w:rPr>
                <w:rFonts w:eastAsiaTheme="minorHAnsi" w:cs="Garamond"/>
                <w:b/>
                <w:color w:val="000000"/>
                <w:szCs w:val="24"/>
              </w:rPr>
            </w:pPr>
            <w:r w:rsidRPr="00476143">
              <w:rPr>
                <w:rFonts w:eastAsiaTheme="minorEastAsia" w:cstheme="minorBidi"/>
                <w:sz w:val="22"/>
                <w:szCs w:val="23"/>
              </w:rPr>
              <w:t>$50</w:t>
            </w:r>
          </w:p>
        </w:tc>
        <w:tc>
          <w:tcPr>
            <w:tcW w:w="1440" w:type="dxa"/>
          </w:tcPr>
          <w:p w14:paraId="6777BEA5" w14:textId="4E98C514" w:rsidR="00C26AE0" w:rsidRPr="009A74F7" w:rsidRDefault="00C26AE0" w:rsidP="00142A64">
            <w:pPr>
              <w:autoSpaceDE w:val="0"/>
              <w:autoSpaceDN w:val="0"/>
              <w:adjustRightInd w:val="0"/>
              <w:spacing w:line="240" w:lineRule="auto"/>
              <w:rPr>
                <w:rFonts w:eastAsiaTheme="minorHAnsi" w:cs="Garamond"/>
                <w:color w:val="000000"/>
                <w:szCs w:val="24"/>
              </w:rPr>
            </w:pPr>
            <w:r>
              <w:rPr>
                <w:rFonts w:eastAsiaTheme="minorHAnsi" w:cs="Garamond"/>
                <w:color w:val="000000"/>
                <w:szCs w:val="24"/>
              </w:rPr>
              <w:t>$63</w:t>
            </w:r>
          </w:p>
        </w:tc>
        <w:tc>
          <w:tcPr>
            <w:tcW w:w="1440" w:type="dxa"/>
          </w:tcPr>
          <w:p w14:paraId="77D99BE0" w14:textId="2264240A" w:rsidR="00C26AE0" w:rsidRPr="009A74F7" w:rsidRDefault="00C26AE0" w:rsidP="00142A64">
            <w:pPr>
              <w:autoSpaceDE w:val="0"/>
              <w:autoSpaceDN w:val="0"/>
              <w:adjustRightInd w:val="0"/>
              <w:spacing w:line="240" w:lineRule="auto"/>
              <w:rPr>
                <w:rFonts w:eastAsiaTheme="minorHAnsi" w:cs="Garamond"/>
                <w:color w:val="000000"/>
                <w:szCs w:val="24"/>
              </w:rPr>
            </w:pPr>
            <w:r w:rsidRPr="00CA029C">
              <w:rPr>
                <w:rFonts w:eastAsiaTheme="minorEastAsia" w:cstheme="minorBidi"/>
                <w:sz w:val="22"/>
                <w:szCs w:val="23"/>
              </w:rPr>
              <w:t>$5</w:t>
            </w:r>
          </w:p>
        </w:tc>
        <w:tc>
          <w:tcPr>
            <w:tcW w:w="1440" w:type="dxa"/>
          </w:tcPr>
          <w:p w14:paraId="723DDBB4" w14:textId="44F7FD36" w:rsidR="00C26AE0" w:rsidRPr="009A74F7" w:rsidRDefault="00C26AE0" w:rsidP="00142A64">
            <w:pPr>
              <w:autoSpaceDE w:val="0"/>
              <w:autoSpaceDN w:val="0"/>
              <w:adjustRightInd w:val="0"/>
              <w:spacing w:line="240" w:lineRule="auto"/>
              <w:rPr>
                <w:rFonts w:eastAsiaTheme="minorHAnsi" w:cs="Garamond"/>
                <w:color w:val="000000"/>
                <w:szCs w:val="24"/>
              </w:rPr>
            </w:pPr>
            <w:r w:rsidRPr="00775A18">
              <w:rPr>
                <w:rFonts w:eastAsiaTheme="minorEastAsia" w:cstheme="minorBidi"/>
                <w:sz w:val="22"/>
                <w:szCs w:val="23"/>
              </w:rPr>
              <w:t>$50</w:t>
            </w:r>
          </w:p>
        </w:tc>
        <w:tc>
          <w:tcPr>
            <w:tcW w:w="1387" w:type="dxa"/>
          </w:tcPr>
          <w:p w14:paraId="7BDC907C" w14:textId="11EFB50D" w:rsidR="00C26AE0" w:rsidRPr="00F2516B" w:rsidRDefault="00C26AE0" w:rsidP="00142A64">
            <w:pPr>
              <w:autoSpaceDE w:val="0"/>
              <w:autoSpaceDN w:val="0"/>
              <w:adjustRightInd w:val="0"/>
              <w:spacing w:line="240" w:lineRule="auto"/>
              <w:rPr>
                <w:rFonts w:eastAsiaTheme="minorHAnsi" w:cs="Garamond"/>
                <w:color w:val="000000"/>
                <w:szCs w:val="24"/>
              </w:rPr>
            </w:pPr>
            <w:r w:rsidRPr="00722BAC">
              <w:rPr>
                <w:rFonts w:eastAsiaTheme="minorEastAsia" w:cstheme="minorBidi"/>
                <w:sz w:val="22"/>
                <w:szCs w:val="23"/>
              </w:rPr>
              <w:t>$50</w:t>
            </w:r>
          </w:p>
        </w:tc>
        <w:tc>
          <w:tcPr>
            <w:tcW w:w="974" w:type="dxa"/>
          </w:tcPr>
          <w:p w14:paraId="4A2287D8" w14:textId="74F0B71A" w:rsidR="00C26AE0" w:rsidRPr="00F2516B" w:rsidRDefault="00C26AE0" w:rsidP="00142A64">
            <w:pPr>
              <w:autoSpaceDE w:val="0"/>
              <w:autoSpaceDN w:val="0"/>
              <w:adjustRightInd w:val="0"/>
              <w:spacing w:line="240" w:lineRule="auto"/>
              <w:rPr>
                <w:rFonts w:eastAsiaTheme="minorHAnsi" w:cs="Garamond"/>
                <w:b/>
                <w:color w:val="000000"/>
                <w:szCs w:val="24"/>
              </w:rPr>
            </w:pPr>
            <w:r w:rsidRPr="009A74F7">
              <w:rPr>
                <w:rFonts w:eastAsiaTheme="minorHAnsi" w:cs="Garamond"/>
                <w:b/>
                <w:color w:val="000000"/>
                <w:szCs w:val="24"/>
              </w:rPr>
              <w:t>$218</w:t>
            </w:r>
          </w:p>
        </w:tc>
      </w:tr>
      <w:tr w:rsidR="00C26AE0" w:rsidRPr="004B6399" w14:paraId="5B92E8B9" w14:textId="77777777" w:rsidTr="009A74F7">
        <w:tc>
          <w:tcPr>
            <w:tcW w:w="1008" w:type="dxa"/>
          </w:tcPr>
          <w:p w14:paraId="1C74C12F" w14:textId="0355DED4" w:rsidR="00C26AE0" w:rsidRDefault="00C26AE0" w:rsidP="009A74F7">
            <w:pPr>
              <w:autoSpaceDE w:val="0"/>
              <w:autoSpaceDN w:val="0"/>
              <w:adjustRightInd w:val="0"/>
              <w:spacing w:line="240" w:lineRule="auto"/>
              <w:jc w:val="center"/>
              <w:rPr>
                <w:rFonts w:eastAsiaTheme="minorHAnsi" w:cs="Garamond"/>
                <w:b/>
                <w:color w:val="000000"/>
                <w:szCs w:val="24"/>
              </w:rPr>
            </w:pPr>
            <w:r>
              <w:rPr>
                <w:rFonts w:cs="Garamond"/>
                <w:color w:val="000000"/>
                <w:sz w:val="23"/>
                <w:szCs w:val="23"/>
              </w:rPr>
              <w:t>4</w:t>
            </w:r>
          </w:p>
        </w:tc>
        <w:tc>
          <w:tcPr>
            <w:tcW w:w="1080" w:type="dxa"/>
          </w:tcPr>
          <w:p w14:paraId="4623EE6F" w14:textId="20783AE6" w:rsidR="00C26AE0" w:rsidRDefault="00C26AE0" w:rsidP="00142A64">
            <w:pPr>
              <w:autoSpaceDE w:val="0"/>
              <w:autoSpaceDN w:val="0"/>
              <w:adjustRightInd w:val="0"/>
              <w:spacing w:line="240" w:lineRule="auto"/>
              <w:rPr>
                <w:rFonts w:eastAsiaTheme="minorHAnsi" w:cs="Garamond"/>
                <w:b/>
                <w:color w:val="000000"/>
                <w:szCs w:val="24"/>
              </w:rPr>
            </w:pPr>
            <w:r w:rsidRPr="00476143">
              <w:rPr>
                <w:rFonts w:eastAsiaTheme="minorEastAsia" w:cstheme="minorBidi"/>
                <w:sz w:val="22"/>
                <w:szCs w:val="23"/>
              </w:rPr>
              <w:t>$50</w:t>
            </w:r>
          </w:p>
        </w:tc>
        <w:tc>
          <w:tcPr>
            <w:tcW w:w="1440" w:type="dxa"/>
          </w:tcPr>
          <w:p w14:paraId="6B7EE14D" w14:textId="55CD5FB0" w:rsidR="00C26AE0" w:rsidRPr="009A74F7" w:rsidRDefault="00C26AE0" w:rsidP="00142A64">
            <w:pPr>
              <w:autoSpaceDE w:val="0"/>
              <w:autoSpaceDN w:val="0"/>
              <w:adjustRightInd w:val="0"/>
              <w:spacing w:line="240" w:lineRule="auto"/>
              <w:rPr>
                <w:rFonts w:eastAsiaTheme="minorHAnsi" w:cs="Garamond"/>
                <w:color w:val="000000"/>
                <w:szCs w:val="24"/>
              </w:rPr>
            </w:pPr>
            <w:r>
              <w:rPr>
                <w:rFonts w:eastAsiaTheme="minorHAnsi" w:cs="Garamond"/>
                <w:color w:val="000000"/>
                <w:szCs w:val="24"/>
              </w:rPr>
              <w:t>$84</w:t>
            </w:r>
          </w:p>
        </w:tc>
        <w:tc>
          <w:tcPr>
            <w:tcW w:w="1440" w:type="dxa"/>
          </w:tcPr>
          <w:p w14:paraId="7D964406" w14:textId="76C75172" w:rsidR="00C26AE0" w:rsidRPr="009A74F7" w:rsidRDefault="00C26AE0" w:rsidP="00142A64">
            <w:pPr>
              <w:autoSpaceDE w:val="0"/>
              <w:autoSpaceDN w:val="0"/>
              <w:adjustRightInd w:val="0"/>
              <w:spacing w:line="240" w:lineRule="auto"/>
              <w:rPr>
                <w:rFonts w:eastAsiaTheme="minorHAnsi" w:cs="Garamond"/>
                <w:color w:val="000000"/>
                <w:szCs w:val="24"/>
              </w:rPr>
            </w:pPr>
            <w:r w:rsidRPr="00CA029C">
              <w:rPr>
                <w:rFonts w:eastAsiaTheme="minorEastAsia" w:cstheme="minorBidi"/>
                <w:sz w:val="22"/>
                <w:szCs w:val="23"/>
              </w:rPr>
              <w:t>$5</w:t>
            </w:r>
          </w:p>
        </w:tc>
        <w:tc>
          <w:tcPr>
            <w:tcW w:w="1440" w:type="dxa"/>
          </w:tcPr>
          <w:p w14:paraId="08BCA088" w14:textId="78B9C998" w:rsidR="00C26AE0" w:rsidRPr="009A74F7" w:rsidRDefault="00C26AE0" w:rsidP="00142A64">
            <w:pPr>
              <w:autoSpaceDE w:val="0"/>
              <w:autoSpaceDN w:val="0"/>
              <w:adjustRightInd w:val="0"/>
              <w:spacing w:line="240" w:lineRule="auto"/>
              <w:rPr>
                <w:rFonts w:eastAsiaTheme="minorHAnsi" w:cs="Garamond"/>
                <w:color w:val="000000"/>
                <w:szCs w:val="24"/>
              </w:rPr>
            </w:pPr>
            <w:r w:rsidRPr="00775A18">
              <w:rPr>
                <w:rFonts w:eastAsiaTheme="minorEastAsia" w:cstheme="minorBidi"/>
                <w:sz w:val="22"/>
                <w:szCs w:val="23"/>
              </w:rPr>
              <w:t>$50</w:t>
            </w:r>
          </w:p>
        </w:tc>
        <w:tc>
          <w:tcPr>
            <w:tcW w:w="1387" w:type="dxa"/>
          </w:tcPr>
          <w:p w14:paraId="0F092757" w14:textId="34016B9F" w:rsidR="00C26AE0" w:rsidRPr="00F2516B" w:rsidRDefault="00C26AE0" w:rsidP="00142A64">
            <w:pPr>
              <w:autoSpaceDE w:val="0"/>
              <w:autoSpaceDN w:val="0"/>
              <w:adjustRightInd w:val="0"/>
              <w:spacing w:line="240" w:lineRule="auto"/>
              <w:rPr>
                <w:rFonts w:eastAsiaTheme="minorHAnsi" w:cs="Garamond"/>
                <w:color w:val="000000"/>
                <w:szCs w:val="24"/>
              </w:rPr>
            </w:pPr>
            <w:r w:rsidRPr="00722BAC">
              <w:rPr>
                <w:rFonts w:eastAsiaTheme="minorEastAsia" w:cstheme="minorBidi"/>
                <w:sz w:val="22"/>
                <w:szCs w:val="23"/>
              </w:rPr>
              <w:t>$50</w:t>
            </w:r>
          </w:p>
        </w:tc>
        <w:tc>
          <w:tcPr>
            <w:tcW w:w="974" w:type="dxa"/>
          </w:tcPr>
          <w:p w14:paraId="476728BE" w14:textId="51AD5EB3" w:rsidR="00C26AE0" w:rsidRPr="00F2516B" w:rsidRDefault="00C26AE0" w:rsidP="00142A64">
            <w:pPr>
              <w:autoSpaceDE w:val="0"/>
              <w:autoSpaceDN w:val="0"/>
              <w:adjustRightInd w:val="0"/>
              <w:spacing w:line="240" w:lineRule="auto"/>
              <w:rPr>
                <w:rFonts w:eastAsiaTheme="minorHAnsi" w:cs="Garamond"/>
                <w:b/>
                <w:color w:val="000000"/>
                <w:szCs w:val="24"/>
              </w:rPr>
            </w:pPr>
            <w:r w:rsidRPr="009A74F7">
              <w:rPr>
                <w:rFonts w:eastAsiaTheme="minorHAnsi" w:cs="Garamond"/>
                <w:b/>
                <w:color w:val="000000"/>
                <w:szCs w:val="24"/>
              </w:rPr>
              <w:t>$239</w:t>
            </w:r>
          </w:p>
        </w:tc>
      </w:tr>
    </w:tbl>
    <w:p w14:paraId="56BDD8C4" w14:textId="77777777" w:rsidR="004B6399" w:rsidRDefault="004B6399" w:rsidP="00142A64">
      <w:pPr>
        <w:autoSpaceDE w:val="0"/>
        <w:autoSpaceDN w:val="0"/>
        <w:adjustRightInd w:val="0"/>
        <w:spacing w:line="240" w:lineRule="auto"/>
        <w:rPr>
          <w:rFonts w:eastAsiaTheme="minorHAnsi" w:cs="Garamond"/>
          <w:b/>
          <w:color w:val="000000"/>
          <w:szCs w:val="24"/>
        </w:rPr>
      </w:pPr>
    </w:p>
    <w:p w14:paraId="7D82D841" w14:textId="77777777" w:rsidR="00823559" w:rsidRPr="00142A64" w:rsidRDefault="00823559" w:rsidP="00142A64">
      <w:pPr>
        <w:autoSpaceDE w:val="0"/>
        <w:autoSpaceDN w:val="0"/>
        <w:adjustRightInd w:val="0"/>
        <w:spacing w:line="240" w:lineRule="auto"/>
        <w:rPr>
          <w:rFonts w:eastAsiaTheme="minorHAnsi" w:cs="Garamond"/>
          <w:color w:val="000000"/>
          <w:sz w:val="22"/>
          <w:szCs w:val="23"/>
        </w:rPr>
      </w:pPr>
    </w:p>
    <w:p w14:paraId="603691BD" w14:textId="29801C3C" w:rsidR="00B151FF" w:rsidRDefault="00823559" w:rsidP="0084172C">
      <w:pPr>
        <w:spacing w:line="360" w:lineRule="atLeast"/>
        <w:rPr>
          <w:sz w:val="23"/>
          <w:szCs w:val="23"/>
        </w:rPr>
      </w:pPr>
      <w:r>
        <w:rPr>
          <w:sz w:val="23"/>
          <w:szCs w:val="23"/>
        </w:rPr>
        <w:t>Table A.9.</w:t>
      </w:r>
      <w:r w:rsidR="00F2516B">
        <w:rPr>
          <w:sz w:val="23"/>
          <w:szCs w:val="23"/>
        </w:rPr>
        <w:t>2</w:t>
      </w:r>
      <w:r>
        <w:rPr>
          <w:sz w:val="23"/>
          <w:szCs w:val="23"/>
        </w:rPr>
        <w:t xml:space="preserve"> shows the incentives levels in </w:t>
      </w:r>
      <w:r w:rsidR="00EE53A2">
        <w:rPr>
          <w:sz w:val="23"/>
          <w:szCs w:val="23"/>
        </w:rPr>
        <w:t>FoodAPS-1</w:t>
      </w:r>
      <w:r>
        <w:rPr>
          <w:sz w:val="23"/>
          <w:szCs w:val="23"/>
        </w:rPr>
        <w:t xml:space="preserve">. Despite the four year lag between </w:t>
      </w:r>
      <w:r w:rsidR="00EE53A2">
        <w:rPr>
          <w:sz w:val="23"/>
          <w:szCs w:val="23"/>
        </w:rPr>
        <w:t>FoodAPS-1</w:t>
      </w:r>
      <w:r>
        <w:rPr>
          <w:sz w:val="23"/>
          <w:szCs w:val="23"/>
        </w:rPr>
        <w:t xml:space="preserve"> and the NFS Pilot, the </w:t>
      </w:r>
      <w:r w:rsidR="00B151FF" w:rsidRPr="00823559">
        <w:rPr>
          <w:sz w:val="23"/>
          <w:szCs w:val="23"/>
        </w:rPr>
        <w:t xml:space="preserve">incentive levels shown in </w:t>
      </w:r>
      <w:r>
        <w:rPr>
          <w:sz w:val="23"/>
          <w:szCs w:val="23"/>
        </w:rPr>
        <w:t>the table below</w:t>
      </w:r>
      <w:r w:rsidR="00B151FF" w:rsidRPr="00823559">
        <w:rPr>
          <w:sz w:val="23"/>
          <w:szCs w:val="23"/>
        </w:rPr>
        <w:t xml:space="preserve"> are comparable to those used in </w:t>
      </w:r>
      <w:r>
        <w:rPr>
          <w:sz w:val="23"/>
          <w:szCs w:val="23"/>
        </w:rPr>
        <w:t>2012</w:t>
      </w:r>
      <w:r w:rsidR="00B151FF" w:rsidRPr="00823559">
        <w:rPr>
          <w:sz w:val="23"/>
          <w:szCs w:val="23"/>
        </w:rPr>
        <w:t xml:space="preserve">. </w:t>
      </w:r>
      <w:r w:rsidR="00FE5DEB">
        <w:rPr>
          <w:sz w:val="23"/>
          <w:szCs w:val="23"/>
        </w:rPr>
        <w:t xml:space="preserve">The NFS Pilot </w:t>
      </w:r>
      <w:r w:rsidR="0084172C">
        <w:rPr>
          <w:sz w:val="23"/>
          <w:szCs w:val="23"/>
        </w:rPr>
        <w:t>asks participants to participate in an additional interview (</w:t>
      </w:r>
      <w:r w:rsidR="00F2516B">
        <w:rPr>
          <w:sz w:val="23"/>
          <w:szCs w:val="23"/>
        </w:rPr>
        <w:t xml:space="preserve">recall </w:t>
      </w:r>
      <w:r w:rsidR="0084172C">
        <w:rPr>
          <w:sz w:val="23"/>
          <w:szCs w:val="23"/>
        </w:rPr>
        <w:t xml:space="preserve">interview) that was not </w:t>
      </w:r>
      <w:r w:rsidR="009A74F7">
        <w:rPr>
          <w:sz w:val="23"/>
          <w:szCs w:val="23"/>
        </w:rPr>
        <w:t xml:space="preserve">included </w:t>
      </w:r>
      <w:r w:rsidR="0084172C">
        <w:rPr>
          <w:sz w:val="23"/>
          <w:szCs w:val="23"/>
        </w:rPr>
        <w:t>in 2012.</w:t>
      </w:r>
    </w:p>
    <w:p w14:paraId="2881F8D2" w14:textId="77777777" w:rsidR="00083472" w:rsidRDefault="00083472" w:rsidP="0084172C">
      <w:pPr>
        <w:spacing w:line="360" w:lineRule="atLeast"/>
        <w:rPr>
          <w:sz w:val="23"/>
          <w:szCs w:val="23"/>
        </w:rPr>
      </w:pPr>
    </w:p>
    <w:p w14:paraId="1D335F1E" w14:textId="0D21F8FC" w:rsidR="00083472" w:rsidRDefault="00083472">
      <w:pPr>
        <w:spacing w:line="240" w:lineRule="auto"/>
        <w:rPr>
          <w:b/>
          <w:sz w:val="23"/>
          <w:szCs w:val="23"/>
        </w:rPr>
      </w:pPr>
    </w:p>
    <w:p w14:paraId="56D4B8AC" w14:textId="4589AF13" w:rsidR="00B151FF" w:rsidRPr="00E44192" w:rsidRDefault="00B151FF" w:rsidP="00B151FF">
      <w:pPr>
        <w:spacing w:line="240" w:lineRule="auto"/>
        <w:rPr>
          <w:b/>
          <w:sz w:val="23"/>
          <w:szCs w:val="23"/>
        </w:rPr>
      </w:pPr>
      <w:r w:rsidRPr="00E44192">
        <w:rPr>
          <w:b/>
          <w:sz w:val="23"/>
          <w:szCs w:val="23"/>
        </w:rPr>
        <w:t xml:space="preserve">Table </w:t>
      </w:r>
      <w:r w:rsidR="00E44192" w:rsidRPr="00E44192">
        <w:rPr>
          <w:b/>
          <w:sz w:val="23"/>
          <w:szCs w:val="23"/>
        </w:rPr>
        <w:t>A.9.</w:t>
      </w:r>
      <w:r w:rsidR="00F2516B">
        <w:rPr>
          <w:b/>
          <w:sz w:val="23"/>
          <w:szCs w:val="23"/>
        </w:rPr>
        <w:t>2</w:t>
      </w:r>
      <w:r w:rsidRPr="00E44192">
        <w:rPr>
          <w:b/>
          <w:sz w:val="23"/>
          <w:szCs w:val="23"/>
        </w:rPr>
        <w:t xml:space="preserve">. Incentives levels for different types of households in </w:t>
      </w:r>
      <w:r w:rsidR="00EE53A2">
        <w:rPr>
          <w:b/>
          <w:sz w:val="23"/>
          <w:szCs w:val="23"/>
        </w:rPr>
        <w:t>FoodAPS-</w:t>
      </w:r>
      <w:r w:rsidR="00F2516B">
        <w:rPr>
          <w:b/>
          <w:sz w:val="23"/>
          <w:szCs w:val="23"/>
        </w:rPr>
        <w:t>1</w:t>
      </w:r>
    </w:p>
    <w:p w14:paraId="39BD6FDB" w14:textId="77777777" w:rsidR="00823559" w:rsidRPr="00E44192" w:rsidRDefault="00823559" w:rsidP="00B151FF">
      <w:pPr>
        <w:spacing w:line="240" w:lineRule="auto"/>
        <w:rPr>
          <w:b/>
          <w:sz w:val="23"/>
          <w:szCs w:val="23"/>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6390"/>
      </w:tblGrid>
      <w:tr w:rsidR="00B151FF" w:rsidRPr="00823559" w14:paraId="189B0650" w14:textId="77777777" w:rsidTr="003825AD">
        <w:trPr>
          <w:jc w:val="center"/>
        </w:trPr>
        <w:tc>
          <w:tcPr>
            <w:tcW w:w="2988" w:type="dxa"/>
            <w:tcBorders>
              <w:top w:val="single" w:sz="4" w:space="0" w:color="auto"/>
              <w:bottom w:val="single" w:sz="4" w:space="0" w:color="auto"/>
            </w:tcBorders>
          </w:tcPr>
          <w:p w14:paraId="33790870" w14:textId="77777777" w:rsidR="00B151FF" w:rsidRPr="00823559" w:rsidRDefault="00B151FF" w:rsidP="003825AD">
            <w:pPr>
              <w:spacing w:line="240" w:lineRule="auto"/>
              <w:rPr>
                <w:sz w:val="23"/>
                <w:szCs w:val="23"/>
              </w:rPr>
            </w:pPr>
            <w:r w:rsidRPr="00823559">
              <w:rPr>
                <w:sz w:val="23"/>
                <w:szCs w:val="23"/>
              </w:rPr>
              <w:t>Type of household</w:t>
            </w:r>
          </w:p>
        </w:tc>
        <w:tc>
          <w:tcPr>
            <w:tcW w:w="6390" w:type="dxa"/>
            <w:tcBorders>
              <w:top w:val="single" w:sz="4" w:space="0" w:color="auto"/>
              <w:bottom w:val="single" w:sz="4" w:space="0" w:color="auto"/>
            </w:tcBorders>
          </w:tcPr>
          <w:p w14:paraId="45458F66" w14:textId="77777777" w:rsidR="00B151FF" w:rsidRPr="00823559" w:rsidRDefault="00B151FF" w:rsidP="003825AD">
            <w:pPr>
              <w:spacing w:line="240" w:lineRule="auto"/>
              <w:jc w:val="center"/>
              <w:rPr>
                <w:sz w:val="23"/>
                <w:szCs w:val="23"/>
              </w:rPr>
            </w:pPr>
            <w:r w:rsidRPr="00823559">
              <w:rPr>
                <w:sz w:val="23"/>
                <w:szCs w:val="23"/>
              </w:rPr>
              <w:t>Incentive Amount</w:t>
            </w:r>
          </w:p>
        </w:tc>
      </w:tr>
      <w:tr w:rsidR="00B151FF" w:rsidRPr="00823559" w14:paraId="140D66E6" w14:textId="77777777" w:rsidTr="003825AD">
        <w:trPr>
          <w:jc w:val="center"/>
        </w:trPr>
        <w:tc>
          <w:tcPr>
            <w:tcW w:w="2988" w:type="dxa"/>
            <w:tcBorders>
              <w:top w:val="single" w:sz="4" w:space="0" w:color="auto"/>
            </w:tcBorders>
          </w:tcPr>
          <w:p w14:paraId="0E4DDEC4" w14:textId="77777777" w:rsidR="00B151FF" w:rsidRPr="00823559" w:rsidRDefault="00B151FF" w:rsidP="003825AD">
            <w:pPr>
              <w:spacing w:line="240" w:lineRule="auto"/>
              <w:rPr>
                <w:sz w:val="23"/>
                <w:szCs w:val="23"/>
              </w:rPr>
            </w:pPr>
            <w:r w:rsidRPr="00823559">
              <w:rPr>
                <w:sz w:val="23"/>
                <w:szCs w:val="23"/>
              </w:rPr>
              <w:t xml:space="preserve">  Single Adult households</w:t>
            </w:r>
          </w:p>
        </w:tc>
        <w:tc>
          <w:tcPr>
            <w:tcW w:w="6390" w:type="dxa"/>
            <w:tcBorders>
              <w:top w:val="single" w:sz="4" w:space="0" w:color="auto"/>
            </w:tcBorders>
          </w:tcPr>
          <w:p w14:paraId="5C67C56A" w14:textId="77777777" w:rsidR="00B151FF" w:rsidRPr="00823559" w:rsidRDefault="00B151FF" w:rsidP="003825AD">
            <w:pPr>
              <w:spacing w:line="240" w:lineRule="auto"/>
              <w:jc w:val="center"/>
              <w:rPr>
                <w:sz w:val="23"/>
                <w:szCs w:val="23"/>
              </w:rPr>
            </w:pPr>
          </w:p>
        </w:tc>
      </w:tr>
      <w:tr w:rsidR="00B151FF" w:rsidRPr="00823559" w14:paraId="6FDF1B7B" w14:textId="77777777" w:rsidTr="003825AD">
        <w:trPr>
          <w:jc w:val="center"/>
        </w:trPr>
        <w:tc>
          <w:tcPr>
            <w:tcW w:w="2988" w:type="dxa"/>
          </w:tcPr>
          <w:p w14:paraId="613154E7" w14:textId="77777777" w:rsidR="00B151FF" w:rsidRPr="00823559" w:rsidRDefault="00B151FF" w:rsidP="003825AD">
            <w:pPr>
              <w:spacing w:line="240" w:lineRule="auto"/>
              <w:rPr>
                <w:sz w:val="23"/>
                <w:szCs w:val="23"/>
              </w:rPr>
            </w:pPr>
            <w:r w:rsidRPr="00823559">
              <w:rPr>
                <w:sz w:val="23"/>
                <w:szCs w:val="23"/>
              </w:rPr>
              <w:t xml:space="preserve">  One person household</w:t>
            </w:r>
          </w:p>
        </w:tc>
        <w:tc>
          <w:tcPr>
            <w:tcW w:w="6390" w:type="dxa"/>
          </w:tcPr>
          <w:p w14:paraId="3C930978" w14:textId="77777777" w:rsidR="00B151FF" w:rsidRPr="00823559" w:rsidRDefault="00B151FF" w:rsidP="003825AD">
            <w:pPr>
              <w:spacing w:line="240" w:lineRule="auto"/>
              <w:jc w:val="center"/>
              <w:rPr>
                <w:sz w:val="23"/>
                <w:szCs w:val="23"/>
              </w:rPr>
            </w:pPr>
            <w:r w:rsidRPr="00823559">
              <w:rPr>
                <w:sz w:val="23"/>
                <w:szCs w:val="23"/>
              </w:rPr>
              <w:t>$130</w:t>
            </w:r>
          </w:p>
        </w:tc>
      </w:tr>
      <w:tr w:rsidR="00B151FF" w:rsidRPr="00823559" w14:paraId="7DD8DA9A" w14:textId="77777777" w:rsidTr="003825AD">
        <w:trPr>
          <w:jc w:val="center"/>
        </w:trPr>
        <w:tc>
          <w:tcPr>
            <w:tcW w:w="2988" w:type="dxa"/>
          </w:tcPr>
          <w:p w14:paraId="5D2E242F" w14:textId="77777777" w:rsidR="00B151FF" w:rsidRPr="00823559" w:rsidRDefault="00B151FF" w:rsidP="003825AD">
            <w:pPr>
              <w:spacing w:line="240" w:lineRule="auto"/>
              <w:rPr>
                <w:sz w:val="23"/>
                <w:szCs w:val="23"/>
              </w:rPr>
            </w:pPr>
            <w:r w:rsidRPr="00823559">
              <w:rPr>
                <w:sz w:val="23"/>
                <w:szCs w:val="23"/>
              </w:rPr>
              <w:t xml:space="preserve">  No youth or teens</w:t>
            </w:r>
          </w:p>
        </w:tc>
        <w:tc>
          <w:tcPr>
            <w:tcW w:w="6390" w:type="dxa"/>
          </w:tcPr>
          <w:p w14:paraId="4E2F0B7F" w14:textId="77777777" w:rsidR="00B151FF" w:rsidRPr="00823559" w:rsidRDefault="00B151FF" w:rsidP="003825AD">
            <w:pPr>
              <w:spacing w:line="240" w:lineRule="auto"/>
              <w:jc w:val="center"/>
              <w:rPr>
                <w:sz w:val="23"/>
                <w:szCs w:val="23"/>
              </w:rPr>
            </w:pPr>
            <w:r w:rsidRPr="00823559">
              <w:rPr>
                <w:sz w:val="23"/>
                <w:szCs w:val="23"/>
              </w:rPr>
              <w:t>$130</w:t>
            </w:r>
          </w:p>
        </w:tc>
      </w:tr>
      <w:tr w:rsidR="00B151FF" w:rsidRPr="00823559" w14:paraId="48E72F1F" w14:textId="77777777" w:rsidTr="003825AD">
        <w:trPr>
          <w:jc w:val="center"/>
        </w:trPr>
        <w:tc>
          <w:tcPr>
            <w:tcW w:w="2988" w:type="dxa"/>
          </w:tcPr>
          <w:p w14:paraId="0347537D" w14:textId="77777777" w:rsidR="00B151FF" w:rsidRPr="00823559" w:rsidRDefault="00B151FF" w:rsidP="003825AD">
            <w:pPr>
              <w:spacing w:line="240" w:lineRule="auto"/>
              <w:rPr>
                <w:sz w:val="23"/>
                <w:szCs w:val="23"/>
              </w:rPr>
            </w:pPr>
            <w:r w:rsidRPr="00823559">
              <w:rPr>
                <w:sz w:val="23"/>
                <w:szCs w:val="23"/>
              </w:rPr>
              <w:t xml:space="preserve">  Youth only </w:t>
            </w:r>
          </w:p>
        </w:tc>
        <w:tc>
          <w:tcPr>
            <w:tcW w:w="6390" w:type="dxa"/>
          </w:tcPr>
          <w:p w14:paraId="625A9A88" w14:textId="77777777" w:rsidR="00B151FF" w:rsidRPr="00823559" w:rsidRDefault="00B151FF" w:rsidP="003825AD">
            <w:pPr>
              <w:spacing w:line="240" w:lineRule="auto"/>
              <w:jc w:val="center"/>
              <w:rPr>
                <w:sz w:val="23"/>
                <w:szCs w:val="23"/>
              </w:rPr>
            </w:pPr>
            <w:r w:rsidRPr="00823559">
              <w:rPr>
                <w:sz w:val="23"/>
                <w:szCs w:val="23"/>
              </w:rPr>
              <w:t>$142</w:t>
            </w:r>
          </w:p>
        </w:tc>
      </w:tr>
      <w:tr w:rsidR="00B151FF" w:rsidRPr="00823559" w14:paraId="2DDC2756" w14:textId="77777777" w:rsidTr="003825AD">
        <w:trPr>
          <w:jc w:val="center"/>
        </w:trPr>
        <w:tc>
          <w:tcPr>
            <w:tcW w:w="2988" w:type="dxa"/>
          </w:tcPr>
          <w:p w14:paraId="68078F54" w14:textId="77777777" w:rsidR="00B151FF" w:rsidRPr="00823559" w:rsidRDefault="00B151FF" w:rsidP="003825AD">
            <w:pPr>
              <w:spacing w:line="240" w:lineRule="auto"/>
              <w:rPr>
                <w:sz w:val="23"/>
                <w:szCs w:val="23"/>
              </w:rPr>
            </w:pPr>
            <w:r w:rsidRPr="00823559">
              <w:rPr>
                <w:sz w:val="23"/>
                <w:szCs w:val="23"/>
              </w:rPr>
              <w:t xml:space="preserve">  Teens only</w:t>
            </w:r>
          </w:p>
        </w:tc>
        <w:tc>
          <w:tcPr>
            <w:tcW w:w="6390" w:type="dxa"/>
          </w:tcPr>
          <w:p w14:paraId="051265E8" w14:textId="77777777" w:rsidR="00B151FF" w:rsidRPr="00823559" w:rsidRDefault="00B151FF" w:rsidP="003825AD">
            <w:pPr>
              <w:spacing w:line="240" w:lineRule="auto"/>
              <w:jc w:val="center"/>
              <w:rPr>
                <w:sz w:val="23"/>
                <w:szCs w:val="23"/>
              </w:rPr>
            </w:pPr>
            <w:r w:rsidRPr="00823559">
              <w:rPr>
                <w:sz w:val="23"/>
                <w:szCs w:val="23"/>
              </w:rPr>
              <w:t>$153</w:t>
            </w:r>
          </w:p>
        </w:tc>
      </w:tr>
      <w:tr w:rsidR="00B151FF" w:rsidRPr="00823559" w14:paraId="2C8DA3B0" w14:textId="77777777" w:rsidTr="003825AD">
        <w:trPr>
          <w:jc w:val="center"/>
        </w:trPr>
        <w:tc>
          <w:tcPr>
            <w:tcW w:w="2988" w:type="dxa"/>
          </w:tcPr>
          <w:p w14:paraId="71DDCE9A" w14:textId="77777777" w:rsidR="00B151FF" w:rsidRPr="00823559" w:rsidRDefault="00B151FF" w:rsidP="003825AD">
            <w:pPr>
              <w:spacing w:line="240" w:lineRule="auto"/>
              <w:rPr>
                <w:sz w:val="23"/>
                <w:szCs w:val="23"/>
              </w:rPr>
            </w:pPr>
            <w:r w:rsidRPr="00823559">
              <w:rPr>
                <w:sz w:val="23"/>
                <w:szCs w:val="23"/>
              </w:rPr>
              <w:t xml:space="preserve">  Youth and teens</w:t>
            </w:r>
          </w:p>
        </w:tc>
        <w:tc>
          <w:tcPr>
            <w:tcW w:w="6390" w:type="dxa"/>
          </w:tcPr>
          <w:p w14:paraId="654BEB45" w14:textId="77777777" w:rsidR="00B151FF" w:rsidRPr="00823559" w:rsidRDefault="00B151FF" w:rsidP="003825AD">
            <w:pPr>
              <w:spacing w:line="240" w:lineRule="auto"/>
              <w:jc w:val="center"/>
              <w:rPr>
                <w:sz w:val="23"/>
                <w:szCs w:val="23"/>
              </w:rPr>
            </w:pPr>
            <w:r w:rsidRPr="00823559">
              <w:rPr>
                <w:sz w:val="23"/>
                <w:szCs w:val="23"/>
              </w:rPr>
              <w:t>$166</w:t>
            </w:r>
          </w:p>
        </w:tc>
      </w:tr>
      <w:tr w:rsidR="00B151FF" w:rsidRPr="00823559" w14:paraId="304900AA" w14:textId="77777777" w:rsidTr="003825AD">
        <w:trPr>
          <w:jc w:val="center"/>
        </w:trPr>
        <w:tc>
          <w:tcPr>
            <w:tcW w:w="2988" w:type="dxa"/>
          </w:tcPr>
          <w:p w14:paraId="50CD66CF" w14:textId="77777777" w:rsidR="00B151FF" w:rsidRPr="00823559" w:rsidRDefault="00B151FF" w:rsidP="003825AD">
            <w:pPr>
              <w:spacing w:line="240" w:lineRule="auto"/>
              <w:rPr>
                <w:sz w:val="23"/>
                <w:szCs w:val="23"/>
              </w:rPr>
            </w:pPr>
            <w:r w:rsidRPr="00823559">
              <w:rPr>
                <w:sz w:val="23"/>
                <w:szCs w:val="23"/>
              </w:rPr>
              <w:t>Multiple Adult households</w:t>
            </w:r>
          </w:p>
        </w:tc>
        <w:tc>
          <w:tcPr>
            <w:tcW w:w="6390" w:type="dxa"/>
          </w:tcPr>
          <w:p w14:paraId="72EE052A" w14:textId="77777777" w:rsidR="00B151FF" w:rsidRPr="00823559" w:rsidRDefault="00B151FF" w:rsidP="003825AD">
            <w:pPr>
              <w:spacing w:line="240" w:lineRule="auto"/>
              <w:jc w:val="center"/>
              <w:rPr>
                <w:sz w:val="23"/>
                <w:szCs w:val="23"/>
              </w:rPr>
            </w:pPr>
          </w:p>
        </w:tc>
      </w:tr>
      <w:tr w:rsidR="00B151FF" w:rsidRPr="00823559" w14:paraId="1B80BED5" w14:textId="77777777" w:rsidTr="003825AD">
        <w:trPr>
          <w:jc w:val="center"/>
        </w:trPr>
        <w:tc>
          <w:tcPr>
            <w:tcW w:w="2988" w:type="dxa"/>
          </w:tcPr>
          <w:p w14:paraId="7BAB3C84" w14:textId="77777777" w:rsidR="00B151FF" w:rsidRPr="00823559" w:rsidRDefault="00B151FF" w:rsidP="003825AD">
            <w:pPr>
              <w:spacing w:line="240" w:lineRule="auto"/>
              <w:rPr>
                <w:sz w:val="23"/>
                <w:szCs w:val="23"/>
              </w:rPr>
            </w:pPr>
            <w:r w:rsidRPr="00823559">
              <w:rPr>
                <w:sz w:val="23"/>
                <w:szCs w:val="23"/>
              </w:rPr>
              <w:t xml:space="preserve">  Adults, no youth or teens</w:t>
            </w:r>
          </w:p>
        </w:tc>
        <w:tc>
          <w:tcPr>
            <w:tcW w:w="6390" w:type="dxa"/>
          </w:tcPr>
          <w:p w14:paraId="733D8E15" w14:textId="77777777" w:rsidR="00B151FF" w:rsidRPr="00823559" w:rsidRDefault="00B151FF" w:rsidP="003825AD">
            <w:pPr>
              <w:spacing w:line="240" w:lineRule="auto"/>
              <w:jc w:val="center"/>
              <w:rPr>
                <w:sz w:val="23"/>
                <w:szCs w:val="23"/>
              </w:rPr>
            </w:pPr>
            <w:r w:rsidRPr="00823559">
              <w:rPr>
                <w:sz w:val="23"/>
                <w:szCs w:val="23"/>
              </w:rPr>
              <w:t>$151</w:t>
            </w:r>
          </w:p>
        </w:tc>
      </w:tr>
      <w:tr w:rsidR="00B151FF" w:rsidRPr="00823559" w14:paraId="313140C3" w14:textId="77777777" w:rsidTr="003825AD">
        <w:trPr>
          <w:jc w:val="center"/>
        </w:trPr>
        <w:tc>
          <w:tcPr>
            <w:tcW w:w="2988" w:type="dxa"/>
          </w:tcPr>
          <w:p w14:paraId="3525A6F4" w14:textId="77777777" w:rsidR="00B151FF" w:rsidRPr="00823559" w:rsidRDefault="00B151FF" w:rsidP="003825AD">
            <w:pPr>
              <w:spacing w:line="240" w:lineRule="auto"/>
              <w:rPr>
                <w:sz w:val="23"/>
                <w:szCs w:val="23"/>
              </w:rPr>
            </w:pPr>
            <w:r w:rsidRPr="00823559">
              <w:rPr>
                <w:sz w:val="23"/>
                <w:szCs w:val="23"/>
              </w:rPr>
              <w:t xml:space="preserve">  Adults and youth</w:t>
            </w:r>
          </w:p>
        </w:tc>
        <w:tc>
          <w:tcPr>
            <w:tcW w:w="6390" w:type="dxa"/>
          </w:tcPr>
          <w:p w14:paraId="0082B39D" w14:textId="77777777" w:rsidR="00B151FF" w:rsidRPr="00823559" w:rsidRDefault="00B151FF" w:rsidP="003825AD">
            <w:pPr>
              <w:spacing w:line="240" w:lineRule="auto"/>
              <w:jc w:val="center"/>
              <w:rPr>
                <w:sz w:val="23"/>
                <w:szCs w:val="23"/>
              </w:rPr>
            </w:pPr>
            <w:r w:rsidRPr="00823559">
              <w:rPr>
                <w:sz w:val="23"/>
                <w:szCs w:val="23"/>
              </w:rPr>
              <w:t>$162</w:t>
            </w:r>
          </w:p>
        </w:tc>
      </w:tr>
      <w:tr w:rsidR="00B151FF" w:rsidRPr="00823559" w14:paraId="4B08F551" w14:textId="77777777" w:rsidTr="003825AD">
        <w:trPr>
          <w:jc w:val="center"/>
        </w:trPr>
        <w:tc>
          <w:tcPr>
            <w:tcW w:w="2988" w:type="dxa"/>
          </w:tcPr>
          <w:p w14:paraId="498E518E" w14:textId="77777777" w:rsidR="00B151FF" w:rsidRPr="00823559" w:rsidRDefault="00B151FF" w:rsidP="003825AD">
            <w:pPr>
              <w:spacing w:line="240" w:lineRule="auto"/>
              <w:rPr>
                <w:sz w:val="23"/>
                <w:szCs w:val="23"/>
              </w:rPr>
            </w:pPr>
            <w:r w:rsidRPr="00823559">
              <w:rPr>
                <w:sz w:val="23"/>
                <w:szCs w:val="23"/>
              </w:rPr>
              <w:t xml:space="preserve">  Adults and teens</w:t>
            </w:r>
          </w:p>
        </w:tc>
        <w:tc>
          <w:tcPr>
            <w:tcW w:w="6390" w:type="dxa"/>
          </w:tcPr>
          <w:p w14:paraId="73DB9C52" w14:textId="77777777" w:rsidR="00B151FF" w:rsidRPr="00823559" w:rsidRDefault="00B151FF" w:rsidP="003825AD">
            <w:pPr>
              <w:spacing w:line="240" w:lineRule="auto"/>
              <w:jc w:val="center"/>
              <w:rPr>
                <w:sz w:val="23"/>
                <w:szCs w:val="23"/>
              </w:rPr>
            </w:pPr>
            <w:r w:rsidRPr="00823559">
              <w:rPr>
                <w:sz w:val="23"/>
                <w:szCs w:val="23"/>
              </w:rPr>
              <w:t>$181</w:t>
            </w:r>
          </w:p>
        </w:tc>
      </w:tr>
      <w:tr w:rsidR="00B151FF" w:rsidRPr="00823559" w14:paraId="34C07B85" w14:textId="77777777" w:rsidTr="003825AD">
        <w:trPr>
          <w:jc w:val="center"/>
        </w:trPr>
        <w:tc>
          <w:tcPr>
            <w:tcW w:w="2988" w:type="dxa"/>
          </w:tcPr>
          <w:p w14:paraId="31B80443" w14:textId="77777777" w:rsidR="00B151FF" w:rsidRPr="00823559" w:rsidRDefault="00B151FF" w:rsidP="003825AD">
            <w:pPr>
              <w:spacing w:line="240" w:lineRule="auto"/>
              <w:rPr>
                <w:sz w:val="23"/>
                <w:szCs w:val="23"/>
              </w:rPr>
            </w:pPr>
            <w:r w:rsidRPr="00823559">
              <w:rPr>
                <w:sz w:val="23"/>
                <w:szCs w:val="23"/>
              </w:rPr>
              <w:t xml:space="preserve">  Adults, youth, and teens</w:t>
            </w:r>
          </w:p>
        </w:tc>
        <w:tc>
          <w:tcPr>
            <w:tcW w:w="6390" w:type="dxa"/>
          </w:tcPr>
          <w:p w14:paraId="7B883E07" w14:textId="77777777" w:rsidR="00B151FF" w:rsidRPr="00823559" w:rsidRDefault="00B151FF" w:rsidP="003825AD">
            <w:pPr>
              <w:spacing w:line="240" w:lineRule="auto"/>
              <w:jc w:val="center"/>
              <w:rPr>
                <w:sz w:val="23"/>
                <w:szCs w:val="23"/>
              </w:rPr>
            </w:pPr>
            <w:r w:rsidRPr="00823559">
              <w:rPr>
                <w:sz w:val="23"/>
                <w:szCs w:val="23"/>
              </w:rPr>
              <w:t>$197</w:t>
            </w:r>
          </w:p>
        </w:tc>
      </w:tr>
    </w:tbl>
    <w:p w14:paraId="574F6339" w14:textId="77777777" w:rsidR="00B151FF" w:rsidRDefault="00B151FF" w:rsidP="005F7D5D">
      <w:pPr>
        <w:pStyle w:val="L1-FlLSp12"/>
        <w:rPr>
          <w:rFonts w:cs="CJPCAL+TimesNewRoman"/>
          <w:szCs w:val="24"/>
        </w:rPr>
      </w:pPr>
    </w:p>
    <w:p w14:paraId="1B9E6D9B" w14:textId="11D8FB41" w:rsidR="00267F75" w:rsidRPr="00083472" w:rsidRDefault="00C049EA" w:rsidP="00271489">
      <w:pPr>
        <w:pStyle w:val="L1-FlLSp12"/>
        <w:rPr>
          <w:sz w:val="23"/>
          <w:szCs w:val="23"/>
        </w:rPr>
      </w:pPr>
      <w:bookmarkStart w:id="77" w:name="_Toc286158958"/>
      <w:bookmarkStart w:id="78" w:name="_Toc286160550"/>
      <w:bookmarkStart w:id="79" w:name="_Toc290021769"/>
      <w:r w:rsidRPr="00083472">
        <w:rPr>
          <w:sz w:val="23"/>
          <w:szCs w:val="23"/>
        </w:rPr>
        <w:t xml:space="preserve">The NFS Pilot will also provide a $5 nonresponse incentive to households that complete the screener but refuse to participate </w:t>
      </w:r>
      <w:r w:rsidR="00F2516B">
        <w:rPr>
          <w:sz w:val="23"/>
          <w:szCs w:val="23"/>
        </w:rPr>
        <w:t>in subsequent data collection events</w:t>
      </w:r>
      <w:r w:rsidRPr="00083472">
        <w:rPr>
          <w:sz w:val="23"/>
          <w:szCs w:val="23"/>
        </w:rPr>
        <w:t>: after the screener interview, after the initial interview and before training, after training, and during the reporting week.</w:t>
      </w:r>
    </w:p>
    <w:p w14:paraId="27DF9C5E" w14:textId="77777777" w:rsidR="00460BBB" w:rsidRDefault="00460BBB" w:rsidP="00271489">
      <w:pPr>
        <w:pStyle w:val="L1-FlLSp12"/>
      </w:pPr>
    </w:p>
    <w:p w14:paraId="487E7972" w14:textId="77777777" w:rsidR="00986958" w:rsidRDefault="00986958" w:rsidP="00271489">
      <w:pPr>
        <w:pStyle w:val="L1-FlLSp12"/>
      </w:pPr>
    </w:p>
    <w:p w14:paraId="3705E634" w14:textId="77777777" w:rsidR="00271489" w:rsidRPr="003702B9" w:rsidRDefault="00271489" w:rsidP="00271489">
      <w:pPr>
        <w:pStyle w:val="Heading2"/>
      </w:pPr>
      <w:bookmarkStart w:id="80" w:name="_Toc329341683"/>
      <w:bookmarkStart w:id="81" w:name="_Toc400376146"/>
      <w:bookmarkStart w:id="82" w:name="_Toc286158961"/>
      <w:bookmarkStart w:id="83" w:name="_Toc286160553"/>
      <w:bookmarkStart w:id="84" w:name="_Toc290021770"/>
      <w:bookmarkStart w:id="85" w:name="_Toc329675319"/>
      <w:bookmarkStart w:id="86" w:name="_Toc329675908"/>
      <w:bookmarkEnd w:id="77"/>
      <w:bookmarkEnd w:id="78"/>
      <w:bookmarkEnd w:id="79"/>
      <w:r w:rsidRPr="003702B9">
        <w:lastRenderedPageBreak/>
        <w:t>A.10</w:t>
      </w:r>
      <w:r w:rsidRPr="003702B9">
        <w:tab/>
        <w:t>Assurance of Confidentiality Provided to Respondents</w:t>
      </w:r>
      <w:bookmarkEnd w:id="80"/>
      <w:bookmarkEnd w:id="81"/>
    </w:p>
    <w:p w14:paraId="785D1FEB" w14:textId="77777777" w:rsidR="00271489" w:rsidRPr="002F126A" w:rsidRDefault="00271489" w:rsidP="00271489">
      <w:pPr>
        <w:pStyle w:val="L1-FlLSp12"/>
        <w:rPr>
          <w:b/>
        </w:rPr>
      </w:pPr>
      <w:r w:rsidRPr="002F126A">
        <w:rPr>
          <w:b/>
        </w:rPr>
        <w:t>Describe any assurance of confidentiality provided to respondents and the basis for the assurance in statute, regulation, or agency policy.</w:t>
      </w:r>
    </w:p>
    <w:p w14:paraId="279E8211" w14:textId="77777777" w:rsidR="00271489" w:rsidRPr="003702B9" w:rsidRDefault="00271489" w:rsidP="00271489">
      <w:pPr>
        <w:pStyle w:val="L1-FlLSp12"/>
      </w:pPr>
    </w:p>
    <w:p w14:paraId="4D36F00E" w14:textId="77777777" w:rsidR="00336A22" w:rsidRPr="008E2869" w:rsidRDefault="00336A22" w:rsidP="00336A22">
      <w:pPr>
        <w:pStyle w:val="L1-FlLSp12"/>
        <w:rPr>
          <w:sz w:val="23"/>
          <w:szCs w:val="23"/>
        </w:rPr>
      </w:pPr>
      <w:r w:rsidRPr="008E2869">
        <w:rPr>
          <w:sz w:val="23"/>
          <w:szCs w:val="23"/>
        </w:rPr>
        <w:t xml:space="preserve">The confidentiality of </w:t>
      </w:r>
      <w:r w:rsidRPr="00940022">
        <w:rPr>
          <w:sz w:val="23"/>
          <w:szCs w:val="23"/>
        </w:rPr>
        <w:t xml:space="preserve">the NFS Pilot data </w:t>
      </w:r>
      <w:r w:rsidRPr="008E2869">
        <w:rPr>
          <w:sz w:val="23"/>
          <w:szCs w:val="23"/>
        </w:rPr>
        <w:t xml:space="preserve">is protected under the statute of the </w:t>
      </w:r>
      <w:r w:rsidRPr="00AD50B2">
        <w:rPr>
          <w:rFonts w:eastAsiaTheme="minorEastAsia"/>
          <w:sz w:val="23"/>
          <w:szCs w:val="23"/>
        </w:rPr>
        <w:t>Confidential Information Protection and Statistical Efficiency Act of 2002</w:t>
      </w:r>
      <w:r w:rsidRPr="00940022">
        <w:rPr>
          <w:rFonts w:eastAsiaTheme="minorEastAsia" w:cstheme="minorBidi"/>
          <w:sz w:val="23"/>
          <w:szCs w:val="23"/>
        </w:rPr>
        <w:t xml:space="preserve"> (CIPSEA), </w:t>
      </w:r>
      <w:r w:rsidRPr="00940022">
        <w:rPr>
          <w:rFonts w:cs="Garamond"/>
          <w:bCs/>
          <w:color w:val="000000"/>
          <w:sz w:val="23"/>
          <w:szCs w:val="23"/>
        </w:rPr>
        <w:t>(PL-107-347)</w:t>
      </w:r>
      <w:r w:rsidRPr="00940022">
        <w:rPr>
          <w:rFonts w:eastAsiaTheme="minorEastAsia"/>
          <w:sz w:val="23"/>
          <w:szCs w:val="23"/>
        </w:rPr>
        <w:t>.  Households invited to participate in the NFS Pilot will be provided a Disclaimer</w:t>
      </w:r>
      <w:r w:rsidRPr="00AD50B2">
        <w:rPr>
          <w:rFonts w:eastAsiaTheme="minorEastAsia"/>
          <w:sz w:val="23"/>
          <w:szCs w:val="23"/>
        </w:rPr>
        <w:t xml:space="preserve"> Form (Appendix A3) that includes </w:t>
      </w:r>
      <w:r w:rsidRPr="008E2869">
        <w:rPr>
          <w:sz w:val="23"/>
          <w:szCs w:val="23"/>
        </w:rPr>
        <w:t>detailed disclosures regarding confidentiality</w:t>
      </w:r>
      <w:r w:rsidRPr="00AD50B2">
        <w:rPr>
          <w:rFonts w:eastAsiaTheme="minorEastAsia"/>
          <w:sz w:val="23"/>
          <w:szCs w:val="23"/>
        </w:rPr>
        <w:t xml:space="preserve">.  </w:t>
      </w:r>
      <w:r w:rsidRPr="00940022">
        <w:rPr>
          <w:rFonts w:eastAsiaTheme="minorEastAsia"/>
          <w:sz w:val="23"/>
          <w:szCs w:val="23"/>
        </w:rPr>
        <w:t xml:space="preserve">Households found to be eligible will also be asked to sign </w:t>
      </w:r>
      <w:r w:rsidRPr="00AD50B2">
        <w:rPr>
          <w:rFonts w:eastAsiaTheme="minorEastAsia"/>
          <w:sz w:val="23"/>
          <w:szCs w:val="23"/>
        </w:rPr>
        <w:t>the Study Consent Form (Appendix A4). These documents provide</w:t>
      </w:r>
      <w:r w:rsidRPr="008E2869">
        <w:rPr>
          <w:sz w:val="23"/>
          <w:szCs w:val="23"/>
        </w:rPr>
        <w:t xml:space="preserve"> </w:t>
      </w:r>
      <w:r w:rsidRPr="00AD50B2">
        <w:rPr>
          <w:sz w:val="23"/>
          <w:szCs w:val="23"/>
        </w:rPr>
        <w:t>assurance that a</w:t>
      </w:r>
      <w:r w:rsidRPr="00940022">
        <w:rPr>
          <w:rFonts w:eastAsiaTheme="minorHAnsi" w:cs="Garamond"/>
          <w:bCs/>
          <w:color w:val="000000"/>
          <w:sz w:val="23"/>
          <w:szCs w:val="23"/>
        </w:rPr>
        <w:t>ll information which would permit identification of an individual or a household will be held confidential and</w:t>
      </w:r>
      <w:r w:rsidRPr="00AD50B2">
        <w:rPr>
          <w:rFonts w:eastAsiaTheme="minorHAnsi" w:cs="Garamond"/>
          <w:bCs/>
          <w:color w:val="000000"/>
          <w:sz w:val="23"/>
          <w:szCs w:val="23"/>
        </w:rPr>
        <w:t xml:space="preserve"> will be used for statistical purposes only.  They will assure respondents that providing answers to any or all questions is strictly voluntary.  Interviewers</w:t>
      </w:r>
      <w:r w:rsidRPr="008E2869">
        <w:rPr>
          <w:sz w:val="23"/>
          <w:szCs w:val="23"/>
        </w:rPr>
        <w:t xml:space="preserve"> will ensure that respondents have received and read the disclaimer prior to conducting the interviews.</w:t>
      </w:r>
    </w:p>
    <w:p w14:paraId="4FA41849" w14:textId="77777777" w:rsidR="00336A22" w:rsidRPr="008E2869" w:rsidRDefault="00336A22" w:rsidP="00336A22">
      <w:pPr>
        <w:pStyle w:val="L1-FlLSp12"/>
        <w:rPr>
          <w:sz w:val="23"/>
          <w:szCs w:val="23"/>
        </w:rPr>
      </w:pPr>
    </w:p>
    <w:p w14:paraId="65448222" w14:textId="25AE7DC2" w:rsidR="00336A22" w:rsidRDefault="00336A22" w:rsidP="00336A22">
      <w:pPr>
        <w:pStyle w:val="L1-FlLSp12"/>
        <w:rPr>
          <w:sz w:val="23"/>
          <w:szCs w:val="23"/>
        </w:rPr>
      </w:pPr>
      <w:r w:rsidRPr="008E2869">
        <w:rPr>
          <w:sz w:val="23"/>
          <w:szCs w:val="23"/>
        </w:rPr>
        <w:t xml:space="preserve">ERS and Westat, ERS’ contractor comply </w:t>
      </w:r>
      <w:r w:rsidRPr="00940022">
        <w:rPr>
          <w:rFonts w:eastAsiaTheme="minorHAnsi" w:cs="Garamond"/>
          <w:bCs/>
          <w:color w:val="000000"/>
          <w:sz w:val="23"/>
          <w:szCs w:val="23"/>
        </w:rPr>
        <w:t xml:space="preserve">with the Confidential Information Protection and Statistical Efficiency Act of 2002 (CIPSEA), (PL-107-347). </w:t>
      </w:r>
      <w:r w:rsidRPr="008E2869">
        <w:rPr>
          <w:sz w:val="23"/>
          <w:szCs w:val="23"/>
        </w:rPr>
        <w:t>In conformance with existing law and Departmental regulations, it is the policy of the ERS that respondent identifiable information collected or maintained by, or under the auspices of, the ERS for exclusively statistical purposes and under a pledge of confidentiality shall be treated in a manner that will ensure that the information will be used only for statistical purposes and will be accessible only to authorized persons.</w:t>
      </w:r>
    </w:p>
    <w:p w14:paraId="6948C967" w14:textId="77777777" w:rsidR="00351759" w:rsidRDefault="00351759" w:rsidP="00336A22">
      <w:pPr>
        <w:pStyle w:val="L1-FlLSp12"/>
        <w:rPr>
          <w:sz w:val="23"/>
          <w:szCs w:val="23"/>
        </w:rPr>
      </w:pPr>
    </w:p>
    <w:p w14:paraId="28636A5B" w14:textId="63788D68" w:rsidR="00351759" w:rsidRPr="009A2B43" w:rsidRDefault="00351759" w:rsidP="00336A22">
      <w:pPr>
        <w:pStyle w:val="L1-FlLSp12"/>
        <w:rPr>
          <w:sz w:val="23"/>
          <w:szCs w:val="23"/>
        </w:rPr>
      </w:pPr>
      <w:r w:rsidRPr="009A2B43">
        <w:rPr>
          <w:sz w:val="23"/>
          <w:szCs w:val="23"/>
        </w:rPr>
        <w:t>Per the Cybersecurity Enhancement Act of 2015, ERS data is further protected by the Department of Homeland Security (DHS) through cybersecurity monitoring of the systems that transmit ERS data. DHS will be monitoring these systems to look for viruses, malware and other threats. In the event of a cybersecurity incident, and pursuant to any required legal process, information from these sources may be used to help identify and mitigate the incident.</w:t>
      </w:r>
      <w:bookmarkStart w:id="87" w:name="_GoBack"/>
      <w:bookmarkEnd w:id="87"/>
    </w:p>
    <w:p w14:paraId="1041357C" w14:textId="77777777" w:rsidR="00336A22" w:rsidRPr="008E2869" w:rsidRDefault="00336A22" w:rsidP="00336A22">
      <w:pPr>
        <w:pStyle w:val="L1-FlLSp12"/>
        <w:rPr>
          <w:sz w:val="23"/>
          <w:szCs w:val="23"/>
        </w:rPr>
      </w:pPr>
    </w:p>
    <w:p w14:paraId="30AD9570" w14:textId="77777777" w:rsidR="00336A22" w:rsidRPr="008E2869" w:rsidRDefault="00336A22" w:rsidP="00336A22">
      <w:pPr>
        <w:pStyle w:val="L1-FlLSp12"/>
        <w:rPr>
          <w:sz w:val="23"/>
          <w:szCs w:val="23"/>
        </w:rPr>
      </w:pPr>
      <w:r w:rsidRPr="008E2869">
        <w:rPr>
          <w:sz w:val="23"/>
          <w:szCs w:val="23"/>
        </w:rPr>
        <w:t>ERS and Westat will comply with the computer and staff requirements associated with CIPSEA, including PIA compliance and FISMA compliance.  Data collection efforts will not begin until ATO is in place.</w:t>
      </w:r>
    </w:p>
    <w:p w14:paraId="5E945D1B" w14:textId="77777777" w:rsidR="00271489" w:rsidRPr="000E1028" w:rsidRDefault="00271489" w:rsidP="00271489">
      <w:pPr>
        <w:pStyle w:val="L1-FlLSp12"/>
      </w:pPr>
    </w:p>
    <w:p w14:paraId="7CC4C2F3" w14:textId="77777777" w:rsidR="0047782E" w:rsidRPr="003702B9" w:rsidRDefault="0047782E" w:rsidP="00271489">
      <w:pPr>
        <w:pStyle w:val="L1-FlLSp12"/>
      </w:pPr>
    </w:p>
    <w:p w14:paraId="2377E4EE" w14:textId="77777777" w:rsidR="00271489" w:rsidRPr="003702B9" w:rsidRDefault="00271489" w:rsidP="00271489">
      <w:pPr>
        <w:pStyle w:val="Heading2"/>
      </w:pPr>
      <w:bookmarkStart w:id="88" w:name="_Toc329341684"/>
      <w:bookmarkStart w:id="89" w:name="_Toc400376147"/>
      <w:bookmarkEnd w:id="82"/>
      <w:bookmarkEnd w:id="83"/>
      <w:bookmarkEnd w:id="84"/>
      <w:bookmarkEnd w:id="85"/>
      <w:bookmarkEnd w:id="86"/>
      <w:r w:rsidRPr="003702B9">
        <w:lastRenderedPageBreak/>
        <w:t>A.11</w:t>
      </w:r>
      <w:r w:rsidRPr="003702B9">
        <w:tab/>
        <w:t>Justification for Sensitive Questions</w:t>
      </w:r>
      <w:bookmarkEnd w:id="88"/>
      <w:bookmarkEnd w:id="89"/>
    </w:p>
    <w:p w14:paraId="499653A7" w14:textId="77777777" w:rsidR="00271489" w:rsidRPr="002F126A" w:rsidRDefault="00271489" w:rsidP="00271489">
      <w:pPr>
        <w:pStyle w:val="L1-FlLSp12"/>
        <w:rPr>
          <w:b/>
        </w:rPr>
      </w:pPr>
      <w:r w:rsidRPr="002F126A">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7141BAA" w14:textId="77777777" w:rsidR="00271489" w:rsidRPr="003702B9" w:rsidRDefault="00271489" w:rsidP="00271489">
      <w:pPr>
        <w:pStyle w:val="L1-FlLSp12"/>
      </w:pPr>
    </w:p>
    <w:p w14:paraId="70C7A88A" w14:textId="6B598248" w:rsidR="00A77390" w:rsidRDefault="00D93584" w:rsidP="003E50E3">
      <w:pPr>
        <w:pStyle w:val="L1-FlLSp12"/>
        <w:rPr>
          <w:sz w:val="23"/>
          <w:szCs w:val="23"/>
        </w:rPr>
      </w:pPr>
      <w:r w:rsidRPr="00083472">
        <w:rPr>
          <w:sz w:val="23"/>
          <w:szCs w:val="23"/>
        </w:rPr>
        <w:t xml:space="preserve">In general, questions asked of participants during the NFS Pilot </w:t>
      </w:r>
      <w:r w:rsidR="00271489" w:rsidRPr="00083472">
        <w:rPr>
          <w:sz w:val="23"/>
          <w:szCs w:val="23"/>
        </w:rPr>
        <w:t>are not considered sensitive.</w:t>
      </w:r>
      <w:r w:rsidR="00D62B9A" w:rsidRPr="00083472">
        <w:rPr>
          <w:sz w:val="23"/>
          <w:szCs w:val="23"/>
        </w:rPr>
        <w:t xml:space="preserve"> </w:t>
      </w:r>
      <w:r w:rsidR="00271489" w:rsidRPr="00083472">
        <w:rPr>
          <w:sz w:val="23"/>
          <w:szCs w:val="23"/>
        </w:rPr>
        <w:t xml:space="preserve">The </w:t>
      </w:r>
      <w:r w:rsidRPr="00083472">
        <w:rPr>
          <w:sz w:val="23"/>
          <w:szCs w:val="23"/>
        </w:rPr>
        <w:t>Pilot</w:t>
      </w:r>
      <w:r w:rsidR="00271489" w:rsidRPr="00083472">
        <w:rPr>
          <w:sz w:val="23"/>
          <w:szCs w:val="23"/>
        </w:rPr>
        <w:t xml:space="preserve"> includes </w:t>
      </w:r>
      <w:r w:rsidRPr="00083472">
        <w:rPr>
          <w:sz w:val="23"/>
          <w:szCs w:val="23"/>
        </w:rPr>
        <w:t>questions on income that some</w:t>
      </w:r>
      <w:r w:rsidR="00271489" w:rsidRPr="00083472">
        <w:rPr>
          <w:sz w:val="23"/>
          <w:szCs w:val="23"/>
        </w:rPr>
        <w:t xml:space="preserve"> participants may consider </w:t>
      </w:r>
      <w:r w:rsidRPr="00083472">
        <w:rPr>
          <w:sz w:val="23"/>
          <w:szCs w:val="23"/>
        </w:rPr>
        <w:t>s</w:t>
      </w:r>
      <w:r w:rsidR="00271489" w:rsidRPr="00083472">
        <w:rPr>
          <w:sz w:val="23"/>
          <w:szCs w:val="23"/>
        </w:rPr>
        <w:t xml:space="preserve">ensitive. </w:t>
      </w:r>
      <w:r w:rsidR="007D45A8">
        <w:rPr>
          <w:sz w:val="23"/>
          <w:szCs w:val="23"/>
        </w:rPr>
        <w:t>The collection of h</w:t>
      </w:r>
      <w:r w:rsidR="003E50E3" w:rsidRPr="00A77390">
        <w:rPr>
          <w:sz w:val="23"/>
          <w:szCs w:val="23"/>
        </w:rPr>
        <w:t xml:space="preserve">ousehold income is </w:t>
      </w:r>
      <w:r w:rsidR="007D45A8">
        <w:rPr>
          <w:sz w:val="23"/>
          <w:szCs w:val="23"/>
        </w:rPr>
        <w:t>needed for a few reasons.</w:t>
      </w:r>
      <w:r w:rsidR="003E50E3" w:rsidRPr="00A77390">
        <w:rPr>
          <w:sz w:val="23"/>
          <w:szCs w:val="23"/>
        </w:rPr>
        <w:t xml:space="preserve"> First, income </w:t>
      </w:r>
      <w:r w:rsidR="007D45A8">
        <w:rPr>
          <w:sz w:val="23"/>
          <w:szCs w:val="23"/>
        </w:rPr>
        <w:t xml:space="preserve">will be </w:t>
      </w:r>
      <w:r w:rsidR="003E50E3" w:rsidRPr="00A77390">
        <w:rPr>
          <w:sz w:val="23"/>
          <w:szCs w:val="23"/>
        </w:rPr>
        <w:t xml:space="preserve">used to screen households to participate in the </w:t>
      </w:r>
      <w:r w:rsidR="00664BFE">
        <w:rPr>
          <w:sz w:val="23"/>
          <w:szCs w:val="23"/>
        </w:rPr>
        <w:t>Pilot</w:t>
      </w:r>
      <w:r w:rsidR="003E50E3" w:rsidRPr="00A77390">
        <w:rPr>
          <w:sz w:val="23"/>
          <w:szCs w:val="23"/>
        </w:rPr>
        <w:t xml:space="preserve">. </w:t>
      </w:r>
      <w:r w:rsidR="007D45A8">
        <w:rPr>
          <w:sz w:val="23"/>
          <w:szCs w:val="23"/>
        </w:rPr>
        <w:t xml:space="preserve">The Study </w:t>
      </w:r>
      <w:r w:rsidR="003E50E3" w:rsidRPr="00A77390">
        <w:rPr>
          <w:sz w:val="23"/>
          <w:szCs w:val="23"/>
        </w:rPr>
        <w:t xml:space="preserve">targets four groups of households based on whether or not they participate in SNAP and their income level relative to the Federal Poverty Guidelines. The household screener contains questions on the </w:t>
      </w:r>
      <w:r w:rsidR="00344B5B">
        <w:rPr>
          <w:sz w:val="23"/>
          <w:szCs w:val="23"/>
        </w:rPr>
        <w:t xml:space="preserve">household’s </w:t>
      </w:r>
      <w:r w:rsidR="003E50E3" w:rsidRPr="00A77390">
        <w:rPr>
          <w:sz w:val="23"/>
          <w:szCs w:val="23"/>
        </w:rPr>
        <w:t xml:space="preserve">participation in SNAP, household size, and total household income to appropriately categorize and </w:t>
      </w:r>
      <w:r w:rsidR="00344B5B">
        <w:rPr>
          <w:sz w:val="23"/>
          <w:szCs w:val="23"/>
        </w:rPr>
        <w:t>determine survey eligibility</w:t>
      </w:r>
      <w:r w:rsidR="003E50E3" w:rsidRPr="00A77390">
        <w:rPr>
          <w:sz w:val="23"/>
          <w:szCs w:val="23"/>
        </w:rPr>
        <w:t xml:space="preserve">.  SNAP and </w:t>
      </w:r>
      <w:r w:rsidR="00344B5B">
        <w:rPr>
          <w:sz w:val="23"/>
          <w:szCs w:val="23"/>
        </w:rPr>
        <w:t xml:space="preserve">low-income </w:t>
      </w:r>
      <w:r w:rsidR="003E50E3" w:rsidRPr="00A77390">
        <w:rPr>
          <w:sz w:val="23"/>
          <w:szCs w:val="23"/>
        </w:rPr>
        <w:t>households are over-sampled using the screener information. A second purpose for collecting income information is for analysis</w:t>
      </w:r>
      <w:r w:rsidR="00344B5B">
        <w:rPr>
          <w:sz w:val="23"/>
          <w:szCs w:val="23"/>
        </w:rPr>
        <w:t xml:space="preserve"> of food demand</w:t>
      </w:r>
      <w:r w:rsidR="003E50E3" w:rsidRPr="00A77390">
        <w:rPr>
          <w:sz w:val="23"/>
          <w:szCs w:val="23"/>
        </w:rPr>
        <w:t xml:space="preserve">. The amount of income available to household members is critical for understanding how much food a household purchases. A significant amount of detail is necessary for creating </w:t>
      </w:r>
      <w:r w:rsidR="00344B5B">
        <w:rPr>
          <w:sz w:val="23"/>
          <w:szCs w:val="23"/>
        </w:rPr>
        <w:t>a complete and accurate</w:t>
      </w:r>
      <w:r w:rsidR="003E50E3" w:rsidRPr="00A77390">
        <w:rPr>
          <w:sz w:val="23"/>
          <w:szCs w:val="23"/>
        </w:rPr>
        <w:t xml:space="preserve"> measure of household income. Hence, the income questions ask respondents</w:t>
      </w:r>
      <w:r w:rsidR="00FF13A0">
        <w:rPr>
          <w:sz w:val="23"/>
          <w:szCs w:val="23"/>
        </w:rPr>
        <w:t xml:space="preserve"> who are </w:t>
      </w:r>
      <w:r w:rsidR="00A77390">
        <w:rPr>
          <w:sz w:val="23"/>
          <w:szCs w:val="23"/>
        </w:rPr>
        <w:t>16 years or older</w:t>
      </w:r>
      <w:r w:rsidR="003E50E3" w:rsidRPr="00A77390">
        <w:rPr>
          <w:sz w:val="23"/>
          <w:szCs w:val="23"/>
        </w:rPr>
        <w:t xml:space="preserve"> to report income amounts within detailed categories. The respondent is asked about income during the data collection week in an income worksheet to help </w:t>
      </w:r>
      <w:r w:rsidR="00202A08">
        <w:rPr>
          <w:sz w:val="23"/>
          <w:szCs w:val="23"/>
        </w:rPr>
        <w:t xml:space="preserve">compile total household income which is then confirmed </w:t>
      </w:r>
      <w:r w:rsidR="003E50E3" w:rsidRPr="00A77390">
        <w:rPr>
          <w:sz w:val="23"/>
          <w:szCs w:val="23"/>
        </w:rPr>
        <w:t>during the final interview.</w:t>
      </w:r>
    </w:p>
    <w:p w14:paraId="3F40123B" w14:textId="77777777" w:rsidR="00A77390" w:rsidRDefault="00A77390" w:rsidP="003E50E3">
      <w:pPr>
        <w:pStyle w:val="L1-FlLSp12"/>
        <w:rPr>
          <w:sz w:val="23"/>
          <w:szCs w:val="23"/>
        </w:rPr>
      </w:pPr>
    </w:p>
    <w:p w14:paraId="6ACF5898" w14:textId="50200F26" w:rsidR="00B85E01" w:rsidRDefault="00A77390" w:rsidP="003E50E3">
      <w:pPr>
        <w:pStyle w:val="L1-FlLSp12"/>
        <w:rPr>
          <w:sz w:val="23"/>
          <w:szCs w:val="23"/>
        </w:rPr>
      </w:pPr>
      <w:r>
        <w:rPr>
          <w:sz w:val="23"/>
          <w:szCs w:val="23"/>
        </w:rPr>
        <w:t>P</w:t>
      </w:r>
      <w:r w:rsidR="00B85E01" w:rsidRPr="00083472">
        <w:rPr>
          <w:sz w:val="23"/>
          <w:szCs w:val="23"/>
        </w:rPr>
        <w:t xml:space="preserve">articipation in this </w:t>
      </w:r>
      <w:r>
        <w:rPr>
          <w:sz w:val="23"/>
          <w:szCs w:val="23"/>
        </w:rPr>
        <w:t xml:space="preserve">pilot </w:t>
      </w:r>
      <w:r w:rsidR="00B85E01" w:rsidRPr="00083472">
        <w:rPr>
          <w:sz w:val="23"/>
          <w:szCs w:val="23"/>
        </w:rPr>
        <w:t xml:space="preserve">study is voluntary and participants can choose not to answer any of these </w:t>
      </w:r>
      <w:r w:rsidR="00202A08">
        <w:rPr>
          <w:sz w:val="23"/>
          <w:szCs w:val="23"/>
        </w:rPr>
        <w:t xml:space="preserve">income questions </w:t>
      </w:r>
      <w:r w:rsidR="00B85E01" w:rsidRPr="00083472">
        <w:rPr>
          <w:sz w:val="23"/>
          <w:szCs w:val="23"/>
        </w:rPr>
        <w:t>or any other questions.</w:t>
      </w:r>
    </w:p>
    <w:p w14:paraId="5214B088" w14:textId="77777777" w:rsidR="0047782E" w:rsidRDefault="0047782E" w:rsidP="00271489">
      <w:pPr>
        <w:pStyle w:val="L1-FlLSp12"/>
      </w:pPr>
    </w:p>
    <w:p w14:paraId="7EC537AE" w14:textId="77777777" w:rsidR="0047782E" w:rsidRPr="003702B9" w:rsidRDefault="0047782E" w:rsidP="00271489">
      <w:pPr>
        <w:pStyle w:val="L1-FlLSp12"/>
      </w:pPr>
    </w:p>
    <w:p w14:paraId="6EF60C17" w14:textId="77777777" w:rsidR="00271489" w:rsidRPr="003702B9" w:rsidRDefault="00271489" w:rsidP="00271489">
      <w:pPr>
        <w:pStyle w:val="Heading2"/>
      </w:pPr>
      <w:bookmarkStart w:id="90" w:name="_Toc329341685"/>
      <w:bookmarkStart w:id="91" w:name="_Toc400376148"/>
      <w:r w:rsidRPr="003702B9">
        <w:t>A.12</w:t>
      </w:r>
      <w:r w:rsidRPr="003702B9">
        <w:tab/>
        <w:t>Estimates of Respondent Burden Including Annualized Hourly Cost</w:t>
      </w:r>
      <w:bookmarkEnd w:id="90"/>
      <w:bookmarkEnd w:id="91"/>
      <w:r w:rsidRPr="003702B9">
        <w:t>s</w:t>
      </w:r>
    </w:p>
    <w:p w14:paraId="703AAE30" w14:textId="77777777" w:rsidR="00271489" w:rsidRPr="006510C8" w:rsidRDefault="00271489" w:rsidP="00271489">
      <w:pPr>
        <w:pStyle w:val="L1-FlLSp12"/>
        <w:rPr>
          <w:b/>
        </w:rPr>
      </w:pPr>
      <w:bookmarkStart w:id="92" w:name="_Toc400376149"/>
      <w:r w:rsidRPr="006510C8">
        <w:rPr>
          <w:b/>
        </w:rPr>
        <w:t>Provide estimates of the hour burden of the collection of information. The statement should:</w:t>
      </w:r>
      <w:bookmarkEnd w:id="92"/>
    </w:p>
    <w:p w14:paraId="16394D91" w14:textId="77777777" w:rsidR="00271489" w:rsidRPr="006510C8" w:rsidRDefault="00271489" w:rsidP="00271489">
      <w:pPr>
        <w:pStyle w:val="L1-FlLSp12"/>
        <w:rPr>
          <w:b/>
        </w:rPr>
      </w:pPr>
    </w:p>
    <w:p w14:paraId="2F617D55" w14:textId="77777777" w:rsidR="00271489" w:rsidRPr="006510C8" w:rsidRDefault="00271489" w:rsidP="0047782E">
      <w:pPr>
        <w:pStyle w:val="N1-1stBullet"/>
        <w:rPr>
          <w:b/>
        </w:rPr>
      </w:pPr>
      <w:bookmarkStart w:id="93" w:name="_Toc315090023"/>
      <w:bookmarkStart w:id="94" w:name="_Toc316652495"/>
      <w:bookmarkStart w:id="95" w:name="_Toc325472122"/>
      <w:bookmarkStart w:id="96" w:name="_Toc325552296"/>
      <w:bookmarkStart w:id="97" w:name="_Toc400376150"/>
      <w:r w:rsidRPr="006510C8">
        <w:rPr>
          <w:b/>
        </w:rPr>
        <w:t xml:space="preserve">Indicate the number of respondents, frequency of response, annual hour burden, and an explanation of how the burden was estimated. If this request for approval </w:t>
      </w:r>
      <w:r w:rsidRPr="006510C8">
        <w:rPr>
          <w:b/>
        </w:rPr>
        <w:lastRenderedPageBreak/>
        <w:t>covers more than one form, provide separate hour burden estimates for each form and aggregate the hour burdens in Item 13 of OMB Form 83-I.</w:t>
      </w:r>
      <w:bookmarkEnd w:id="93"/>
      <w:bookmarkEnd w:id="94"/>
      <w:bookmarkEnd w:id="95"/>
      <w:bookmarkEnd w:id="96"/>
      <w:bookmarkEnd w:id="97"/>
    </w:p>
    <w:p w14:paraId="4A11EE8F" w14:textId="77777777" w:rsidR="00271489" w:rsidRPr="006510C8" w:rsidRDefault="00271489" w:rsidP="0047782E">
      <w:pPr>
        <w:pStyle w:val="N1-1stBullet"/>
        <w:rPr>
          <w:b/>
        </w:rPr>
      </w:pPr>
      <w:bookmarkStart w:id="98" w:name="_Toc400376151"/>
      <w:r w:rsidRPr="006510C8">
        <w:rPr>
          <w:b/>
        </w:rPr>
        <w:t xml:space="preserve">Provide estimates of </w:t>
      </w:r>
      <w:r w:rsidRPr="00625FC8">
        <w:rPr>
          <w:b/>
        </w:rPr>
        <w:t>annualized cost to respondents</w:t>
      </w:r>
      <w:r w:rsidRPr="006510C8">
        <w:rPr>
          <w:b/>
        </w:rPr>
        <w:t xml:space="preserve"> for the hour burdens for collections of information, identifying and using appropriate wage rate categories</w:t>
      </w:r>
      <w:bookmarkEnd w:id="98"/>
      <w:r w:rsidRPr="006510C8">
        <w:rPr>
          <w:b/>
        </w:rPr>
        <w:t>.</w:t>
      </w:r>
    </w:p>
    <w:p w14:paraId="2CF9C522" w14:textId="25501129" w:rsidR="005F7D5D" w:rsidRPr="00344B5B" w:rsidRDefault="00E708FE" w:rsidP="005F7D5D">
      <w:pPr>
        <w:pStyle w:val="L1-FlLSp12"/>
      </w:pPr>
      <w:r w:rsidRPr="00344B5B">
        <w:t xml:space="preserve">The completed </w:t>
      </w:r>
      <w:r>
        <w:t>OMB Form 83-I is in Appendix A9.</w:t>
      </w:r>
    </w:p>
    <w:p w14:paraId="2920A4B5" w14:textId="77777777" w:rsidR="00E708FE" w:rsidRPr="00344B5B" w:rsidRDefault="00E708FE" w:rsidP="005F7D5D">
      <w:pPr>
        <w:pStyle w:val="L1-FlLSp12"/>
      </w:pPr>
    </w:p>
    <w:p w14:paraId="050C7362" w14:textId="7C39A8FF" w:rsidR="000A7A91" w:rsidRDefault="00271489" w:rsidP="00271489">
      <w:pPr>
        <w:pStyle w:val="L1-FlLSp12"/>
        <w:rPr>
          <w:sz w:val="23"/>
          <w:szCs w:val="23"/>
        </w:rPr>
      </w:pPr>
      <w:r w:rsidRPr="000A7A91">
        <w:rPr>
          <w:sz w:val="23"/>
          <w:szCs w:val="23"/>
        </w:rPr>
        <w:t xml:space="preserve">Table </w:t>
      </w:r>
      <w:r w:rsidR="0036034F" w:rsidRPr="000A7A91">
        <w:rPr>
          <w:sz w:val="23"/>
          <w:szCs w:val="23"/>
        </w:rPr>
        <w:t>A.</w:t>
      </w:r>
      <w:r w:rsidRPr="000A7A91">
        <w:rPr>
          <w:sz w:val="23"/>
          <w:szCs w:val="23"/>
        </w:rPr>
        <w:t>12.</w:t>
      </w:r>
      <w:r w:rsidR="0036034F" w:rsidRPr="000A7A91">
        <w:rPr>
          <w:sz w:val="23"/>
          <w:szCs w:val="23"/>
        </w:rPr>
        <w:t>1</w:t>
      </w:r>
      <w:r w:rsidRPr="000A7A91">
        <w:rPr>
          <w:sz w:val="23"/>
          <w:szCs w:val="23"/>
        </w:rPr>
        <w:t xml:space="preserve"> presents the </w:t>
      </w:r>
      <w:r w:rsidR="000A7A91">
        <w:rPr>
          <w:sz w:val="23"/>
          <w:szCs w:val="23"/>
        </w:rPr>
        <w:t xml:space="preserve">sample size, annual frequency of response, reporting burden for responders and </w:t>
      </w:r>
      <w:r w:rsidR="004B1F93">
        <w:rPr>
          <w:sz w:val="23"/>
          <w:szCs w:val="23"/>
        </w:rPr>
        <w:t>non-responders</w:t>
      </w:r>
      <w:r w:rsidR="000A7A91">
        <w:rPr>
          <w:sz w:val="23"/>
          <w:szCs w:val="23"/>
        </w:rPr>
        <w:t>, hourly rate and the annualized cost to respondents. In the bullets below we provide a brief explanation of how the burden was estimated.</w:t>
      </w:r>
    </w:p>
    <w:p w14:paraId="49B33BC3" w14:textId="77777777" w:rsidR="000A7A91" w:rsidRDefault="000A7A91" w:rsidP="00271489">
      <w:pPr>
        <w:pStyle w:val="L1-FlLSp12"/>
        <w:rPr>
          <w:sz w:val="23"/>
          <w:szCs w:val="23"/>
        </w:rPr>
      </w:pPr>
    </w:p>
    <w:p w14:paraId="7C08746A" w14:textId="77777777" w:rsidR="000A7A91" w:rsidRDefault="000A7A91" w:rsidP="00271489">
      <w:pPr>
        <w:pStyle w:val="L1-FlLSp12"/>
        <w:rPr>
          <w:sz w:val="23"/>
          <w:szCs w:val="23"/>
        </w:rPr>
      </w:pPr>
      <w:r>
        <w:rPr>
          <w:sz w:val="23"/>
          <w:szCs w:val="23"/>
        </w:rPr>
        <w:t>Data collection events are broken down by those that are completed at the household level and those completed at the person level.</w:t>
      </w:r>
    </w:p>
    <w:p w14:paraId="6B66F8C5" w14:textId="77777777" w:rsidR="000A7A91" w:rsidRDefault="000A7A91" w:rsidP="00271489">
      <w:pPr>
        <w:pStyle w:val="L1-FlLSp12"/>
        <w:rPr>
          <w:sz w:val="23"/>
          <w:szCs w:val="23"/>
        </w:rPr>
      </w:pPr>
    </w:p>
    <w:p w14:paraId="68629DEB" w14:textId="77777777" w:rsidR="00F828D2" w:rsidRDefault="00F828D2">
      <w:pPr>
        <w:spacing w:line="240" w:lineRule="auto"/>
        <w:rPr>
          <w:b/>
          <w:sz w:val="23"/>
          <w:szCs w:val="23"/>
          <w:u w:val="single"/>
        </w:rPr>
      </w:pPr>
    </w:p>
    <w:p w14:paraId="5B0B5A1E" w14:textId="77777777" w:rsidR="00656414" w:rsidRPr="00675E2E" w:rsidRDefault="00656414" w:rsidP="00656414">
      <w:pPr>
        <w:pStyle w:val="L1-FlLSp12"/>
        <w:rPr>
          <w:b/>
          <w:sz w:val="23"/>
          <w:szCs w:val="23"/>
          <w:u w:val="single"/>
        </w:rPr>
      </w:pPr>
      <w:r w:rsidRPr="00675E2E">
        <w:rPr>
          <w:b/>
          <w:sz w:val="23"/>
          <w:szCs w:val="23"/>
          <w:u w:val="single"/>
        </w:rPr>
        <w:t>Explanation of Burden Hours Computation</w:t>
      </w:r>
    </w:p>
    <w:p w14:paraId="5D8D0C89" w14:textId="77777777" w:rsidR="00656414" w:rsidRPr="00675E2E" w:rsidRDefault="00656414" w:rsidP="00656414">
      <w:pPr>
        <w:pStyle w:val="L1-FlLSp12"/>
        <w:rPr>
          <w:b/>
          <w:sz w:val="23"/>
          <w:szCs w:val="23"/>
        </w:rPr>
      </w:pPr>
    </w:p>
    <w:p w14:paraId="7EE76ECD" w14:textId="63E800D6" w:rsidR="005A76DB" w:rsidRDefault="005A76DB" w:rsidP="00656414">
      <w:pPr>
        <w:pStyle w:val="L1-FlLSp12"/>
        <w:rPr>
          <w:sz w:val="23"/>
          <w:szCs w:val="23"/>
        </w:rPr>
      </w:pPr>
      <w:r>
        <w:rPr>
          <w:sz w:val="23"/>
          <w:szCs w:val="23"/>
        </w:rPr>
        <w:t>For some of the planned data collection activities in the NFS Pilot, a single person in each household will be responding.  For other data collection activities and training, there will be multiple respondents per household. Table A.12.1 is first divided into data collection and training tasks by household level (top) and individual level (bottom)</w:t>
      </w:r>
      <w:r w:rsidR="00EF71E8">
        <w:rPr>
          <w:sz w:val="23"/>
          <w:szCs w:val="23"/>
        </w:rPr>
        <w:t>. The individual-level section of the table is further divided by age to reflect different forms and assumptions about each age group.</w:t>
      </w:r>
    </w:p>
    <w:p w14:paraId="19897AF1" w14:textId="77777777" w:rsidR="00EF71E8" w:rsidRDefault="00EF71E8" w:rsidP="00656414">
      <w:pPr>
        <w:pStyle w:val="L1-FlLSp12"/>
        <w:rPr>
          <w:sz w:val="23"/>
          <w:szCs w:val="23"/>
        </w:rPr>
      </w:pPr>
    </w:p>
    <w:p w14:paraId="7A38E910" w14:textId="5DBCAE0E" w:rsidR="00EF71E8" w:rsidRDefault="00656414" w:rsidP="00656414">
      <w:pPr>
        <w:pStyle w:val="L1-FlLSp12"/>
        <w:rPr>
          <w:color w:val="1F497D"/>
          <w:sz w:val="23"/>
          <w:szCs w:val="23"/>
        </w:rPr>
      </w:pPr>
      <w:r w:rsidRPr="009A74F7">
        <w:rPr>
          <w:sz w:val="23"/>
          <w:szCs w:val="23"/>
        </w:rPr>
        <w:t xml:space="preserve">In calculating response burden, average household size was estimated using </w:t>
      </w:r>
      <w:r w:rsidR="00CF4FC3">
        <w:rPr>
          <w:sz w:val="23"/>
          <w:szCs w:val="23"/>
        </w:rPr>
        <w:t xml:space="preserve">the </w:t>
      </w:r>
      <w:r w:rsidRPr="009A74F7">
        <w:rPr>
          <w:sz w:val="23"/>
          <w:szCs w:val="23"/>
        </w:rPr>
        <w:t xml:space="preserve">2014 </w:t>
      </w:r>
      <w:r w:rsidR="00CF4FC3">
        <w:rPr>
          <w:sz w:val="23"/>
          <w:szCs w:val="23"/>
        </w:rPr>
        <w:t>American Community Survey (</w:t>
      </w:r>
      <w:r w:rsidRPr="009A74F7">
        <w:rPr>
          <w:sz w:val="23"/>
          <w:szCs w:val="23"/>
        </w:rPr>
        <w:t>ACS</w:t>
      </w:r>
      <w:r w:rsidR="00CF4FC3">
        <w:rPr>
          <w:sz w:val="23"/>
          <w:szCs w:val="23"/>
        </w:rPr>
        <w:t>)</w:t>
      </w:r>
      <w:r w:rsidRPr="009A74F7">
        <w:rPr>
          <w:sz w:val="23"/>
          <w:szCs w:val="23"/>
        </w:rPr>
        <w:t xml:space="preserve"> estimates for households in </w:t>
      </w:r>
      <w:r w:rsidR="005A76DB">
        <w:rPr>
          <w:sz w:val="23"/>
          <w:szCs w:val="23"/>
        </w:rPr>
        <w:t xml:space="preserve">the 48 </w:t>
      </w:r>
      <w:r w:rsidR="006427A8">
        <w:rPr>
          <w:sz w:val="23"/>
          <w:szCs w:val="23"/>
        </w:rPr>
        <w:t>c</w:t>
      </w:r>
      <w:r w:rsidR="005A76DB" w:rsidRPr="009A74F7">
        <w:rPr>
          <w:sz w:val="23"/>
          <w:szCs w:val="23"/>
        </w:rPr>
        <w:t xml:space="preserve">ontiguous </w:t>
      </w:r>
      <w:r w:rsidRPr="009A74F7">
        <w:rPr>
          <w:sz w:val="23"/>
          <w:szCs w:val="23"/>
        </w:rPr>
        <w:t xml:space="preserve">states. </w:t>
      </w:r>
      <w:r w:rsidR="004B5BA2" w:rsidRPr="009A74F7">
        <w:rPr>
          <w:sz w:val="23"/>
          <w:szCs w:val="23"/>
        </w:rPr>
        <w:t xml:space="preserve">The original burden table developed for the 60 day </w:t>
      </w:r>
      <w:r w:rsidR="004B5BA2">
        <w:rPr>
          <w:sz w:val="23"/>
          <w:szCs w:val="23"/>
        </w:rPr>
        <w:t>Federal Register Notice (</w:t>
      </w:r>
      <w:r w:rsidR="004B5BA2" w:rsidRPr="009A74F7">
        <w:rPr>
          <w:sz w:val="23"/>
          <w:szCs w:val="23"/>
        </w:rPr>
        <w:t>FRN</w:t>
      </w:r>
      <w:r w:rsidR="004B5BA2">
        <w:rPr>
          <w:sz w:val="23"/>
          <w:szCs w:val="23"/>
        </w:rPr>
        <w:t xml:space="preserve">) </w:t>
      </w:r>
      <w:r w:rsidR="004B5BA2" w:rsidRPr="009A74F7">
        <w:rPr>
          <w:sz w:val="23"/>
          <w:szCs w:val="23"/>
        </w:rPr>
        <w:t xml:space="preserve">used 2.4 as the estimated number of persons per household. </w:t>
      </w:r>
      <w:r w:rsidRPr="009A74F7">
        <w:rPr>
          <w:sz w:val="23"/>
          <w:szCs w:val="23"/>
        </w:rPr>
        <w:t>Burden estimates i</w:t>
      </w:r>
      <w:r w:rsidR="00DC7896" w:rsidRPr="009A74F7">
        <w:rPr>
          <w:sz w:val="23"/>
          <w:szCs w:val="23"/>
        </w:rPr>
        <w:t>n T</w:t>
      </w:r>
      <w:r w:rsidRPr="009A74F7">
        <w:rPr>
          <w:sz w:val="23"/>
          <w:szCs w:val="23"/>
        </w:rPr>
        <w:t>able A.12.</w:t>
      </w:r>
      <w:r w:rsidRPr="009A74F7">
        <w:rPr>
          <w:color w:val="000000" w:themeColor="text1"/>
          <w:sz w:val="23"/>
          <w:szCs w:val="23"/>
        </w:rPr>
        <w:t>1 are</w:t>
      </w:r>
      <w:r w:rsidR="00B832FA" w:rsidRPr="009A74F7">
        <w:rPr>
          <w:color w:val="000000" w:themeColor="text1"/>
          <w:sz w:val="23"/>
          <w:szCs w:val="23"/>
        </w:rPr>
        <w:t xml:space="preserve"> slightly different as we </w:t>
      </w:r>
      <w:r w:rsidR="005A76DB">
        <w:rPr>
          <w:color w:val="000000" w:themeColor="text1"/>
          <w:sz w:val="23"/>
          <w:szCs w:val="23"/>
        </w:rPr>
        <w:t xml:space="preserve">now </w:t>
      </w:r>
      <w:r w:rsidR="00B832FA" w:rsidRPr="009A74F7">
        <w:rPr>
          <w:color w:val="000000" w:themeColor="text1"/>
          <w:sz w:val="23"/>
          <w:szCs w:val="23"/>
        </w:rPr>
        <w:t>break them down by age</w:t>
      </w:r>
      <w:r w:rsidR="005A76DB">
        <w:rPr>
          <w:color w:val="000000" w:themeColor="text1"/>
          <w:sz w:val="23"/>
          <w:szCs w:val="23"/>
        </w:rPr>
        <w:t xml:space="preserve"> </w:t>
      </w:r>
      <w:r w:rsidR="00B832FA" w:rsidRPr="009A74F7">
        <w:rPr>
          <w:color w:val="000000" w:themeColor="text1"/>
          <w:sz w:val="23"/>
          <w:szCs w:val="23"/>
        </w:rPr>
        <w:t>. We assume</w:t>
      </w:r>
      <w:r w:rsidRPr="009A74F7">
        <w:rPr>
          <w:color w:val="000000" w:themeColor="text1"/>
          <w:sz w:val="23"/>
          <w:szCs w:val="23"/>
        </w:rPr>
        <w:t xml:space="preserve"> </w:t>
      </w:r>
      <w:r w:rsidR="00B832FA" w:rsidRPr="009A74F7">
        <w:rPr>
          <w:color w:val="000000" w:themeColor="text1"/>
          <w:sz w:val="23"/>
          <w:szCs w:val="23"/>
        </w:rPr>
        <w:t xml:space="preserve">the </w:t>
      </w:r>
      <w:r w:rsidR="005A76DB">
        <w:rPr>
          <w:color w:val="000000" w:themeColor="text1"/>
          <w:sz w:val="23"/>
          <w:szCs w:val="23"/>
        </w:rPr>
        <w:t xml:space="preserve">average </w:t>
      </w:r>
      <w:r w:rsidR="00B832FA" w:rsidRPr="009A74F7">
        <w:rPr>
          <w:color w:val="000000" w:themeColor="text1"/>
          <w:sz w:val="23"/>
          <w:szCs w:val="23"/>
        </w:rPr>
        <w:t>number of 0-10 year old</w:t>
      </w:r>
      <w:r w:rsidR="009A74F7">
        <w:rPr>
          <w:color w:val="000000" w:themeColor="text1"/>
          <w:sz w:val="23"/>
          <w:szCs w:val="23"/>
        </w:rPr>
        <w:t>s</w:t>
      </w:r>
      <w:r w:rsidR="005A76DB">
        <w:rPr>
          <w:color w:val="000000" w:themeColor="text1"/>
          <w:sz w:val="23"/>
          <w:szCs w:val="23"/>
        </w:rPr>
        <w:t xml:space="preserve"> </w:t>
      </w:r>
      <w:r w:rsidR="006427A8">
        <w:rPr>
          <w:color w:val="000000" w:themeColor="text1"/>
          <w:sz w:val="23"/>
          <w:szCs w:val="23"/>
        </w:rPr>
        <w:t>p</w:t>
      </w:r>
      <w:r w:rsidR="005A76DB">
        <w:rPr>
          <w:color w:val="000000" w:themeColor="text1"/>
          <w:sz w:val="23"/>
          <w:szCs w:val="23"/>
        </w:rPr>
        <w:t>er household</w:t>
      </w:r>
      <w:r w:rsidR="00B832FA" w:rsidRPr="009A74F7">
        <w:rPr>
          <w:color w:val="000000" w:themeColor="text1"/>
          <w:sz w:val="23"/>
          <w:szCs w:val="23"/>
        </w:rPr>
        <w:t xml:space="preserve"> is 0.4,</w:t>
      </w:r>
      <w:r w:rsidR="00114DA1" w:rsidRPr="009A74F7">
        <w:rPr>
          <w:color w:val="000000" w:themeColor="text1"/>
          <w:sz w:val="23"/>
          <w:szCs w:val="23"/>
        </w:rPr>
        <w:t xml:space="preserve"> </w:t>
      </w:r>
      <w:r w:rsidR="005A76DB">
        <w:rPr>
          <w:color w:val="000000" w:themeColor="text1"/>
          <w:sz w:val="23"/>
          <w:szCs w:val="23"/>
        </w:rPr>
        <w:t xml:space="preserve">the average for </w:t>
      </w:r>
      <w:r w:rsidRPr="009A74F7">
        <w:rPr>
          <w:color w:val="000000" w:themeColor="text1"/>
          <w:sz w:val="23"/>
          <w:szCs w:val="23"/>
        </w:rPr>
        <w:t>11-15 year old</w:t>
      </w:r>
      <w:r w:rsidR="005A76DB">
        <w:rPr>
          <w:color w:val="000000" w:themeColor="text1"/>
          <w:sz w:val="23"/>
          <w:szCs w:val="23"/>
        </w:rPr>
        <w:t xml:space="preserve">s </w:t>
      </w:r>
      <w:r w:rsidRPr="009A74F7">
        <w:rPr>
          <w:color w:val="000000" w:themeColor="text1"/>
          <w:sz w:val="23"/>
          <w:szCs w:val="23"/>
        </w:rPr>
        <w:t>is 0.2</w:t>
      </w:r>
      <w:r w:rsidR="00EF71E8">
        <w:rPr>
          <w:color w:val="000000" w:themeColor="text1"/>
          <w:sz w:val="23"/>
          <w:szCs w:val="23"/>
        </w:rPr>
        <w:t xml:space="preserve"> per household</w:t>
      </w:r>
      <w:r w:rsidR="00B832FA" w:rsidRPr="009A74F7">
        <w:rPr>
          <w:color w:val="000000" w:themeColor="text1"/>
          <w:sz w:val="23"/>
          <w:szCs w:val="23"/>
        </w:rPr>
        <w:t>,</w:t>
      </w:r>
      <w:r w:rsidRPr="009A74F7">
        <w:rPr>
          <w:color w:val="000000" w:themeColor="text1"/>
          <w:sz w:val="23"/>
          <w:szCs w:val="23"/>
        </w:rPr>
        <w:t xml:space="preserve"> and </w:t>
      </w:r>
      <w:r w:rsidR="005A76DB">
        <w:rPr>
          <w:color w:val="000000" w:themeColor="text1"/>
          <w:sz w:val="23"/>
          <w:szCs w:val="23"/>
        </w:rPr>
        <w:t xml:space="preserve">the average for </w:t>
      </w:r>
      <w:r w:rsidRPr="009A74F7">
        <w:rPr>
          <w:color w:val="000000" w:themeColor="text1"/>
          <w:sz w:val="23"/>
          <w:szCs w:val="23"/>
        </w:rPr>
        <w:t>16+ year old</w:t>
      </w:r>
      <w:r w:rsidR="009A74F7">
        <w:rPr>
          <w:color w:val="000000" w:themeColor="text1"/>
          <w:sz w:val="23"/>
          <w:szCs w:val="23"/>
        </w:rPr>
        <w:t>s</w:t>
      </w:r>
      <w:r w:rsidR="005A76DB">
        <w:rPr>
          <w:color w:val="000000" w:themeColor="text1"/>
          <w:sz w:val="23"/>
          <w:szCs w:val="23"/>
        </w:rPr>
        <w:t xml:space="preserve"> </w:t>
      </w:r>
      <w:r w:rsidRPr="009A74F7">
        <w:rPr>
          <w:color w:val="000000" w:themeColor="text1"/>
          <w:sz w:val="23"/>
          <w:szCs w:val="23"/>
        </w:rPr>
        <w:t>is 2.1</w:t>
      </w:r>
      <w:r w:rsidR="00EF71E8">
        <w:rPr>
          <w:color w:val="000000" w:themeColor="text1"/>
          <w:sz w:val="23"/>
          <w:szCs w:val="23"/>
        </w:rPr>
        <w:t xml:space="preserve"> per household</w:t>
      </w:r>
      <w:r w:rsidRPr="009A74F7">
        <w:rPr>
          <w:color w:val="000000" w:themeColor="text1"/>
          <w:sz w:val="23"/>
          <w:szCs w:val="23"/>
        </w:rPr>
        <w:t>.</w:t>
      </w:r>
      <w:r w:rsidRPr="009A74F7">
        <w:rPr>
          <w:color w:val="1F497D"/>
          <w:sz w:val="23"/>
          <w:szCs w:val="23"/>
        </w:rPr>
        <w:t xml:space="preserve"> </w:t>
      </w:r>
    </w:p>
    <w:p w14:paraId="0BFBB8EE" w14:textId="77777777" w:rsidR="00EF71E8" w:rsidRDefault="00EF71E8" w:rsidP="00656414">
      <w:pPr>
        <w:pStyle w:val="L1-FlLSp12"/>
        <w:rPr>
          <w:color w:val="1F497D"/>
          <w:sz w:val="23"/>
          <w:szCs w:val="23"/>
        </w:rPr>
      </w:pPr>
    </w:p>
    <w:p w14:paraId="27B5D5E2" w14:textId="745214FA" w:rsidR="00656414" w:rsidRPr="009A74F7" w:rsidRDefault="00656414" w:rsidP="00656414">
      <w:pPr>
        <w:pStyle w:val="L1-FlLSp12"/>
        <w:rPr>
          <w:sz w:val="23"/>
          <w:szCs w:val="23"/>
        </w:rPr>
      </w:pPr>
      <w:r w:rsidRPr="009A74F7">
        <w:rPr>
          <w:sz w:val="23"/>
          <w:szCs w:val="23"/>
        </w:rPr>
        <w:t>All displayed estimates in Table A.12.1 are rounded to the nearest integer.</w:t>
      </w:r>
    </w:p>
    <w:p w14:paraId="05DAFF2B" w14:textId="77777777" w:rsidR="00656414" w:rsidRPr="009A74F7" w:rsidRDefault="00656414">
      <w:pPr>
        <w:pStyle w:val="L1-FlLSp12"/>
        <w:rPr>
          <w:color w:val="1F497D"/>
          <w:sz w:val="23"/>
          <w:szCs w:val="23"/>
        </w:rPr>
      </w:pPr>
    </w:p>
    <w:p w14:paraId="5820FC1A" w14:textId="77777777" w:rsidR="00656414" w:rsidRDefault="00656414" w:rsidP="00656414">
      <w:pPr>
        <w:pStyle w:val="L1-FlLSp12"/>
        <w:rPr>
          <w:b/>
          <w:sz w:val="23"/>
          <w:szCs w:val="23"/>
        </w:rPr>
      </w:pPr>
      <w:r>
        <w:rPr>
          <w:b/>
          <w:sz w:val="23"/>
          <w:szCs w:val="23"/>
        </w:rPr>
        <w:t>Household Level Data Collection</w:t>
      </w:r>
    </w:p>
    <w:p w14:paraId="04745AB9" w14:textId="6C02EDF8" w:rsidR="00656414" w:rsidRDefault="00656414" w:rsidP="00656414">
      <w:pPr>
        <w:pStyle w:val="L1-FlLSp12"/>
        <w:numPr>
          <w:ilvl w:val="0"/>
          <w:numId w:val="24"/>
        </w:numPr>
        <w:rPr>
          <w:sz w:val="23"/>
          <w:szCs w:val="23"/>
        </w:rPr>
      </w:pPr>
      <w:r>
        <w:rPr>
          <w:sz w:val="23"/>
          <w:szCs w:val="23"/>
        </w:rPr>
        <w:t>Advance Letters. Mailed to 2,500 addresses. Based on prior survey work, we anticipate 346, or 13.</w:t>
      </w:r>
      <w:r w:rsidR="005A76DB">
        <w:rPr>
          <w:sz w:val="23"/>
          <w:szCs w:val="23"/>
        </w:rPr>
        <w:t>8</w:t>
      </w:r>
      <w:r>
        <w:rPr>
          <w:sz w:val="23"/>
          <w:szCs w:val="23"/>
        </w:rPr>
        <w:t>%, will be returned as undelivered. 2,154 will receive the letter. Assuming each household spends an average of 3 minutes reading the letter, the burden for all households is 108 hours.</w:t>
      </w:r>
    </w:p>
    <w:p w14:paraId="7EC9268C" w14:textId="77777777" w:rsidR="00656414" w:rsidRDefault="00656414" w:rsidP="00656414">
      <w:pPr>
        <w:pStyle w:val="L1-FlLSp12"/>
        <w:numPr>
          <w:ilvl w:val="0"/>
          <w:numId w:val="24"/>
        </w:numPr>
        <w:rPr>
          <w:sz w:val="23"/>
          <w:szCs w:val="23"/>
        </w:rPr>
      </w:pPr>
      <w:r>
        <w:rPr>
          <w:sz w:val="23"/>
          <w:szCs w:val="23"/>
        </w:rPr>
        <w:lastRenderedPageBreak/>
        <w:t>Disclaimer Form. Interviewer hands it to each of the 2,154 contacted households and explains the NFS Pilot requirements. This should take about 2 minutes for each household, or 72 hours across all households.</w:t>
      </w:r>
    </w:p>
    <w:p w14:paraId="05D8C3AC" w14:textId="29697B2D" w:rsidR="00656414" w:rsidRDefault="00656414" w:rsidP="00656414">
      <w:pPr>
        <w:pStyle w:val="L1-FlLSp12"/>
        <w:numPr>
          <w:ilvl w:val="0"/>
          <w:numId w:val="24"/>
        </w:numPr>
        <w:rPr>
          <w:sz w:val="23"/>
          <w:szCs w:val="23"/>
        </w:rPr>
      </w:pPr>
      <w:r>
        <w:rPr>
          <w:sz w:val="23"/>
          <w:szCs w:val="23"/>
        </w:rPr>
        <w:t xml:space="preserve">Household Screener. About 1,551 households (72%) will complete the screener interview which will take an average of 12 minutes to administer, or a total of 310 hours. Interviewers will spend about </w:t>
      </w:r>
      <w:r w:rsidR="000F7337">
        <w:rPr>
          <w:sz w:val="23"/>
          <w:szCs w:val="23"/>
        </w:rPr>
        <w:t>1</w:t>
      </w:r>
      <w:r>
        <w:rPr>
          <w:sz w:val="23"/>
          <w:szCs w:val="23"/>
        </w:rPr>
        <w:t xml:space="preserve"> minute with each of the 603 nonresponding households, or </w:t>
      </w:r>
      <w:r w:rsidR="000F7337">
        <w:rPr>
          <w:sz w:val="23"/>
          <w:szCs w:val="23"/>
        </w:rPr>
        <w:t>1</w:t>
      </w:r>
      <w:r>
        <w:rPr>
          <w:sz w:val="23"/>
          <w:szCs w:val="23"/>
        </w:rPr>
        <w:t>0 hours total.  Total screener burden across all households is 3</w:t>
      </w:r>
      <w:r w:rsidR="000F7337">
        <w:rPr>
          <w:sz w:val="23"/>
          <w:szCs w:val="23"/>
        </w:rPr>
        <w:t>2</w:t>
      </w:r>
      <w:r>
        <w:rPr>
          <w:sz w:val="23"/>
          <w:szCs w:val="23"/>
        </w:rPr>
        <w:t>0 hours.</w:t>
      </w:r>
    </w:p>
    <w:p w14:paraId="67D745DE" w14:textId="3E60F503" w:rsidR="00656414" w:rsidRDefault="00656414" w:rsidP="00656414">
      <w:pPr>
        <w:pStyle w:val="L1-FlLSp12"/>
        <w:numPr>
          <w:ilvl w:val="0"/>
          <w:numId w:val="24"/>
        </w:numPr>
        <w:rPr>
          <w:sz w:val="23"/>
          <w:szCs w:val="23"/>
        </w:rPr>
      </w:pPr>
      <w:r>
        <w:rPr>
          <w:sz w:val="23"/>
          <w:szCs w:val="23"/>
        </w:rPr>
        <w:t>Consent Form</w:t>
      </w:r>
      <w:r w:rsidR="000F7337">
        <w:rPr>
          <w:sz w:val="23"/>
          <w:szCs w:val="23"/>
        </w:rPr>
        <w:t>s</w:t>
      </w:r>
      <w:r>
        <w:rPr>
          <w:sz w:val="23"/>
          <w:szCs w:val="23"/>
        </w:rPr>
        <w:t>. An estimated 796 of the 1,551 households, or 51.3%, will be eligible to participate in the NFS Pilot. The remaining 755 households will be ineligible</w:t>
      </w:r>
      <w:r w:rsidR="00746FD7">
        <w:rPr>
          <w:sz w:val="23"/>
          <w:szCs w:val="23"/>
        </w:rPr>
        <w:t xml:space="preserve"> and not asked to sig</w:t>
      </w:r>
      <w:r w:rsidR="006427A8">
        <w:rPr>
          <w:sz w:val="23"/>
          <w:szCs w:val="23"/>
        </w:rPr>
        <w:t>n</w:t>
      </w:r>
      <w:r w:rsidR="00746FD7">
        <w:rPr>
          <w:sz w:val="23"/>
          <w:szCs w:val="23"/>
        </w:rPr>
        <w:t xml:space="preserve"> the consent form</w:t>
      </w:r>
      <w:r>
        <w:rPr>
          <w:sz w:val="23"/>
          <w:szCs w:val="23"/>
        </w:rPr>
        <w:t>. An adult household member in the 796 eligible households will be asked to review and sign the consent form agreeing to the household’s participation in the NFS Pilot.</w:t>
      </w:r>
      <w:r w:rsidR="009A19EB">
        <w:rPr>
          <w:sz w:val="23"/>
          <w:szCs w:val="23"/>
        </w:rPr>
        <w:t xml:space="preserve"> They will also be asked to sign a parental consent form if the household has children between the ages of 11 and 18.</w:t>
      </w:r>
      <w:r>
        <w:rPr>
          <w:sz w:val="23"/>
          <w:szCs w:val="23"/>
        </w:rPr>
        <w:t xml:space="preserve">  </w:t>
      </w:r>
      <w:r w:rsidR="00746FD7">
        <w:rPr>
          <w:sz w:val="23"/>
          <w:szCs w:val="23"/>
        </w:rPr>
        <w:t xml:space="preserve">Expected burden for both consent forms </w:t>
      </w:r>
      <w:r>
        <w:rPr>
          <w:sz w:val="23"/>
          <w:szCs w:val="23"/>
        </w:rPr>
        <w:t xml:space="preserve">will average </w:t>
      </w:r>
      <w:r w:rsidR="004D39A7">
        <w:rPr>
          <w:sz w:val="23"/>
          <w:szCs w:val="23"/>
        </w:rPr>
        <w:t>5</w:t>
      </w:r>
      <w:r>
        <w:rPr>
          <w:sz w:val="23"/>
          <w:szCs w:val="23"/>
        </w:rPr>
        <w:t xml:space="preserve">minutes per household, or </w:t>
      </w:r>
      <w:r w:rsidR="004D39A7">
        <w:rPr>
          <w:sz w:val="23"/>
          <w:szCs w:val="23"/>
        </w:rPr>
        <w:t>66</w:t>
      </w:r>
      <w:r>
        <w:rPr>
          <w:sz w:val="23"/>
          <w:szCs w:val="23"/>
        </w:rPr>
        <w:t xml:space="preserve"> hours across all eligible households.</w:t>
      </w:r>
    </w:p>
    <w:p w14:paraId="48A0522E" w14:textId="3623B93D" w:rsidR="00656414" w:rsidRDefault="00656414" w:rsidP="00656414">
      <w:pPr>
        <w:pStyle w:val="L1-FlLSp12"/>
        <w:numPr>
          <w:ilvl w:val="0"/>
          <w:numId w:val="24"/>
        </w:numPr>
        <w:rPr>
          <w:sz w:val="23"/>
          <w:szCs w:val="23"/>
        </w:rPr>
      </w:pPr>
      <w:r>
        <w:rPr>
          <w:sz w:val="23"/>
          <w:szCs w:val="23"/>
        </w:rPr>
        <w:t xml:space="preserve">Initial Household Interview. Of the 796 survey-eligible households, an estimated 593 households (74.5%) will complete the initial interview. The interview will take an average of 30 minutes to administer, or 297 hours total across these households.  The remaining 203 households will drop out after the interviewer has spent </w:t>
      </w:r>
      <w:r w:rsidR="005A76DB">
        <w:rPr>
          <w:sz w:val="23"/>
          <w:szCs w:val="23"/>
        </w:rPr>
        <w:t xml:space="preserve">an average of </w:t>
      </w:r>
      <w:r>
        <w:rPr>
          <w:sz w:val="23"/>
          <w:szCs w:val="23"/>
        </w:rPr>
        <w:t>3 minutes per household, or 10 hours total, trying to gain their cooperation.</w:t>
      </w:r>
    </w:p>
    <w:p w14:paraId="497D8434" w14:textId="507423D0" w:rsidR="00656414" w:rsidRDefault="00656414" w:rsidP="00656414">
      <w:pPr>
        <w:pStyle w:val="L1-FlLSp12"/>
        <w:numPr>
          <w:ilvl w:val="0"/>
          <w:numId w:val="24"/>
        </w:numPr>
        <w:rPr>
          <w:sz w:val="23"/>
          <w:szCs w:val="23"/>
        </w:rPr>
      </w:pPr>
      <w:r>
        <w:rPr>
          <w:sz w:val="23"/>
          <w:szCs w:val="23"/>
        </w:rPr>
        <w:t>Final Household Interview. The interview will take about 30 minutes to administer. We expect to complete it with 534 households (</w:t>
      </w:r>
      <w:r w:rsidR="00746FD7">
        <w:rPr>
          <w:sz w:val="23"/>
          <w:szCs w:val="23"/>
        </w:rPr>
        <w:t xml:space="preserve">about </w:t>
      </w:r>
      <w:r>
        <w:rPr>
          <w:sz w:val="23"/>
          <w:szCs w:val="23"/>
        </w:rPr>
        <w:t>90% of 593) for a total of 267 hours.  The remaining 59 households are expected to drop out after the interviewer has spent about 3 minutes per household, or 3 hours total, trying to gain their cooperation.</w:t>
      </w:r>
    </w:p>
    <w:p w14:paraId="6F45A265" w14:textId="6D4C3C17" w:rsidR="00656414" w:rsidRDefault="00656414" w:rsidP="00656414">
      <w:pPr>
        <w:pStyle w:val="L1-FlLSp12"/>
        <w:numPr>
          <w:ilvl w:val="0"/>
          <w:numId w:val="24"/>
        </w:numPr>
        <w:rPr>
          <w:sz w:val="23"/>
          <w:szCs w:val="23"/>
        </w:rPr>
      </w:pPr>
      <w:r>
        <w:rPr>
          <w:sz w:val="23"/>
          <w:szCs w:val="23"/>
        </w:rPr>
        <w:t xml:space="preserve">Respondent Feedback Form. About 95% of the 534 households completing the Final Household Interview, or 507, will agree to provide feedback and spend about 2 minutes answering a brief questionnaire.  The total burden is 17 hours.  Interviewers will spend about </w:t>
      </w:r>
      <w:r w:rsidR="00717842">
        <w:rPr>
          <w:sz w:val="23"/>
          <w:szCs w:val="23"/>
        </w:rPr>
        <w:t xml:space="preserve">3 </w:t>
      </w:r>
      <w:r>
        <w:rPr>
          <w:sz w:val="23"/>
          <w:szCs w:val="23"/>
        </w:rPr>
        <w:t>minutes per household trying to convince the remaining 27 households to complete the feedback form, for an additional burden of about 1 hour.</w:t>
      </w:r>
    </w:p>
    <w:p w14:paraId="5D73DEEC" w14:textId="2A8B2C56" w:rsidR="00656414" w:rsidRPr="006A033B" w:rsidRDefault="00656414" w:rsidP="00656414">
      <w:pPr>
        <w:pStyle w:val="L1-FlLSp12"/>
        <w:numPr>
          <w:ilvl w:val="0"/>
          <w:numId w:val="24"/>
        </w:numPr>
        <w:rPr>
          <w:sz w:val="23"/>
          <w:szCs w:val="23"/>
        </w:rPr>
      </w:pPr>
      <w:r>
        <w:rPr>
          <w:sz w:val="23"/>
          <w:szCs w:val="23"/>
        </w:rPr>
        <w:t xml:space="preserve">Nonresponse Form. This form will take about 3 minutes to complete and will be administered whenever a household refuses to continue to participate.  We will attempt to complete it with an estimated total of </w:t>
      </w:r>
      <w:r w:rsidRPr="006A033B">
        <w:rPr>
          <w:sz w:val="23"/>
          <w:szCs w:val="23"/>
        </w:rPr>
        <w:t>3</w:t>
      </w:r>
      <w:r w:rsidR="006A033B">
        <w:rPr>
          <w:sz w:val="23"/>
          <w:szCs w:val="23"/>
        </w:rPr>
        <w:t>62</w:t>
      </w:r>
      <w:r w:rsidRPr="006A033B">
        <w:rPr>
          <w:sz w:val="23"/>
          <w:szCs w:val="23"/>
        </w:rPr>
        <w:t xml:space="preserve"> households (203 households who refuse to co</w:t>
      </w:r>
      <w:r w:rsidR="006A033B">
        <w:rPr>
          <w:sz w:val="23"/>
          <w:szCs w:val="23"/>
        </w:rPr>
        <w:t>mplete the initial interview, 57</w:t>
      </w:r>
      <w:r w:rsidRPr="006A033B">
        <w:rPr>
          <w:sz w:val="23"/>
          <w:szCs w:val="23"/>
        </w:rPr>
        <w:t xml:space="preserve"> households (</w:t>
      </w:r>
      <w:r w:rsidR="006A033B">
        <w:rPr>
          <w:sz w:val="23"/>
          <w:szCs w:val="23"/>
        </w:rPr>
        <w:t>(12+124)/2.4</w:t>
      </w:r>
      <w:r w:rsidRPr="006A033B">
        <w:rPr>
          <w:sz w:val="23"/>
          <w:szCs w:val="23"/>
        </w:rPr>
        <w:t>) who refuse the tra</w:t>
      </w:r>
      <w:r w:rsidR="006A033B">
        <w:rPr>
          <w:sz w:val="23"/>
          <w:szCs w:val="23"/>
        </w:rPr>
        <w:t>ining, and 102</w:t>
      </w:r>
      <w:r w:rsidRPr="006A033B">
        <w:rPr>
          <w:sz w:val="23"/>
          <w:szCs w:val="23"/>
        </w:rPr>
        <w:t xml:space="preserve"> households (</w:t>
      </w:r>
      <w:r w:rsidR="006A033B">
        <w:rPr>
          <w:sz w:val="23"/>
          <w:szCs w:val="23"/>
        </w:rPr>
        <w:t>(21+224)</w:t>
      </w:r>
      <w:r w:rsidRPr="006A033B">
        <w:rPr>
          <w:sz w:val="23"/>
          <w:szCs w:val="23"/>
        </w:rPr>
        <w:t xml:space="preserve">/2.4) who stop completing the Food Log. </w:t>
      </w:r>
      <w:r w:rsidR="001A21D1">
        <w:rPr>
          <w:sz w:val="23"/>
          <w:szCs w:val="23"/>
        </w:rPr>
        <w:t>Since i</w:t>
      </w:r>
      <w:r w:rsidR="006A033B">
        <w:rPr>
          <w:sz w:val="23"/>
          <w:szCs w:val="23"/>
        </w:rPr>
        <w:t xml:space="preserve">nformation for individuals under age 11 is obtained via </w:t>
      </w:r>
      <w:r w:rsidR="004B1F93">
        <w:rPr>
          <w:sz w:val="23"/>
          <w:szCs w:val="23"/>
        </w:rPr>
        <w:t>proxy</w:t>
      </w:r>
      <w:r w:rsidR="001A21D1">
        <w:rPr>
          <w:sz w:val="23"/>
          <w:szCs w:val="23"/>
        </w:rPr>
        <w:t xml:space="preserve">, these households are included in the counts for households with individuals </w:t>
      </w:r>
      <w:r w:rsidR="00453538">
        <w:rPr>
          <w:sz w:val="23"/>
          <w:szCs w:val="23"/>
        </w:rPr>
        <w:t xml:space="preserve">16 years and </w:t>
      </w:r>
      <w:r w:rsidR="001A21D1">
        <w:rPr>
          <w:sz w:val="23"/>
          <w:szCs w:val="23"/>
        </w:rPr>
        <w:t xml:space="preserve">above. </w:t>
      </w:r>
      <w:r w:rsidRPr="006A033B">
        <w:rPr>
          <w:sz w:val="23"/>
          <w:szCs w:val="23"/>
        </w:rPr>
        <w:t>An expected 2</w:t>
      </w:r>
      <w:r w:rsidR="006A033B">
        <w:rPr>
          <w:sz w:val="23"/>
          <w:szCs w:val="23"/>
        </w:rPr>
        <w:t>17</w:t>
      </w:r>
      <w:r w:rsidRPr="006A033B">
        <w:rPr>
          <w:sz w:val="23"/>
          <w:szCs w:val="23"/>
        </w:rPr>
        <w:t xml:space="preserve"> (</w:t>
      </w:r>
      <w:r w:rsidR="00453538">
        <w:rPr>
          <w:sz w:val="23"/>
          <w:szCs w:val="23"/>
        </w:rPr>
        <w:t xml:space="preserve">about </w:t>
      </w:r>
      <w:r w:rsidRPr="006A033B">
        <w:rPr>
          <w:sz w:val="23"/>
          <w:szCs w:val="23"/>
        </w:rPr>
        <w:t>60%) of these households will answer the questions</w:t>
      </w:r>
      <w:r w:rsidR="00453538">
        <w:rPr>
          <w:sz w:val="23"/>
          <w:szCs w:val="23"/>
        </w:rPr>
        <w:t>,</w:t>
      </w:r>
      <w:r w:rsidRPr="006A033B">
        <w:rPr>
          <w:sz w:val="23"/>
          <w:szCs w:val="23"/>
        </w:rPr>
        <w:t xml:space="preserve"> spending 11 </w:t>
      </w:r>
      <w:r w:rsidRPr="006A033B">
        <w:rPr>
          <w:sz w:val="23"/>
          <w:szCs w:val="23"/>
        </w:rPr>
        <w:lastRenderedPageBreak/>
        <w:t>ho</w:t>
      </w:r>
      <w:r w:rsidR="006A033B">
        <w:rPr>
          <w:sz w:val="23"/>
          <w:szCs w:val="23"/>
        </w:rPr>
        <w:t>urs in total.  The remaining 145</w:t>
      </w:r>
      <w:r w:rsidRPr="006A033B">
        <w:rPr>
          <w:sz w:val="23"/>
          <w:szCs w:val="23"/>
        </w:rPr>
        <w:t xml:space="preserve"> households will refuse. However, the interaction with these households is still expected to </w:t>
      </w:r>
      <w:r w:rsidR="00453538">
        <w:rPr>
          <w:sz w:val="23"/>
          <w:szCs w:val="23"/>
        </w:rPr>
        <w:t xml:space="preserve">average 1 minute each, for a </w:t>
      </w:r>
      <w:r w:rsidRPr="006A033B">
        <w:rPr>
          <w:sz w:val="23"/>
          <w:szCs w:val="23"/>
        </w:rPr>
        <w:t xml:space="preserve">total </w:t>
      </w:r>
      <w:r w:rsidR="00453538">
        <w:rPr>
          <w:sz w:val="23"/>
          <w:szCs w:val="23"/>
        </w:rPr>
        <w:t>of</w:t>
      </w:r>
      <w:r w:rsidR="00453538" w:rsidRPr="006A033B">
        <w:rPr>
          <w:sz w:val="23"/>
          <w:szCs w:val="23"/>
        </w:rPr>
        <w:t xml:space="preserve"> </w:t>
      </w:r>
      <w:r w:rsidR="009A19EB">
        <w:rPr>
          <w:sz w:val="23"/>
          <w:szCs w:val="23"/>
        </w:rPr>
        <w:t>2</w:t>
      </w:r>
      <w:r w:rsidRPr="006A033B">
        <w:rPr>
          <w:sz w:val="23"/>
          <w:szCs w:val="23"/>
        </w:rPr>
        <w:t xml:space="preserve"> hours.</w:t>
      </w:r>
    </w:p>
    <w:p w14:paraId="413BE2AB" w14:textId="77777777" w:rsidR="00656414" w:rsidRPr="006A033B" w:rsidRDefault="00656414" w:rsidP="00656414">
      <w:pPr>
        <w:pStyle w:val="L1-FlLSp12"/>
        <w:rPr>
          <w:sz w:val="23"/>
          <w:szCs w:val="23"/>
        </w:rPr>
      </w:pPr>
    </w:p>
    <w:p w14:paraId="31739948" w14:textId="77777777" w:rsidR="00656414" w:rsidRPr="006A033B" w:rsidRDefault="00656414" w:rsidP="00656414">
      <w:pPr>
        <w:pStyle w:val="L1-FlLSp12"/>
        <w:rPr>
          <w:b/>
          <w:sz w:val="23"/>
          <w:szCs w:val="23"/>
        </w:rPr>
      </w:pPr>
      <w:r w:rsidRPr="006A033B">
        <w:rPr>
          <w:b/>
          <w:sz w:val="23"/>
          <w:szCs w:val="23"/>
        </w:rPr>
        <w:t>Individual Level Data Collection</w:t>
      </w:r>
    </w:p>
    <w:p w14:paraId="3ACC2CDC" w14:textId="38309FD5" w:rsidR="00656414" w:rsidRDefault="00656414" w:rsidP="004D39A7">
      <w:pPr>
        <w:pStyle w:val="L1-FlLSp12"/>
        <w:numPr>
          <w:ilvl w:val="0"/>
          <w:numId w:val="24"/>
        </w:numPr>
        <w:rPr>
          <w:sz w:val="23"/>
          <w:szCs w:val="23"/>
        </w:rPr>
      </w:pPr>
      <w:r w:rsidRPr="006A033B">
        <w:rPr>
          <w:sz w:val="23"/>
          <w:szCs w:val="23"/>
        </w:rPr>
        <w:t>Trai</w:t>
      </w:r>
      <w:r w:rsidR="00114DA1" w:rsidRPr="006A033B">
        <w:rPr>
          <w:sz w:val="23"/>
          <w:szCs w:val="23"/>
        </w:rPr>
        <w:t>ning. Assuming an average of</w:t>
      </w:r>
      <w:r w:rsidR="000A4A0F">
        <w:rPr>
          <w:sz w:val="23"/>
          <w:szCs w:val="23"/>
        </w:rPr>
        <w:t xml:space="preserve"> 2.1 persons age 16+ </w:t>
      </w:r>
      <w:r w:rsidRPr="006A033B">
        <w:rPr>
          <w:sz w:val="23"/>
          <w:szCs w:val="23"/>
        </w:rPr>
        <w:t>in each of the 593 households</w:t>
      </w:r>
      <w:r w:rsidR="00453538">
        <w:rPr>
          <w:sz w:val="23"/>
          <w:szCs w:val="23"/>
        </w:rPr>
        <w:t xml:space="preserve"> completing the Initial Interview</w:t>
      </w:r>
      <w:r w:rsidRPr="006A033B">
        <w:rPr>
          <w:sz w:val="23"/>
          <w:szCs w:val="23"/>
        </w:rPr>
        <w:t>, we w</w:t>
      </w:r>
      <w:r w:rsidR="00114DA1" w:rsidRPr="006A033B">
        <w:rPr>
          <w:sz w:val="23"/>
          <w:szCs w:val="23"/>
        </w:rPr>
        <w:t>ill attempt to train about 1,</w:t>
      </w:r>
      <w:r w:rsidR="00307CDE">
        <w:rPr>
          <w:sz w:val="23"/>
          <w:szCs w:val="23"/>
        </w:rPr>
        <w:t>245</w:t>
      </w:r>
      <w:r w:rsidRPr="006A033B">
        <w:rPr>
          <w:sz w:val="23"/>
          <w:szCs w:val="23"/>
        </w:rPr>
        <w:t xml:space="preserve"> persons</w:t>
      </w:r>
      <w:r w:rsidR="00BE0FE4">
        <w:rPr>
          <w:sz w:val="23"/>
          <w:szCs w:val="23"/>
        </w:rPr>
        <w:t xml:space="preserve"> in this age group</w:t>
      </w:r>
      <w:r w:rsidR="00453538">
        <w:rPr>
          <w:sz w:val="23"/>
          <w:szCs w:val="23"/>
        </w:rPr>
        <w:t>,</w:t>
      </w:r>
      <w:r w:rsidR="00114DA1" w:rsidRPr="006A033B">
        <w:rPr>
          <w:sz w:val="23"/>
          <w:szCs w:val="23"/>
        </w:rPr>
        <w:t xml:space="preserve"> </w:t>
      </w:r>
      <w:r w:rsidRPr="006A033B">
        <w:rPr>
          <w:sz w:val="23"/>
          <w:szCs w:val="23"/>
        </w:rPr>
        <w:t>with training lasting abo</w:t>
      </w:r>
      <w:r w:rsidR="00B832FA">
        <w:rPr>
          <w:sz w:val="23"/>
          <w:szCs w:val="23"/>
        </w:rPr>
        <w:t>ut 45 minutes. An expected 1,</w:t>
      </w:r>
      <w:r w:rsidR="00307CDE">
        <w:rPr>
          <w:sz w:val="23"/>
          <w:szCs w:val="23"/>
        </w:rPr>
        <w:t>121</w:t>
      </w:r>
      <w:r w:rsidRPr="006A033B">
        <w:rPr>
          <w:sz w:val="23"/>
          <w:szCs w:val="23"/>
        </w:rPr>
        <w:t xml:space="preserve">, or 90%, of the </w:t>
      </w:r>
      <w:r w:rsidR="00307CDE">
        <w:rPr>
          <w:sz w:val="23"/>
          <w:szCs w:val="23"/>
        </w:rPr>
        <w:t>persons will spend a total of 84</w:t>
      </w:r>
      <w:r w:rsidRPr="006A033B">
        <w:rPr>
          <w:sz w:val="23"/>
          <w:szCs w:val="23"/>
        </w:rPr>
        <w:t xml:space="preserve">1 hours </w:t>
      </w:r>
      <w:r w:rsidR="00307CDE">
        <w:rPr>
          <w:sz w:val="23"/>
          <w:szCs w:val="23"/>
        </w:rPr>
        <w:t>being trained. The remaining 124</w:t>
      </w:r>
      <w:r w:rsidRPr="006A033B">
        <w:rPr>
          <w:sz w:val="23"/>
          <w:szCs w:val="23"/>
        </w:rPr>
        <w:t xml:space="preserve"> persons will drop out either because they refuse to be trained or the interviewer determines they could not be trained.  This interaction </w:t>
      </w:r>
      <w:r w:rsidR="00BE0FE4">
        <w:rPr>
          <w:sz w:val="23"/>
          <w:szCs w:val="23"/>
        </w:rPr>
        <w:t xml:space="preserve">with the 124 persons </w:t>
      </w:r>
      <w:r w:rsidRPr="006A033B">
        <w:rPr>
          <w:sz w:val="23"/>
          <w:szCs w:val="23"/>
        </w:rPr>
        <w:t>is expected to av</w:t>
      </w:r>
      <w:r w:rsidR="00307CDE">
        <w:rPr>
          <w:sz w:val="23"/>
          <w:szCs w:val="23"/>
        </w:rPr>
        <w:t xml:space="preserve">erage 3 minutes </w:t>
      </w:r>
      <w:r w:rsidR="00BE0FE4">
        <w:rPr>
          <w:sz w:val="23"/>
          <w:szCs w:val="23"/>
        </w:rPr>
        <w:t>each</w:t>
      </w:r>
      <w:r w:rsidR="00307CDE">
        <w:rPr>
          <w:sz w:val="23"/>
          <w:szCs w:val="23"/>
        </w:rPr>
        <w:t>, or 6</w:t>
      </w:r>
      <w:r w:rsidRPr="006A033B">
        <w:rPr>
          <w:sz w:val="23"/>
          <w:szCs w:val="23"/>
        </w:rPr>
        <w:t xml:space="preserve"> hours total.</w:t>
      </w:r>
    </w:p>
    <w:p w14:paraId="1DC671C3" w14:textId="251F7B3B" w:rsidR="00BE0FE4" w:rsidRDefault="00BE0FE4" w:rsidP="0082436D">
      <w:pPr>
        <w:pStyle w:val="L1-FlLSp12"/>
        <w:ind w:left="720"/>
        <w:rPr>
          <w:sz w:val="23"/>
          <w:szCs w:val="23"/>
        </w:rPr>
      </w:pPr>
      <w:r>
        <w:rPr>
          <w:sz w:val="23"/>
          <w:szCs w:val="23"/>
        </w:rPr>
        <w:t>Children aged 0-10 years will not be filling out Food Logs and will need no training. Children aged 11-15 years will be filling out Food Logs and will be trained.  An expected 107 will be trained for a total burden of 80 hours.  Interviewers are expected to spend an average of 3 minutes interacting with each of the remaining 12 children in this group</w:t>
      </w:r>
      <w:r w:rsidR="00BF4EC7">
        <w:rPr>
          <w:sz w:val="23"/>
          <w:szCs w:val="23"/>
        </w:rPr>
        <w:t>, for an additional total burden of 1 hour.</w:t>
      </w:r>
    </w:p>
    <w:p w14:paraId="45E1B542" w14:textId="3C7077E2" w:rsidR="00656414" w:rsidRPr="006A033B" w:rsidRDefault="00091D9D" w:rsidP="007979B1">
      <w:pPr>
        <w:pStyle w:val="L1-FlLSp12"/>
        <w:numPr>
          <w:ilvl w:val="0"/>
          <w:numId w:val="24"/>
        </w:numPr>
        <w:rPr>
          <w:sz w:val="23"/>
          <w:szCs w:val="23"/>
        </w:rPr>
      </w:pPr>
      <w:r>
        <w:rPr>
          <w:sz w:val="23"/>
          <w:szCs w:val="23"/>
        </w:rPr>
        <w:t>Income Worksheet. 1,121</w:t>
      </w:r>
      <w:r w:rsidR="00656414" w:rsidRPr="006A033B">
        <w:rPr>
          <w:sz w:val="23"/>
          <w:szCs w:val="23"/>
        </w:rPr>
        <w:t xml:space="preserve"> persons </w:t>
      </w:r>
      <w:r w:rsidR="00BF4EC7">
        <w:rPr>
          <w:sz w:val="23"/>
          <w:szCs w:val="23"/>
        </w:rPr>
        <w:t xml:space="preserve">aged 16 and up </w:t>
      </w:r>
      <w:r w:rsidR="00656414" w:rsidRPr="006A033B">
        <w:rPr>
          <w:sz w:val="23"/>
          <w:szCs w:val="23"/>
        </w:rPr>
        <w:t xml:space="preserve">will be asked to provide information on income. Assuming a </w:t>
      </w:r>
      <w:r w:rsidR="00656414" w:rsidRPr="00BF4EC7">
        <w:rPr>
          <w:sz w:val="23"/>
          <w:szCs w:val="23"/>
        </w:rPr>
        <w:t>7</w:t>
      </w:r>
      <w:r w:rsidR="00EE1CEA" w:rsidRPr="00BF4EC7">
        <w:rPr>
          <w:sz w:val="23"/>
          <w:szCs w:val="23"/>
        </w:rPr>
        <w:t>7.9</w:t>
      </w:r>
      <w:r w:rsidR="00656414" w:rsidRPr="00BF4EC7">
        <w:rPr>
          <w:sz w:val="23"/>
          <w:szCs w:val="23"/>
        </w:rPr>
        <w:t>% r</w:t>
      </w:r>
      <w:r w:rsidRPr="00BF4EC7">
        <w:rPr>
          <w:sz w:val="23"/>
          <w:szCs w:val="23"/>
        </w:rPr>
        <w:t>esponse rate</w:t>
      </w:r>
      <w:r>
        <w:rPr>
          <w:sz w:val="23"/>
          <w:szCs w:val="23"/>
        </w:rPr>
        <w:t>, an estimated 873</w:t>
      </w:r>
      <w:r w:rsidR="00656414" w:rsidRPr="006A033B">
        <w:rPr>
          <w:sz w:val="23"/>
          <w:szCs w:val="23"/>
        </w:rPr>
        <w:t xml:space="preserve"> persons will complete the worksheet.  Estimated burden is 1</w:t>
      </w:r>
      <w:r>
        <w:rPr>
          <w:sz w:val="23"/>
          <w:szCs w:val="23"/>
        </w:rPr>
        <w:t>5 minutes per respondent, or 218</w:t>
      </w:r>
      <w:r w:rsidR="00656414" w:rsidRPr="006A033B">
        <w:rPr>
          <w:sz w:val="23"/>
          <w:szCs w:val="23"/>
        </w:rPr>
        <w:t xml:space="preserve"> hours across al</w:t>
      </w:r>
      <w:r>
        <w:rPr>
          <w:sz w:val="23"/>
          <w:szCs w:val="23"/>
        </w:rPr>
        <w:t>l respondents. The remaining 248</w:t>
      </w:r>
      <w:r w:rsidR="00656414" w:rsidRPr="006A033B">
        <w:rPr>
          <w:sz w:val="23"/>
          <w:szCs w:val="23"/>
        </w:rPr>
        <w:t xml:space="preserve"> persons will either refuse or have no income to report.  Their estimated burde</w:t>
      </w:r>
      <w:r>
        <w:rPr>
          <w:sz w:val="23"/>
          <w:szCs w:val="23"/>
        </w:rPr>
        <w:t>n is 3 minutes per person, or 12</w:t>
      </w:r>
      <w:r w:rsidR="00656414" w:rsidRPr="006A033B">
        <w:rPr>
          <w:sz w:val="23"/>
          <w:szCs w:val="23"/>
        </w:rPr>
        <w:t xml:space="preserve"> hours total.</w:t>
      </w:r>
    </w:p>
    <w:p w14:paraId="4E7D73DA" w14:textId="7D0AA5F9" w:rsidR="009A19EB" w:rsidRDefault="009A19EB" w:rsidP="007979B1">
      <w:pPr>
        <w:pStyle w:val="L1-FlLSp12"/>
        <w:numPr>
          <w:ilvl w:val="0"/>
          <w:numId w:val="24"/>
        </w:numPr>
        <w:rPr>
          <w:sz w:val="23"/>
          <w:szCs w:val="23"/>
        </w:rPr>
      </w:pPr>
      <w:r>
        <w:rPr>
          <w:sz w:val="23"/>
          <w:szCs w:val="23"/>
        </w:rPr>
        <w:t xml:space="preserve">Assent/Consent Form. The first time each participant between the ages of 11 and above accesses the web system they will need to check a box indicating </w:t>
      </w:r>
      <w:r w:rsidR="00BF4EC7">
        <w:rPr>
          <w:sz w:val="23"/>
          <w:szCs w:val="23"/>
        </w:rPr>
        <w:t xml:space="preserve">that </w:t>
      </w:r>
      <w:r>
        <w:rPr>
          <w:sz w:val="23"/>
          <w:szCs w:val="23"/>
        </w:rPr>
        <w:t xml:space="preserve">they agree to take part in the study. This should take </w:t>
      </w:r>
      <w:r w:rsidR="00BF4EC7">
        <w:rPr>
          <w:sz w:val="23"/>
          <w:szCs w:val="23"/>
        </w:rPr>
        <w:t>an average of 1</w:t>
      </w:r>
      <w:r>
        <w:rPr>
          <w:sz w:val="23"/>
          <w:szCs w:val="23"/>
        </w:rPr>
        <w:t xml:space="preserve"> minute per participant </w:t>
      </w:r>
      <w:r w:rsidR="00BF4EC7">
        <w:rPr>
          <w:sz w:val="23"/>
          <w:szCs w:val="23"/>
        </w:rPr>
        <w:t>whether they agree or not, f</w:t>
      </w:r>
      <w:r>
        <w:rPr>
          <w:sz w:val="23"/>
          <w:szCs w:val="23"/>
        </w:rPr>
        <w:t xml:space="preserve">or a total of </w:t>
      </w:r>
      <w:r w:rsidR="00BF4EC7">
        <w:rPr>
          <w:sz w:val="23"/>
          <w:szCs w:val="23"/>
        </w:rPr>
        <w:t>21</w:t>
      </w:r>
      <w:r>
        <w:rPr>
          <w:sz w:val="23"/>
          <w:szCs w:val="23"/>
        </w:rPr>
        <w:t xml:space="preserve"> hours across all individuals (</w:t>
      </w:r>
      <w:r w:rsidR="00BF4EC7">
        <w:rPr>
          <w:sz w:val="23"/>
          <w:szCs w:val="23"/>
        </w:rPr>
        <w:t>2</w:t>
      </w:r>
      <w:r>
        <w:rPr>
          <w:sz w:val="23"/>
          <w:szCs w:val="23"/>
        </w:rPr>
        <w:t xml:space="preserve"> hour</w:t>
      </w:r>
      <w:r w:rsidR="00BF4EC7">
        <w:rPr>
          <w:sz w:val="23"/>
          <w:szCs w:val="23"/>
        </w:rPr>
        <w:t>s</w:t>
      </w:r>
      <w:r>
        <w:rPr>
          <w:sz w:val="23"/>
          <w:szCs w:val="23"/>
        </w:rPr>
        <w:t xml:space="preserve"> for individuals between 11 and 15 years, and </w:t>
      </w:r>
      <w:r w:rsidR="00BF4EC7">
        <w:rPr>
          <w:sz w:val="23"/>
          <w:szCs w:val="23"/>
        </w:rPr>
        <w:t>1</w:t>
      </w:r>
      <w:r>
        <w:rPr>
          <w:sz w:val="23"/>
          <w:szCs w:val="23"/>
        </w:rPr>
        <w:t>9 hours for those above age 16).</w:t>
      </w:r>
    </w:p>
    <w:p w14:paraId="7EF38DCC" w14:textId="7F996C5A" w:rsidR="00656414" w:rsidRPr="006A033B" w:rsidRDefault="00656414" w:rsidP="004D39A7">
      <w:pPr>
        <w:pStyle w:val="L1-FlLSp12"/>
        <w:numPr>
          <w:ilvl w:val="0"/>
          <w:numId w:val="24"/>
        </w:numPr>
        <w:rPr>
          <w:sz w:val="23"/>
          <w:szCs w:val="23"/>
        </w:rPr>
      </w:pPr>
      <w:r w:rsidRPr="006A033B">
        <w:rPr>
          <w:sz w:val="23"/>
          <w:szCs w:val="23"/>
        </w:rPr>
        <w:t xml:space="preserve">Food Log. </w:t>
      </w:r>
      <w:r w:rsidR="00091D9D">
        <w:rPr>
          <w:sz w:val="23"/>
          <w:szCs w:val="23"/>
        </w:rPr>
        <w:t>Logs will be requested</w:t>
      </w:r>
      <w:r w:rsidR="00360EE7">
        <w:rPr>
          <w:sz w:val="23"/>
          <w:szCs w:val="23"/>
        </w:rPr>
        <w:t xml:space="preserve"> for </w:t>
      </w:r>
      <w:r w:rsidR="00BF4EC7">
        <w:rPr>
          <w:sz w:val="23"/>
          <w:szCs w:val="23"/>
        </w:rPr>
        <w:t>an estimated</w:t>
      </w:r>
      <w:r w:rsidR="00360EE7">
        <w:rPr>
          <w:sz w:val="23"/>
          <w:szCs w:val="23"/>
        </w:rPr>
        <w:t xml:space="preserve"> 1,441</w:t>
      </w:r>
      <w:r w:rsidR="00091D9D">
        <w:rPr>
          <w:sz w:val="23"/>
          <w:szCs w:val="23"/>
        </w:rPr>
        <w:t xml:space="preserve"> individuals</w:t>
      </w:r>
      <w:r w:rsidR="00EE1CEA">
        <w:rPr>
          <w:sz w:val="23"/>
          <w:szCs w:val="23"/>
        </w:rPr>
        <w:t xml:space="preserve"> (</w:t>
      </w:r>
      <w:r w:rsidR="00BF4EC7">
        <w:rPr>
          <w:sz w:val="23"/>
          <w:szCs w:val="23"/>
        </w:rPr>
        <w:t xml:space="preserve">i.e., </w:t>
      </w:r>
      <w:r w:rsidR="00EE1CEA">
        <w:rPr>
          <w:sz w:val="23"/>
          <w:szCs w:val="23"/>
        </w:rPr>
        <w:t xml:space="preserve">213 </w:t>
      </w:r>
      <w:r w:rsidR="00BF4EC7">
        <w:rPr>
          <w:sz w:val="23"/>
          <w:szCs w:val="23"/>
        </w:rPr>
        <w:t xml:space="preserve">proxy </w:t>
      </w:r>
      <w:r w:rsidR="00EE1CEA">
        <w:rPr>
          <w:sz w:val="23"/>
          <w:szCs w:val="23"/>
        </w:rPr>
        <w:t xml:space="preserve">individuals </w:t>
      </w:r>
      <w:r w:rsidR="00BF4EC7">
        <w:rPr>
          <w:sz w:val="23"/>
          <w:szCs w:val="23"/>
        </w:rPr>
        <w:t xml:space="preserve">for children </w:t>
      </w:r>
      <w:r w:rsidR="00EE1CEA">
        <w:rPr>
          <w:sz w:val="23"/>
          <w:szCs w:val="23"/>
        </w:rPr>
        <w:t>age 0-10, 107 individuals age 11-15, and 1,121 individual</w:t>
      </w:r>
      <w:r w:rsidR="00BF4EC7">
        <w:rPr>
          <w:sz w:val="23"/>
          <w:szCs w:val="23"/>
        </w:rPr>
        <w:t>s</w:t>
      </w:r>
      <w:r w:rsidR="00EE1CEA">
        <w:rPr>
          <w:sz w:val="23"/>
          <w:szCs w:val="23"/>
        </w:rPr>
        <w:t xml:space="preserve"> age 16+)</w:t>
      </w:r>
      <w:r w:rsidR="00091D9D">
        <w:rPr>
          <w:sz w:val="23"/>
          <w:szCs w:val="23"/>
        </w:rPr>
        <w:t xml:space="preserve">. </w:t>
      </w:r>
      <w:r w:rsidR="00360EE7">
        <w:rPr>
          <w:sz w:val="23"/>
          <w:szCs w:val="23"/>
        </w:rPr>
        <w:t>We expect to receive completed logs from an estimated 1,153 individuals, or 80%</w:t>
      </w:r>
      <w:r w:rsidRPr="006A033B">
        <w:rPr>
          <w:sz w:val="23"/>
          <w:szCs w:val="23"/>
        </w:rPr>
        <w:t>.  The Food Log is expected to take about 25 minutes per day t</w:t>
      </w:r>
      <w:r w:rsidR="00360EE7">
        <w:rPr>
          <w:sz w:val="23"/>
          <w:szCs w:val="23"/>
        </w:rPr>
        <w:t>o complete, for a total of 3,363</w:t>
      </w:r>
      <w:r w:rsidRPr="006A033B">
        <w:rPr>
          <w:sz w:val="23"/>
          <w:szCs w:val="23"/>
        </w:rPr>
        <w:t xml:space="preserve"> hours</w:t>
      </w:r>
      <w:r w:rsidR="00BF4EC7">
        <w:rPr>
          <w:sz w:val="23"/>
          <w:szCs w:val="23"/>
        </w:rPr>
        <w:t xml:space="preserve"> (</w:t>
      </w:r>
      <w:r w:rsidR="009064E0">
        <w:rPr>
          <w:sz w:val="23"/>
          <w:szCs w:val="23"/>
        </w:rPr>
        <w:t>496 hours for proxy entries, 251 hours for 11-15 year olds, and 2,616 hours for persons 16 years or older)</w:t>
      </w:r>
      <w:r w:rsidRPr="006A033B">
        <w:rPr>
          <w:sz w:val="23"/>
          <w:szCs w:val="23"/>
        </w:rPr>
        <w:t xml:space="preserve">. </w:t>
      </w:r>
      <w:r w:rsidR="00360EE7">
        <w:rPr>
          <w:sz w:val="23"/>
          <w:szCs w:val="23"/>
        </w:rPr>
        <w:t>We anticipate that we will not receive logs for 288 individuals</w:t>
      </w:r>
      <w:r w:rsidR="009064E0">
        <w:rPr>
          <w:sz w:val="23"/>
          <w:szCs w:val="23"/>
        </w:rPr>
        <w:t xml:space="preserve"> (43, 21 and 224, respectively, by age group),</w:t>
      </w:r>
      <w:r w:rsidR="00360EE7">
        <w:rPr>
          <w:sz w:val="23"/>
          <w:szCs w:val="23"/>
        </w:rPr>
        <w:t xml:space="preserve"> but they will spend </w:t>
      </w:r>
      <w:r w:rsidRPr="006A033B">
        <w:rPr>
          <w:sz w:val="23"/>
          <w:szCs w:val="23"/>
        </w:rPr>
        <w:t>an average of 3 minutes per day either reading reminders to fill out the form or listening to other household members encouraging their participation, for a total burden of 100 hours</w:t>
      </w:r>
      <w:r w:rsidR="009064E0">
        <w:rPr>
          <w:sz w:val="23"/>
          <w:szCs w:val="23"/>
        </w:rPr>
        <w:t xml:space="preserve"> (15+7+78)</w:t>
      </w:r>
      <w:r w:rsidRPr="006A033B">
        <w:rPr>
          <w:sz w:val="23"/>
          <w:szCs w:val="23"/>
        </w:rPr>
        <w:t>.</w:t>
      </w:r>
    </w:p>
    <w:p w14:paraId="6093CFBB" w14:textId="3C068C98" w:rsidR="00656414" w:rsidRPr="006A033B" w:rsidRDefault="00656414" w:rsidP="0082436D">
      <w:pPr>
        <w:pStyle w:val="L1-FlLSp12"/>
        <w:numPr>
          <w:ilvl w:val="0"/>
          <w:numId w:val="24"/>
        </w:numPr>
        <w:rPr>
          <w:sz w:val="23"/>
          <w:szCs w:val="23"/>
        </w:rPr>
      </w:pPr>
      <w:r w:rsidRPr="006A033B">
        <w:rPr>
          <w:sz w:val="23"/>
          <w:szCs w:val="23"/>
        </w:rPr>
        <w:t xml:space="preserve">Meals and Snacks Form. </w:t>
      </w:r>
      <w:r w:rsidR="00360EE7">
        <w:rPr>
          <w:sz w:val="23"/>
          <w:szCs w:val="23"/>
        </w:rPr>
        <w:t>We will request these forms for 1,441</w:t>
      </w:r>
      <w:r w:rsidRPr="006A033B">
        <w:rPr>
          <w:sz w:val="23"/>
          <w:szCs w:val="23"/>
        </w:rPr>
        <w:t xml:space="preserve"> individuals </w:t>
      </w:r>
      <w:r w:rsidR="00AC2629">
        <w:rPr>
          <w:sz w:val="23"/>
          <w:szCs w:val="23"/>
        </w:rPr>
        <w:t xml:space="preserve">(213 </w:t>
      </w:r>
      <w:r w:rsidR="009B6304">
        <w:rPr>
          <w:sz w:val="23"/>
          <w:szCs w:val="23"/>
        </w:rPr>
        <w:t xml:space="preserve">proxy </w:t>
      </w:r>
      <w:r w:rsidR="00AC2629">
        <w:rPr>
          <w:sz w:val="23"/>
          <w:szCs w:val="23"/>
        </w:rPr>
        <w:t xml:space="preserve">individuals </w:t>
      </w:r>
      <w:r w:rsidR="009B6304">
        <w:rPr>
          <w:sz w:val="23"/>
          <w:szCs w:val="23"/>
        </w:rPr>
        <w:t xml:space="preserve">for children </w:t>
      </w:r>
      <w:r w:rsidR="00AC2629">
        <w:rPr>
          <w:sz w:val="23"/>
          <w:szCs w:val="23"/>
        </w:rPr>
        <w:t>age 0-10, 107 individuals age 11-15, and 1,121 individual</w:t>
      </w:r>
      <w:r w:rsidR="009B6304">
        <w:rPr>
          <w:sz w:val="23"/>
          <w:szCs w:val="23"/>
        </w:rPr>
        <w:t>s</w:t>
      </w:r>
      <w:r w:rsidR="00AC2629">
        <w:rPr>
          <w:sz w:val="23"/>
          <w:szCs w:val="23"/>
        </w:rPr>
        <w:t xml:space="preserve"> age 16+) </w:t>
      </w:r>
      <w:r w:rsidRPr="006A033B">
        <w:rPr>
          <w:sz w:val="23"/>
          <w:szCs w:val="23"/>
        </w:rPr>
        <w:t xml:space="preserve">each day.  </w:t>
      </w:r>
      <w:r w:rsidR="00360EE7">
        <w:rPr>
          <w:sz w:val="23"/>
          <w:szCs w:val="23"/>
        </w:rPr>
        <w:t xml:space="preserve">We </w:t>
      </w:r>
      <w:r w:rsidR="00360EE7">
        <w:rPr>
          <w:sz w:val="23"/>
          <w:szCs w:val="23"/>
        </w:rPr>
        <w:lastRenderedPageBreak/>
        <w:t>estimate that we will receive completed forms for 1,153</w:t>
      </w:r>
      <w:r w:rsidRPr="006A033B">
        <w:rPr>
          <w:sz w:val="23"/>
          <w:szCs w:val="23"/>
        </w:rPr>
        <w:t xml:space="preserve"> individuals, or 80% are expected to do so.  At an estimated average burden of 3 minu</w:t>
      </w:r>
      <w:r w:rsidR="00360EE7">
        <w:rPr>
          <w:sz w:val="23"/>
          <w:szCs w:val="23"/>
        </w:rPr>
        <w:t>tes per day, total burden is 404</w:t>
      </w:r>
      <w:r w:rsidR="00CF1B15">
        <w:rPr>
          <w:sz w:val="23"/>
          <w:szCs w:val="23"/>
        </w:rPr>
        <w:t xml:space="preserve"> hours</w:t>
      </w:r>
      <w:r w:rsidR="009064E0">
        <w:rPr>
          <w:sz w:val="23"/>
          <w:szCs w:val="23"/>
        </w:rPr>
        <w:t xml:space="preserve"> (60+30+314 by age group)</w:t>
      </w:r>
      <w:r w:rsidR="00CF1B15">
        <w:rPr>
          <w:sz w:val="23"/>
          <w:szCs w:val="23"/>
        </w:rPr>
        <w:t>.  For the remaining 288</w:t>
      </w:r>
      <w:r w:rsidRPr="006A033B">
        <w:rPr>
          <w:sz w:val="23"/>
          <w:szCs w:val="23"/>
        </w:rPr>
        <w:t xml:space="preserve"> non-responding individuals, estimated burden is 1 minute per day, or a total of 33 hours</w:t>
      </w:r>
      <w:r w:rsidR="009064E0">
        <w:rPr>
          <w:sz w:val="23"/>
          <w:szCs w:val="23"/>
        </w:rPr>
        <w:t xml:space="preserve"> (5+2+26 by age group)</w:t>
      </w:r>
      <w:r w:rsidRPr="006A033B">
        <w:rPr>
          <w:sz w:val="23"/>
          <w:szCs w:val="23"/>
        </w:rPr>
        <w:t>.</w:t>
      </w:r>
    </w:p>
    <w:p w14:paraId="2195261B" w14:textId="04CFFB27" w:rsidR="00656414" w:rsidRPr="006A033B" w:rsidRDefault="00656414">
      <w:pPr>
        <w:pStyle w:val="L1-FlLSp12"/>
        <w:numPr>
          <w:ilvl w:val="0"/>
          <w:numId w:val="24"/>
        </w:numPr>
        <w:rPr>
          <w:sz w:val="23"/>
          <w:szCs w:val="23"/>
        </w:rPr>
      </w:pPr>
      <w:r w:rsidRPr="006A033B">
        <w:rPr>
          <w:sz w:val="23"/>
          <w:szCs w:val="23"/>
        </w:rPr>
        <w:t>Re</w:t>
      </w:r>
      <w:r w:rsidR="00CF1B15">
        <w:rPr>
          <w:sz w:val="23"/>
          <w:szCs w:val="23"/>
        </w:rPr>
        <w:t>call I</w:t>
      </w:r>
      <w:r w:rsidRPr="006A033B">
        <w:rPr>
          <w:sz w:val="23"/>
          <w:szCs w:val="23"/>
        </w:rPr>
        <w:t>nterview. Up to two persons in each of the 534 households completing the Final Interview, or 1</w:t>
      </w:r>
      <w:r w:rsidR="009064E0">
        <w:rPr>
          <w:sz w:val="23"/>
          <w:szCs w:val="23"/>
        </w:rPr>
        <w:t>,</w:t>
      </w:r>
      <w:r w:rsidRPr="006A033B">
        <w:rPr>
          <w:sz w:val="23"/>
          <w:szCs w:val="23"/>
        </w:rPr>
        <w:t>068 persons</w:t>
      </w:r>
      <w:r w:rsidR="00CF1B15">
        <w:rPr>
          <w:sz w:val="23"/>
          <w:szCs w:val="23"/>
        </w:rPr>
        <w:t xml:space="preserve"> or their proxies</w:t>
      </w:r>
      <w:r w:rsidRPr="006A033B">
        <w:rPr>
          <w:sz w:val="23"/>
          <w:szCs w:val="23"/>
        </w:rPr>
        <w:t>, will be invited to participate in a 20 minute re</w:t>
      </w:r>
      <w:r w:rsidR="00CF1B15">
        <w:rPr>
          <w:sz w:val="23"/>
          <w:szCs w:val="23"/>
        </w:rPr>
        <w:t xml:space="preserve">call </w:t>
      </w:r>
      <w:r w:rsidRPr="006A033B">
        <w:rPr>
          <w:sz w:val="23"/>
          <w:szCs w:val="23"/>
        </w:rPr>
        <w:t>interview to go over their past two days of food acquisitions.  An estimated 961</w:t>
      </w:r>
      <w:r w:rsidR="00CF1B15">
        <w:rPr>
          <w:sz w:val="23"/>
          <w:szCs w:val="23"/>
        </w:rPr>
        <w:t xml:space="preserve"> </w:t>
      </w:r>
      <w:r w:rsidR="00543196">
        <w:rPr>
          <w:sz w:val="23"/>
          <w:szCs w:val="23"/>
        </w:rPr>
        <w:t>persons (</w:t>
      </w:r>
      <w:r w:rsidR="00CF1B15">
        <w:rPr>
          <w:sz w:val="23"/>
          <w:szCs w:val="23"/>
        </w:rPr>
        <w:t>or their proxies</w:t>
      </w:r>
      <w:r w:rsidR="00543196">
        <w:rPr>
          <w:sz w:val="23"/>
          <w:szCs w:val="23"/>
        </w:rPr>
        <w:t xml:space="preserve"> for minors)</w:t>
      </w:r>
      <w:r w:rsidRPr="006A033B">
        <w:rPr>
          <w:sz w:val="23"/>
          <w:szCs w:val="23"/>
        </w:rPr>
        <w:t xml:space="preserve">, or 90%, will spend a total of </w:t>
      </w:r>
      <w:r w:rsidRPr="00147C75">
        <w:rPr>
          <w:sz w:val="23"/>
          <w:szCs w:val="23"/>
        </w:rPr>
        <w:t>32</w:t>
      </w:r>
      <w:r w:rsidR="00CF06E3" w:rsidRPr="004B1F93">
        <w:rPr>
          <w:sz w:val="23"/>
          <w:szCs w:val="23"/>
        </w:rPr>
        <w:t>1</w:t>
      </w:r>
      <w:r w:rsidRPr="006A033B">
        <w:rPr>
          <w:sz w:val="23"/>
          <w:szCs w:val="23"/>
        </w:rPr>
        <w:t xml:space="preserve"> hours participating.  </w:t>
      </w:r>
      <w:r w:rsidR="009B6184">
        <w:rPr>
          <w:sz w:val="23"/>
          <w:szCs w:val="23"/>
        </w:rPr>
        <w:t>The distribution of the 961 persons across the age groups assumed 23 percent of those selected would be between the ages of 0 to 10 years, 11 percent between the ages of 11</w:t>
      </w:r>
      <w:r w:rsidR="00FE12FF">
        <w:rPr>
          <w:sz w:val="23"/>
          <w:szCs w:val="23"/>
        </w:rPr>
        <w:t xml:space="preserve"> to 15 years, and 66 percent above age 16. </w:t>
      </w:r>
      <w:r w:rsidRPr="006A033B">
        <w:rPr>
          <w:sz w:val="23"/>
          <w:szCs w:val="23"/>
        </w:rPr>
        <w:t>The 107 non-responders will average 1 minute each in consideri</w:t>
      </w:r>
      <w:r w:rsidR="00CF1B15">
        <w:rPr>
          <w:sz w:val="23"/>
          <w:szCs w:val="23"/>
        </w:rPr>
        <w:t>ng the request, for a total of 1 burden hour</w:t>
      </w:r>
      <w:r w:rsidRPr="006A033B">
        <w:rPr>
          <w:sz w:val="23"/>
          <w:szCs w:val="23"/>
        </w:rPr>
        <w:t>.</w:t>
      </w:r>
    </w:p>
    <w:p w14:paraId="71E3A63C" w14:textId="77777777" w:rsidR="00656414" w:rsidRDefault="00656414" w:rsidP="00656414">
      <w:pPr>
        <w:pStyle w:val="L1-FlLSp12"/>
        <w:rPr>
          <w:sz w:val="23"/>
          <w:szCs w:val="23"/>
        </w:rPr>
      </w:pPr>
    </w:p>
    <w:p w14:paraId="456D3020" w14:textId="77777777" w:rsidR="00656414" w:rsidRDefault="00656414" w:rsidP="00656414">
      <w:pPr>
        <w:pStyle w:val="L1-FlLSp12"/>
        <w:rPr>
          <w:b/>
          <w:sz w:val="23"/>
          <w:szCs w:val="23"/>
          <w:u w:val="single"/>
        </w:rPr>
      </w:pPr>
      <w:r>
        <w:rPr>
          <w:b/>
          <w:sz w:val="23"/>
          <w:szCs w:val="23"/>
          <w:u w:val="single"/>
        </w:rPr>
        <w:t>Explanation of Annualized Cost Computation</w:t>
      </w:r>
    </w:p>
    <w:p w14:paraId="08DC1DDC" w14:textId="77777777" w:rsidR="00656414" w:rsidRDefault="00656414" w:rsidP="00656414">
      <w:pPr>
        <w:pStyle w:val="L1-FlLSp12"/>
        <w:rPr>
          <w:b/>
          <w:sz w:val="23"/>
          <w:szCs w:val="23"/>
        </w:rPr>
      </w:pPr>
    </w:p>
    <w:p w14:paraId="7F72396A" w14:textId="77777777" w:rsidR="00656414" w:rsidRDefault="00656414" w:rsidP="00656414">
      <w:pPr>
        <w:pStyle w:val="L1-FlLSp12"/>
        <w:rPr>
          <w:sz w:val="23"/>
          <w:szCs w:val="23"/>
        </w:rPr>
      </w:pPr>
      <w:r>
        <w:rPr>
          <w:sz w:val="23"/>
          <w:szCs w:val="23"/>
        </w:rPr>
        <w:t>The last two columns in Table A.12.1 display the hourly rate and total annualized cost to complete each data collection event. The hourly rate of $25.53 is the preliminary April 2016 Bureau of Labor Statistics estimate of average hourly earnings of all employees on private nonfarm payrolls. The annualized cost for each data collection event was obtained by multiplying the hourly rate by the total burden hours for the event.</w:t>
      </w:r>
    </w:p>
    <w:p w14:paraId="5C11960F" w14:textId="77777777" w:rsidR="00656414" w:rsidRDefault="00656414" w:rsidP="00656414">
      <w:pPr>
        <w:pStyle w:val="L1-FlLSp12"/>
        <w:rPr>
          <w:sz w:val="23"/>
          <w:szCs w:val="23"/>
        </w:rPr>
      </w:pPr>
    </w:p>
    <w:p w14:paraId="29B6B5B6" w14:textId="1C78CE4D" w:rsidR="00656414" w:rsidRDefault="00656414" w:rsidP="00656414">
      <w:pPr>
        <w:pStyle w:val="L1-FlLSp12"/>
        <w:rPr>
          <w:sz w:val="23"/>
          <w:szCs w:val="23"/>
        </w:rPr>
      </w:pPr>
      <w:r w:rsidRPr="00CF1B15">
        <w:rPr>
          <w:sz w:val="23"/>
          <w:szCs w:val="23"/>
        </w:rPr>
        <w:t xml:space="preserve">The estimated total burden hours and costs associated with participating in the NFS Pilot is </w:t>
      </w:r>
      <w:r w:rsidR="009064E0">
        <w:rPr>
          <w:sz w:val="23"/>
          <w:szCs w:val="23"/>
        </w:rPr>
        <w:t>6,</w:t>
      </w:r>
      <w:r w:rsidR="004D39A7">
        <w:rPr>
          <w:sz w:val="23"/>
          <w:szCs w:val="23"/>
        </w:rPr>
        <w:t>575</w:t>
      </w:r>
      <w:r w:rsidR="004D39A7" w:rsidRPr="009A74F7">
        <w:rPr>
          <w:sz w:val="23"/>
          <w:szCs w:val="23"/>
        </w:rPr>
        <w:t xml:space="preserve"> </w:t>
      </w:r>
      <w:r w:rsidR="00CF1B15" w:rsidRPr="009A74F7">
        <w:rPr>
          <w:sz w:val="23"/>
          <w:szCs w:val="23"/>
        </w:rPr>
        <w:t>hours and $</w:t>
      </w:r>
      <w:r w:rsidR="009064E0">
        <w:rPr>
          <w:sz w:val="23"/>
          <w:szCs w:val="23"/>
        </w:rPr>
        <w:t>167,</w:t>
      </w:r>
      <w:r w:rsidR="004D39A7">
        <w:rPr>
          <w:sz w:val="23"/>
          <w:szCs w:val="23"/>
        </w:rPr>
        <w:t>860</w:t>
      </w:r>
      <w:r w:rsidRPr="00CF1B15">
        <w:rPr>
          <w:sz w:val="23"/>
          <w:szCs w:val="23"/>
        </w:rPr>
        <w:t xml:space="preserve"> respectively.</w:t>
      </w:r>
    </w:p>
    <w:p w14:paraId="1C9AE22A" w14:textId="77777777" w:rsidR="00271489" w:rsidRDefault="00271489" w:rsidP="00271489">
      <w:pPr>
        <w:pStyle w:val="L1-FlLSp12"/>
      </w:pPr>
      <w:bookmarkStart w:id="99" w:name="_Toc282508099"/>
    </w:p>
    <w:p w14:paraId="7CE32039" w14:textId="77777777" w:rsidR="00396CF5" w:rsidRDefault="00396CF5" w:rsidP="00396CF5">
      <w:pPr>
        <w:pStyle w:val="L1-FlLSp12"/>
      </w:pPr>
      <w:bookmarkStart w:id="100" w:name="_Toc282506035"/>
      <w:bookmarkEnd w:id="99"/>
    </w:p>
    <w:p w14:paraId="3058290A" w14:textId="77777777" w:rsidR="00396CF5" w:rsidRDefault="00396CF5" w:rsidP="00BB3850">
      <w:pPr>
        <w:pStyle w:val="L1-FlLSp12"/>
        <w:sectPr w:rsidR="00396CF5" w:rsidSect="009C2750">
          <w:footerReference w:type="first" r:id="rId12"/>
          <w:pgSz w:w="12240" w:h="15840" w:code="1"/>
          <w:pgMar w:top="1440" w:right="1440" w:bottom="1440" w:left="1440" w:header="720" w:footer="576" w:gutter="0"/>
          <w:pgNumType w:start="1"/>
          <w:cols w:space="720"/>
          <w:titlePg/>
          <w:docGrid w:linePitch="326"/>
        </w:sectPr>
      </w:pPr>
      <w:bookmarkStart w:id="101" w:name="_Toc280797912"/>
      <w:bookmarkEnd w:id="100"/>
    </w:p>
    <w:p w14:paraId="412B21B3" w14:textId="77777777" w:rsidR="002A1619" w:rsidRDefault="00BB3850" w:rsidP="0088142D">
      <w:pPr>
        <w:pStyle w:val="TT-TableTitle"/>
        <w:tabs>
          <w:tab w:val="clear" w:pos="1440"/>
          <w:tab w:val="left" w:pos="1080"/>
        </w:tabs>
      </w:pPr>
      <w:bookmarkStart w:id="102" w:name="_Toc329675324"/>
      <w:bookmarkStart w:id="103" w:name="_Toc329675913"/>
      <w:r w:rsidRPr="003702B9">
        <w:lastRenderedPageBreak/>
        <w:t>Table A.12</w:t>
      </w:r>
      <w:r>
        <w:t>.1.</w:t>
      </w:r>
      <w:r w:rsidRPr="003702B9">
        <w:tab/>
      </w:r>
      <w:bookmarkStart w:id="104" w:name="_Toc282508100"/>
      <w:r w:rsidRPr="003702B9">
        <w:t>Respondent burden and cost estimate</w:t>
      </w:r>
      <w:bookmarkEnd w:id="102"/>
      <w:bookmarkEnd w:id="103"/>
    </w:p>
    <w:p w14:paraId="4FE49322" w14:textId="77777777" w:rsidR="00AF2544" w:rsidRDefault="00AF2544" w:rsidP="0088142D">
      <w:pPr>
        <w:pStyle w:val="TT-TableTitle"/>
        <w:tabs>
          <w:tab w:val="clear" w:pos="1440"/>
          <w:tab w:val="left" w:pos="1080"/>
        </w:tabs>
      </w:pPr>
    </w:p>
    <w:p w14:paraId="464A7EB2" w14:textId="78739652" w:rsidR="004D39A7" w:rsidRDefault="004D39A7" w:rsidP="0088142D">
      <w:pPr>
        <w:pStyle w:val="TT-TableTitle"/>
        <w:tabs>
          <w:tab w:val="clear" w:pos="1440"/>
          <w:tab w:val="left" w:pos="1080"/>
        </w:tabs>
      </w:pPr>
      <w:r w:rsidRPr="004D39A7">
        <w:rPr>
          <w:noProof/>
        </w:rPr>
        <w:drawing>
          <wp:inline distT="0" distB="0" distL="0" distR="0" wp14:anchorId="4F8F92FF" wp14:editId="2920138F">
            <wp:extent cx="8229600" cy="53299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0" cy="5329909"/>
                    </a:xfrm>
                    <a:prstGeom prst="rect">
                      <a:avLst/>
                    </a:prstGeom>
                    <a:noFill/>
                    <a:ln>
                      <a:noFill/>
                    </a:ln>
                  </pic:spPr>
                </pic:pic>
              </a:graphicData>
            </a:graphic>
          </wp:inline>
        </w:drawing>
      </w:r>
    </w:p>
    <w:p w14:paraId="6D8B36BF" w14:textId="535DC893" w:rsidR="00396CF5" w:rsidRDefault="00396CF5" w:rsidP="009A74F7">
      <w:pPr>
        <w:pStyle w:val="TT-TableTitle"/>
      </w:pPr>
      <w:bookmarkStart w:id="105" w:name="_Toc286158963"/>
      <w:bookmarkStart w:id="106" w:name="_Toc286160555"/>
      <w:bookmarkStart w:id="107" w:name="_Toc290021772"/>
      <w:bookmarkStart w:id="108" w:name="_Toc329675325"/>
      <w:bookmarkStart w:id="109" w:name="_Toc329675914"/>
      <w:bookmarkEnd w:id="104"/>
    </w:p>
    <w:p w14:paraId="10C041DD" w14:textId="0E977009" w:rsidR="00396CF5" w:rsidRDefault="00396CF5" w:rsidP="00BB3850">
      <w:pPr>
        <w:pStyle w:val="L1-FlLSp12"/>
        <w:sectPr w:rsidR="00396CF5" w:rsidSect="00E60620">
          <w:headerReference w:type="default" r:id="rId14"/>
          <w:footerReference w:type="default" r:id="rId15"/>
          <w:headerReference w:type="first" r:id="rId16"/>
          <w:footerReference w:type="first" r:id="rId17"/>
          <w:pgSz w:w="15840" w:h="12240" w:orient="landscape" w:code="1"/>
          <w:pgMar w:top="1440" w:right="1440" w:bottom="1440" w:left="1440" w:header="720" w:footer="576" w:gutter="0"/>
          <w:cols w:space="720"/>
          <w:titlePg/>
          <w:docGrid w:linePitch="326"/>
        </w:sectPr>
      </w:pPr>
    </w:p>
    <w:bookmarkEnd w:id="105"/>
    <w:bookmarkEnd w:id="106"/>
    <w:bookmarkEnd w:id="107"/>
    <w:bookmarkEnd w:id="108"/>
    <w:bookmarkEnd w:id="109"/>
    <w:p w14:paraId="3AAB7428" w14:textId="77777777" w:rsidR="005F7D5D" w:rsidRPr="003702B9" w:rsidRDefault="005F7D5D" w:rsidP="005F7D5D">
      <w:pPr>
        <w:pStyle w:val="Heading2"/>
      </w:pPr>
      <w:r w:rsidRPr="003702B9">
        <w:lastRenderedPageBreak/>
        <w:t>A.13</w:t>
      </w:r>
      <w:r w:rsidRPr="003702B9">
        <w:tab/>
        <w:t>Estimates of Other Total Annualized Cost Burden</w:t>
      </w:r>
    </w:p>
    <w:p w14:paraId="5E93F733" w14:textId="77777777" w:rsidR="005F7D5D" w:rsidRPr="002F126A" w:rsidRDefault="005F7D5D" w:rsidP="005F7D5D">
      <w:pPr>
        <w:pStyle w:val="L1-FlLSp12"/>
        <w:rPr>
          <w:b/>
        </w:rPr>
      </w:pPr>
      <w:r w:rsidRPr="002F126A">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6D7F431B" w14:textId="77777777" w:rsidR="005F7D5D" w:rsidRPr="003702B9" w:rsidRDefault="005F7D5D" w:rsidP="005F7D5D">
      <w:pPr>
        <w:pStyle w:val="L1-FlLSp12"/>
      </w:pPr>
    </w:p>
    <w:p w14:paraId="463E4C02" w14:textId="77777777" w:rsidR="005F7D5D" w:rsidRPr="00083472" w:rsidRDefault="005F7D5D" w:rsidP="005F7D5D">
      <w:pPr>
        <w:pStyle w:val="L1-FlLSp12"/>
        <w:rPr>
          <w:sz w:val="23"/>
          <w:szCs w:val="23"/>
        </w:rPr>
      </w:pPr>
      <w:r w:rsidRPr="00083472">
        <w:rPr>
          <w:sz w:val="23"/>
          <w:szCs w:val="23"/>
        </w:rPr>
        <w:t>There are no capital/start-up or ongoing operation/maintenance costs associated with this information collection.</w:t>
      </w:r>
    </w:p>
    <w:p w14:paraId="5EF6C377" w14:textId="77777777" w:rsidR="005F7D5D" w:rsidRDefault="005F7D5D" w:rsidP="005F7D5D">
      <w:pPr>
        <w:pStyle w:val="L1-FlLSp12"/>
      </w:pPr>
    </w:p>
    <w:p w14:paraId="3BB584CC" w14:textId="77777777" w:rsidR="005F7D5D" w:rsidRDefault="005F7D5D" w:rsidP="005F7D5D">
      <w:pPr>
        <w:pStyle w:val="L1-FlLSp12"/>
      </w:pPr>
    </w:p>
    <w:p w14:paraId="3DB45469" w14:textId="77777777" w:rsidR="00271489" w:rsidRPr="003702B9" w:rsidRDefault="00271489" w:rsidP="00271489">
      <w:pPr>
        <w:pStyle w:val="Heading2"/>
      </w:pPr>
      <w:r w:rsidRPr="003702B9">
        <w:t>A.14</w:t>
      </w:r>
      <w:r w:rsidRPr="003702B9">
        <w:tab/>
        <w:t>Annualized Cost to the Federal Government</w:t>
      </w:r>
    </w:p>
    <w:p w14:paraId="4A1712DD" w14:textId="77777777" w:rsidR="00271489" w:rsidRPr="002F126A" w:rsidRDefault="00271489" w:rsidP="00271489">
      <w:pPr>
        <w:pStyle w:val="L1-FlLSp12"/>
        <w:rPr>
          <w:b/>
        </w:rPr>
      </w:pPr>
      <w:r w:rsidRPr="002F126A">
        <w:rPr>
          <w:b/>
        </w:rPr>
        <w:t>Provide estimates of annualized cost to the Federal Government. Also, provide a description of the method used to estimate cost and any other expense that would not have been incurred without this collection of information.</w:t>
      </w:r>
    </w:p>
    <w:p w14:paraId="723B9680" w14:textId="77777777" w:rsidR="00271489" w:rsidRPr="003702B9" w:rsidRDefault="00271489" w:rsidP="00271489">
      <w:pPr>
        <w:pStyle w:val="L1-FlLSp12"/>
      </w:pPr>
    </w:p>
    <w:p w14:paraId="2F90B391" w14:textId="04030087" w:rsidR="00792763" w:rsidRDefault="00271489" w:rsidP="00887659">
      <w:pPr>
        <w:spacing w:line="360" w:lineRule="atLeast"/>
        <w:rPr>
          <w:bCs/>
          <w:color w:val="000000"/>
          <w:sz w:val="23"/>
          <w:szCs w:val="23"/>
        </w:rPr>
      </w:pPr>
      <w:r w:rsidRPr="00083472">
        <w:rPr>
          <w:sz w:val="23"/>
          <w:szCs w:val="23"/>
        </w:rPr>
        <w:t xml:space="preserve">The total </w:t>
      </w:r>
      <w:r w:rsidR="005C0C28">
        <w:rPr>
          <w:sz w:val="23"/>
          <w:szCs w:val="23"/>
        </w:rPr>
        <w:t xml:space="preserve">annualized </w:t>
      </w:r>
      <w:r w:rsidRPr="00083472">
        <w:rPr>
          <w:sz w:val="23"/>
          <w:szCs w:val="23"/>
        </w:rPr>
        <w:t xml:space="preserve">cost to the Federal </w:t>
      </w:r>
      <w:r w:rsidR="007223AE" w:rsidRPr="00083472">
        <w:rPr>
          <w:sz w:val="23"/>
          <w:szCs w:val="23"/>
        </w:rPr>
        <w:t>G</w:t>
      </w:r>
      <w:r w:rsidRPr="00083472">
        <w:rPr>
          <w:sz w:val="23"/>
          <w:szCs w:val="23"/>
        </w:rPr>
        <w:t xml:space="preserve">overnment is </w:t>
      </w:r>
      <w:r w:rsidR="008A5A9F" w:rsidRPr="00792763">
        <w:rPr>
          <w:sz w:val="23"/>
          <w:szCs w:val="23"/>
        </w:rPr>
        <w:t>$</w:t>
      </w:r>
      <w:r w:rsidR="003A37A7">
        <w:rPr>
          <w:bCs/>
          <w:color w:val="000000"/>
          <w:sz w:val="23"/>
          <w:szCs w:val="23"/>
        </w:rPr>
        <w:t>2,150,716</w:t>
      </w:r>
      <w:r w:rsidR="005C0C28" w:rsidRPr="00792763">
        <w:rPr>
          <w:bCs/>
          <w:color w:val="000000"/>
          <w:sz w:val="23"/>
          <w:szCs w:val="23"/>
        </w:rPr>
        <w:t>.</w:t>
      </w:r>
      <w:r w:rsidR="003A37A7">
        <w:rPr>
          <w:bCs/>
          <w:color w:val="000000"/>
          <w:sz w:val="23"/>
          <w:szCs w:val="23"/>
        </w:rPr>
        <w:t xml:space="preserve"> </w:t>
      </w:r>
      <w:r w:rsidR="005C0C28" w:rsidRPr="00792763">
        <w:rPr>
          <w:bCs/>
          <w:color w:val="000000"/>
          <w:sz w:val="23"/>
          <w:szCs w:val="23"/>
        </w:rPr>
        <w:t xml:space="preserve">This cost </w:t>
      </w:r>
      <w:r w:rsidR="00792763">
        <w:rPr>
          <w:bCs/>
          <w:color w:val="000000"/>
          <w:sz w:val="23"/>
          <w:szCs w:val="23"/>
        </w:rPr>
        <w:t xml:space="preserve">includes </w:t>
      </w:r>
      <w:r w:rsidR="00792763" w:rsidRPr="00792763">
        <w:rPr>
          <w:bCs/>
          <w:color w:val="000000"/>
          <w:sz w:val="23"/>
          <w:szCs w:val="23"/>
        </w:rPr>
        <w:t>both direc</w:t>
      </w:r>
      <w:r w:rsidR="00792763">
        <w:rPr>
          <w:bCs/>
          <w:color w:val="000000"/>
          <w:sz w:val="23"/>
          <w:szCs w:val="23"/>
        </w:rPr>
        <w:t>t</w:t>
      </w:r>
      <w:r w:rsidR="00792763" w:rsidRPr="00792763">
        <w:rPr>
          <w:bCs/>
          <w:color w:val="000000"/>
          <w:sz w:val="23"/>
          <w:szCs w:val="23"/>
        </w:rPr>
        <w:t xml:space="preserve"> Federal labor costs and contract costs.  </w:t>
      </w:r>
    </w:p>
    <w:p w14:paraId="51F04E2F" w14:textId="77777777" w:rsidR="00792763" w:rsidRDefault="00792763" w:rsidP="00887659">
      <w:pPr>
        <w:spacing w:line="360" w:lineRule="atLeast"/>
        <w:rPr>
          <w:bCs/>
          <w:color w:val="000000"/>
          <w:sz w:val="23"/>
          <w:szCs w:val="23"/>
        </w:rPr>
      </w:pPr>
    </w:p>
    <w:p w14:paraId="7E9C7D38" w14:textId="7BBC57D4" w:rsidR="005C0C28" w:rsidRDefault="00792763" w:rsidP="00887659">
      <w:pPr>
        <w:spacing w:line="360" w:lineRule="atLeast"/>
        <w:rPr>
          <w:bCs/>
          <w:color w:val="000000"/>
          <w:sz w:val="23"/>
          <w:szCs w:val="23"/>
        </w:rPr>
      </w:pPr>
      <w:r w:rsidRPr="00792763">
        <w:rPr>
          <w:bCs/>
          <w:color w:val="000000"/>
          <w:sz w:val="23"/>
          <w:szCs w:val="23"/>
        </w:rPr>
        <w:t xml:space="preserve">Direct Federal labor costs are </w:t>
      </w:r>
      <w:r w:rsidR="005C0C28" w:rsidRPr="00792763">
        <w:rPr>
          <w:bCs/>
          <w:color w:val="000000"/>
          <w:sz w:val="23"/>
          <w:szCs w:val="23"/>
        </w:rPr>
        <w:t>$300,</w:t>
      </w:r>
      <w:r w:rsidR="003A37A7">
        <w:rPr>
          <w:bCs/>
          <w:color w:val="000000"/>
          <w:sz w:val="23"/>
          <w:szCs w:val="23"/>
        </w:rPr>
        <w:t>339</w:t>
      </w:r>
      <w:r>
        <w:rPr>
          <w:bCs/>
          <w:color w:val="000000"/>
          <w:sz w:val="23"/>
          <w:szCs w:val="23"/>
        </w:rPr>
        <w:t xml:space="preserve"> </w:t>
      </w:r>
      <w:r w:rsidR="005C0C28" w:rsidRPr="00792763">
        <w:rPr>
          <w:bCs/>
          <w:color w:val="000000"/>
          <w:sz w:val="23"/>
          <w:szCs w:val="23"/>
        </w:rPr>
        <w:t>over three years</w:t>
      </w:r>
      <w:r w:rsidR="003A37A7">
        <w:rPr>
          <w:bCs/>
          <w:color w:val="000000"/>
          <w:sz w:val="23"/>
          <w:szCs w:val="23"/>
        </w:rPr>
        <w:t xml:space="preserve">: </w:t>
      </w:r>
      <w:r w:rsidRPr="00792763">
        <w:rPr>
          <w:bCs/>
          <w:color w:val="000000"/>
          <w:sz w:val="23"/>
          <w:szCs w:val="23"/>
        </w:rPr>
        <w:t xml:space="preserve">the two years of the contract to develop and test the </w:t>
      </w:r>
      <w:r w:rsidR="00B56A3C">
        <w:rPr>
          <w:bCs/>
          <w:color w:val="000000"/>
          <w:sz w:val="23"/>
          <w:szCs w:val="23"/>
        </w:rPr>
        <w:t>NFS Pilot</w:t>
      </w:r>
      <w:r w:rsidR="003A37A7">
        <w:rPr>
          <w:bCs/>
          <w:color w:val="000000"/>
          <w:sz w:val="23"/>
          <w:szCs w:val="23"/>
        </w:rPr>
        <w:t>,</w:t>
      </w:r>
      <w:r w:rsidRPr="00792763">
        <w:rPr>
          <w:bCs/>
          <w:color w:val="000000"/>
          <w:sz w:val="23"/>
          <w:szCs w:val="23"/>
        </w:rPr>
        <w:t xml:space="preserve"> and </w:t>
      </w:r>
      <w:r w:rsidR="003A37A7">
        <w:rPr>
          <w:bCs/>
          <w:color w:val="000000"/>
          <w:sz w:val="23"/>
          <w:szCs w:val="23"/>
        </w:rPr>
        <w:t xml:space="preserve">one year of </w:t>
      </w:r>
      <w:r w:rsidRPr="00792763">
        <w:rPr>
          <w:bCs/>
          <w:color w:val="000000"/>
          <w:sz w:val="23"/>
          <w:szCs w:val="23"/>
        </w:rPr>
        <w:t>planning for the pilot prior to contract award</w:t>
      </w:r>
      <w:r w:rsidR="003A37A7">
        <w:rPr>
          <w:bCs/>
          <w:color w:val="000000"/>
          <w:sz w:val="23"/>
          <w:szCs w:val="23"/>
        </w:rPr>
        <w:t xml:space="preserve">. On an annualized </w:t>
      </w:r>
      <w:r w:rsidR="004B1F93">
        <w:rPr>
          <w:bCs/>
          <w:color w:val="000000"/>
          <w:sz w:val="23"/>
          <w:szCs w:val="23"/>
        </w:rPr>
        <w:t>basis</w:t>
      </w:r>
      <w:r w:rsidR="003A37A7">
        <w:rPr>
          <w:bCs/>
          <w:color w:val="000000"/>
          <w:sz w:val="23"/>
          <w:szCs w:val="23"/>
        </w:rPr>
        <w:t>, direct Federal labor costs are $100,113.</w:t>
      </w:r>
    </w:p>
    <w:p w14:paraId="101AB753" w14:textId="77777777" w:rsidR="003A37A7" w:rsidRPr="00792763" w:rsidRDefault="003A37A7" w:rsidP="00887659">
      <w:pPr>
        <w:spacing w:line="360" w:lineRule="atLeast"/>
        <w:rPr>
          <w:rFonts w:ascii="Calibri" w:hAnsi="Calibri"/>
          <w:bCs/>
          <w:color w:val="000000"/>
          <w:sz w:val="22"/>
          <w:szCs w:val="22"/>
        </w:rPr>
      </w:pPr>
    </w:p>
    <w:p w14:paraId="7309B41E" w14:textId="245B7600" w:rsidR="00271489" w:rsidRPr="00083472" w:rsidRDefault="003A37A7" w:rsidP="00271489">
      <w:pPr>
        <w:pStyle w:val="L1-FlLSp12"/>
        <w:rPr>
          <w:sz w:val="23"/>
          <w:szCs w:val="23"/>
        </w:rPr>
      </w:pPr>
      <w:r>
        <w:rPr>
          <w:sz w:val="23"/>
          <w:szCs w:val="23"/>
        </w:rPr>
        <w:t xml:space="preserve">Total contract costs are </w:t>
      </w:r>
      <w:r w:rsidR="00C44DD3" w:rsidRPr="00083472">
        <w:rPr>
          <w:sz w:val="23"/>
          <w:szCs w:val="23"/>
        </w:rPr>
        <w:t>$2,980,367</w:t>
      </w:r>
      <w:r w:rsidR="00271489" w:rsidRPr="00083472">
        <w:rPr>
          <w:sz w:val="23"/>
          <w:szCs w:val="23"/>
        </w:rPr>
        <w:t xml:space="preserve"> </w:t>
      </w:r>
      <w:r>
        <w:rPr>
          <w:sz w:val="23"/>
          <w:szCs w:val="23"/>
        </w:rPr>
        <w:t xml:space="preserve">for the main contract and $735,455 for </w:t>
      </w:r>
      <w:r w:rsidR="00B56A3C">
        <w:rPr>
          <w:sz w:val="23"/>
          <w:szCs w:val="23"/>
        </w:rPr>
        <w:t>NFS Pilot</w:t>
      </w:r>
      <w:r>
        <w:rPr>
          <w:sz w:val="23"/>
          <w:szCs w:val="23"/>
        </w:rPr>
        <w:t xml:space="preserve">-related tasks in a separate contract awarded in June 2016.  On an annualized basis, </w:t>
      </w:r>
      <w:r w:rsidR="00B56A3C">
        <w:rPr>
          <w:sz w:val="23"/>
          <w:szCs w:val="23"/>
        </w:rPr>
        <w:t xml:space="preserve">the combined </w:t>
      </w:r>
      <w:r>
        <w:rPr>
          <w:sz w:val="23"/>
          <w:szCs w:val="23"/>
        </w:rPr>
        <w:t>contract costs are $2,050,603.</w:t>
      </w:r>
      <w:r w:rsidR="00271489" w:rsidRPr="00083472">
        <w:rPr>
          <w:sz w:val="23"/>
          <w:szCs w:val="23"/>
        </w:rPr>
        <w:t xml:space="preserve"> </w:t>
      </w:r>
    </w:p>
    <w:p w14:paraId="564FDA68" w14:textId="77777777" w:rsidR="0047782E" w:rsidRDefault="0047782E" w:rsidP="00271489">
      <w:pPr>
        <w:pStyle w:val="L1-FlLSp12"/>
      </w:pPr>
    </w:p>
    <w:p w14:paraId="507ABD31" w14:textId="77777777" w:rsidR="00271489" w:rsidRPr="003702B9" w:rsidRDefault="00271489" w:rsidP="00271489">
      <w:pPr>
        <w:pStyle w:val="L1-FlLSp12"/>
      </w:pPr>
    </w:p>
    <w:p w14:paraId="10CD14D8" w14:textId="77777777" w:rsidR="00633942" w:rsidRDefault="00633942">
      <w:pPr>
        <w:spacing w:line="240" w:lineRule="auto"/>
        <w:rPr>
          <w:rFonts w:ascii="Franklin Gothic Medium" w:hAnsi="Franklin Gothic Medium"/>
          <w:b/>
          <w:color w:val="324162"/>
          <w:sz w:val="32"/>
        </w:rPr>
      </w:pPr>
      <w:bookmarkStart w:id="110" w:name="_Toc290021774"/>
      <w:bookmarkStart w:id="111" w:name="_Toc329341690"/>
      <w:bookmarkStart w:id="112" w:name="_Toc400376155"/>
      <w:bookmarkEnd w:id="101"/>
      <w:r>
        <w:br w:type="page"/>
      </w:r>
    </w:p>
    <w:p w14:paraId="0FB8F2D8" w14:textId="2BA5C040" w:rsidR="00271489" w:rsidRPr="003702B9" w:rsidRDefault="00271489" w:rsidP="00271489">
      <w:pPr>
        <w:pStyle w:val="Heading2"/>
      </w:pPr>
      <w:r w:rsidRPr="003702B9">
        <w:lastRenderedPageBreak/>
        <w:t>A.15</w:t>
      </w:r>
      <w:r w:rsidRPr="003702B9">
        <w:tab/>
      </w:r>
      <w:bookmarkEnd w:id="110"/>
      <w:r w:rsidRPr="003702B9">
        <w:t>Explanation for Program Changes or Adjustments</w:t>
      </w:r>
      <w:bookmarkEnd w:id="111"/>
      <w:bookmarkEnd w:id="112"/>
    </w:p>
    <w:p w14:paraId="45490D7A" w14:textId="77777777" w:rsidR="00271489" w:rsidRPr="002F126A" w:rsidRDefault="00271489" w:rsidP="00271489">
      <w:pPr>
        <w:pStyle w:val="L1-FlLSp12"/>
        <w:rPr>
          <w:b/>
        </w:rPr>
      </w:pPr>
      <w:r w:rsidRPr="002F126A">
        <w:rPr>
          <w:b/>
        </w:rPr>
        <w:t>Explain the reasons for any program changes or adjustments reported in Items 13 or 14 of the OMB Form 83-1.</w:t>
      </w:r>
    </w:p>
    <w:p w14:paraId="1E96E653" w14:textId="77777777" w:rsidR="00271489" w:rsidRPr="003702B9" w:rsidRDefault="00271489" w:rsidP="00271489">
      <w:pPr>
        <w:pStyle w:val="L1-FlLSp12"/>
      </w:pPr>
    </w:p>
    <w:p w14:paraId="39A686C6" w14:textId="21199316" w:rsidR="00C44DD3" w:rsidRDefault="009C38F3" w:rsidP="00271489">
      <w:pPr>
        <w:pStyle w:val="L1-FlLSp12"/>
      </w:pPr>
      <w:r w:rsidRPr="008528A7">
        <w:rPr>
          <w:szCs w:val="24"/>
        </w:rPr>
        <w:t>This is a new data collection.</w:t>
      </w:r>
    </w:p>
    <w:p w14:paraId="448D399D" w14:textId="77777777" w:rsidR="00045207" w:rsidRPr="00CE74D6" w:rsidRDefault="00045207" w:rsidP="00271489">
      <w:pPr>
        <w:pStyle w:val="L1-FlLSp12"/>
      </w:pPr>
    </w:p>
    <w:p w14:paraId="78E81426" w14:textId="77777777" w:rsidR="00271489" w:rsidRPr="003702B9" w:rsidRDefault="00271489" w:rsidP="00271489">
      <w:pPr>
        <w:pStyle w:val="Heading2"/>
      </w:pPr>
      <w:bookmarkStart w:id="113" w:name="_Toc290021775"/>
      <w:bookmarkStart w:id="114" w:name="_Toc329341691"/>
      <w:bookmarkStart w:id="115" w:name="_Toc400376156"/>
      <w:r w:rsidRPr="003702B9">
        <w:t>A.16</w:t>
      </w:r>
      <w:r w:rsidRPr="003702B9">
        <w:tab/>
      </w:r>
      <w:bookmarkEnd w:id="113"/>
      <w:r w:rsidRPr="003702B9">
        <w:t>Plans for Tabulation and Publication and Project Time Schedule</w:t>
      </w:r>
      <w:bookmarkEnd w:id="114"/>
      <w:bookmarkEnd w:id="115"/>
    </w:p>
    <w:p w14:paraId="7A59E705" w14:textId="77777777" w:rsidR="00271489" w:rsidRPr="002F126A" w:rsidRDefault="00271489" w:rsidP="00271489">
      <w:pPr>
        <w:pStyle w:val="L1-FlLSp12"/>
        <w:rPr>
          <w:b/>
        </w:rPr>
      </w:pPr>
      <w:r w:rsidRPr="002F126A">
        <w:rPr>
          <w:b/>
        </w:rPr>
        <w:t>For collections of information whose results are planned to be published, outline plans for tabulation and publication</w:t>
      </w:r>
      <w:r w:rsidR="0047782E" w:rsidRPr="002F126A">
        <w:rPr>
          <w:b/>
        </w:rPr>
        <w:t>.</w:t>
      </w:r>
    </w:p>
    <w:p w14:paraId="66009656" w14:textId="77777777" w:rsidR="00EB54AD" w:rsidRDefault="00EB54AD" w:rsidP="00271489">
      <w:pPr>
        <w:pStyle w:val="L1-FlLSp12"/>
      </w:pPr>
    </w:p>
    <w:p w14:paraId="3F945442" w14:textId="77777777" w:rsidR="00E51228" w:rsidRPr="00083472" w:rsidRDefault="00C44DD3" w:rsidP="00E51228">
      <w:pPr>
        <w:pStyle w:val="L1-FlLSp12"/>
        <w:rPr>
          <w:sz w:val="23"/>
          <w:szCs w:val="23"/>
        </w:rPr>
      </w:pPr>
      <w:r w:rsidRPr="00083472">
        <w:rPr>
          <w:sz w:val="23"/>
          <w:szCs w:val="23"/>
        </w:rPr>
        <w:t xml:space="preserve">There are no plans to make public the findings from the NFS Pilot. The results of the Pilot will be used by </w:t>
      </w:r>
      <w:r w:rsidR="00F50D97" w:rsidRPr="00083472">
        <w:rPr>
          <w:sz w:val="23"/>
          <w:szCs w:val="23"/>
        </w:rPr>
        <w:t xml:space="preserve">the </w:t>
      </w:r>
      <w:r w:rsidRPr="00083472">
        <w:rPr>
          <w:sz w:val="23"/>
          <w:szCs w:val="23"/>
        </w:rPr>
        <w:t xml:space="preserve">USDA to </w:t>
      </w:r>
      <w:r w:rsidR="00F50D97" w:rsidRPr="00083472">
        <w:rPr>
          <w:sz w:val="23"/>
          <w:szCs w:val="23"/>
        </w:rPr>
        <w:t>inform the sample design and data collection methodology for the next FoodAPS.</w:t>
      </w:r>
    </w:p>
    <w:p w14:paraId="38713AD9" w14:textId="77777777" w:rsidR="0006542D" w:rsidRPr="00083472" w:rsidRDefault="0006542D" w:rsidP="00271489">
      <w:pPr>
        <w:pStyle w:val="L1-FlLSp12"/>
        <w:rPr>
          <w:sz w:val="23"/>
          <w:szCs w:val="23"/>
        </w:rPr>
      </w:pPr>
    </w:p>
    <w:p w14:paraId="6AEB6C9F" w14:textId="77777777" w:rsidR="00271489" w:rsidRPr="00083472" w:rsidRDefault="00271489" w:rsidP="00271489">
      <w:pPr>
        <w:pStyle w:val="L1-FlLSp12"/>
        <w:rPr>
          <w:sz w:val="23"/>
          <w:szCs w:val="23"/>
        </w:rPr>
      </w:pPr>
      <w:r w:rsidRPr="00083472">
        <w:rPr>
          <w:sz w:val="23"/>
          <w:szCs w:val="23"/>
        </w:rPr>
        <w:t xml:space="preserve">The planned </w:t>
      </w:r>
      <w:r w:rsidR="00F50D97" w:rsidRPr="00083472">
        <w:rPr>
          <w:sz w:val="23"/>
          <w:szCs w:val="23"/>
        </w:rPr>
        <w:t>schedule for the study is displayed in</w:t>
      </w:r>
      <w:r w:rsidRPr="00083472">
        <w:rPr>
          <w:sz w:val="23"/>
          <w:szCs w:val="23"/>
        </w:rPr>
        <w:t xml:space="preserve"> Table</w:t>
      </w:r>
      <w:r w:rsidR="00F50D97" w:rsidRPr="00083472">
        <w:rPr>
          <w:sz w:val="23"/>
          <w:szCs w:val="23"/>
        </w:rPr>
        <w:t xml:space="preserve"> </w:t>
      </w:r>
      <w:r w:rsidRPr="00083472">
        <w:rPr>
          <w:sz w:val="23"/>
          <w:szCs w:val="23"/>
        </w:rPr>
        <w:t>A</w:t>
      </w:r>
      <w:r w:rsidR="000770CB" w:rsidRPr="00083472">
        <w:rPr>
          <w:sz w:val="23"/>
          <w:szCs w:val="23"/>
        </w:rPr>
        <w:t>.</w:t>
      </w:r>
      <w:r w:rsidRPr="00083472">
        <w:rPr>
          <w:sz w:val="23"/>
          <w:szCs w:val="23"/>
        </w:rPr>
        <w:t>16.1.</w:t>
      </w:r>
    </w:p>
    <w:p w14:paraId="64B30F23" w14:textId="77777777" w:rsidR="005F7D5D" w:rsidRDefault="005F7D5D" w:rsidP="00271489">
      <w:pPr>
        <w:pStyle w:val="L1-FlLSp12"/>
      </w:pPr>
    </w:p>
    <w:p w14:paraId="4458A9D3" w14:textId="77777777" w:rsidR="00271489" w:rsidRDefault="00271489" w:rsidP="0047782E">
      <w:pPr>
        <w:pStyle w:val="TT-TableTitle"/>
      </w:pPr>
      <w:bookmarkStart w:id="116" w:name="_Toc400376158"/>
      <w:r w:rsidRPr="003702B9">
        <w:t>Table A</w:t>
      </w:r>
      <w:r w:rsidR="000770CB">
        <w:t>.</w:t>
      </w:r>
      <w:r w:rsidRPr="003702B9">
        <w:t>16.1.</w:t>
      </w:r>
      <w:r w:rsidRPr="003702B9">
        <w:tab/>
      </w:r>
      <w:r w:rsidR="00F50D97">
        <w:t>NFS Project</w:t>
      </w:r>
      <w:r w:rsidRPr="003702B9">
        <w:t xml:space="preserve"> schedule</w:t>
      </w:r>
      <w:bookmarkEnd w:id="116"/>
    </w:p>
    <w:p w14:paraId="1877E403" w14:textId="77777777" w:rsidR="0047782E" w:rsidRPr="00E663F3" w:rsidRDefault="0047782E" w:rsidP="00E663F3">
      <w:pPr>
        <w:pStyle w:val="TT-TableTitle"/>
        <w:jc w:val="center"/>
        <w:rPr>
          <w:sz w:val="23"/>
          <w:szCs w:val="23"/>
        </w:rPr>
      </w:pPr>
    </w:p>
    <w:tbl>
      <w:tblPr>
        <w:tblStyle w:val="TableGrid"/>
        <w:tblW w:w="0" w:type="auto"/>
        <w:jc w:val="center"/>
        <w:tblLook w:val="04A0" w:firstRow="1" w:lastRow="0" w:firstColumn="1" w:lastColumn="0" w:noHBand="0" w:noVBand="1"/>
      </w:tblPr>
      <w:tblGrid>
        <w:gridCol w:w="4608"/>
        <w:gridCol w:w="3307"/>
      </w:tblGrid>
      <w:tr w:rsidR="00E663F3" w:rsidRPr="00E663F3" w14:paraId="0B5840B5" w14:textId="77777777" w:rsidTr="00045207">
        <w:trPr>
          <w:jc w:val="center"/>
        </w:trPr>
        <w:tc>
          <w:tcPr>
            <w:tcW w:w="4608" w:type="dxa"/>
            <w:shd w:val="clear" w:color="auto" w:fill="auto"/>
          </w:tcPr>
          <w:p w14:paraId="4A731132" w14:textId="77777777" w:rsidR="00E663F3" w:rsidRPr="00E663F3" w:rsidRDefault="00E663F3" w:rsidP="00E663F3">
            <w:pPr>
              <w:jc w:val="center"/>
              <w:rPr>
                <w:rFonts w:cs="Times New Roman"/>
                <w:b/>
                <w:sz w:val="23"/>
                <w:szCs w:val="23"/>
              </w:rPr>
            </w:pPr>
            <w:r w:rsidRPr="00E663F3">
              <w:rPr>
                <w:rFonts w:cs="Times New Roman"/>
                <w:b/>
                <w:sz w:val="23"/>
                <w:szCs w:val="23"/>
              </w:rPr>
              <w:t>Activity</w:t>
            </w:r>
          </w:p>
        </w:tc>
        <w:tc>
          <w:tcPr>
            <w:tcW w:w="3307" w:type="dxa"/>
            <w:shd w:val="clear" w:color="auto" w:fill="auto"/>
          </w:tcPr>
          <w:p w14:paraId="3B67774B" w14:textId="77777777" w:rsidR="00E663F3" w:rsidRPr="00E663F3" w:rsidRDefault="00E663F3" w:rsidP="00E663F3">
            <w:pPr>
              <w:autoSpaceDE w:val="0"/>
              <w:autoSpaceDN w:val="0"/>
              <w:adjustRightInd w:val="0"/>
              <w:jc w:val="center"/>
              <w:rPr>
                <w:rFonts w:cs="Times New Roman"/>
                <w:b/>
                <w:sz w:val="23"/>
                <w:szCs w:val="23"/>
              </w:rPr>
            </w:pPr>
            <w:r w:rsidRPr="00E663F3">
              <w:rPr>
                <w:rFonts w:cs="Times New Roman"/>
                <w:b/>
                <w:sz w:val="23"/>
                <w:szCs w:val="23"/>
              </w:rPr>
              <w:t>Complete by MDDYYYY</w:t>
            </w:r>
          </w:p>
        </w:tc>
      </w:tr>
      <w:tr w:rsidR="00E663F3" w:rsidRPr="00E663F3" w14:paraId="420156FD" w14:textId="77777777" w:rsidTr="00045207">
        <w:trPr>
          <w:jc w:val="center"/>
        </w:trPr>
        <w:tc>
          <w:tcPr>
            <w:tcW w:w="4608" w:type="dxa"/>
            <w:shd w:val="clear" w:color="auto" w:fill="auto"/>
          </w:tcPr>
          <w:p w14:paraId="53B705AB" w14:textId="77777777" w:rsidR="00E663F3" w:rsidRPr="00E663F3" w:rsidRDefault="00E663F3" w:rsidP="00E663F3">
            <w:pPr>
              <w:spacing w:line="20" w:lineRule="atLeast"/>
              <w:contextualSpacing/>
              <w:rPr>
                <w:rFonts w:cs="Times New Roman"/>
                <w:sz w:val="23"/>
                <w:szCs w:val="23"/>
              </w:rPr>
            </w:pPr>
            <w:r w:rsidRPr="00E663F3">
              <w:rPr>
                <w:rFonts w:cs="Times New Roman"/>
                <w:sz w:val="23"/>
                <w:szCs w:val="23"/>
              </w:rPr>
              <w:t>Draw sample</w:t>
            </w:r>
          </w:p>
        </w:tc>
        <w:tc>
          <w:tcPr>
            <w:tcW w:w="3307" w:type="dxa"/>
            <w:shd w:val="clear" w:color="auto" w:fill="auto"/>
          </w:tcPr>
          <w:p w14:paraId="2F614784" w14:textId="5FB62CBE" w:rsidR="00E663F3" w:rsidRPr="00E663F3" w:rsidRDefault="00E663F3" w:rsidP="00E663F3">
            <w:pPr>
              <w:spacing w:line="20" w:lineRule="atLeast"/>
              <w:contextualSpacing/>
              <w:rPr>
                <w:rFonts w:cs="Times New Roman"/>
                <w:sz w:val="23"/>
                <w:szCs w:val="23"/>
              </w:rPr>
            </w:pPr>
            <w:r w:rsidRPr="00E663F3">
              <w:rPr>
                <w:rFonts w:cs="Times New Roman"/>
                <w:sz w:val="23"/>
                <w:szCs w:val="23"/>
              </w:rPr>
              <w:t>0</w:t>
            </w:r>
            <w:r w:rsidR="004C6FC5">
              <w:rPr>
                <w:rFonts w:cs="Times New Roman"/>
                <w:sz w:val="23"/>
                <w:szCs w:val="23"/>
              </w:rPr>
              <w:t>7</w:t>
            </w:r>
            <w:r w:rsidRPr="00E663F3">
              <w:rPr>
                <w:rFonts w:cs="Times New Roman"/>
                <w:sz w:val="23"/>
                <w:szCs w:val="23"/>
              </w:rPr>
              <w:t>/30/2016</w:t>
            </w:r>
          </w:p>
        </w:tc>
      </w:tr>
      <w:tr w:rsidR="00E663F3" w:rsidRPr="00E663F3" w14:paraId="2CC4C890" w14:textId="77777777" w:rsidTr="00045207">
        <w:trPr>
          <w:jc w:val="center"/>
        </w:trPr>
        <w:tc>
          <w:tcPr>
            <w:tcW w:w="4608" w:type="dxa"/>
            <w:shd w:val="clear" w:color="auto" w:fill="auto"/>
          </w:tcPr>
          <w:p w14:paraId="4872FF0D" w14:textId="77777777" w:rsidR="00E663F3" w:rsidRPr="00E663F3" w:rsidRDefault="00E663F3" w:rsidP="00E663F3">
            <w:pPr>
              <w:spacing w:line="20" w:lineRule="atLeast"/>
              <w:contextualSpacing/>
              <w:rPr>
                <w:rFonts w:cs="Times New Roman"/>
                <w:sz w:val="23"/>
                <w:szCs w:val="23"/>
              </w:rPr>
            </w:pPr>
            <w:r w:rsidRPr="00E663F3">
              <w:rPr>
                <w:rFonts w:cs="Times New Roman"/>
                <w:sz w:val="23"/>
                <w:szCs w:val="23"/>
              </w:rPr>
              <w:t>Select field interviewers</w:t>
            </w:r>
          </w:p>
        </w:tc>
        <w:tc>
          <w:tcPr>
            <w:tcW w:w="3307" w:type="dxa"/>
            <w:shd w:val="clear" w:color="auto" w:fill="auto"/>
          </w:tcPr>
          <w:p w14:paraId="7EAF7913" w14:textId="6ADF6F27" w:rsidR="00E663F3" w:rsidRPr="00E663F3" w:rsidRDefault="004C6FC5" w:rsidP="00E663F3">
            <w:pPr>
              <w:spacing w:line="20" w:lineRule="atLeast"/>
              <w:contextualSpacing/>
              <w:rPr>
                <w:rFonts w:cs="Times New Roman"/>
                <w:sz w:val="23"/>
                <w:szCs w:val="23"/>
              </w:rPr>
            </w:pPr>
            <w:r>
              <w:rPr>
                <w:rFonts w:cs="Times New Roman"/>
                <w:sz w:val="23"/>
                <w:szCs w:val="23"/>
              </w:rPr>
              <w:t>10</w:t>
            </w:r>
            <w:r w:rsidR="00E663F3" w:rsidRPr="00E663F3">
              <w:rPr>
                <w:rFonts w:cs="Times New Roman"/>
                <w:sz w:val="23"/>
                <w:szCs w:val="23"/>
              </w:rPr>
              <w:t>/16/2016</w:t>
            </w:r>
          </w:p>
        </w:tc>
      </w:tr>
      <w:tr w:rsidR="00E663F3" w:rsidRPr="00E663F3" w14:paraId="15829504" w14:textId="77777777" w:rsidTr="00045207">
        <w:trPr>
          <w:jc w:val="center"/>
        </w:trPr>
        <w:tc>
          <w:tcPr>
            <w:tcW w:w="4608" w:type="dxa"/>
            <w:shd w:val="clear" w:color="auto" w:fill="auto"/>
          </w:tcPr>
          <w:p w14:paraId="144EFD21" w14:textId="77777777" w:rsidR="00E663F3" w:rsidRPr="00E663F3" w:rsidRDefault="00E663F3" w:rsidP="00E663F3">
            <w:pPr>
              <w:spacing w:line="20" w:lineRule="atLeast"/>
              <w:contextualSpacing/>
              <w:rPr>
                <w:rFonts w:cs="Times New Roman"/>
                <w:sz w:val="23"/>
                <w:szCs w:val="23"/>
              </w:rPr>
            </w:pPr>
            <w:r w:rsidRPr="00E663F3">
              <w:rPr>
                <w:rFonts w:cs="Times New Roman"/>
                <w:sz w:val="23"/>
                <w:szCs w:val="23"/>
              </w:rPr>
              <w:t>Train field staff</w:t>
            </w:r>
          </w:p>
        </w:tc>
        <w:tc>
          <w:tcPr>
            <w:tcW w:w="3307" w:type="dxa"/>
            <w:shd w:val="clear" w:color="auto" w:fill="auto"/>
          </w:tcPr>
          <w:p w14:paraId="35519309" w14:textId="77777777" w:rsidR="00E663F3" w:rsidRPr="00E663F3" w:rsidRDefault="00E663F3" w:rsidP="00E663F3">
            <w:pPr>
              <w:spacing w:line="20" w:lineRule="atLeast"/>
              <w:contextualSpacing/>
              <w:rPr>
                <w:rFonts w:cs="Times New Roman"/>
                <w:sz w:val="23"/>
                <w:szCs w:val="23"/>
              </w:rPr>
            </w:pPr>
            <w:r w:rsidRPr="00E663F3">
              <w:rPr>
                <w:rFonts w:cs="Times New Roman"/>
                <w:sz w:val="23"/>
                <w:szCs w:val="23"/>
              </w:rPr>
              <w:t>10/29/2016 – 11/06/2016</w:t>
            </w:r>
          </w:p>
        </w:tc>
      </w:tr>
      <w:tr w:rsidR="00E663F3" w:rsidRPr="00E663F3" w14:paraId="3EEED05C" w14:textId="77777777" w:rsidTr="00045207">
        <w:trPr>
          <w:jc w:val="center"/>
        </w:trPr>
        <w:tc>
          <w:tcPr>
            <w:tcW w:w="4608" w:type="dxa"/>
            <w:shd w:val="clear" w:color="auto" w:fill="auto"/>
          </w:tcPr>
          <w:p w14:paraId="4D9B7EA3" w14:textId="77777777" w:rsidR="00E663F3" w:rsidRPr="00E663F3" w:rsidRDefault="00E663F3" w:rsidP="00E663F3">
            <w:pPr>
              <w:spacing w:line="20" w:lineRule="atLeast"/>
              <w:contextualSpacing/>
              <w:rPr>
                <w:rFonts w:cs="Times New Roman"/>
                <w:sz w:val="23"/>
                <w:szCs w:val="23"/>
              </w:rPr>
            </w:pPr>
            <w:r w:rsidRPr="00E663F3">
              <w:rPr>
                <w:rFonts w:cs="Times New Roman"/>
                <w:sz w:val="23"/>
                <w:szCs w:val="23"/>
              </w:rPr>
              <w:t>Conduct pilot test</w:t>
            </w:r>
          </w:p>
        </w:tc>
        <w:tc>
          <w:tcPr>
            <w:tcW w:w="3307" w:type="dxa"/>
            <w:shd w:val="clear" w:color="auto" w:fill="auto"/>
          </w:tcPr>
          <w:p w14:paraId="6156184B" w14:textId="77777777" w:rsidR="00E663F3" w:rsidRPr="00E663F3" w:rsidRDefault="00E663F3" w:rsidP="00E663F3">
            <w:pPr>
              <w:spacing w:line="20" w:lineRule="atLeast"/>
              <w:contextualSpacing/>
              <w:rPr>
                <w:rFonts w:cs="Times New Roman"/>
                <w:sz w:val="23"/>
                <w:szCs w:val="23"/>
              </w:rPr>
            </w:pPr>
            <w:r w:rsidRPr="00E663F3">
              <w:rPr>
                <w:rFonts w:cs="Times New Roman"/>
                <w:sz w:val="23"/>
                <w:szCs w:val="23"/>
              </w:rPr>
              <w:t>11/09/2016 – 2/09/2017</w:t>
            </w:r>
          </w:p>
        </w:tc>
      </w:tr>
      <w:tr w:rsidR="00E663F3" w:rsidRPr="00E663F3" w14:paraId="11D3CA7B" w14:textId="77777777" w:rsidTr="00045207">
        <w:trPr>
          <w:jc w:val="center"/>
        </w:trPr>
        <w:tc>
          <w:tcPr>
            <w:tcW w:w="4608" w:type="dxa"/>
            <w:shd w:val="clear" w:color="auto" w:fill="auto"/>
          </w:tcPr>
          <w:p w14:paraId="6ABC2E77" w14:textId="77777777" w:rsidR="00E663F3" w:rsidRPr="00E663F3" w:rsidRDefault="00E663F3" w:rsidP="00E663F3">
            <w:pPr>
              <w:spacing w:line="20" w:lineRule="atLeast"/>
              <w:contextualSpacing/>
              <w:rPr>
                <w:rFonts w:cs="Times New Roman"/>
                <w:sz w:val="23"/>
                <w:szCs w:val="23"/>
              </w:rPr>
            </w:pPr>
            <w:r w:rsidRPr="00E663F3">
              <w:rPr>
                <w:rFonts w:cs="Times New Roman"/>
                <w:sz w:val="23"/>
                <w:szCs w:val="23"/>
              </w:rPr>
              <w:t>Draft analysis report</w:t>
            </w:r>
          </w:p>
        </w:tc>
        <w:tc>
          <w:tcPr>
            <w:tcW w:w="3307" w:type="dxa"/>
            <w:shd w:val="clear" w:color="auto" w:fill="auto"/>
          </w:tcPr>
          <w:p w14:paraId="504F6B4A" w14:textId="77777777" w:rsidR="00E663F3" w:rsidRPr="00E663F3" w:rsidRDefault="00E663F3" w:rsidP="00E663F3">
            <w:pPr>
              <w:spacing w:line="20" w:lineRule="atLeast"/>
              <w:contextualSpacing/>
              <w:rPr>
                <w:rFonts w:cs="Times New Roman"/>
                <w:sz w:val="23"/>
                <w:szCs w:val="23"/>
              </w:rPr>
            </w:pPr>
            <w:r w:rsidRPr="00E663F3">
              <w:rPr>
                <w:rFonts w:cs="Times New Roman"/>
                <w:sz w:val="23"/>
                <w:szCs w:val="23"/>
              </w:rPr>
              <w:t>05/30/2017</w:t>
            </w:r>
          </w:p>
        </w:tc>
      </w:tr>
      <w:tr w:rsidR="00E663F3" w:rsidRPr="00E663F3" w14:paraId="2435E406" w14:textId="77777777" w:rsidTr="00045207">
        <w:trPr>
          <w:jc w:val="center"/>
        </w:trPr>
        <w:tc>
          <w:tcPr>
            <w:tcW w:w="4608" w:type="dxa"/>
            <w:shd w:val="clear" w:color="auto" w:fill="auto"/>
          </w:tcPr>
          <w:p w14:paraId="050B86F0" w14:textId="77777777" w:rsidR="00E663F3" w:rsidRPr="00E663F3" w:rsidRDefault="00E663F3" w:rsidP="00E663F3">
            <w:pPr>
              <w:spacing w:line="20" w:lineRule="atLeast"/>
              <w:contextualSpacing/>
              <w:rPr>
                <w:rFonts w:cs="Times New Roman"/>
                <w:sz w:val="23"/>
                <w:szCs w:val="23"/>
              </w:rPr>
            </w:pPr>
            <w:r w:rsidRPr="00E663F3">
              <w:rPr>
                <w:rFonts w:cs="Times New Roman"/>
                <w:sz w:val="23"/>
                <w:szCs w:val="23"/>
              </w:rPr>
              <w:t>Final analysis report</w:t>
            </w:r>
          </w:p>
        </w:tc>
        <w:tc>
          <w:tcPr>
            <w:tcW w:w="3307" w:type="dxa"/>
            <w:shd w:val="clear" w:color="auto" w:fill="auto"/>
          </w:tcPr>
          <w:p w14:paraId="264445C9" w14:textId="77777777" w:rsidR="00E663F3" w:rsidRPr="00E663F3" w:rsidRDefault="00E663F3" w:rsidP="00E663F3">
            <w:pPr>
              <w:spacing w:line="20" w:lineRule="atLeast"/>
              <w:contextualSpacing/>
              <w:rPr>
                <w:rFonts w:cs="Times New Roman"/>
                <w:sz w:val="23"/>
                <w:szCs w:val="23"/>
              </w:rPr>
            </w:pPr>
            <w:r w:rsidRPr="00E663F3">
              <w:rPr>
                <w:rFonts w:cs="Times New Roman"/>
                <w:sz w:val="23"/>
                <w:szCs w:val="23"/>
              </w:rPr>
              <w:t>06/30/2017</w:t>
            </w:r>
          </w:p>
        </w:tc>
      </w:tr>
    </w:tbl>
    <w:p w14:paraId="42796FE7" w14:textId="77777777" w:rsidR="00460BBB" w:rsidRDefault="00460BBB" w:rsidP="00271489">
      <w:pPr>
        <w:pStyle w:val="L1-FlLSp12"/>
      </w:pPr>
    </w:p>
    <w:p w14:paraId="47C6D3D3" w14:textId="77777777" w:rsidR="0041035E" w:rsidRDefault="0041035E" w:rsidP="00271489">
      <w:pPr>
        <w:pStyle w:val="L1-FlLSp12"/>
      </w:pPr>
    </w:p>
    <w:p w14:paraId="31B91680" w14:textId="77777777" w:rsidR="00271489" w:rsidRPr="003702B9" w:rsidRDefault="00271489" w:rsidP="00271489">
      <w:pPr>
        <w:pStyle w:val="Heading2"/>
      </w:pPr>
      <w:bookmarkStart w:id="117" w:name="_Toc290021776"/>
      <w:bookmarkStart w:id="118" w:name="_Toc329341699"/>
      <w:bookmarkStart w:id="119" w:name="_Toc400376165"/>
      <w:r w:rsidRPr="003702B9">
        <w:t>A.17</w:t>
      </w:r>
      <w:r w:rsidRPr="003702B9">
        <w:tab/>
      </w:r>
      <w:bookmarkEnd w:id="117"/>
      <w:r w:rsidRPr="003702B9">
        <w:t>Reason Display of OMB Expiration Date Is Inappropriate</w:t>
      </w:r>
      <w:bookmarkEnd w:id="118"/>
      <w:bookmarkEnd w:id="119"/>
    </w:p>
    <w:p w14:paraId="24A105F7" w14:textId="77777777" w:rsidR="00271489" w:rsidRPr="002F126A" w:rsidRDefault="00271489" w:rsidP="00271489">
      <w:pPr>
        <w:pStyle w:val="L1-FlLSp12"/>
        <w:rPr>
          <w:b/>
        </w:rPr>
      </w:pPr>
      <w:r w:rsidRPr="002F126A">
        <w:rPr>
          <w:b/>
        </w:rPr>
        <w:t>If seeking approval to not display the expiration date for OMB approval of the information collection, explain the reasons that display would be inappropriate.</w:t>
      </w:r>
    </w:p>
    <w:p w14:paraId="506EA9EC" w14:textId="77777777" w:rsidR="00271489" w:rsidRPr="003702B9" w:rsidRDefault="00271489" w:rsidP="00271489">
      <w:pPr>
        <w:pStyle w:val="L1-FlLSp12"/>
      </w:pPr>
    </w:p>
    <w:p w14:paraId="4079B0BB" w14:textId="77777777" w:rsidR="00271489" w:rsidRPr="00083472" w:rsidRDefault="00271489" w:rsidP="00271489">
      <w:pPr>
        <w:pStyle w:val="L1-FlLSp12"/>
        <w:rPr>
          <w:sz w:val="23"/>
          <w:szCs w:val="23"/>
        </w:rPr>
      </w:pPr>
      <w:r w:rsidRPr="00083472">
        <w:rPr>
          <w:sz w:val="23"/>
          <w:szCs w:val="23"/>
        </w:rPr>
        <w:t>All data collection instruments will display the OMB approval number and expiration date.</w:t>
      </w:r>
    </w:p>
    <w:p w14:paraId="177DC24A" w14:textId="77777777" w:rsidR="008C39E8" w:rsidRDefault="008C39E8" w:rsidP="00271489">
      <w:pPr>
        <w:pStyle w:val="L1-FlLSp12"/>
      </w:pPr>
    </w:p>
    <w:p w14:paraId="4E9347E1" w14:textId="77777777" w:rsidR="008C39E8" w:rsidRDefault="008C39E8" w:rsidP="00271489">
      <w:pPr>
        <w:pStyle w:val="L1-FlLSp12"/>
      </w:pPr>
    </w:p>
    <w:p w14:paraId="03396905" w14:textId="77777777" w:rsidR="00271489" w:rsidRPr="003702B9" w:rsidRDefault="00271489" w:rsidP="00271489">
      <w:pPr>
        <w:pStyle w:val="Heading2"/>
      </w:pPr>
      <w:r w:rsidRPr="003702B9">
        <w:lastRenderedPageBreak/>
        <w:t>A.18</w:t>
      </w:r>
      <w:r w:rsidRPr="003702B9">
        <w:tab/>
        <w:t>Exceptions to Certification for Paperwork Reduction Act Submissions</w:t>
      </w:r>
    </w:p>
    <w:p w14:paraId="4C7E95F8" w14:textId="77777777" w:rsidR="00271489" w:rsidRPr="002F126A" w:rsidRDefault="00271489" w:rsidP="00271489">
      <w:pPr>
        <w:pStyle w:val="L1-FlLSp12"/>
        <w:rPr>
          <w:b/>
        </w:rPr>
      </w:pPr>
      <w:r w:rsidRPr="002F126A">
        <w:rPr>
          <w:b/>
        </w:rPr>
        <w:t>Explain each exception to the certification statement identified in Item 19 “Certification for Paperwork Reduction Act.”</w:t>
      </w:r>
    </w:p>
    <w:p w14:paraId="2F4C2AEE" w14:textId="77777777" w:rsidR="00271489" w:rsidRPr="003702B9" w:rsidRDefault="00271489" w:rsidP="00271489">
      <w:pPr>
        <w:pStyle w:val="L1-FlLSp12"/>
      </w:pPr>
    </w:p>
    <w:p w14:paraId="1817C328" w14:textId="77777777" w:rsidR="00271489" w:rsidRPr="00083472" w:rsidRDefault="00271489" w:rsidP="00271489">
      <w:pPr>
        <w:pStyle w:val="L1-FlLSp12"/>
        <w:rPr>
          <w:sz w:val="23"/>
          <w:szCs w:val="23"/>
        </w:rPr>
      </w:pPr>
      <w:r w:rsidRPr="00083472">
        <w:rPr>
          <w:sz w:val="23"/>
          <w:szCs w:val="23"/>
        </w:rPr>
        <w:t>There are no exceptions to the Certification for Paperwork Reduction Act (5 CFR 1320.9) for this study.</w:t>
      </w:r>
    </w:p>
    <w:p w14:paraId="62A68F13" w14:textId="77777777" w:rsidR="00271489" w:rsidRDefault="00271489" w:rsidP="00271489">
      <w:pPr>
        <w:pStyle w:val="L1-FlLSp12"/>
      </w:pPr>
    </w:p>
    <w:p w14:paraId="5281B412" w14:textId="77777777" w:rsidR="00C45D76" w:rsidRPr="00344B5B" w:rsidRDefault="00C45D76" w:rsidP="00271489">
      <w:pPr>
        <w:pStyle w:val="L1-FlLSp12"/>
        <w:rPr>
          <w:sz w:val="32"/>
          <w:szCs w:val="32"/>
        </w:rPr>
      </w:pPr>
    </w:p>
    <w:p w14:paraId="5EB30FB5" w14:textId="77777777" w:rsidR="00C45D76" w:rsidRDefault="00C45D76" w:rsidP="00C45D76">
      <w:pPr>
        <w:autoSpaceDE w:val="0"/>
        <w:autoSpaceDN w:val="0"/>
        <w:adjustRightInd w:val="0"/>
        <w:spacing w:line="240" w:lineRule="auto"/>
        <w:rPr>
          <w:rFonts w:ascii="FranklinGothic-Medium" w:hAnsi="FranklinGothic-Medium" w:cs="FranklinGothic-Medium"/>
          <w:b/>
          <w:color w:val="324162"/>
          <w:sz w:val="32"/>
          <w:szCs w:val="32"/>
        </w:rPr>
      </w:pPr>
      <w:r w:rsidRPr="00344B5B">
        <w:rPr>
          <w:rFonts w:ascii="FranklinGothic-Medium" w:hAnsi="FranklinGothic-Medium" w:cs="FranklinGothic-Medium"/>
          <w:b/>
          <w:color w:val="324162"/>
          <w:sz w:val="32"/>
          <w:szCs w:val="32"/>
        </w:rPr>
        <w:t>References</w:t>
      </w:r>
    </w:p>
    <w:p w14:paraId="7B975464" w14:textId="77777777" w:rsidR="00344B5B" w:rsidRPr="00344B5B" w:rsidRDefault="00344B5B" w:rsidP="00C45D76">
      <w:pPr>
        <w:autoSpaceDE w:val="0"/>
        <w:autoSpaceDN w:val="0"/>
        <w:adjustRightInd w:val="0"/>
        <w:spacing w:line="240" w:lineRule="auto"/>
        <w:rPr>
          <w:rFonts w:ascii="FranklinGothic-Medium" w:hAnsi="FranklinGothic-Medium" w:cs="FranklinGothic-Medium"/>
          <w:b/>
          <w:color w:val="324162"/>
          <w:sz w:val="32"/>
          <w:szCs w:val="32"/>
        </w:rPr>
      </w:pPr>
    </w:p>
    <w:p w14:paraId="08E024A6" w14:textId="6FE6ECAA" w:rsidR="00C45D76" w:rsidRPr="00344B5B" w:rsidRDefault="00C45D76" w:rsidP="00C45D76">
      <w:pPr>
        <w:autoSpaceDE w:val="0"/>
        <w:autoSpaceDN w:val="0"/>
        <w:adjustRightInd w:val="0"/>
        <w:spacing w:line="240" w:lineRule="auto"/>
        <w:rPr>
          <w:rFonts w:cs="Garamond"/>
          <w:color w:val="000000"/>
          <w:sz w:val="23"/>
          <w:szCs w:val="23"/>
        </w:rPr>
      </w:pPr>
      <w:r w:rsidRPr="00344B5B">
        <w:rPr>
          <w:rFonts w:cs="Garamond"/>
          <w:color w:val="000000"/>
          <w:sz w:val="23"/>
          <w:szCs w:val="23"/>
        </w:rPr>
        <w:t>Dan, O.M., and Lai, J.W. (2013). How am I doing? The effects of gamification and social sharing on</w:t>
      </w:r>
      <w:r w:rsidR="0082436D">
        <w:rPr>
          <w:rFonts w:cs="Garamond"/>
          <w:color w:val="000000"/>
          <w:sz w:val="23"/>
          <w:szCs w:val="23"/>
        </w:rPr>
        <w:t xml:space="preserve"> </w:t>
      </w:r>
      <w:r w:rsidRPr="00344B5B">
        <w:rPr>
          <w:rFonts w:cs="Garamond"/>
          <w:color w:val="000000"/>
          <w:sz w:val="23"/>
          <w:szCs w:val="23"/>
        </w:rPr>
        <w:t xml:space="preserve">user engagement. In </w:t>
      </w:r>
      <w:r w:rsidRPr="00344B5B">
        <w:rPr>
          <w:rFonts w:cs="Garamond-Italic"/>
          <w:i/>
          <w:iCs/>
          <w:color w:val="000000"/>
          <w:sz w:val="23"/>
          <w:szCs w:val="23"/>
        </w:rPr>
        <w:t>JSM Proceedings, Survey Research Methods Section</w:t>
      </w:r>
      <w:r w:rsidRPr="00344B5B">
        <w:rPr>
          <w:rFonts w:cs="Garamond"/>
          <w:color w:val="000000"/>
          <w:sz w:val="23"/>
          <w:szCs w:val="23"/>
        </w:rPr>
        <w:t>, pp. 4374-4388. Alexandria,</w:t>
      </w:r>
    </w:p>
    <w:p w14:paraId="19EAAEE7" w14:textId="77777777" w:rsidR="00C45D76" w:rsidRDefault="00C45D76" w:rsidP="00C45D76">
      <w:pPr>
        <w:autoSpaceDE w:val="0"/>
        <w:autoSpaceDN w:val="0"/>
        <w:adjustRightInd w:val="0"/>
        <w:spacing w:line="240" w:lineRule="auto"/>
        <w:rPr>
          <w:rFonts w:cs="Garamond"/>
          <w:color w:val="000000"/>
          <w:sz w:val="23"/>
          <w:szCs w:val="23"/>
        </w:rPr>
      </w:pPr>
      <w:r w:rsidRPr="00344B5B">
        <w:rPr>
          <w:rFonts w:cs="Garamond"/>
          <w:color w:val="000000"/>
          <w:sz w:val="23"/>
          <w:szCs w:val="23"/>
        </w:rPr>
        <w:t>VA: American Statistical Association.</w:t>
      </w:r>
    </w:p>
    <w:p w14:paraId="78F20216" w14:textId="77777777" w:rsidR="00344B5B" w:rsidRPr="00344B5B" w:rsidRDefault="00344B5B" w:rsidP="00C45D76">
      <w:pPr>
        <w:autoSpaceDE w:val="0"/>
        <w:autoSpaceDN w:val="0"/>
        <w:adjustRightInd w:val="0"/>
        <w:spacing w:line="240" w:lineRule="auto"/>
        <w:rPr>
          <w:rFonts w:cs="Garamond"/>
          <w:color w:val="000000"/>
          <w:sz w:val="23"/>
          <w:szCs w:val="23"/>
        </w:rPr>
      </w:pPr>
    </w:p>
    <w:p w14:paraId="4EC54D80" w14:textId="77777777" w:rsidR="00C45D76" w:rsidRPr="00344B5B" w:rsidRDefault="00C45D76" w:rsidP="00C45D76">
      <w:pPr>
        <w:autoSpaceDE w:val="0"/>
        <w:autoSpaceDN w:val="0"/>
        <w:adjustRightInd w:val="0"/>
        <w:spacing w:line="240" w:lineRule="auto"/>
        <w:rPr>
          <w:rFonts w:cs="Garamond"/>
          <w:color w:val="0000FF"/>
          <w:sz w:val="23"/>
          <w:szCs w:val="23"/>
        </w:rPr>
      </w:pPr>
      <w:r w:rsidRPr="00344B5B">
        <w:rPr>
          <w:rFonts w:cs="Garamond"/>
          <w:color w:val="000000"/>
          <w:sz w:val="23"/>
          <w:szCs w:val="23"/>
        </w:rPr>
        <w:t xml:space="preserve">Puleston, J. (2011). </w:t>
      </w:r>
      <w:r w:rsidRPr="00344B5B">
        <w:rPr>
          <w:rFonts w:cs="Garamond-Italic"/>
          <w:i/>
          <w:iCs/>
          <w:color w:val="000000"/>
          <w:sz w:val="23"/>
          <w:szCs w:val="23"/>
        </w:rPr>
        <w:t xml:space="preserve">Game theory – turning surveys into games. </w:t>
      </w:r>
      <w:r w:rsidRPr="00344B5B">
        <w:rPr>
          <w:rFonts w:cs="Garamond"/>
          <w:color w:val="000000"/>
          <w:sz w:val="23"/>
          <w:szCs w:val="23"/>
        </w:rPr>
        <w:t xml:space="preserve">Available at </w:t>
      </w:r>
      <w:r w:rsidRPr="00344B5B">
        <w:rPr>
          <w:rFonts w:cs="Garamond"/>
          <w:color w:val="0000FF"/>
          <w:sz w:val="23"/>
          <w:szCs w:val="23"/>
        </w:rPr>
        <w:t>http://questionscience.</w:t>
      </w:r>
    </w:p>
    <w:p w14:paraId="023AFFD8" w14:textId="77777777" w:rsidR="00C45D76" w:rsidRDefault="00C45D76" w:rsidP="00C45D76">
      <w:pPr>
        <w:autoSpaceDE w:val="0"/>
        <w:autoSpaceDN w:val="0"/>
        <w:adjustRightInd w:val="0"/>
        <w:spacing w:line="240" w:lineRule="auto"/>
        <w:rPr>
          <w:rFonts w:cs="Garamond"/>
          <w:color w:val="0000FF"/>
          <w:sz w:val="23"/>
          <w:szCs w:val="23"/>
        </w:rPr>
      </w:pPr>
      <w:r w:rsidRPr="00344B5B">
        <w:rPr>
          <w:rFonts w:cs="Garamond"/>
          <w:color w:val="0000FF"/>
          <w:sz w:val="23"/>
          <w:szCs w:val="23"/>
        </w:rPr>
        <w:t>blogspot.com/2011/02/game-theory-turning-surveys-into-games.html</w:t>
      </w:r>
    </w:p>
    <w:p w14:paraId="77470BA9" w14:textId="77777777" w:rsidR="00344B5B" w:rsidRPr="00344B5B" w:rsidRDefault="00344B5B" w:rsidP="00C45D76">
      <w:pPr>
        <w:autoSpaceDE w:val="0"/>
        <w:autoSpaceDN w:val="0"/>
        <w:adjustRightInd w:val="0"/>
        <w:spacing w:line="240" w:lineRule="auto"/>
        <w:rPr>
          <w:rFonts w:cs="Garamond"/>
          <w:color w:val="0000FF"/>
          <w:sz w:val="23"/>
          <w:szCs w:val="23"/>
        </w:rPr>
      </w:pPr>
    </w:p>
    <w:p w14:paraId="2C75BADE" w14:textId="77777777" w:rsidR="00C45D76" w:rsidRPr="00344B5B" w:rsidRDefault="00C45D76" w:rsidP="00C45D76">
      <w:pPr>
        <w:autoSpaceDE w:val="0"/>
        <w:autoSpaceDN w:val="0"/>
        <w:adjustRightInd w:val="0"/>
        <w:spacing w:line="240" w:lineRule="auto"/>
        <w:rPr>
          <w:rFonts w:cs="Garamond"/>
          <w:color w:val="000000"/>
          <w:sz w:val="23"/>
          <w:szCs w:val="23"/>
        </w:rPr>
      </w:pPr>
      <w:r w:rsidRPr="00344B5B">
        <w:rPr>
          <w:rFonts w:cs="Garamond"/>
          <w:color w:val="000000"/>
          <w:sz w:val="23"/>
          <w:szCs w:val="23"/>
        </w:rPr>
        <w:t>Richter, G., Raban, D.R., and Rafaeli, S. (2015). Studying gamification: The effect of rewards and</w:t>
      </w:r>
    </w:p>
    <w:p w14:paraId="3B8E8F5F" w14:textId="77777777" w:rsidR="00C45D76" w:rsidRPr="00344B5B" w:rsidRDefault="00C45D76" w:rsidP="00C45D76">
      <w:pPr>
        <w:autoSpaceDE w:val="0"/>
        <w:autoSpaceDN w:val="0"/>
        <w:adjustRightInd w:val="0"/>
        <w:spacing w:line="240" w:lineRule="auto"/>
        <w:rPr>
          <w:rFonts w:cs="Garamond-Italic"/>
          <w:i/>
          <w:iCs/>
          <w:color w:val="000000"/>
          <w:sz w:val="23"/>
          <w:szCs w:val="23"/>
        </w:rPr>
      </w:pPr>
      <w:r w:rsidRPr="00344B5B">
        <w:rPr>
          <w:rFonts w:cs="Garamond"/>
          <w:color w:val="000000"/>
          <w:sz w:val="23"/>
          <w:szCs w:val="23"/>
        </w:rPr>
        <w:t xml:space="preserve">incentives on motivation. In T. Reiners and L. C. Wood (eds.), </w:t>
      </w:r>
      <w:r w:rsidRPr="00344B5B">
        <w:rPr>
          <w:rFonts w:cs="Garamond-Italic"/>
          <w:i/>
          <w:iCs/>
          <w:color w:val="000000"/>
          <w:sz w:val="23"/>
          <w:szCs w:val="23"/>
        </w:rPr>
        <w:t>Gamification in Education and</w:t>
      </w:r>
    </w:p>
    <w:p w14:paraId="671F0D3F" w14:textId="77777777" w:rsidR="00C45D76" w:rsidRPr="00344B5B" w:rsidRDefault="00C45D76" w:rsidP="00C45D76">
      <w:pPr>
        <w:autoSpaceDE w:val="0"/>
        <w:autoSpaceDN w:val="0"/>
        <w:adjustRightInd w:val="0"/>
        <w:spacing w:line="240" w:lineRule="auto"/>
        <w:rPr>
          <w:rFonts w:cs="Garamond"/>
          <w:color w:val="000000"/>
          <w:sz w:val="23"/>
          <w:szCs w:val="23"/>
        </w:rPr>
      </w:pPr>
      <w:r w:rsidRPr="00344B5B">
        <w:rPr>
          <w:rFonts w:cs="Garamond-Italic"/>
          <w:i/>
          <w:iCs/>
          <w:color w:val="000000"/>
          <w:sz w:val="23"/>
          <w:szCs w:val="23"/>
        </w:rPr>
        <w:t>Business</w:t>
      </w:r>
      <w:r w:rsidRPr="00344B5B">
        <w:rPr>
          <w:rFonts w:cs="Garamond"/>
          <w:color w:val="000000"/>
          <w:sz w:val="23"/>
          <w:szCs w:val="23"/>
        </w:rPr>
        <w:t>, pp. 21-46. Springer International Publishing Switzerland.</w:t>
      </w:r>
    </w:p>
    <w:p w14:paraId="54E605A8" w14:textId="13ECEA55" w:rsidR="00C45D76" w:rsidRPr="00344B5B" w:rsidRDefault="00C45D76" w:rsidP="00344B5B">
      <w:pPr>
        <w:autoSpaceDE w:val="0"/>
        <w:autoSpaceDN w:val="0"/>
        <w:adjustRightInd w:val="0"/>
        <w:spacing w:line="240" w:lineRule="auto"/>
        <w:rPr>
          <w:sz w:val="23"/>
          <w:szCs w:val="23"/>
        </w:rPr>
      </w:pPr>
    </w:p>
    <w:sectPr w:rsidR="00C45D76" w:rsidRPr="00344B5B" w:rsidSect="00E60620">
      <w:headerReference w:type="default" r:id="rId18"/>
      <w:footerReference w:type="default" r:id="rId19"/>
      <w:headerReference w:type="first" r:id="rId20"/>
      <w:footerReference w:type="first" r:id="rId21"/>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0206F" w14:textId="77777777" w:rsidR="00F74143" w:rsidRDefault="00F74143">
      <w:pPr>
        <w:spacing w:line="240" w:lineRule="auto"/>
      </w:pPr>
      <w:r>
        <w:separator/>
      </w:r>
    </w:p>
  </w:endnote>
  <w:endnote w:type="continuationSeparator" w:id="0">
    <w:p w14:paraId="7403E88C" w14:textId="77777777" w:rsidR="00F74143" w:rsidRDefault="00F74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59"/>
    <w:family w:val="auto"/>
    <w:pitch w:val="variable"/>
    <w:sig w:usb0="00000000" w:usb1="C0007843" w:usb2="00000009" w:usb3="00000000" w:csb0="000001FF" w:csb1="00000000"/>
  </w:font>
  <w:font w:name="CJPCAL+TimesNewRoman">
    <w:altName w:val="Times New Roman"/>
    <w:panose1 w:val="00000000000000000000"/>
    <w:charset w:val="00"/>
    <w:family w:val="roman"/>
    <w:notTrueType/>
    <w:pitch w:val="default"/>
    <w:sig w:usb0="00000003" w:usb1="00000000" w:usb2="00000000" w:usb3="00000000" w:csb0="00000001" w:csb1="00000000"/>
  </w:font>
  <w:font w:name="FranklinGothic-Medium">
    <w:panose1 w:val="00000000000000000000"/>
    <w:charset w:val="00"/>
    <w:family w:val="swiss"/>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E65F4" w14:textId="77777777" w:rsidR="00AC7E5B" w:rsidRDefault="00AC7E5B" w:rsidP="00D6308A">
    <w:pPr>
      <w:pStyle w:val="Footer"/>
      <w:jc w:val="center"/>
    </w:pPr>
    <w:r>
      <w:fldChar w:fldCharType="begin"/>
    </w:r>
    <w:r>
      <w:instrText xml:space="preserve"> PAGE   \* MERGEFORMAT </w:instrText>
    </w:r>
    <w:r>
      <w:fldChar w:fldCharType="separate"/>
    </w:r>
    <w:r w:rsidR="009A2B43">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35834" w14:textId="77777777" w:rsidR="00AC7E5B" w:rsidRDefault="00AC7E5B" w:rsidP="000F23D5">
    <w:pPr>
      <w:pStyle w:val="Footer"/>
      <w:jc w:val="center"/>
    </w:pPr>
    <w:r>
      <w:fldChar w:fldCharType="begin"/>
    </w:r>
    <w:r>
      <w:instrText xml:space="preserve"> PAGE   \* MERGEFORMAT </w:instrText>
    </w:r>
    <w:r>
      <w:fldChar w:fldCharType="separate"/>
    </w:r>
    <w:r w:rsidR="009A2B43">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B8ABC" w14:textId="77777777" w:rsidR="00AC7E5B" w:rsidRPr="00BB3850" w:rsidRDefault="00AC7E5B" w:rsidP="00B55BAD">
    <w:pPr>
      <w:pStyle w:val="Footer"/>
      <w:jc w:val="center"/>
    </w:pPr>
    <w:r>
      <w:fldChar w:fldCharType="begin"/>
    </w:r>
    <w:r>
      <w:instrText xml:space="preserve"> PAGE   \* MERGEFORMAT </w:instrText>
    </w:r>
    <w:r>
      <w:fldChar w:fldCharType="separate"/>
    </w:r>
    <w:r w:rsidR="009A2B43">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16354" w14:textId="77777777" w:rsidR="00AC7E5B" w:rsidRPr="00E60620" w:rsidRDefault="00AC7E5B" w:rsidP="00E6062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37C78" w14:textId="77777777" w:rsidR="00AC7E5B" w:rsidRPr="00E60620" w:rsidRDefault="00AC7E5B" w:rsidP="00E6062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191EC" w14:textId="77777777" w:rsidR="00AC7E5B" w:rsidRPr="00E60620" w:rsidRDefault="00AC7E5B" w:rsidP="00E60620">
    <w:pPr>
      <w:pStyle w:val="Footer"/>
      <w:jc w:val="center"/>
    </w:pPr>
    <w:r>
      <w:fldChar w:fldCharType="begin"/>
    </w:r>
    <w:r>
      <w:instrText xml:space="preserve"> PAGE   \* MERGEFORMAT </w:instrText>
    </w:r>
    <w:r>
      <w:fldChar w:fldCharType="separate"/>
    </w:r>
    <w:r w:rsidR="009A2B43">
      <w:rPr>
        <w:noProof/>
      </w:rPr>
      <w:t>21</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7EB23" w14:textId="77777777" w:rsidR="00AC7E5B" w:rsidRPr="00D6415D" w:rsidRDefault="00AC7E5B" w:rsidP="00B55BAD">
    <w:pPr>
      <w:pStyle w:val="Footer"/>
      <w:jc w:val="center"/>
    </w:pPr>
    <w:r w:rsidRPr="00D6415D">
      <w:rPr>
        <w:noProof/>
      </w:rPr>
      <w:fldChar w:fldCharType="begin"/>
    </w:r>
    <w:r w:rsidRPr="00D6415D">
      <w:rPr>
        <w:noProof/>
      </w:rPr>
      <w:instrText xml:space="preserve"> PAGE   \* MERGEFORMAT </w:instrText>
    </w:r>
    <w:r w:rsidRPr="00D6415D">
      <w:rPr>
        <w:noProof/>
      </w:rPr>
      <w:fldChar w:fldCharType="separate"/>
    </w:r>
    <w:r w:rsidR="009A2B43">
      <w:rPr>
        <w:noProof/>
      </w:rPr>
      <w:t>19</w:t>
    </w:r>
    <w:r w:rsidRPr="00D6415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53769" w14:textId="77777777" w:rsidR="00F74143" w:rsidRDefault="00F74143">
      <w:pPr>
        <w:spacing w:line="240" w:lineRule="auto"/>
      </w:pPr>
      <w:r>
        <w:separator/>
      </w:r>
    </w:p>
  </w:footnote>
  <w:footnote w:type="continuationSeparator" w:id="0">
    <w:p w14:paraId="1955880D" w14:textId="77777777" w:rsidR="00F74143" w:rsidRDefault="00F741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52B7" w14:textId="77777777" w:rsidR="00AC7E5B" w:rsidRDefault="00AC7E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8B7CE" w14:textId="77777777" w:rsidR="00AC7E5B" w:rsidRPr="007C2CD6" w:rsidRDefault="00AC7E5B" w:rsidP="007C2C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613BC" w14:textId="77777777" w:rsidR="00AC7E5B" w:rsidRDefault="00AC7E5B">
    <w:pPr>
      <w:pStyle w:val="Header"/>
    </w:pPr>
    <w:r>
      <w:rPr>
        <w:noProof/>
      </w:rPr>
      <mc:AlternateContent>
        <mc:Choice Requires="wps">
          <w:drawing>
            <wp:anchor distT="0" distB="0" distL="114300" distR="114300" simplePos="0" relativeHeight="251663360" behindDoc="0" locked="0" layoutInCell="0" allowOverlap="1" wp14:anchorId="60D47B91" wp14:editId="529559FE">
              <wp:simplePos x="0" y="0"/>
              <wp:positionH relativeFrom="leftMargin">
                <wp:posOffset>-93345</wp:posOffset>
              </wp:positionH>
              <wp:positionV relativeFrom="page">
                <wp:posOffset>3571875</wp:posOffset>
              </wp:positionV>
              <wp:extent cx="762000" cy="8953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noProof/>
                              <w:szCs w:val="24"/>
                            </w:rPr>
                            <w:id w:val="1932543556"/>
                            <w:docPartObj>
                              <w:docPartGallery w:val="Page Numbers (Margins)"/>
                              <w:docPartUnique/>
                            </w:docPartObj>
                          </w:sdtPr>
                          <w:sdtEndPr>
                            <w:rPr>
                              <w:szCs w:val="20"/>
                            </w:rPr>
                          </w:sdtEndPr>
                          <w:sdtContent>
                            <w:sdt>
                              <w:sdtPr>
                                <w:rPr>
                                  <w:noProof/>
                                  <w:szCs w:val="24"/>
                                </w:rPr>
                                <w:id w:val="-403221229"/>
                                <w:docPartObj>
                                  <w:docPartGallery w:val="Page Numbers (Margins)"/>
                                  <w:docPartUnique/>
                                </w:docPartObj>
                              </w:sdtPr>
                              <w:sdtEndPr>
                                <w:rPr>
                                  <w:szCs w:val="20"/>
                                </w:rPr>
                              </w:sdtEndPr>
                              <w:sdtContent>
                                <w:p w14:paraId="4310AA02" w14:textId="77777777" w:rsidR="00AC7E5B" w:rsidRPr="00E60620" w:rsidRDefault="00AC7E5B" w:rsidP="00E60620">
                                  <w:pPr>
                                    <w:pStyle w:val="Footer"/>
                                    <w:jc w:val="center"/>
                                    <w:rPr>
                                      <w:noProof/>
                                    </w:rPr>
                                  </w:pPr>
                                  <w:r w:rsidRPr="00E60620">
                                    <w:rPr>
                                      <w:noProof/>
                                      <w:szCs w:val="24"/>
                                    </w:rPr>
                                    <w:fldChar w:fldCharType="begin"/>
                                  </w:r>
                                  <w:r w:rsidRPr="00E60620">
                                    <w:rPr>
                                      <w:noProof/>
                                      <w:szCs w:val="24"/>
                                    </w:rPr>
                                    <w:instrText xml:space="preserve"> PAGE   \* MERGEFORMAT </w:instrText>
                                  </w:r>
                                  <w:r w:rsidRPr="00E60620">
                                    <w:rPr>
                                      <w:noProof/>
                                      <w:szCs w:val="24"/>
                                    </w:rPr>
                                    <w:fldChar w:fldCharType="separate"/>
                                  </w:r>
                                  <w:r w:rsidR="007C710A">
                                    <w:rPr>
                                      <w:noProof/>
                                      <w:szCs w:val="24"/>
                                    </w:rPr>
                                    <w:t>21</w:t>
                                  </w:r>
                                  <w:r w:rsidRPr="00E60620">
                                    <w:rPr>
                                      <w:noProof/>
                                      <w:szCs w:val="24"/>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47B91" id="Rectangle 9" o:spid="_x0000_s1026" style="position:absolute;margin-left:-7.35pt;margin-top:281.25pt;width:60pt;height:70.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" o:allowincell="f" stroked="f">
              <v:textbox style="layout-flow:vertical">
                <w:txbxContent>
                  <w:sdt>
                    <w:sdtPr>
                      <w:rPr>
                        <w:noProof/>
                        <w:szCs w:val="24"/>
                      </w:rPr>
                      <w:id w:val="1932543556"/>
                      <w:docPartObj>
                        <w:docPartGallery w:val="Page Numbers (Margins)"/>
                        <w:docPartUnique/>
                      </w:docPartObj>
                    </w:sdtPr>
                    <w:sdtEndPr>
                      <w:rPr>
                        <w:szCs w:val="20"/>
                      </w:rPr>
                    </w:sdtEndPr>
                    <w:sdtContent>
                      <w:sdt>
                        <w:sdtPr>
                          <w:rPr>
                            <w:noProof/>
                            <w:szCs w:val="24"/>
                          </w:rPr>
                          <w:id w:val="-403221229"/>
                          <w:docPartObj>
                            <w:docPartGallery w:val="Page Numbers (Margins)"/>
                            <w:docPartUnique/>
                          </w:docPartObj>
                        </w:sdtPr>
                        <w:sdtEndPr>
                          <w:rPr>
                            <w:szCs w:val="20"/>
                          </w:rPr>
                        </w:sdtEndPr>
                        <w:sdtContent>
                          <w:p w14:paraId="4310AA02" w14:textId="77777777" w:rsidR="00AC7E5B" w:rsidRPr="00E60620" w:rsidRDefault="00AC7E5B" w:rsidP="00E60620">
                            <w:pPr>
                              <w:pStyle w:val="Footer"/>
                              <w:jc w:val="center"/>
                              <w:rPr>
                                <w:noProof/>
                              </w:rPr>
                            </w:pPr>
                            <w:r w:rsidRPr="00E60620">
                              <w:rPr>
                                <w:noProof/>
                                <w:szCs w:val="24"/>
                              </w:rPr>
                              <w:fldChar w:fldCharType="begin"/>
                            </w:r>
                            <w:r w:rsidRPr="00E60620">
                              <w:rPr>
                                <w:noProof/>
                                <w:szCs w:val="24"/>
                              </w:rPr>
                              <w:instrText xml:space="preserve"> PAGE   \* MERGEFORMAT </w:instrText>
                            </w:r>
                            <w:r w:rsidRPr="00E60620">
                              <w:rPr>
                                <w:noProof/>
                                <w:szCs w:val="24"/>
                              </w:rPr>
                              <w:fldChar w:fldCharType="separate"/>
                            </w:r>
                            <w:r w:rsidR="007C710A">
                              <w:rPr>
                                <w:noProof/>
                                <w:szCs w:val="24"/>
                              </w:rPr>
                              <w:t>21</w:t>
                            </w:r>
                            <w:r w:rsidRPr="00E60620">
                              <w:rPr>
                                <w:noProof/>
                                <w:szCs w:val="24"/>
                              </w:rPr>
                              <w:fldChar w:fldCharType="end"/>
                            </w:r>
                          </w:p>
                        </w:sdtContent>
                      </w:sdt>
                    </w:sdtContent>
                  </w:sdt>
                </w:txbxContent>
              </v:textbox>
              <w10:wrap anchorx="margin"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821185"/>
      <w:docPartObj>
        <w:docPartGallery w:val="Page Numbers (Margins)"/>
        <w:docPartUnique/>
      </w:docPartObj>
    </w:sdtPr>
    <w:sdtEndPr/>
    <w:sdtContent>
      <w:p w14:paraId="36629A30" w14:textId="77777777" w:rsidR="00AC7E5B" w:rsidRPr="007C2CD6" w:rsidRDefault="00AC7E5B" w:rsidP="007C2CD6">
        <w:pPr>
          <w:pStyle w:val="Header"/>
        </w:pPr>
        <w:r>
          <w:rPr>
            <w:noProof/>
          </w:rPr>
          <mc:AlternateContent>
            <mc:Choice Requires="wps">
              <w:drawing>
                <wp:anchor distT="0" distB="0" distL="114300" distR="114300" simplePos="0" relativeHeight="251661312" behindDoc="0" locked="0" layoutInCell="0" allowOverlap="1" wp14:anchorId="46AA49D4" wp14:editId="0DDF1AB7">
                  <wp:simplePos x="0" y="0"/>
                  <wp:positionH relativeFrom="leftMargin">
                    <wp:posOffset>-131445</wp:posOffset>
                  </wp:positionH>
                  <wp:positionV relativeFrom="page">
                    <wp:align>center</wp:align>
                  </wp:positionV>
                  <wp:extent cx="762000" cy="895350"/>
                  <wp:effectExtent l="0" t="0" r="0" b="0"/>
                  <wp:wrapNone/>
                  <wp:docPr id="5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noProof/>
                                  <w:szCs w:val="24"/>
                                </w:rPr>
                                <w:id w:val="84434915"/>
                                <w:docPartObj>
                                  <w:docPartGallery w:val="Page Numbers (Margins)"/>
                                  <w:docPartUnique/>
                                </w:docPartObj>
                              </w:sdtPr>
                              <w:sdtEndPr>
                                <w:rPr>
                                  <w:szCs w:val="20"/>
                                </w:rPr>
                              </w:sdtEndPr>
                              <w:sdtContent>
                                <w:sdt>
                                  <w:sdtPr>
                                    <w:rPr>
                                      <w:noProof/>
                                      <w:szCs w:val="24"/>
                                    </w:rPr>
                                    <w:id w:val="-800072624"/>
                                    <w:docPartObj>
                                      <w:docPartGallery w:val="Page Numbers (Margins)"/>
                                      <w:docPartUnique/>
                                    </w:docPartObj>
                                  </w:sdtPr>
                                  <w:sdtEndPr>
                                    <w:rPr>
                                      <w:szCs w:val="20"/>
                                    </w:rPr>
                                  </w:sdtEndPr>
                                  <w:sdtContent>
                                    <w:p w14:paraId="2EAECE24" w14:textId="77777777" w:rsidR="00AC7E5B" w:rsidRPr="00E60620" w:rsidRDefault="00AC7E5B" w:rsidP="00E60620">
                                      <w:pPr>
                                        <w:pStyle w:val="Footer"/>
                                        <w:jc w:val="center"/>
                                        <w:rPr>
                                          <w:noProof/>
                                        </w:rPr>
                                      </w:pPr>
                                      <w:r w:rsidRPr="00E60620">
                                        <w:rPr>
                                          <w:noProof/>
                                          <w:szCs w:val="24"/>
                                        </w:rPr>
                                        <w:fldChar w:fldCharType="begin"/>
                                      </w:r>
                                      <w:r w:rsidRPr="00E60620">
                                        <w:rPr>
                                          <w:noProof/>
                                          <w:szCs w:val="24"/>
                                        </w:rPr>
                                        <w:instrText xml:space="preserve"> PAGE   \* MERGEFORMAT </w:instrText>
                                      </w:r>
                                      <w:r w:rsidRPr="00E60620">
                                        <w:rPr>
                                          <w:noProof/>
                                          <w:szCs w:val="24"/>
                                        </w:rPr>
                                        <w:fldChar w:fldCharType="separate"/>
                                      </w:r>
                                      <w:r w:rsidR="009A2B43">
                                        <w:rPr>
                                          <w:noProof/>
                                          <w:szCs w:val="24"/>
                                        </w:rPr>
                                        <w:t>18</w:t>
                                      </w:r>
                                      <w:r w:rsidRPr="00E60620">
                                        <w:rPr>
                                          <w:noProof/>
                                          <w:szCs w:val="24"/>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A49D4" id="_x0000_s1027" style="position:absolute;margin-left:-10.35pt;margin-top:0;width:60pt;height:70.5pt;z-index:251661312;visibility:visible;mso-wrap-style:square;mso-width-percent:0;mso-height-percent:0;mso-wrap-distance-left:9pt;mso-wrap-distance-top:0;mso-wrap-distance-right:9pt;mso-wrap-distance-bottom:0;mso-position-horizontal:absolute;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" o:allowincell="f" stroked="f">
                  <v:textbox style="layout-flow:vertical">
                    <w:txbxContent>
                      <w:sdt>
                        <w:sdtPr>
                          <w:rPr>
                            <w:noProof/>
                            <w:szCs w:val="24"/>
                          </w:rPr>
                          <w:id w:val="84434915"/>
                          <w:docPartObj>
                            <w:docPartGallery w:val="Page Numbers (Margins)"/>
                            <w:docPartUnique/>
                          </w:docPartObj>
                        </w:sdtPr>
                        <w:sdtEndPr>
                          <w:rPr>
                            <w:szCs w:val="20"/>
                          </w:rPr>
                        </w:sdtEndPr>
                        <w:sdtContent>
                          <w:sdt>
                            <w:sdtPr>
                              <w:rPr>
                                <w:noProof/>
                                <w:szCs w:val="24"/>
                              </w:rPr>
                              <w:id w:val="-800072624"/>
                              <w:docPartObj>
                                <w:docPartGallery w:val="Page Numbers (Margins)"/>
                                <w:docPartUnique/>
                              </w:docPartObj>
                            </w:sdtPr>
                            <w:sdtEndPr>
                              <w:rPr>
                                <w:szCs w:val="20"/>
                              </w:rPr>
                            </w:sdtEndPr>
                            <w:sdtContent>
                              <w:p w14:paraId="2EAECE24" w14:textId="77777777" w:rsidR="00AC7E5B" w:rsidRPr="00E60620" w:rsidRDefault="00AC7E5B" w:rsidP="00E60620">
                                <w:pPr>
                                  <w:pStyle w:val="Footer"/>
                                  <w:jc w:val="center"/>
                                  <w:rPr>
                                    <w:noProof/>
                                  </w:rPr>
                                </w:pPr>
                                <w:r w:rsidRPr="00E60620">
                                  <w:rPr>
                                    <w:noProof/>
                                    <w:szCs w:val="24"/>
                                  </w:rPr>
                                  <w:fldChar w:fldCharType="begin"/>
                                </w:r>
                                <w:r w:rsidRPr="00E60620">
                                  <w:rPr>
                                    <w:noProof/>
                                    <w:szCs w:val="24"/>
                                  </w:rPr>
                                  <w:instrText xml:space="preserve"> PAGE   \* MERGEFORMAT </w:instrText>
                                </w:r>
                                <w:r w:rsidRPr="00E60620">
                                  <w:rPr>
                                    <w:noProof/>
                                    <w:szCs w:val="24"/>
                                  </w:rPr>
                                  <w:fldChar w:fldCharType="separate"/>
                                </w:r>
                                <w:r w:rsidR="009A2B43">
                                  <w:rPr>
                                    <w:noProof/>
                                    <w:szCs w:val="24"/>
                                  </w:rPr>
                                  <w:t>18</w:t>
                                </w:r>
                                <w:r w:rsidRPr="00E60620">
                                  <w:rPr>
                                    <w:noProof/>
                                    <w:szCs w:val="24"/>
                                  </w:rPr>
                                  <w:fldChar w:fldCharType="end"/>
                                </w:r>
                              </w:p>
                            </w:sdtContent>
                          </w:sdt>
                        </w:sdtContent>
                      </w:sdt>
                    </w:txbxContent>
                  </v:textbox>
                  <w10:wrap anchorx="margin" anchory="page"/>
                </v:rect>
              </w:pict>
            </mc:Fallback>
          </mc:AlternateConten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8B6AF" w14:textId="77777777" w:rsidR="00AC7E5B" w:rsidRDefault="00AC7E5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116C6" w14:textId="77777777" w:rsidR="00AC7E5B" w:rsidRPr="007C2CD6" w:rsidRDefault="00AC7E5B" w:rsidP="007C2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02F3"/>
    <w:multiLevelType w:val="hybridMultilevel"/>
    <w:tmpl w:val="1E9E04CE"/>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D2324E22">
      <w:numFmt w:val="bullet"/>
      <w:lvlText w:val=""/>
      <w:lvlJc w:val="left"/>
      <w:pPr>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70377"/>
    <w:multiLevelType w:val="hybridMultilevel"/>
    <w:tmpl w:val="F554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51A2E"/>
    <w:multiLevelType w:val="hybridMultilevel"/>
    <w:tmpl w:val="EF68F8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730BE"/>
    <w:multiLevelType w:val="hybridMultilevel"/>
    <w:tmpl w:val="498C08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11832C4"/>
    <w:multiLevelType w:val="hybridMultilevel"/>
    <w:tmpl w:val="CF30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5B87F8B"/>
    <w:multiLevelType w:val="hybridMultilevel"/>
    <w:tmpl w:val="71B0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2" w15:restartNumberingAfterBreak="0">
    <w:nsid w:val="403E5A67"/>
    <w:multiLevelType w:val="hybridMultilevel"/>
    <w:tmpl w:val="8A60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74B01"/>
    <w:multiLevelType w:val="hybridMultilevel"/>
    <w:tmpl w:val="DA601CB6"/>
    <w:lvl w:ilvl="0" w:tplc="EB885550">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266E40"/>
    <w:multiLevelType w:val="hybridMultilevel"/>
    <w:tmpl w:val="B80E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D0BAF"/>
    <w:multiLevelType w:val="hybridMultilevel"/>
    <w:tmpl w:val="9580DFEA"/>
    <w:lvl w:ilvl="0" w:tplc="D6F4D944">
      <w:start w:val="2"/>
      <w:numFmt w:val="bullet"/>
      <w:lvlText w:val="-"/>
      <w:lvlJc w:val="left"/>
      <w:pPr>
        <w:ind w:left="1800" w:hanging="360"/>
      </w:pPr>
      <w:rPr>
        <w:rFonts w:ascii="Garamond" w:eastAsia="Times New Roman" w:hAnsi="Garamond"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4974652"/>
    <w:multiLevelType w:val="hybridMultilevel"/>
    <w:tmpl w:val="11F6586C"/>
    <w:lvl w:ilvl="0" w:tplc="04090001">
      <w:start w:val="1"/>
      <w:numFmt w:val="bullet"/>
      <w:lvlText w:val=""/>
      <w:lvlJc w:val="left"/>
      <w:pPr>
        <w:tabs>
          <w:tab w:val="num" w:pos="1152"/>
        </w:tabs>
        <w:ind w:left="1152" w:hanging="57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1024FB"/>
    <w:multiLevelType w:val="hybridMultilevel"/>
    <w:tmpl w:val="ADBC9EA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2" w15:restartNumberingAfterBreak="0">
    <w:nsid w:val="7DC410C4"/>
    <w:multiLevelType w:val="hybridMultilevel"/>
    <w:tmpl w:val="E746F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10"/>
    <w:lvlOverride w:ilvl="0">
      <w:startOverride w:val="1"/>
    </w:lvlOverride>
  </w:num>
  <w:num w:numId="5">
    <w:abstractNumId w:val="19"/>
  </w:num>
  <w:num w:numId="6">
    <w:abstractNumId w:val="2"/>
  </w:num>
  <w:num w:numId="7">
    <w:abstractNumId w:val="11"/>
  </w:num>
  <w:num w:numId="8">
    <w:abstractNumId w:val="15"/>
  </w:num>
  <w:num w:numId="9">
    <w:abstractNumId w:val="18"/>
  </w:num>
  <w:num w:numId="10">
    <w:abstractNumId w:val="21"/>
  </w:num>
  <w:num w:numId="11">
    <w:abstractNumId w:val="9"/>
  </w:num>
  <w:num w:numId="12">
    <w:abstractNumId w:val="13"/>
  </w:num>
  <w:num w:numId="13">
    <w:abstractNumId w:val="17"/>
  </w:num>
  <w:num w:numId="14">
    <w:abstractNumId w:val="10"/>
  </w:num>
  <w:num w:numId="15">
    <w:abstractNumId w:val="3"/>
  </w:num>
  <w:num w:numId="16">
    <w:abstractNumId w:val="4"/>
  </w:num>
  <w:num w:numId="17">
    <w:abstractNumId w:val="7"/>
  </w:num>
  <w:num w:numId="18">
    <w:abstractNumId w:val="16"/>
  </w:num>
  <w:num w:numId="19">
    <w:abstractNumId w:val="5"/>
  </w:num>
  <w:num w:numId="20">
    <w:abstractNumId w:val="14"/>
  </w:num>
  <w:num w:numId="21">
    <w:abstractNumId w:val="20"/>
  </w:num>
  <w:num w:numId="22">
    <w:abstractNumId w:val="6"/>
  </w:num>
  <w:num w:numId="23">
    <w:abstractNumId w:val="8"/>
  </w:num>
  <w:num w:numId="24">
    <w:abstractNumId w:val="14"/>
  </w:num>
  <w:num w:numId="25">
    <w:abstractNumId w:val="22"/>
  </w:num>
  <w:num w:numId="2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89"/>
    <w:rsid w:val="0000117F"/>
    <w:rsid w:val="00004F60"/>
    <w:rsid w:val="00007D86"/>
    <w:rsid w:val="0001030E"/>
    <w:rsid w:val="00013289"/>
    <w:rsid w:val="000145BE"/>
    <w:rsid w:val="00015AF8"/>
    <w:rsid w:val="000350E9"/>
    <w:rsid w:val="000360C3"/>
    <w:rsid w:val="00036AF4"/>
    <w:rsid w:val="00043871"/>
    <w:rsid w:val="00044705"/>
    <w:rsid w:val="000447C2"/>
    <w:rsid w:val="00045207"/>
    <w:rsid w:val="00047085"/>
    <w:rsid w:val="00047A17"/>
    <w:rsid w:val="00050DD0"/>
    <w:rsid w:val="00051FAB"/>
    <w:rsid w:val="0005749C"/>
    <w:rsid w:val="00057925"/>
    <w:rsid w:val="00060B81"/>
    <w:rsid w:val="0006498E"/>
    <w:rsid w:val="0006542D"/>
    <w:rsid w:val="00065992"/>
    <w:rsid w:val="00066207"/>
    <w:rsid w:val="00067332"/>
    <w:rsid w:val="00070ABE"/>
    <w:rsid w:val="00072FFE"/>
    <w:rsid w:val="00073632"/>
    <w:rsid w:val="00073F2D"/>
    <w:rsid w:val="00076495"/>
    <w:rsid w:val="000770CB"/>
    <w:rsid w:val="000808B0"/>
    <w:rsid w:val="00080F95"/>
    <w:rsid w:val="00082979"/>
    <w:rsid w:val="00082DA8"/>
    <w:rsid w:val="00083472"/>
    <w:rsid w:val="0008508A"/>
    <w:rsid w:val="00091A23"/>
    <w:rsid w:val="00091D9D"/>
    <w:rsid w:val="00091E0B"/>
    <w:rsid w:val="00092660"/>
    <w:rsid w:val="00093A51"/>
    <w:rsid w:val="00094D2F"/>
    <w:rsid w:val="00095719"/>
    <w:rsid w:val="000A0F02"/>
    <w:rsid w:val="000A3E75"/>
    <w:rsid w:val="000A4A0F"/>
    <w:rsid w:val="000A5D1B"/>
    <w:rsid w:val="000A7A91"/>
    <w:rsid w:val="000B5D1D"/>
    <w:rsid w:val="000C2C77"/>
    <w:rsid w:val="000C33DB"/>
    <w:rsid w:val="000C6495"/>
    <w:rsid w:val="000D02CD"/>
    <w:rsid w:val="000D51B5"/>
    <w:rsid w:val="000D6367"/>
    <w:rsid w:val="000D7FCE"/>
    <w:rsid w:val="000E07BE"/>
    <w:rsid w:val="000E1028"/>
    <w:rsid w:val="000E3C8A"/>
    <w:rsid w:val="000E48F3"/>
    <w:rsid w:val="000F1FFD"/>
    <w:rsid w:val="000F23D5"/>
    <w:rsid w:val="000F4CFB"/>
    <w:rsid w:val="000F55A8"/>
    <w:rsid w:val="000F5953"/>
    <w:rsid w:val="000F7337"/>
    <w:rsid w:val="00100C67"/>
    <w:rsid w:val="00101B2F"/>
    <w:rsid w:val="00101C84"/>
    <w:rsid w:val="001035A8"/>
    <w:rsid w:val="001061E4"/>
    <w:rsid w:val="00110597"/>
    <w:rsid w:val="0011393F"/>
    <w:rsid w:val="00114C6E"/>
    <w:rsid w:val="00114DA1"/>
    <w:rsid w:val="00120A6B"/>
    <w:rsid w:val="00121A4A"/>
    <w:rsid w:val="00121A5A"/>
    <w:rsid w:val="00134DDB"/>
    <w:rsid w:val="00134EFB"/>
    <w:rsid w:val="00135486"/>
    <w:rsid w:val="00142A64"/>
    <w:rsid w:val="001442CE"/>
    <w:rsid w:val="00146350"/>
    <w:rsid w:val="00147C75"/>
    <w:rsid w:val="00147D20"/>
    <w:rsid w:val="001527CB"/>
    <w:rsid w:val="00152B01"/>
    <w:rsid w:val="00156208"/>
    <w:rsid w:val="00157711"/>
    <w:rsid w:val="00157B09"/>
    <w:rsid w:val="001620FD"/>
    <w:rsid w:val="001627D3"/>
    <w:rsid w:val="00164519"/>
    <w:rsid w:val="001659AC"/>
    <w:rsid w:val="001659E5"/>
    <w:rsid w:val="0016607D"/>
    <w:rsid w:val="001768BA"/>
    <w:rsid w:val="0018127F"/>
    <w:rsid w:val="00183F36"/>
    <w:rsid w:val="00184A10"/>
    <w:rsid w:val="001A10A2"/>
    <w:rsid w:val="001A21D1"/>
    <w:rsid w:val="001A2A49"/>
    <w:rsid w:val="001A504B"/>
    <w:rsid w:val="001A5914"/>
    <w:rsid w:val="001B097C"/>
    <w:rsid w:val="001B379C"/>
    <w:rsid w:val="001B528F"/>
    <w:rsid w:val="001B5380"/>
    <w:rsid w:val="001B6AA1"/>
    <w:rsid w:val="001B7E63"/>
    <w:rsid w:val="001C4245"/>
    <w:rsid w:val="001C4789"/>
    <w:rsid w:val="001C69DD"/>
    <w:rsid w:val="001C6A13"/>
    <w:rsid w:val="001D0187"/>
    <w:rsid w:val="001D076E"/>
    <w:rsid w:val="001D1F70"/>
    <w:rsid w:val="001D4520"/>
    <w:rsid w:val="001D7543"/>
    <w:rsid w:val="001D7ABA"/>
    <w:rsid w:val="001E22E8"/>
    <w:rsid w:val="001E307C"/>
    <w:rsid w:val="001E3800"/>
    <w:rsid w:val="001E5F24"/>
    <w:rsid w:val="001E6079"/>
    <w:rsid w:val="001F0116"/>
    <w:rsid w:val="001F0A0B"/>
    <w:rsid w:val="001F77A3"/>
    <w:rsid w:val="00202A08"/>
    <w:rsid w:val="00202F26"/>
    <w:rsid w:val="00203CA4"/>
    <w:rsid w:val="00203EFB"/>
    <w:rsid w:val="0020415E"/>
    <w:rsid w:val="0020526D"/>
    <w:rsid w:val="00206059"/>
    <w:rsid w:val="00206297"/>
    <w:rsid w:val="002129C5"/>
    <w:rsid w:val="00212F39"/>
    <w:rsid w:val="00212FFB"/>
    <w:rsid w:val="002143C2"/>
    <w:rsid w:val="002146EA"/>
    <w:rsid w:val="00214B46"/>
    <w:rsid w:val="00215A13"/>
    <w:rsid w:val="002202FD"/>
    <w:rsid w:val="00221779"/>
    <w:rsid w:val="0023018D"/>
    <w:rsid w:val="0023036F"/>
    <w:rsid w:val="00234CBA"/>
    <w:rsid w:val="00236B29"/>
    <w:rsid w:val="002534B9"/>
    <w:rsid w:val="002537D0"/>
    <w:rsid w:val="00263DE0"/>
    <w:rsid w:val="00266495"/>
    <w:rsid w:val="002674D0"/>
    <w:rsid w:val="00267642"/>
    <w:rsid w:val="00267B5F"/>
    <w:rsid w:val="00267F75"/>
    <w:rsid w:val="00271489"/>
    <w:rsid w:val="00274144"/>
    <w:rsid w:val="002747D9"/>
    <w:rsid w:val="0027574A"/>
    <w:rsid w:val="00282312"/>
    <w:rsid w:val="002851B1"/>
    <w:rsid w:val="002968D8"/>
    <w:rsid w:val="00296C58"/>
    <w:rsid w:val="002A1619"/>
    <w:rsid w:val="002A4D1F"/>
    <w:rsid w:val="002A6146"/>
    <w:rsid w:val="002A6821"/>
    <w:rsid w:val="002B1176"/>
    <w:rsid w:val="002B2525"/>
    <w:rsid w:val="002B30EE"/>
    <w:rsid w:val="002B4DD1"/>
    <w:rsid w:val="002B5AF5"/>
    <w:rsid w:val="002D1420"/>
    <w:rsid w:val="002D3E8C"/>
    <w:rsid w:val="002E0729"/>
    <w:rsid w:val="002E7F87"/>
    <w:rsid w:val="002F0F19"/>
    <w:rsid w:val="002F126A"/>
    <w:rsid w:val="002F5259"/>
    <w:rsid w:val="002F6B9F"/>
    <w:rsid w:val="00302E5C"/>
    <w:rsid w:val="00304009"/>
    <w:rsid w:val="00306197"/>
    <w:rsid w:val="0030691F"/>
    <w:rsid w:val="00306A6C"/>
    <w:rsid w:val="00307CDE"/>
    <w:rsid w:val="00315646"/>
    <w:rsid w:val="00316074"/>
    <w:rsid w:val="00323FC9"/>
    <w:rsid w:val="003254F9"/>
    <w:rsid w:val="00336A22"/>
    <w:rsid w:val="00337C99"/>
    <w:rsid w:val="0034369A"/>
    <w:rsid w:val="00344B5B"/>
    <w:rsid w:val="00347788"/>
    <w:rsid w:val="00351759"/>
    <w:rsid w:val="0036034F"/>
    <w:rsid w:val="00360EE7"/>
    <w:rsid w:val="00367A87"/>
    <w:rsid w:val="0037532E"/>
    <w:rsid w:val="00376DE8"/>
    <w:rsid w:val="00382413"/>
    <w:rsid w:val="003825AD"/>
    <w:rsid w:val="00383C29"/>
    <w:rsid w:val="003840ED"/>
    <w:rsid w:val="003850FB"/>
    <w:rsid w:val="00392792"/>
    <w:rsid w:val="00392A6B"/>
    <w:rsid w:val="00392D48"/>
    <w:rsid w:val="00396CF5"/>
    <w:rsid w:val="00397B0B"/>
    <w:rsid w:val="003A1CD9"/>
    <w:rsid w:val="003A1F97"/>
    <w:rsid w:val="003A33F2"/>
    <w:rsid w:val="003A37A7"/>
    <w:rsid w:val="003A380A"/>
    <w:rsid w:val="003A4615"/>
    <w:rsid w:val="003A522C"/>
    <w:rsid w:val="003A5B7B"/>
    <w:rsid w:val="003A62E5"/>
    <w:rsid w:val="003A6AB6"/>
    <w:rsid w:val="003B4D64"/>
    <w:rsid w:val="003C1862"/>
    <w:rsid w:val="003C3199"/>
    <w:rsid w:val="003C4AEB"/>
    <w:rsid w:val="003D3EA6"/>
    <w:rsid w:val="003D6F35"/>
    <w:rsid w:val="003E4F96"/>
    <w:rsid w:val="003E50E3"/>
    <w:rsid w:val="003E7A07"/>
    <w:rsid w:val="00404C69"/>
    <w:rsid w:val="0040581F"/>
    <w:rsid w:val="0041029F"/>
    <w:rsid w:val="0041035E"/>
    <w:rsid w:val="004116F2"/>
    <w:rsid w:val="004144E2"/>
    <w:rsid w:val="00414B36"/>
    <w:rsid w:val="004153AF"/>
    <w:rsid w:val="00416F1B"/>
    <w:rsid w:val="00417779"/>
    <w:rsid w:val="00421E98"/>
    <w:rsid w:val="00423382"/>
    <w:rsid w:val="004273F4"/>
    <w:rsid w:val="00427872"/>
    <w:rsid w:val="00430E5C"/>
    <w:rsid w:val="00436983"/>
    <w:rsid w:val="00441D85"/>
    <w:rsid w:val="004461AC"/>
    <w:rsid w:val="004477BA"/>
    <w:rsid w:val="004479E3"/>
    <w:rsid w:val="00453538"/>
    <w:rsid w:val="0045616B"/>
    <w:rsid w:val="004568A2"/>
    <w:rsid w:val="00460BBB"/>
    <w:rsid w:val="0046264A"/>
    <w:rsid w:val="0046310F"/>
    <w:rsid w:val="00463D52"/>
    <w:rsid w:val="004662B4"/>
    <w:rsid w:val="0047041E"/>
    <w:rsid w:val="0047294D"/>
    <w:rsid w:val="004762B0"/>
    <w:rsid w:val="0047782E"/>
    <w:rsid w:val="00477F2C"/>
    <w:rsid w:val="00481DB2"/>
    <w:rsid w:val="00483A63"/>
    <w:rsid w:val="00484BCC"/>
    <w:rsid w:val="004867EA"/>
    <w:rsid w:val="00487814"/>
    <w:rsid w:val="00493E51"/>
    <w:rsid w:val="004A2A0D"/>
    <w:rsid w:val="004A596B"/>
    <w:rsid w:val="004B1F93"/>
    <w:rsid w:val="004B3AEF"/>
    <w:rsid w:val="004B415F"/>
    <w:rsid w:val="004B5BA2"/>
    <w:rsid w:val="004B6399"/>
    <w:rsid w:val="004C246C"/>
    <w:rsid w:val="004C6FC5"/>
    <w:rsid w:val="004D0D4C"/>
    <w:rsid w:val="004D3719"/>
    <w:rsid w:val="004D39A7"/>
    <w:rsid w:val="004D4310"/>
    <w:rsid w:val="004E1279"/>
    <w:rsid w:val="004E1BB2"/>
    <w:rsid w:val="004E4058"/>
    <w:rsid w:val="004E6899"/>
    <w:rsid w:val="004E7AC1"/>
    <w:rsid w:val="004F2FA1"/>
    <w:rsid w:val="004F4053"/>
    <w:rsid w:val="004F4292"/>
    <w:rsid w:val="004F460B"/>
    <w:rsid w:val="0050269D"/>
    <w:rsid w:val="00510522"/>
    <w:rsid w:val="0051381C"/>
    <w:rsid w:val="00514088"/>
    <w:rsid w:val="00517BD9"/>
    <w:rsid w:val="005200BA"/>
    <w:rsid w:val="005208A7"/>
    <w:rsid w:val="005212BA"/>
    <w:rsid w:val="00522170"/>
    <w:rsid w:val="00527051"/>
    <w:rsid w:val="00527261"/>
    <w:rsid w:val="00531388"/>
    <w:rsid w:val="0054067E"/>
    <w:rsid w:val="00541C40"/>
    <w:rsid w:val="00542A46"/>
    <w:rsid w:val="00542BEA"/>
    <w:rsid w:val="00543196"/>
    <w:rsid w:val="005444F4"/>
    <w:rsid w:val="005540ED"/>
    <w:rsid w:val="005547B9"/>
    <w:rsid w:val="00555E97"/>
    <w:rsid w:val="00562AB4"/>
    <w:rsid w:val="005638B2"/>
    <w:rsid w:val="00563FAB"/>
    <w:rsid w:val="00575C11"/>
    <w:rsid w:val="00580B23"/>
    <w:rsid w:val="005857BB"/>
    <w:rsid w:val="00586917"/>
    <w:rsid w:val="005872D0"/>
    <w:rsid w:val="005930DB"/>
    <w:rsid w:val="00593313"/>
    <w:rsid w:val="0059390B"/>
    <w:rsid w:val="00596C37"/>
    <w:rsid w:val="00597ABD"/>
    <w:rsid w:val="005A31EE"/>
    <w:rsid w:val="005A35B4"/>
    <w:rsid w:val="005A386C"/>
    <w:rsid w:val="005A76DB"/>
    <w:rsid w:val="005B213E"/>
    <w:rsid w:val="005B4423"/>
    <w:rsid w:val="005B6542"/>
    <w:rsid w:val="005B7031"/>
    <w:rsid w:val="005B7B12"/>
    <w:rsid w:val="005C0C28"/>
    <w:rsid w:val="005C2DE4"/>
    <w:rsid w:val="005D02E5"/>
    <w:rsid w:val="005D1174"/>
    <w:rsid w:val="005D4348"/>
    <w:rsid w:val="005D46D8"/>
    <w:rsid w:val="005D5BBC"/>
    <w:rsid w:val="005E35A0"/>
    <w:rsid w:val="005E3AA1"/>
    <w:rsid w:val="005E53FF"/>
    <w:rsid w:val="005F03E1"/>
    <w:rsid w:val="005F1994"/>
    <w:rsid w:val="005F1DC0"/>
    <w:rsid w:val="005F2DE5"/>
    <w:rsid w:val="005F33C9"/>
    <w:rsid w:val="005F5509"/>
    <w:rsid w:val="005F7D5D"/>
    <w:rsid w:val="00601DB7"/>
    <w:rsid w:val="006062DB"/>
    <w:rsid w:val="006131D6"/>
    <w:rsid w:val="00614494"/>
    <w:rsid w:val="00614673"/>
    <w:rsid w:val="0062206D"/>
    <w:rsid w:val="006239F2"/>
    <w:rsid w:val="006244B0"/>
    <w:rsid w:val="00624C50"/>
    <w:rsid w:val="00625FC8"/>
    <w:rsid w:val="006313A0"/>
    <w:rsid w:val="00633942"/>
    <w:rsid w:val="006414F6"/>
    <w:rsid w:val="006427A8"/>
    <w:rsid w:val="00642F0F"/>
    <w:rsid w:val="00643E82"/>
    <w:rsid w:val="00644471"/>
    <w:rsid w:val="00644740"/>
    <w:rsid w:val="00646653"/>
    <w:rsid w:val="006506F4"/>
    <w:rsid w:val="00651022"/>
    <w:rsid w:val="006510C8"/>
    <w:rsid w:val="00656414"/>
    <w:rsid w:val="006647FB"/>
    <w:rsid w:val="00664BFE"/>
    <w:rsid w:val="006676EA"/>
    <w:rsid w:val="00671D4E"/>
    <w:rsid w:val="00672E8F"/>
    <w:rsid w:val="006742DC"/>
    <w:rsid w:val="006756A3"/>
    <w:rsid w:val="00675E2E"/>
    <w:rsid w:val="006768B1"/>
    <w:rsid w:val="0068253C"/>
    <w:rsid w:val="00683296"/>
    <w:rsid w:val="0068381B"/>
    <w:rsid w:val="00683820"/>
    <w:rsid w:val="006849A8"/>
    <w:rsid w:val="006901D7"/>
    <w:rsid w:val="00696C71"/>
    <w:rsid w:val="006A033B"/>
    <w:rsid w:val="006A0637"/>
    <w:rsid w:val="006A238C"/>
    <w:rsid w:val="006A2ACC"/>
    <w:rsid w:val="006A3A08"/>
    <w:rsid w:val="006A46F6"/>
    <w:rsid w:val="006A778D"/>
    <w:rsid w:val="006B2724"/>
    <w:rsid w:val="006C3552"/>
    <w:rsid w:val="006C3F63"/>
    <w:rsid w:val="006C4538"/>
    <w:rsid w:val="006D5AA2"/>
    <w:rsid w:val="006D735C"/>
    <w:rsid w:val="006E1530"/>
    <w:rsid w:val="006E1D54"/>
    <w:rsid w:val="006E239E"/>
    <w:rsid w:val="006E30BC"/>
    <w:rsid w:val="006E42B3"/>
    <w:rsid w:val="006E4C70"/>
    <w:rsid w:val="006E67AF"/>
    <w:rsid w:val="006E7230"/>
    <w:rsid w:val="006E775D"/>
    <w:rsid w:val="0070039E"/>
    <w:rsid w:val="007035CD"/>
    <w:rsid w:val="00705148"/>
    <w:rsid w:val="00705A09"/>
    <w:rsid w:val="00707A44"/>
    <w:rsid w:val="007159E0"/>
    <w:rsid w:val="0071777B"/>
    <w:rsid w:val="00717842"/>
    <w:rsid w:val="00721588"/>
    <w:rsid w:val="007223AE"/>
    <w:rsid w:val="00722D09"/>
    <w:rsid w:val="0072337A"/>
    <w:rsid w:val="007304BD"/>
    <w:rsid w:val="00731A44"/>
    <w:rsid w:val="007327E6"/>
    <w:rsid w:val="00734E19"/>
    <w:rsid w:val="00735162"/>
    <w:rsid w:val="00741A68"/>
    <w:rsid w:val="00741FAB"/>
    <w:rsid w:val="00743583"/>
    <w:rsid w:val="0074389B"/>
    <w:rsid w:val="00744AF5"/>
    <w:rsid w:val="00744F53"/>
    <w:rsid w:val="00746FD7"/>
    <w:rsid w:val="00752121"/>
    <w:rsid w:val="007536EC"/>
    <w:rsid w:val="007539C1"/>
    <w:rsid w:val="00761178"/>
    <w:rsid w:val="00765BEC"/>
    <w:rsid w:val="00766987"/>
    <w:rsid w:val="0077020B"/>
    <w:rsid w:val="007709FD"/>
    <w:rsid w:val="00770E81"/>
    <w:rsid w:val="00772184"/>
    <w:rsid w:val="00772B9D"/>
    <w:rsid w:val="00774268"/>
    <w:rsid w:val="00775896"/>
    <w:rsid w:val="0077775D"/>
    <w:rsid w:val="007806BB"/>
    <w:rsid w:val="00782610"/>
    <w:rsid w:val="00786628"/>
    <w:rsid w:val="00787ED8"/>
    <w:rsid w:val="00790CBE"/>
    <w:rsid w:val="00790EB5"/>
    <w:rsid w:val="00792763"/>
    <w:rsid w:val="00795760"/>
    <w:rsid w:val="007979B1"/>
    <w:rsid w:val="007A0271"/>
    <w:rsid w:val="007A2B75"/>
    <w:rsid w:val="007A4BF5"/>
    <w:rsid w:val="007A76FF"/>
    <w:rsid w:val="007A7CB3"/>
    <w:rsid w:val="007B3BD0"/>
    <w:rsid w:val="007C0946"/>
    <w:rsid w:val="007C2CD6"/>
    <w:rsid w:val="007C2D80"/>
    <w:rsid w:val="007C3EE8"/>
    <w:rsid w:val="007C4303"/>
    <w:rsid w:val="007C437A"/>
    <w:rsid w:val="007C710A"/>
    <w:rsid w:val="007C77C0"/>
    <w:rsid w:val="007D45A8"/>
    <w:rsid w:val="007D6004"/>
    <w:rsid w:val="007E0AC6"/>
    <w:rsid w:val="007E21A0"/>
    <w:rsid w:val="007E2780"/>
    <w:rsid w:val="007F72BD"/>
    <w:rsid w:val="00813AEF"/>
    <w:rsid w:val="00820BCC"/>
    <w:rsid w:val="00820C97"/>
    <w:rsid w:val="008222C8"/>
    <w:rsid w:val="00823559"/>
    <w:rsid w:val="0082436D"/>
    <w:rsid w:val="00825954"/>
    <w:rsid w:val="00831011"/>
    <w:rsid w:val="00831BD7"/>
    <w:rsid w:val="0084172C"/>
    <w:rsid w:val="00847664"/>
    <w:rsid w:val="008478CF"/>
    <w:rsid w:val="00850158"/>
    <w:rsid w:val="00850A8B"/>
    <w:rsid w:val="00851E00"/>
    <w:rsid w:val="0085379A"/>
    <w:rsid w:val="00853851"/>
    <w:rsid w:val="00853A45"/>
    <w:rsid w:val="0085478B"/>
    <w:rsid w:val="0085499E"/>
    <w:rsid w:val="00856294"/>
    <w:rsid w:val="008562F2"/>
    <w:rsid w:val="00856D54"/>
    <w:rsid w:val="00857DB6"/>
    <w:rsid w:val="0086324B"/>
    <w:rsid w:val="0086665C"/>
    <w:rsid w:val="0087049E"/>
    <w:rsid w:val="008750B5"/>
    <w:rsid w:val="0088021E"/>
    <w:rsid w:val="00881423"/>
    <w:rsid w:val="0088142D"/>
    <w:rsid w:val="00881507"/>
    <w:rsid w:val="008874B0"/>
    <w:rsid w:val="00887659"/>
    <w:rsid w:val="00887EC8"/>
    <w:rsid w:val="0089206E"/>
    <w:rsid w:val="00894610"/>
    <w:rsid w:val="00895E95"/>
    <w:rsid w:val="008A0108"/>
    <w:rsid w:val="008A1784"/>
    <w:rsid w:val="008A182C"/>
    <w:rsid w:val="008A2302"/>
    <w:rsid w:val="008A31AB"/>
    <w:rsid w:val="008A5A9F"/>
    <w:rsid w:val="008B577C"/>
    <w:rsid w:val="008C39E8"/>
    <w:rsid w:val="008D2F1B"/>
    <w:rsid w:val="008D45A5"/>
    <w:rsid w:val="008D4EC1"/>
    <w:rsid w:val="008D6B6F"/>
    <w:rsid w:val="008E44E3"/>
    <w:rsid w:val="008F235F"/>
    <w:rsid w:val="008F306B"/>
    <w:rsid w:val="008F4CA6"/>
    <w:rsid w:val="008F53F8"/>
    <w:rsid w:val="008F653E"/>
    <w:rsid w:val="00900CAC"/>
    <w:rsid w:val="00904176"/>
    <w:rsid w:val="009064E0"/>
    <w:rsid w:val="00906E30"/>
    <w:rsid w:val="0091063E"/>
    <w:rsid w:val="009110E6"/>
    <w:rsid w:val="009142DB"/>
    <w:rsid w:val="00914552"/>
    <w:rsid w:val="009176A8"/>
    <w:rsid w:val="00917A61"/>
    <w:rsid w:val="009224A2"/>
    <w:rsid w:val="0092264B"/>
    <w:rsid w:val="00923737"/>
    <w:rsid w:val="00923C66"/>
    <w:rsid w:val="009250A1"/>
    <w:rsid w:val="00931578"/>
    <w:rsid w:val="009355F7"/>
    <w:rsid w:val="00940319"/>
    <w:rsid w:val="00943B84"/>
    <w:rsid w:val="009463F5"/>
    <w:rsid w:val="00950A60"/>
    <w:rsid w:val="00950DFE"/>
    <w:rsid w:val="009516B6"/>
    <w:rsid w:val="0095362B"/>
    <w:rsid w:val="0097142D"/>
    <w:rsid w:val="00977E18"/>
    <w:rsid w:val="00981619"/>
    <w:rsid w:val="00986958"/>
    <w:rsid w:val="009871D3"/>
    <w:rsid w:val="00992616"/>
    <w:rsid w:val="00992641"/>
    <w:rsid w:val="009943A4"/>
    <w:rsid w:val="00995F1C"/>
    <w:rsid w:val="009A0EE4"/>
    <w:rsid w:val="009A19EB"/>
    <w:rsid w:val="009A2B43"/>
    <w:rsid w:val="009A4741"/>
    <w:rsid w:val="009A4F4E"/>
    <w:rsid w:val="009A74F7"/>
    <w:rsid w:val="009B1DC5"/>
    <w:rsid w:val="009B2E74"/>
    <w:rsid w:val="009B6184"/>
    <w:rsid w:val="009B6304"/>
    <w:rsid w:val="009C16BD"/>
    <w:rsid w:val="009C2750"/>
    <w:rsid w:val="009C38F3"/>
    <w:rsid w:val="009C4246"/>
    <w:rsid w:val="009D254B"/>
    <w:rsid w:val="009D4B45"/>
    <w:rsid w:val="009D7343"/>
    <w:rsid w:val="009E282F"/>
    <w:rsid w:val="009F0FB0"/>
    <w:rsid w:val="009F2CD2"/>
    <w:rsid w:val="009F7470"/>
    <w:rsid w:val="00A002E4"/>
    <w:rsid w:val="00A1019E"/>
    <w:rsid w:val="00A13238"/>
    <w:rsid w:val="00A1335E"/>
    <w:rsid w:val="00A13B5E"/>
    <w:rsid w:val="00A14B1C"/>
    <w:rsid w:val="00A15A6F"/>
    <w:rsid w:val="00A171AB"/>
    <w:rsid w:val="00A17423"/>
    <w:rsid w:val="00A23259"/>
    <w:rsid w:val="00A257BE"/>
    <w:rsid w:val="00A26E08"/>
    <w:rsid w:val="00A3583D"/>
    <w:rsid w:val="00A427F3"/>
    <w:rsid w:val="00A44935"/>
    <w:rsid w:val="00A503EE"/>
    <w:rsid w:val="00A5064E"/>
    <w:rsid w:val="00A517B4"/>
    <w:rsid w:val="00A539BC"/>
    <w:rsid w:val="00A55212"/>
    <w:rsid w:val="00A6027E"/>
    <w:rsid w:val="00A63373"/>
    <w:rsid w:val="00A63AEB"/>
    <w:rsid w:val="00A64F4F"/>
    <w:rsid w:val="00A65D83"/>
    <w:rsid w:val="00A6647D"/>
    <w:rsid w:val="00A668DB"/>
    <w:rsid w:val="00A70309"/>
    <w:rsid w:val="00A74CF6"/>
    <w:rsid w:val="00A755BD"/>
    <w:rsid w:val="00A75648"/>
    <w:rsid w:val="00A77390"/>
    <w:rsid w:val="00A777E2"/>
    <w:rsid w:val="00A77D80"/>
    <w:rsid w:val="00A80085"/>
    <w:rsid w:val="00A80C12"/>
    <w:rsid w:val="00A85395"/>
    <w:rsid w:val="00A8571C"/>
    <w:rsid w:val="00A87666"/>
    <w:rsid w:val="00A877F4"/>
    <w:rsid w:val="00A9104B"/>
    <w:rsid w:val="00AA1BE7"/>
    <w:rsid w:val="00AA1CCC"/>
    <w:rsid w:val="00AA3FE8"/>
    <w:rsid w:val="00AA646C"/>
    <w:rsid w:val="00AA6AA6"/>
    <w:rsid w:val="00AB0688"/>
    <w:rsid w:val="00AC2629"/>
    <w:rsid w:val="00AC2C33"/>
    <w:rsid w:val="00AC64BC"/>
    <w:rsid w:val="00AC74C0"/>
    <w:rsid w:val="00AC7E5B"/>
    <w:rsid w:val="00AD2269"/>
    <w:rsid w:val="00AD5980"/>
    <w:rsid w:val="00AD5C8A"/>
    <w:rsid w:val="00AD6A02"/>
    <w:rsid w:val="00AE1CC1"/>
    <w:rsid w:val="00AE3C51"/>
    <w:rsid w:val="00AE75C2"/>
    <w:rsid w:val="00AF1251"/>
    <w:rsid w:val="00AF2544"/>
    <w:rsid w:val="00AF25DE"/>
    <w:rsid w:val="00AF3094"/>
    <w:rsid w:val="00AF4FB2"/>
    <w:rsid w:val="00AF593A"/>
    <w:rsid w:val="00B015D2"/>
    <w:rsid w:val="00B01739"/>
    <w:rsid w:val="00B02814"/>
    <w:rsid w:val="00B02ABA"/>
    <w:rsid w:val="00B04E01"/>
    <w:rsid w:val="00B05111"/>
    <w:rsid w:val="00B06CAC"/>
    <w:rsid w:val="00B07318"/>
    <w:rsid w:val="00B117ED"/>
    <w:rsid w:val="00B118D4"/>
    <w:rsid w:val="00B11E90"/>
    <w:rsid w:val="00B151FF"/>
    <w:rsid w:val="00B231D1"/>
    <w:rsid w:val="00B26EEE"/>
    <w:rsid w:val="00B30144"/>
    <w:rsid w:val="00B34409"/>
    <w:rsid w:val="00B347A2"/>
    <w:rsid w:val="00B37DD9"/>
    <w:rsid w:val="00B4238F"/>
    <w:rsid w:val="00B54406"/>
    <w:rsid w:val="00B55900"/>
    <w:rsid w:val="00B55B95"/>
    <w:rsid w:val="00B55BAD"/>
    <w:rsid w:val="00B56A3C"/>
    <w:rsid w:val="00B622B3"/>
    <w:rsid w:val="00B63AFD"/>
    <w:rsid w:val="00B67F82"/>
    <w:rsid w:val="00B70876"/>
    <w:rsid w:val="00B71692"/>
    <w:rsid w:val="00B755EB"/>
    <w:rsid w:val="00B832FA"/>
    <w:rsid w:val="00B84D69"/>
    <w:rsid w:val="00B85E01"/>
    <w:rsid w:val="00B92405"/>
    <w:rsid w:val="00B95296"/>
    <w:rsid w:val="00B9677F"/>
    <w:rsid w:val="00BA17ED"/>
    <w:rsid w:val="00BA3FFF"/>
    <w:rsid w:val="00BA45DD"/>
    <w:rsid w:val="00BA4999"/>
    <w:rsid w:val="00BB06E9"/>
    <w:rsid w:val="00BB3850"/>
    <w:rsid w:val="00BB3BF6"/>
    <w:rsid w:val="00BB46EA"/>
    <w:rsid w:val="00BB5D0A"/>
    <w:rsid w:val="00BC6E81"/>
    <w:rsid w:val="00BD1970"/>
    <w:rsid w:val="00BD2F35"/>
    <w:rsid w:val="00BD4AB9"/>
    <w:rsid w:val="00BD53A5"/>
    <w:rsid w:val="00BE0FE4"/>
    <w:rsid w:val="00BE1DF0"/>
    <w:rsid w:val="00BE204C"/>
    <w:rsid w:val="00BE6197"/>
    <w:rsid w:val="00BE7DE8"/>
    <w:rsid w:val="00BF2625"/>
    <w:rsid w:val="00BF4EC7"/>
    <w:rsid w:val="00BF724C"/>
    <w:rsid w:val="00C02332"/>
    <w:rsid w:val="00C0253C"/>
    <w:rsid w:val="00C02CAC"/>
    <w:rsid w:val="00C02D73"/>
    <w:rsid w:val="00C049EA"/>
    <w:rsid w:val="00C05B17"/>
    <w:rsid w:val="00C05DF6"/>
    <w:rsid w:val="00C06140"/>
    <w:rsid w:val="00C07120"/>
    <w:rsid w:val="00C14B4C"/>
    <w:rsid w:val="00C16990"/>
    <w:rsid w:val="00C2121D"/>
    <w:rsid w:val="00C22CD1"/>
    <w:rsid w:val="00C23317"/>
    <w:rsid w:val="00C24FFC"/>
    <w:rsid w:val="00C260D3"/>
    <w:rsid w:val="00C26AE0"/>
    <w:rsid w:val="00C274BD"/>
    <w:rsid w:val="00C31396"/>
    <w:rsid w:val="00C37DDB"/>
    <w:rsid w:val="00C41ADD"/>
    <w:rsid w:val="00C44186"/>
    <w:rsid w:val="00C44DD3"/>
    <w:rsid w:val="00C455D3"/>
    <w:rsid w:val="00C45D76"/>
    <w:rsid w:val="00C46C47"/>
    <w:rsid w:val="00C50612"/>
    <w:rsid w:val="00C506DC"/>
    <w:rsid w:val="00C61CED"/>
    <w:rsid w:val="00C61ED2"/>
    <w:rsid w:val="00C633BB"/>
    <w:rsid w:val="00C67FD5"/>
    <w:rsid w:val="00C700F4"/>
    <w:rsid w:val="00C712A8"/>
    <w:rsid w:val="00C74938"/>
    <w:rsid w:val="00C8014C"/>
    <w:rsid w:val="00C803C7"/>
    <w:rsid w:val="00C81152"/>
    <w:rsid w:val="00C837E1"/>
    <w:rsid w:val="00C83E0B"/>
    <w:rsid w:val="00C84840"/>
    <w:rsid w:val="00C864E1"/>
    <w:rsid w:val="00C86540"/>
    <w:rsid w:val="00C869C7"/>
    <w:rsid w:val="00C86E49"/>
    <w:rsid w:val="00C9296E"/>
    <w:rsid w:val="00C9473F"/>
    <w:rsid w:val="00C96C0A"/>
    <w:rsid w:val="00CA053D"/>
    <w:rsid w:val="00CA4DCB"/>
    <w:rsid w:val="00CB6421"/>
    <w:rsid w:val="00CD4314"/>
    <w:rsid w:val="00CD4F8B"/>
    <w:rsid w:val="00CD70C0"/>
    <w:rsid w:val="00CD7BE2"/>
    <w:rsid w:val="00CE5CC1"/>
    <w:rsid w:val="00CE6820"/>
    <w:rsid w:val="00CE74D6"/>
    <w:rsid w:val="00CF06E3"/>
    <w:rsid w:val="00CF10E3"/>
    <w:rsid w:val="00CF1B15"/>
    <w:rsid w:val="00CF2F50"/>
    <w:rsid w:val="00CF4FC3"/>
    <w:rsid w:val="00CF6322"/>
    <w:rsid w:val="00D026CE"/>
    <w:rsid w:val="00D04D9B"/>
    <w:rsid w:val="00D07FBB"/>
    <w:rsid w:val="00D24C08"/>
    <w:rsid w:val="00D2551D"/>
    <w:rsid w:val="00D256B0"/>
    <w:rsid w:val="00D27113"/>
    <w:rsid w:val="00D27613"/>
    <w:rsid w:val="00D2797F"/>
    <w:rsid w:val="00D302BC"/>
    <w:rsid w:val="00D30637"/>
    <w:rsid w:val="00D3107A"/>
    <w:rsid w:val="00D310BF"/>
    <w:rsid w:val="00D45139"/>
    <w:rsid w:val="00D528BE"/>
    <w:rsid w:val="00D53DBD"/>
    <w:rsid w:val="00D564BE"/>
    <w:rsid w:val="00D62B9A"/>
    <w:rsid w:val="00D6308A"/>
    <w:rsid w:val="00D63563"/>
    <w:rsid w:val="00D6415D"/>
    <w:rsid w:val="00D64E83"/>
    <w:rsid w:val="00D67AB7"/>
    <w:rsid w:val="00D737EE"/>
    <w:rsid w:val="00D7418A"/>
    <w:rsid w:val="00D80D35"/>
    <w:rsid w:val="00D90492"/>
    <w:rsid w:val="00D93584"/>
    <w:rsid w:val="00D95188"/>
    <w:rsid w:val="00DA6E82"/>
    <w:rsid w:val="00DB2A30"/>
    <w:rsid w:val="00DB4B6E"/>
    <w:rsid w:val="00DC2EC4"/>
    <w:rsid w:val="00DC3DBD"/>
    <w:rsid w:val="00DC5500"/>
    <w:rsid w:val="00DC7896"/>
    <w:rsid w:val="00DD4E06"/>
    <w:rsid w:val="00DE015C"/>
    <w:rsid w:val="00DE658E"/>
    <w:rsid w:val="00DE74DE"/>
    <w:rsid w:val="00DF356B"/>
    <w:rsid w:val="00DF435E"/>
    <w:rsid w:val="00E02933"/>
    <w:rsid w:val="00E05BD6"/>
    <w:rsid w:val="00E07101"/>
    <w:rsid w:val="00E11011"/>
    <w:rsid w:val="00E11D52"/>
    <w:rsid w:val="00E1521A"/>
    <w:rsid w:val="00E17A45"/>
    <w:rsid w:val="00E25D1C"/>
    <w:rsid w:val="00E30458"/>
    <w:rsid w:val="00E30E6D"/>
    <w:rsid w:val="00E314C7"/>
    <w:rsid w:val="00E33761"/>
    <w:rsid w:val="00E401D0"/>
    <w:rsid w:val="00E44192"/>
    <w:rsid w:val="00E47194"/>
    <w:rsid w:val="00E51228"/>
    <w:rsid w:val="00E5265E"/>
    <w:rsid w:val="00E549B0"/>
    <w:rsid w:val="00E60620"/>
    <w:rsid w:val="00E6096F"/>
    <w:rsid w:val="00E62BCD"/>
    <w:rsid w:val="00E65595"/>
    <w:rsid w:val="00E65D83"/>
    <w:rsid w:val="00E663F3"/>
    <w:rsid w:val="00E66C40"/>
    <w:rsid w:val="00E708FE"/>
    <w:rsid w:val="00E70DFB"/>
    <w:rsid w:val="00E764B4"/>
    <w:rsid w:val="00E874C8"/>
    <w:rsid w:val="00E90931"/>
    <w:rsid w:val="00E90955"/>
    <w:rsid w:val="00E94009"/>
    <w:rsid w:val="00E976F7"/>
    <w:rsid w:val="00E97A8A"/>
    <w:rsid w:val="00EA16AA"/>
    <w:rsid w:val="00EA3D2E"/>
    <w:rsid w:val="00EA6750"/>
    <w:rsid w:val="00EB2438"/>
    <w:rsid w:val="00EB32A3"/>
    <w:rsid w:val="00EB54AD"/>
    <w:rsid w:val="00EC0B17"/>
    <w:rsid w:val="00EC17B6"/>
    <w:rsid w:val="00EC5256"/>
    <w:rsid w:val="00EC6615"/>
    <w:rsid w:val="00ED155E"/>
    <w:rsid w:val="00ED3B35"/>
    <w:rsid w:val="00ED3EB6"/>
    <w:rsid w:val="00ED4CAF"/>
    <w:rsid w:val="00ED66F3"/>
    <w:rsid w:val="00EE1CEA"/>
    <w:rsid w:val="00EE53A2"/>
    <w:rsid w:val="00EE593E"/>
    <w:rsid w:val="00EF4608"/>
    <w:rsid w:val="00EF71E8"/>
    <w:rsid w:val="00F05884"/>
    <w:rsid w:val="00F163C4"/>
    <w:rsid w:val="00F2516B"/>
    <w:rsid w:val="00F26BAB"/>
    <w:rsid w:val="00F30236"/>
    <w:rsid w:val="00F338C1"/>
    <w:rsid w:val="00F34F07"/>
    <w:rsid w:val="00F43EF0"/>
    <w:rsid w:val="00F50D97"/>
    <w:rsid w:val="00F5256A"/>
    <w:rsid w:val="00F54A25"/>
    <w:rsid w:val="00F56573"/>
    <w:rsid w:val="00F626E7"/>
    <w:rsid w:val="00F654D7"/>
    <w:rsid w:val="00F66426"/>
    <w:rsid w:val="00F70A11"/>
    <w:rsid w:val="00F72113"/>
    <w:rsid w:val="00F74143"/>
    <w:rsid w:val="00F74DAF"/>
    <w:rsid w:val="00F7710A"/>
    <w:rsid w:val="00F7759C"/>
    <w:rsid w:val="00F828D2"/>
    <w:rsid w:val="00F82EDF"/>
    <w:rsid w:val="00F94B75"/>
    <w:rsid w:val="00F952DB"/>
    <w:rsid w:val="00F9580F"/>
    <w:rsid w:val="00F96443"/>
    <w:rsid w:val="00FA3649"/>
    <w:rsid w:val="00FA55FA"/>
    <w:rsid w:val="00FA61BC"/>
    <w:rsid w:val="00FA7BC5"/>
    <w:rsid w:val="00FA7EE1"/>
    <w:rsid w:val="00FB0010"/>
    <w:rsid w:val="00FB00C6"/>
    <w:rsid w:val="00FB2FBC"/>
    <w:rsid w:val="00FB6B8F"/>
    <w:rsid w:val="00FB7AA7"/>
    <w:rsid w:val="00FC3E87"/>
    <w:rsid w:val="00FD761B"/>
    <w:rsid w:val="00FE12FF"/>
    <w:rsid w:val="00FE38A0"/>
    <w:rsid w:val="00FE5DEB"/>
    <w:rsid w:val="00FF1233"/>
    <w:rsid w:val="00FF13A0"/>
    <w:rsid w:val="00FF1595"/>
    <w:rsid w:val="00FF21F0"/>
    <w:rsid w:val="00FF3CD7"/>
    <w:rsid w:val="00FF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F0227"/>
  <w15:docId w15:val="{E5C634DB-10AF-465E-BCF1-5020DAC0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489"/>
    <w:pPr>
      <w:spacing w:line="240" w:lineRule="atLeast"/>
    </w:pPr>
    <w:rPr>
      <w:rFonts w:ascii="Garamond" w:hAnsi="Garamond"/>
      <w:sz w:val="24"/>
    </w:rPr>
  </w:style>
  <w:style w:type="paragraph" w:styleId="Heading1">
    <w:name w:val="heading 1"/>
    <w:aliases w:val="H1-Chap. Head,H1-Sec.Head"/>
    <w:basedOn w:val="Normal"/>
    <w:link w:val="Heading1Char"/>
    <w:qFormat/>
    <w:rsid w:val="0027148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271489"/>
    <w:rPr>
      <w:rFonts w:ascii="Franklin Gothic Medium" w:hAnsi="Franklin Gothic Medium"/>
      <w:b/>
      <w:color w:val="324162"/>
      <w:sz w:val="40"/>
    </w:rPr>
  </w:style>
  <w:style w:type="paragraph" w:customStyle="1" w:styleId="L1-FlLSp12">
    <w:name w:val="L1-FlL Sp&amp;1/2"/>
    <w:basedOn w:val="Normal"/>
    <w:link w:val="L1-FlLSp12Char"/>
    <w:rsid w:val="00271489"/>
    <w:pPr>
      <w:tabs>
        <w:tab w:val="left" w:pos="1152"/>
      </w:tabs>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rsid w:val="00271489"/>
  </w:style>
  <w:style w:type="character" w:customStyle="1" w:styleId="FooterChar">
    <w:name w:val="Footer Char"/>
    <w:link w:val="Footer"/>
    <w:rsid w:val="00271489"/>
    <w:rPr>
      <w:rFonts w:ascii="Garamond" w:hAnsi="Garamond"/>
      <w:sz w:val="24"/>
    </w:rPr>
  </w:style>
  <w:style w:type="paragraph" w:styleId="FootnoteText">
    <w:name w:val="footnote text"/>
    <w:aliases w:val="F1,Footnote Text Char Char,Footnote Text2,F"/>
    <w:link w:val="FootnoteTextChar"/>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
    <w:link w:val="FootnoteText"/>
    <w:rsid w:val="00271489"/>
    <w:rPr>
      <w:rFonts w:ascii="Garamond" w:hAnsi="Garamond"/>
    </w:rPr>
  </w:style>
  <w:style w:type="paragraph" w:styleId="Header">
    <w:name w:val="header"/>
    <w:basedOn w:val="Normal"/>
    <w:link w:val="HeaderChar"/>
    <w:rsid w:val="00271489"/>
    <w:rPr>
      <w:sz w:val="20"/>
    </w:rPr>
  </w:style>
  <w:style w:type="character" w:customStyle="1" w:styleId="HeaderChar">
    <w:name w:val="Header Char"/>
    <w:link w:val="Header"/>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tabs>
        <w:tab w:val="left" w:pos="1152"/>
      </w:tabs>
      <w:ind w:left="1152" w:right="1152"/>
    </w:pPr>
  </w:style>
  <w:style w:type="paragraph" w:customStyle="1" w:styleId="N8-QxQBlock">
    <w:name w:val="N8-QxQ Block"/>
    <w:basedOn w:val="Normal"/>
    <w:rsid w:val="00271489"/>
    <w:pPr>
      <w:tabs>
        <w:tab w:val="left" w:pos="1152"/>
      </w:tabs>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rPr>
      <w:szCs w:val="22"/>
    </w:rPr>
  </w:style>
  <w:style w:type="paragraph" w:styleId="TOC3">
    <w:name w:val="toc 3"/>
    <w:basedOn w:val="Normal"/>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71489"/>
    <w:rPr>
      <w:rFonts w:ascii="Tahoma" w:hAnsi="Tahoma" w:cs="Tahoma"/>
      <w:sz w:val="16"/>
      <w:szCs w:val="16"/>
    </w:rPr>
  </w:style>
  <w:style w:type="character" w:styleId="FootnoteReference">
    <w:name w:val="footnote reference"/>
    <w:basedOn w:val="DefaultParagraphFont"/>
    <w:uiPriority w:val="99"/>
    <w:unhideWhenUsed/>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uiPriority w:val="99"/>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3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jc w:val="both"/>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jc w:val="both"/>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rFonts w:ascii="Times New Roman" w:hAnsi="Times New Roman"/>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9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qFormat/>
    <w:rsid w:val="00271489"/>
    <w:pPr>
      <w:tabs>
        <w:tab w:val="left" w:pos="432"/>
      </w:tabs>
      <w:spacing w:line="240" w:lineRule="auto"/>
      <w:ind w:firstLine="432"/>
      <w:jc w:val="both"/>
    </w:pPr>
    <w:rPr>
      <w:rFonts w:ascii="Times New Roman" w:hAnsi="Times New Roman"/>
      <w:szCs w:val="24"/>
    </w:rPr>
  </w:style>
  <w:style w:type="paragraph" w:customStyle="1" w:styleId="xl63">
    <w:name w:val="xl63"/>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4">
    <w:name w:val="xl64"/>
    <w:basedOn w:val="Normal"/>
    <w:rsid w:val="001527CB"/>
    <w:pPr>
      <w:spacing w:before="100" w:beforeAutospacing="1" w:after="100" w:afterAutospacing="1" w:line="240" w:lineRule="auto"/>
      <w:jc w:val="center"/>
    </w:pPr>
    <w:rPr>
      <w:rFonts w:ascii="Times New Roman" w:hAnsi="Times New Roman"/>
      <w:sz w:val="16"/>
      <w:szCs w:val="16"/>
    </w:rPr>
  </w:style>
  <w:style w:type="paragraph" w:customStyle="1" w:styleId="xl65">
    <w:name w:val="xl65"/>
    <w:basedOn w:val="Normal"/>
    <w:rsid w:val="001527CB"/>
    <w:pPr>
      <w:spacing w:before="100" w:beforeAutospacing="1" w:after="100" w:afterAutospacing="1" w:line="240" w:lineRule="auto"/>
      <w:jc w:val="right"/>
    </w:pPr>
    <w:rPr>
      <w:rFonts w:ascii="Times New Roman" w:hAnsi="Times New Roman"/>
      <w:sz w:val="16"/>
      <w:szCs w:val="16"/>
    </w:rPr>
  </w:style>
  <w:style w:type="paragraph" w:customStyle="1" w:styleId="xl66">
    <w:name w:val="xl66"/>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7">
    <w:name w:val="xl67"/>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8">
    <w:name w:val="xl68"/>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9">
    <w:name w:val="xl69"/>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70">
    <w:name w:val="xl70"/>
    <w:basedOn w:val="Normal"/>
    <w:rsid w:val="001527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1">
    <w:name w:val="xl71"/>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2">
    <w:name w:val="xl72"/>
    <w:basedOn w:val="Normal"/>
    <w:rsid w:val="001527CB"/>
    <w:pPr>
      <w:pBdr>
        <w:top w:val="single" w:sz="8"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3">
    <w:name w:val="xl73"/>
    <w:basedOn w:val="Normal"/>
    <w:rsid w:val="001527C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Normal"/>
    <w:rsid w:val="001527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5">
    <w:name w:val="xl75"/>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6">
    <w:name w:val="xl76"/>
    <w:basedOn w:val="Normal"/>
    <w:rsid w:val="001527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7">
    <w:name w:val="xl77"/>
    <w:basedOn w:val="Normal"/>
    <w:rsid w:val="001527C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8">
    <w:name w:val="xl78"/>
    <w:basedOn w:val="Normal"/>
    <w:rsid w:val="001527CB"/>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9">
    <w:name w:val="xl7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0">
    <w:name w:val="xl8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1">
    <w:name w:val="xl81"/>
    <w:basedOn w:val="Normal"/>
    <w:rsid w:val="001527CB"/>
    <w:pPr>
      <w:spacing w:before="100" w:beforeAutospacing="1" w:after="100" w:afterAutospacing="1" w:line="240" w:lineRule="auto"/>
      <w:jc w:val="center"/>
    </w:pPr>
    <w:rPr>
      <w:rFonts w:ascii="Times New Roman" w:hAnsi="Times New Roman"/>
      <w:sz w:val="16"/>
      <w:szCs w:val="16"/>
    </w:rPr>
  </w:style>
  <w:style w:type="paragraph" w:customStyle="1" w:styleId="xl82">
    <w:name w:val="xl82"/>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83">
    <w:name w:val="xl8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4">
    <w:name w:val="xl8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5">
    <w:name w:val="xl85"/>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6">
    <w:name w:val="xl86"/>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87">
    <w:name w:val="xl87"/>
    <w:basedOn w:val="Normal"/>
    <w:rsid w:val="001527CB"/>
    <w:pPr>
      <w:shd w:val="clear" w:color="000000" w:fill="FFFF00"/>
      <w:spacing w:before="100" w:beforeAutospacing="1" w:after="100" w:afterAutospacing="1" w:line="240" w:lineRule="auto"/>
    </w:pPr>
    <w:rPr>
      <w:rFonts w:ascii="Times New Roman" w:hAnsi="Times New Roman"/>
      <w:sz w:val="16"/>
      <w:szCs w:val="16"/>
    </w:rPr>
  </w:style>
  <w:style w:type="paragraph" w:customStyle="1" w:styleId="xl88">
    <w:name w:val="xl88"/>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89">
    <w:name w:val="xl89"/>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0">
    <w:name w:val="xl9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1">
    <w:name w:val="xl91"/>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2">
    <w:name w:val="xl92"/>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3">
    <w:name w:val="xl9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4">
    <w:name w:val="xl9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5">
    <w:name w:val="xl95"/>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6">
    <w:name w:val="xl96"/>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7">
    <w:name w:val="xl97"/>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8">
    <w:name w:val="xl98"/>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9">
    <w:name w:val="xl9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0">
    <w:name w:val="xl10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1">
    <w:name w:val="xl101"/>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2">
    <w:name w:val="xl102"/>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3">
    <w:name w:val="xl103"/>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4">
    <w:name w:val="xl104"/>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5">
    <w:name w:val="xl105"/>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6">
    <w:name w:val="xl106"/>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7">
    <w:name w:val="xl107"/>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8">
    <w:name w:val="xl108"/>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9">
    <w:name w:val="xl10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0">
    <w:name w:val="xl11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1">
    <w:name w:val="xl111"/>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2">
    <w:name w:val="xl112"/>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3">
    <w:name w:val="xl11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14">
    <w:name w:val="xl114"/>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115">
    <w:name w:val="xl115"/>
    <w:basedOn w:val="Normal"/>
    <w:rsid w:val="001527CB"/>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6">
    <w:name w:val="xl116"/>
    <w:basedOn w:val="Normal"/>
    <w:rsid w:val="001527CB"/>
    <w:pPr>
      <w:pBdr>
        <w:lef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Normal"/>
    <w:rsid w:val="001527CB"/>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8">
    <w:name w:val="xl118"/>
    <w:basedOn w:val="Normal"/>
    <w:rsid w:val="001527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9">
    <w:name w:val="xl119"/>
    <w:basedOn w:val="Normal"/>
    <w:rsid w:val="001527CB"/>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Normal"/>
    <w:rsid w:val="001527C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Normal"/>
    <w:rsid w:val="001527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2">
    <w:name w:val="xl122"/>
    <w:basedOn w:val="Normal"/>
    <w:rsid w:val="001527C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3">
    <w:name w:val="xl123"/>
    <w:basedOn w:val="Normal"/>
    <w:rsid w:val="001527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4">
    <w:name w:val="xl12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Normal"/>
    <w:rsid w:val="001527C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6">
    <w:name w:val="xl126"/>
    <w:basedOn w:val="Normal"/>
    <w:rsid w:val="001527CB"/>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7">
    <w:name w:val="xl127"/>
    <w:basedOn w:val="Normal"/>
    <w:rsid w:val="001527C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8">
    <w:name w:val="xl128"/>
    <w:basedOn w:val="Normal"/>
    <w:rsid w:val="001527CB"/>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9">
    <w:name w:val="xl129"/>
    <w:basedOn w:val="Normal"/>
    <w:rsid w:val="001527CB"/>
    <w:pPr>
      <w:pBdr>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0">
    <w:name w:val="xl130"/>
    <w:basedOn w:val="Normal"/>
    <w:rsid w:val="001527CB"/>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1">
    <w:name w:val="xl131"/>
    <w:basedOn w:val="Normal"/>
    <w:rsid w:val="001527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Normal"/>
    <w:rsid w:val="001527C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Normal"/>
    <w:rsid w:val="001527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4">
    <w:name w:val="xl134"/>
    <w:basedOn w:val="Normal"/>
    <w:rsid w:val="001527C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5">
    <w:name w:val="xl135"/>
    <w:basedOn w:val="Normal"/>
    <w:rsid w:val="001527CB"/>
    <w:pPr>
      <w:pBdr>
        <w:top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6">
    <w:name w:val="xl136"/>
    <w:basedOn w:val="Normal"/>
    <w:rsid w:val="001527C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7">
    <w:name w:val="xl137"/>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8">
    <w:name w:val="xl138"/>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9">
    <w:name w:val="xl139"/>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0">
    <w:name w:val="xl140"/>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1">
    <w:name w:val="xl141"/>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2">
    <w:name w:val="xl142"/>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3">
    <w:name w:val="xl143"/>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4">
    <w:name w:val="xl144"/>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5">
    <w:name w:val="xl145"/>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6">
    <w:name w:val="xl146"/>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47">
    <w:name w:val="xl147"/>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48">
    <w:name w:val="xl148"/>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9">
    <w:name w:val="xl149"/>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50">
    <w:name w:val="xl150"/>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character" w:customStyle="1" w:styleId="baec5a81-e4d6-4674-97f3-e9220f0136c1">
    <w:name w:val="baec5a81-e4d6-4674-97f3-e9220f0136c1"/>
    <w:basedOn w:val="DefaultParagraphFont"/>
    <w:rsid w:val="00ED155E"/>
  </w:style>
  <w:style w:type="table" w:customStyle="1" w:styleId="TableGrid1">
    <w:name w:val="Table Grid1"/>
    <w:basedOn w:val="TableNormal"/>
    <w:next w:val="TableGrid"/>
    <w:uiPriority w:val="59"/>
    <w:rsid w:val="00A539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62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347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42A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84476">
      <w:bodyDiv w:val="1"/>
      <w:marLeft w:val="0"/>
      <w:marRight w:val="0"/>
      <w:marTop w:val="0"/>
      <w:marBottom w:val="0"/>
      <w:divBdr>
        <w:top w:val="none" w:sz="0" w:space="0" w:color="auto"/>
        <w:left w:val="none" w:sz="0" w:space="0" w:color="auto"/>
        <w:bottom w:val="none" w:sz="0" w:space="0" w:color="auto"/>
        <w:right w:val="none" w:sz="0" w:space="0" w:color="auto"/>
      </w:divBdr>
    </w:div>
    <w:div w:id="278683063">
      <w:bodyDiv w:val="1"/>
      <w:marLeft w:val="0"/>
      <w:marRight w:val="0"/>
      <w:marTop w:val="0"/>
      <w:marBottom w:val="0"/>
      <w:divBdr>
        <w:top w:val="none" w:sz="0" w:space="0" w:color="auto"/>
        <w:left w:val="none" w:sz="0" w:space="0" w:color="auto"/>
        <w:bottom w:val="none" w:sz="0" w:space="0" w:color="auto"/>
        <w:right w:val="none" w:sz="0" w:space="0" w:color="auto"/>
      </w:divBdr>
    </w:div>
    <w:div w:id="323166104">
      <w:bodyDiv w:val="1"/>
      <w:marLeft w:val="0"/>
      <w:marRight w:val="0"/>
      <w:marTop w:val="0"/>
      <w:marBottom w:val="0"/>
      <w:divBdr>
        <w:top w:val="none" w:sz="0" w:space="0" w:color="auto"/>
        <w:left w:val="none" w:sz="0" w:space="0" w:color="auto"/>
        <w:bottom w:val="none" w:sz="0" w:space="0" w:color="auto"/>
        <w:right w:val="none" w:sz="0" w:space="0" w:color="auto"/>
      </w:divBdr>
    </w:div>
    <w:div w:id="386615183">
      <w:bodyDiv w:val="1"/>
      <w:marLeft w:val="0"/>
      <w:marRight w:val="0"/>
      <w:marTop w:val="0"/>
      <w:marBottom w:val="0"/>
      <w:divBdr>
        <w:top w:val="none" w:sz="0" w:space="0" w:color="auto"/>
        <w:left w:val="none" w:sz="0" w:space="0" w:color="auto"/>
        <w:bottom w:val="none" w:sz="0" w:space="0" w:color="auto"/>
        <w:right w:val="none" w:sz="0" w:space="0" w:color="auto"/>
      </w:divBdr>
    </w:div>
    <w:div w:id="499272709">
      <w:bodyDiv w:val="1"/>
      <w:marLeft w:val="0"/>
      <w:marRight w:val="0"/>
      <w:marTop w:val="0"/>
      <w:marBottom w:val="0"/>
      <w:divBdr>
        <w:top w:val="none" w:sz="0" w:space="0" w:color="auto"/>
        <w:left w:val="none" w:sz="0" w:space="0" w:color="auto"/>
        <w:bottom w:val="none" w:sz="0" w:space="0" w:color="auto"/>
        <w:right w:val="none" w:sz="0" w:space="0" w:color="auto"/>
      </w:divBdr>
    </w:div>
    <w:div w:id="511913540">
      <w:bodyDiv w:val="1"/>
      <w:marLeft w:val="0"/>
      <w:marRight w:val="0"/>
      <w:marTop w:val="0"/>
      <w:marBottom w:val="0"/>
      <w:divBdr>
        <w:top w:val="none" w:sz="0" w:space="0" w:color="auto"/>
        <w:left w:val="none" w:sz="0" w:space="0" w:color="auto"/>
        <w:bottom w:val="none" w:sz="0" w:space="0" w:color="auto"/>
        <w:right w:val="none" w:sz="0" w:space="0" w:color="auto"/>
      </w:divBdr>
    </w:div>
    <w:div w:id="526522885">
      <w:bodyDiv w:val="1"/>
      <w:marLeft w:val="0"/>
      <w:marRight w:val="0"/>
      <w:marTop w:val="0"/>
      <w:marBottom w:val="0"/>
      <w:divBdr>
        <w:top w:val="none" w:sz="0" w:space="0" w:color="auto"/>
        <w:left w:val="none" w:sz="0" w:space="0" w:color="auto"/>
        <w:bottom w:val="none" w:sz="0" w:space="0" w:color="auto"/>
        <w:right w:val="none" w:sz="0" w:space="0" w:color="auto"/>
      </w:divBdr>
    </w:div>
    <w:div w:id="630406619">
      <w:bodyDiv w:val="1"/>
      <w:marLeft w:val="0"/>
      <w:marRight w:val="0"/>
      <w:marTop w:val="0"/>
      <w:marBottom w:val="0"/>
      <w:divBdr>
        <w:top w:val="none" w:sz="0" w:space="0" w:color="auto"/>
        <w:left w:val="none" w:sz="0" w:space="0" w:color="auto"/>
        <w:bottom w:val="none" w:sz="0" w:space="0" w:color="auto"/>
        <w:right w:val="none" w:sz="0" w:space="0" w:color="auto"/>
      </w:divBdr>
    </w:div>
    <w:div w:id="690842998">
      <w:bodyDiv w:val="1"/>
      <w:marLeft w:val="0"/>
      <w:marRight w:val="0"/>
      <w:marTop w:val="0"/>
      <w:marBottom w:val="0"/>
      <w:divBdr>
        <w:top w:val="none" w:sz="0" w:space="0" w:color="auto"/>
        <w:left w:val="none" w:sz="0" w:space="0" w:color="auto"/>
        <w:bottom w:val="none" w:sz="0" w:space="0" w:color="auto"/>
        <w:right w:val="none" w:sz="0" w:space="0" w:color="auto"/>
      </w:divBdr>
    </w:div>
    <w:div w:id="760177463">
      <w:bodyDiv w:val="1"/>
      <w:marLeft w:val="0"/>
      <w:marRight w:val="0"/>
      <w:marTop w:val="0"/>
      <w:marBottom w:val="0"/>
      <w:divBdr>
        <w:top w:val="none" w:sz="0" w:space="0" w:color="auto"/>
        <w:left w:val="none" w:sz="0" w:space="0" w:color="auto"/>
        <w:bottom w:val="none" w:sz="0" w:space="0" w:color="auto"/>
        <w:right w:val="none" w:sz="0" w:space="0" w:color="auto"/>
      </w:divBdr>
    </w:div>
    <w:div w:id="761486540">
      <w:bodyDiv w:val="1"/>
      <w:marLeft w:val="0"/>
      <w:marRight w:val="0"/>
      <w:marTop w:val="0"/>
      <w:marBottom w:val="0"/>
      <w:divBdr>
        <w:top w:val="none" w:sz="0" w:space="0" w:color="auto"/>
        <w:left w:val="none" w:sz="0" w:space="0" w:color="auto"/>
        <w:bottom w:val="none" w:sz="0" w:space="0" w:color="auto"/>
        <w:right w:val="none" w:sz="0" w:space="0" w:color="auto"/>
      </w:divBdr>
    </w:div>
    <w:div w:id="1159998513">
      <w:bodyDiv w:val="1"/>
      <w:marLeft w:val="0"/>
      <w:marRight w:val="0"/>
      <w:marTop w:val="0"/>
      <w:marBottom w:val="0"/>
      <w:divBdr>
        <w:top w:val="none" w:sz="0" w:space="0" w:color="auto"/>
        <w:left w:val="none" w:sz="0" w:space="0" w:color="auto"/>
        <w:bottom w:val="none" w:sz="0" w:space="0" w:color="auto"/>
        <w:right w:val="none" w:sz="0" w:space="0" w:color="auto"/>
      </w:divBdr>
    </w:div>
    <w:div w:id="1257835016">
      <w:bodyDiv w:val="1"/>
      <w:marLeft w:val="0"/>
      <w:marRight w:val="0"/>
      <w:marTop w:val="0"/>
      <w:marBottom w:val="0"/>
      <w:divBdr>
        <w:top w:val="none" w:sz="0" w:space="0" w:color="auto"/>
        <w:left w:val="none" w:sz="0" w:space="0" w:color="auto"/>
        <w:bottom w:val="none" w:sz="0" w:space="0" w:color="auto"/>
        <w:right w:val="none" w:sz="0" w:space="0" w:color="auto"/>
      </w:divBdr>
    </w:div>
    <w:div w:id="1349671994">
      <w:bodyDiv w:val="1"/>
      <w:marLeft w:val="0"/>
      <w:marRight w:val="0"/>
      <w:marTop w:val="0"/>
      <w:marBottom w:val="0"/>
      <w:divBdr>
        <w:top w:val="none" w:sz="0" w:space="0" w:color="auto"/>
        <w:left w:val="none" w:sz="0" w:space="0" w:color="auto"/>
        <w:bottom w:val="none" w:sz="0" w:space="0" w:color="auto"/>
        <w:right w:val="none" w:sz="0" w:space="0" w:color="auto"/>
      </w:divBdr>
    </w:div>
    <w:div w:id="1451127804">
      <w:bodyDiv w:val="1"/>
      <w:marLeft w:val="0"/>
      <w:marRight w:val="0"/>
      <w:marTop w:val="0"/>
      <w:marBottom w:val="0"/>
      <w:divBdr>
        <w:top w:val="none" w:sz="0" w:space="0" w:color="auto"/>
        <w:left w:val="none" w:sz="0" w:space="0" w:color="auto"/>
        <w:bottom w:val="none" w:sz="0" w:space="0" w:color="auto"/>
        <w:right w:val="none" w:sz="0" w:space="0" w:color="auto"/>
      </w:divBdr>
    </w:div>
    <w:div w:id="1472167490">
      <w:bodyDiv w:val="1"/>
      <w:marLeft w:val="0"/>
      <w:marRight w:val="0"/>
      <w:marTop w:val="0"/>
      <w:marBottom w:val="0"/>
      <w:divBdr>
        <w:top w:val="none" w:sz="0" w:space="0" w:color="auto"/>
        <w:left w:val="none" w:sz="0" w:space="0" w:color="auto"/>
        <w:bottom w:val="none" w:sz="0" w:space="0" w:color="auto"/>
        <w:right w:val="none" w:sz="0" w:space="0" w:color="auto"/>
      </w:divBdr>
    </w:div>
    <w:div w:id="1529951854">
      <w:bodyDiv w:val="1"/>
      <w:marLeft w:val="0"/>
      <w:marRight w:val="0"/>
      <w:marTop w:val="0"/>
      <w:marBottom w:val="0"/>
      <w:divBdr>
        <w:top w:val="none" w:sz="0" w:space="0" w:color="auto"/>
        <w:left w:val="none" w:sz="0" w:space="0" w:color="auto"/>
        <w:bottom w:val="none" w:sz="0" w:space="0" w:color="auto"/>
        <w:right w:val="none" w:sz="0" w:space="0" w:color="auto"/>
      </w:divBdr>
    </w:div>
    <w:div w:id="1561556650">
      <w:bodyDiv w:val="1"/>
      <w:marLeft w:val="0"/>
      <w:marRight w:val="0"/>
      <w:marTop w:val="0"/>
      <w:marBottom w:val="0"/>
      <w:divBdr>
        <w:top w:val="none" w:sz="0" w:space="0" w:color="auto"/>
        <w:left w:val="none" w:sz="0" w:space="0" w:color="auto"/>
        <w:bottom w:val="none" w:sz="0" w:space="0" w:color="auto"/>
        <w:right w:val="none" w:sz="0" w:space="0" w:color="auto"/>
      </w:divBdr>
    </w:div>
    <w:div w:id="1865514574">
      <w:bodyDiv w:val="1"/>
      <w:marLeft w:val="0"/>
      <w:marRight w:val="0"/>
      <w:marTop w:val="0"/>
      <w:marBottom w:val="0"/>
      <w:divBdr>
        <w:top w:val="none" w:sz="0" w:space="0" w:color="auto"/>
        <w:left w:val="none" w:sz="0" w:space="0" w:color="auto"/>
        <w:bottom w:val="none" w:sz="0" w:space="0" w:color="auto"/>
        <w:right w:val="none" w:sz="0" w:space="0" w:color="auto"/>
      </w:divBdr>
    </w:div>
    <w:div w:id="1958294766">
      <w:bodyDiv w:val="1"/>
      <w:marLeft w:val="0"/>
      <w:marRight w:val="0"/>
      <w:marTop w:val="0"/>
      <w:marBottom w:val="0"/>
      <w:divBdr>
        <w:top w:val="none" w:sz="0" w:space="0" w:color="auto"/>
        <w:left w:val="none" w:sz="0" w:space="0" w:color="auto"/>
        <w:bottom w:val="none" w:sz="0" w:space="0" w:color="auto"/>
        <w:right w:val="none" w:sz="0" w:space="0" w:color="auto"/>
      </w:divBdr>
    </w:div>
    <w:div w:id="21072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B5690-168E-4129-8258-12F9C66E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6762</Words>
  <Characters>38545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Atere</dc:creator>
  <cp:lastModifiedBy>Weidman, Pheny - ERS</cp:lastModifiedBy>
  <cp:revision>6</cp:revision>
  <cp:lastPrinted>2016-08-09T14:47:00Z</cp:lastPrinted>
  <dcterms:created xsi:type="dcterms:W3CDTF">2016-12-01T14:44:00Z</dcterms:created>
  <dcterms:modified xsi:type="dcterms:W3CDTF">2016-12-06T18:41:00Z</dcterms:modified>
</cp:coreProperties>
</file>