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37663" w14:textId="77777777" w:rsidR="00000B1B" w:rsidRDefault="00000B1B" w:rsidP="0031088D">
      <w:pPr>
        <w:pStyle w:val="NoSpacing"/>
        <w:rPr>
          <w:rFonts w:asciiTheme="minorHAnsi" w:hAnsiTheme="minorHAnsi"/>
          <w:b w:val="0"/>
          <w:szCs w:val="24"/>
        </w:rPr>
      </w:pPr>
      <w:r>
        <w:rPr>
          <w:rFonts w:asciiTheme="minorHAnsi" w:hAnsiTheme="minorHAnsi"/>
          <w:szCs w:val="24"/>
        </w:rPr>
        <w:t xml:space="preserve">SUPPORTING STATEMENT PART </w:t>
      </w:r>
      <w:r w:rsidR="007A5A5F">
        <w:rPr>
          <w:rFonts w:asciiTheme="minorHAnsi" w:hAnsiTheme="minorHAnsi"/>
          <w:szCs w:val="24"/>
        </w:rPr>
        <w:t xml:space="preserve">B </w:t>
      </w:r>
      <w:r>
        <w:rPr>
          <w:rFonts w:asciiTheme="minorHAnsi" w:hAnsiTheme="minorHAnsi"/>
          <w:szCs w:val="24"/>
        </w:rPr>
        <w:t>FOR</w:t>
      </w:r>
    </w:p>
    <w:p w14:paraId="6EE1680A" w14:textId="77777777" w:rsidR="00000B1B" w:rsidRDefault="00000B1B" w:rsidP="00000B1B">
      <w:pPr>
        <w:pStyle w:val="NoSpacing"/>
        <w:rPr>
          <w:rFonts w:asciiTheme="minorHAnsi" w:hAnsiTheme="minorHAnsi"/>
          <w:b w:val="0"/>
          <w:szCs w:val="24"/>
        </w:rPr>
      </w:pPr>
    </w:p>
    <w:p w14:paraId="58612AB0" w14:textId="77777777" w:rsidR="003C35B5" w:rsidRPr="003702B9" w:rsidRDefault="003C35B5" w:rsidP="003C35B5">
      <w:pPr>
        <w:jc w:val="center"/>
        <w:rPr>
          <w:rFonts w:asciiTheme="minorHAnsi" w:hAnsiTheme="minorHAnsi"/>
          <w:b/>
          <w:szCs w:val="24"/>
        </w:rPr>
      </w:pPr>
      <w:r>
        <w:rPr>
          <w:rFonts w:asciiTheme="minorHAnsi" w:hAnsiTheme="minorHAnsi"/>
          <w:b/>
          <w:szCs w:val="24"/>
        </w:rPr>
        <w:t>National Food Study Pilot</w:t>
      </w:r>
    </w:p>
    <w:p w14:paraId="22AF80E0" w14:textId="77777777" w:rsidR="003C35B5" w:rsidRPr="003702B9" w:rsidRDefault="003C35B5" w:rsidP="003C35B5">
      <w:pPr>
        <w:pStyle w:val="NoSpacing"/>
        <w:rPr>
          <w:rFonts w:asciiTheme="minorHAnsi" w:hAnsiTheme="minorHAnsi"/>
          <w:b w:val="0"/>
          <w:szCs w:val="24"/>
        </w:rPr>
      </w:pPr>
    </w:p>
    <w:p w14:paraId="41EFCA2C" w14:textId="77777777" w:rsidR="003C35B5" w:rsidRPr="003702B9" w:rsidRDefault="003C35B5" w:rsidP="003C35B5">
      <w:pPr>
        <w:pStyle w:val="NoSpacing"/>
        <w:rPr>
          <w:rFonts w:asciiTheme="minorHAnsi" w:hAnsiTheme="minorHAnsi"/>
          <w:b w:val="0"/>
          <w:szCs w:val="24"/>
        </w:rPr>
      </w:pPr>
    </w:p>
    <w:p w14:paraId="272BC7B0" w14:textId="77777777" w:rsidR="003C35B5" w:rsidRDefault="003C35B5" w:rsidP="003C35B5">
      <w:pPr>
        <w:pStyle w:val="NoSpacing"/>
        <w:rPr>
          <w:rFonts w:asciiTheme="minorHAnsi" w:hAnsiTheme="minorHAnsi"/>
          <w:szCs w:val="24"/>
        </w:rPr>
      </w:pPr>
      <w:r>
        <w:rPr>
          <w:rFonts w:asciiTheme="minorHAnsi" w:hAnsiTheme="minorHAnsi"/>
          <w:szCs w:val="24"/>
        </w:rPr>
        <w:t>Food Assistance Branch</w:t>
      </w:r>
    </w:p>
    <w:p w14:paraId="55986C46" w14:textId="77777777" w:rsidR="003C35B5" w:rsidRDefault="003C35B5" w:rsidP="003C35B5">
      <w:pPr>
        <w:pStyle w:val="NoSpacing"/>
        <w:rPr>
          <w:rFonts w:asciiTheme="minorHAnsi" w:hAnsiTheme="minorHAnsi"/>
          <w:szCs w:val="24"/>
        </w:rPr>
      </w:pPr>
      <w:r>
        <w:rPr>
          <w:rFonts w:asciiTheme="minorHAnsi" w:hAnsiTheme="minorHAnsi"/>
          <w:szCs w:val="24"/>
        </w:rPr>
        <w:t>Food Economics Division</w:t>
      </w:r>
    </w:p>
    <w:p w14:paraId="537EA241" w14:textId="77777777" w:rsidR="003C35B5" w:rsidRPr="000F00EB" w:rsidRDefault="003C35B5" w:rsidP="003C35B5">
      <w:pPr>
        <w:pStyle w:val="NoSpacing"/>
        <w:rPr>
          <w:rFonts w:asciiTheme="minorHAnsi" w:hAnsiTheme="minorHAnsi"/>
          <w:b w:val="0"/>
          <w:szCs w:val="24"/>
        </w:rPr>
      </w:pPr>
      <w:r>
        <w:rPr>
          <w:rFonts w:asciiTheme="minorHAnsi" w:hAnsiTheme="minorHAnsi"/>
          <w:szCs w:val="24"/>
        </w:rPr>
        <w:t>Economic Research Service</w:t>
      </w:r>
    </w:p>
    <w:p w14:paraId="3C2375E0" w14:textId="77777777" w:rsidR="003C35B5" w:rsidRPr="000F00EB" w:rsidRDefault="003C35B5" w:rsidP="003C35B5">
      <w:pPr>
        <w:pStyle w:val="NoSpacing"/>
        <w:rPr>
          <w:rFonts w:asciiTheme="minorHAnsi" w:hAnsiTheme="minorHAnsi"/>
          <w:b w:val="0"/>
          <w:szCs w:val="24"/>
        </w:rPr>
      </w:pPr>
      <w:r w:rsidRPr="000F00EB">
        <w:rPr>
          <w:rFonts w:asciiTheme="minorHAnsi" w:hAnsiTheme="minorHAnsi"/>
          <w:szCs w:val="24"/>
        </w:rPr>
        <w:t>US Department of Agriculture</w:t>
      </w:r>
    </w:p>
    <w:p w14:paraId="376DD92F" w14:textId="77777777" w:rsidR="003C35B5" w:rsidRPr="000F00EB" w:rsidRDefault="003C35B5" w:rsidP="003C35B5">
      <w:pPr>
        <w:pStyle w:val="NoSpacing"/>
        <w:rPr>
          <w:rFonts w:asciiTheme="minorHAnsi" w:hAnsiTheme="minorHAnsi"/>
          <w:b w:val="0"/>
          <w:szCs w:val="24"/>
        </w:rPr>
      </w:pPr>
      <w:r>
        <w:rPr>
          <w:rFonts w:asciiTheme="minorHAnsi" w:hAnsiTheme="minorHAnsi"/>
          <w:szCs w:val="24"/>
        </w:rPr>
        <w:t>1400 Independence Avenue, SW, Mail Stop 1800</w:t>
      </w:r>
    </w:p>
    <w:p w14:paraId="0C31AC81" w14:textId="77777777" w:rsidR="003C35B5" w:rsidRPr="00A171AB" w:rsidRDefault="003C35B5" w:rsidP="003C35B5">
      <w:pPr>
        <w:pStyle w:val="NoSpacing"/>
        <w:rPr>
          <w:rFonts w:asciiTheme="minorHAnsi" w:hAnsiTheme="minorHAnsi"/>
          <w:b w:val="0"/>
          <w:szCs w:val="24"/>
          <w:lang w:val="fr-FR"/>
        </w:rPr>
      </w:pPr>
      <w:r>
        <w:rPr>
          <w:rFonts w:asciiTheme="minorHAnsi" w:hAnsiTheme="minorHAnsi"/>
          <w:szCs w:val="24"/>
          <w:lang w:val="fr-FR"/>
        </w:rPr>
        <w:t>Washington, DC 20250-1800</w:t>
      </w:r>
    </w:p>
    <w:p w14:paraId="68B38ED4" w14:textId="77777777" w:rsidR="003C35B5" w:rsidRPr="00A171AB" w:rsidRDefault="003C35B5" w:rsidP="003C35B5">
      <w:pPr>
        <w:pStyle w:val="NoSpacing"/>
        <w:rPr>
          <w:rFonts w:asciiTheme="minorHAnsi" w:hAnsiTheme="minorHAnsi"/>
          <w:b w:val="0"/>
          <w:szCs w:val="24"/>
          <w:lang w:val="fr-FR"/>
        </w:rPr>
      </w:pPr>
      <w:r w:rsidRPr="00A171AB">
        <w:rPr>
          <w:rFonts w:asciiTheme="minorHAnsi" w:hAnsiTheme="minorHAnsi"/>
          <w:szCs w:val="24"/>
          <w:lang w:val="fr-FR"/>
        </w:rPr>
        <w:t xml:space="preserve">Phone: </w:t>
      </w:r>
      <w:r>
        <w:rPr>
          <w:rFonts w:asciiTheme="minorHAnsi" w:hAnsiTheme="minorHAnsi"/>
          <w:szCs w:val="24"/>
          <w:lang w:val="fr-FR"/>
        </w:rPr>
        <w:t>202-694-5398</w:t>
      </w:r>
    </w:p>
    <w:p w14:paraId="4B7B3D2C" w14:textId="77777777" w:rsidR="003C35B5" w:rsidRDefault="003C35B5" w:rsidP="003C35B5">
      <w:pPr>
        <w:pStyle w:val="NoSpacing"/>
        <w:rPr>
          <w:rFonts w:asciiTheme="minorHAnsi" w:hAnsiTheme="minorHAnsi"/>
          <w:szCs w:val="24"/>
          <w:lang w:val="fr-FR"/>
        </w:rPr>
      </w:pPr>
      <w:r w:rsidRPr="00A171AB">
        <w:rPr>
          <w:rFonts w:asciiTheme="minorHAnsi" w:hAnsiTheme="minorHAnsi"/>
          <w:szCs w:val="24"/>
          <w:lang w:val="fr-FR"/>
        </w:rPr>
        <w:t xml:space="preserve">Fax: </w:t>
      </w:r>
      <w:r>
        <w:rPr>
          <w:rFonts w:asciiTheme="minorHAnsi" w:hAnsiTheme="minorHAnsi"/>
          <w:szCs w:val="24"/>
          <w:lang w:val="fr-FR"/>
        </w:rPr>
        <w:t>202-694-5661</w:t>
      </w:r>
    </w:p>
    <w:p w14:paraId="51E698E0" w14:textId="77777777" w:rsidR="003C35B5" w:rsidRPr="00A171AB" w:rsidRDefault="003C35B5" w:rsidP="003C35B5">
      <w:pPr>
        <w:pStyle w:val="NoSpacing"/>
        <w:rPr>
          <w:rFonts w:asciiTheme="minorHAnsi" w:hAnsiTheme="minorHAnsi"/>
          <w:b w:val="0"/>
          <w:szCs w:val="24"/>
          <w:lang w:val="fr-FR"/>
        </w:rPr>
      </w:pPr>
      <w:r>
        <w:rPr>
          <w:rFonts w:asciiTheme="minorHAnsi" w:hAnsiTheme="minorHAnsi"/>
          <w:szCs w:val="24"/>
          <w:lang w:val="fr-FR"/>
        </w:rPr>
        <w:t>E-mail: jkirlin@ers.usda.gov</w:t>
      </w:r>
    </w:p>
    <w:p w14:paraId="1683A5B1" w14:textId="77777777" w:rsidR="0051381C" w:rsidRDefault="0051381C" w:rsidP="007C28BE">
      <w:pPr>
        <w:pStyle w:val="NoSpacing"/>
        <w:sectPr w:rsidR="0051381C" w:rsidSect="0051381C">
          <w:footerReference w:type="default" r:id="rId8"/>
          <w:headerReference w:type="first" r:id="rId9"/>
          <w:pgSz w:w="12240" w:h="15840" w:code="1"/>
          <w:pgMar w:top="2520" w:right="576" w:bottom="432" w:left="662" w:header="720" w:footer="576" w:gutter="0"/>
          <w:cols w:space="720"/>
          <w:titlePg/>
          <w:docGrid w:linePitch="360"/>
        </w:sectPr>
      </w:pPr>
    </w:p>
    <w:p w14:paraId="53782262" w14:textId="77777777" w:rsidR="0051381C" w:rsidRPr="00586512" w:rsidRDefault="0051381C" w:rsidP="0051381C">
      <w:pPr>
        <w:spacing w:line="14" w:lineRule="exact"/>
      </w:pPr>
    </w:p>
    <w:p w14:paraId="42CBF473" w14:textId="77777777" w:rsidR="007C2CD6" w:rsidRDefault="007C2CD6" w:rsidP="007C2CD6">
      <w:pPr>
        <w:pStyle w:val="TC-TableofContentsHeading"/>
      </w:pPr>
      <w:r>
        <w:t>Table of Contents</w:t>
      </w:r>
    </w:p>
    <w:p w14:paraId="256DBA5E" w14:textId="77777777" w:rsidR="008F3BCB" w:rsidRDefault="008F3BCB" w:rsidP="008F3BCB">
      <w:pPr>
        <w:pStyle w:val="T0-ChapPgHd"/>
      </w:pPr>
      <w:bookmarkStart w:id="0" w:name="_Toc286158948"/>
      <w:bookmarkStart w:id="1" w:name="_Toc286160537"/>
      <w:bookmarkStart w:id="2" w:name="_Toc290021760"/>
      <w:bookmarkStart w:id="3" w:name="_Toc282506023"/>
      <w:bookmarkStart w:id="4" w:name="_Toc329675296"/>
      <w:bookmarkStart w:id="5" w:name="_Toc329675884"/>
      <w:r>
        <w:t>Section</w:t>
      </w:r>
      <w:r>
        <w:tab/>
        <w:t>Page</w:t>
      </w:r>
    </w:p>
    <w:p w14:paraId="7D9372C6" w14:textId="77777777" w:rsidR="008F3BCB" w:rsidRDefault="008F3BCB" w:rsidP="008F3BCB">
      <w:pPr>
        <w:pStyle w:val="T0-ChapPgHd"/>
      </w:pPr>
    </w:p>
    <w:p w14:paraId="1CA712D6" w14:textId="77777777" w:rsidR="008F3BCB" w:rsidRDefault="008F3BCB" w:rsidP="008F3BCB">
      <w:pPr>
        <w:pStyle w:val="TOC1"/>
      </w:pPr>
      <w:r w:rsidRPr="00182144">
        <w:t>B</w:t>
      </w:r>
      <w:r>
        <w:tab/>
      </w:r>
      <w:r w:rsidRPr="00182144">
        <w:t>Collections of Information Employing Statistical Methods</w:t>
      </w:r>
      <w:r w:rsidRPr="00182144">
        <w:tab/>
      </w:r>
      <w:r>
        <w:tab/>
      </w:r>
      <w:r w:rsidRPr="00182144">
        <w:t>1</w:t>
      </w:r>
    </w:p>
    <w:p w14:paraId="508A6DCA" w14:textId="77777777" w:rsidR="008F3BCB" w:rsidRPr="00182144" w:rsidRDefault="008F3BCB" w:rsidP="008F3BCB">
      <w:pPr>
        <w:pStyle w:val="TOC1"/>
        <w:rPr>
          <w:rFonts w:eastAsiaTheme="minorEastAsia"/>
        </w:rPr>
      </w:pPr>
    </w:p>
    <w:p w14:paraId="69A2B440" w14:textId="77777777" w:rsidR="008F3BCB" w:rsidRDefault="008F3BCB" w:rsidP="008F3BCB">
      <w:pPr>
        <w:pStyle w:val="TOC2"/>
      </w:pPr>
      <w:r w:rsidRPr="00182144">
        <w:t>B.1</w:t>
      </w:r>
      <w:r w:rsidRPr="00182144">
        <w:rPr>
          <w:rFonts w:eastAsiaTheme="minorEastAsia"/>
        </w:rPr>
        <w:tab/>
      </w:r>
      <w:r w:rsidRPr="00182144">
        <w:t>Respondent Universe and Sampling Methods</w:t>
      </w:r>
      <w:r w:rsidRPr="00182144">
        <w:tab/>
      </w:r>
      <w:r>
        <w:tab/>
      </w:r>
      <w:r w:rsidRPr="00182144">
        <w:t>1</w:t>
      </w:r>
    </w:p>
    <w:p w14:paraId="21E9DB3C" w14:textId="77777777" w:rsidR="008F3BCB" w:rsidRPr="00182144" w:rsidRDefault="008F3BCB" w:rsidP="008F3BCB">
      <w:pPr>
        <w:pStyle w:val="TOC2"/>
        <w:rPr>
          <w:rFonts w:eastAsiaTheme="minorEastAsia"/>
        </w:rPr>
      </w:pPr>
    </w:p>
    <w:p w14:paraId="238C5A6D" w14:textId="77777777" w:rsidR="008F3BCB" w:rsidRPr="00182144" w:rsidRDefault="008F3BCB" w:rsidP="008F3BCB">
      <w:pPr>
        <w:pStyle w:val="TOC3"/>
        <w:rPr>
          <w:rFonts w:eastAsiaTheme="minorEastAsia"/>
        </w:rPr>
      </w:pPr>
      <w:r w:rsidRPr="00182144">
        <w:t>Respondent Universe</w:t>
      </w:r>
      <w:r w:rsidRPr="00182144">
        <w:tab/>
      </w:r>
      <w:r>
        <w:tab/>
      </w:r>
      <w:r w:rsidRPr="00182144">
        <w:t>1</w:t>
      </w:r>
    </w:p>
    <w:p w14:paraId="5A75C1F7" w14:textId="521A7094" w:rsidR="008F3BCB" w:rsidRPr="00182144" w:rsidRDefault="008F3BCB" w:rsidP="008F3BCB">
      <w:pPr>
        <w:pStyle w:val="TOC3"/>
        <w:rPr>
          <w:rFonts w:eastAsiaTheme="minorEastAsia"/>
        </w:rPr>
      </w:pPr>
      <w:r>
        <w:t>Pilot Study Sample Sizes and Expected Response Rates</w:t>
      </w:r>
      <w:r w:rsidRPr="00182144">
        <w:tab/>
      </w:r>
      <w:r>
        <w:tab/>
      </w:r>
      <w:r w:rsidR="004218F3">
        <w:t>3</w:t>
      </w:r>
    </w:p>
    <w:p w14:paraId="729F0DAC" w14:textId="382266E9" w:rsidR="008F3BCB" w:rsidRPr="00182144" w:rsidRDefault="00B35B12" w:rsidP="008F3BCB">
      <w:pPr>
        <w:pStyle w:val="TOC3"/>
        <w:rPr>
          <w:rFonts w:eastAsiaTheme="minorEastAsia"/>
        </w:rPr>
      </w:pPr>
      <w:r>
        <w:t>Recall Interview</w:t>
      </w:r>
      <w:r w:rsidR="008F3BCB">
        <w:t xml:space="preserve"> Sample</w:t>
      </w:r>
      <w:r w:rsidR="008F3BCB" w:rsidRPr="00182144">
        <w:tab/>
      </w:r>
      <w:r w:rsidR="008F3BCB">
        <w:tab/>
      </w:r>
      <w:r w:rsidR="004218F3">
        <w:t>5</w:t>
      </w:r>
    </w:p>
    <w:p w14:paraId="5ADC83BB" w14:textId="1AD2B976" w:rsidR="008F3BCB" w:rsidRPr="00182144" w:rsidRDefault="008F3BCB" w:rsidP="008F3BCB">
      <w:pPr>
        <w:pStyle w:val="TOC3"/>
        <w:rPr>
          <w:rFonts w:eastAsiaTheme="minorEastAsia"/>
        </w:rPr>
      </w:pPr>
      <w:r>
        <w:t>Nonresponse Followup (NRFU) Sample</w:t>
      </w:r>
      <w:r w:rsidRPr="00182144">
        <w:tab/>
      </w:r>
      <w:r>
        <w:tab/>
      </w:r>
      <w:r w:rsidR="004218F3">
        <w:t>5</w:t>
      </w:r>
    </w:p>
    <w:p w14:paraId="58B68DB3" w14:textId="77777777" w:rsidR="008F3BCB" w:rsidRPr="00182144" w:rsidRDefault="008F3BCB" w:rsidP="008F3BCB">
      <w:pPr>
        <w:pStyle w:val="TOC3"/>
        <w:rPr>
          <w:rFonts w:eastAsiaTheme="minorEastAsia"/>
        </w:rPr>
      </w:pPr>
    </w:p>
    <w:p w14:paraId="6E66F406" w14:textId="21219BEA" w:rsidR="008F3BCB" w:rsidRDefault="008F3BCB" w:rsidP="008F3BCB">
      <w:pPr>
        <w:pStyle w:val="TOC2"/>
      </w:pPr>
      <w:r w:rsidRPr="00182144">
        <w:t>B.2</w:t>
      </w:r>
      <w:r w:rsidRPr="00182144">
        <w:rPr>
          <w:rFonts w:eastAsiaTheme="minorEastAsia"/>
        </w:rPr>
        <w:tab/>
      </w:r>
      <w:r w:rsidRPr="00182144">
        <w:t>Procedures for the Collection of Information</w:t>
      </w:r>
      <w:r w:rsidRPr="00182144">
        <w:tab/>
      </w:r>
      <w:r>
        <w:tab/>
      </w:r>
      <w:r w:rsidR="004218F3">
        <w:t>6</w:t>
      </w:r>
    </w:p>
    <w:p w14:paraId="7EAC8EE0" w14:textId="77777777" w:rsidR="008F3BCB" w:rsidRPr="00182144" w:rsidRDefault="008F3BCB" w:rsidP="008F3BCB">
      <w:pPr>
        <w:pStyle w:val="TOC2"/>
        <w:rPr>
          <w:rFonts w:eastAsiaTheme="minorEastAsia"/>
        </w:rPr>
      </w:pPr>
    </w:p>
    <w:p w14:paraId="3CF21B97" w14:textId="216734C1" w:rsidR="008F3BCB" w:rsidRPr="00182144" w:rsidRDefault="008F3BCB" w:rsidP="008F3BCB">
      <w:pPr>
        <w:pStyle w:val="TOC3"/>
        <w:rPr>
          <w:rFonts w:eastAsiaTheme="minorEastAsia"/>
        </w:rPr>
      </w:pPr>
      <w:r w:rsidRPr="00182144">
        <w:t>Statistical Methodology</w:t>
      </w:r>
      <w:r w:rsidRPr="00182144">
        <w:tab/>
      </w:r>
      <w:r>
        <w:tab/>
      </w:r>
      <w:r w:rsidR="004218F3">
        <w:t>6</w:t>
      </w:r>
    </w:p>
    <w:p w14:paraId="2F193F35" w14:textId="0F5F944D" w:rsidR="008F3BCB" w:rsidRPr="00182144" w:rsidRDefault="008F3BCB" w:rsidP="008F3BCB">
      <w:pPr>
        <w:pStyle w:val="TOC3"/>
        <w:rPr>
          <w:rFonts w:eastAsiaTheme="minorEastAsia"/>
        </w:rPr>
      </w:pPr>
      <w:r>
        <w:t>Estimation</w:t>
      </w:r>
      <w:r w:rsidRPr="00182144">
        <w:tab/>
      </w:r>
      <w:r>
        <w:tab/>
      </w:r>
      <w:r w:rsidR="004218F3">
        <w:t>8</w:t>
      </w:r>
    </w:p>
    <w:p w14:paraId="769A9570" w14:textId="0C547B6B" w:rsidR="008F3BCB" w:rsidRDefault="008F3BCB" w:rsidP="004C1FDC">
      <w:pPr>
        <w:pStyle w:val="TOC3"/>
      </w:pPr>
      <w:r w:rsidRPr="00182144">
        <w:t>Degree of Accuracy</w:t>
      </w:r>
      <w:r w:rsidRPr="00182144">
        <w:tab/>
      </w:r>
      <w:r>
        <w:tab/>
      </w:r>
      <w:r w:rsidR="000D7532">
        <w:t>10</w:t>
      </w:r>
    </w:p>
    <w:p w14:paraId="2363EAF1" w14:textId="200F62A8" w:rsidR="008F3BCB" w:rsidRDefault="008F3BCB" w:rsidP="004C1FDC">
      <w:pPr>
        <w:pStyle w:val="TOC3"/>
      </w:pPr>
      <w:r>
        <w:t>Specialized Sampling Procedures</w:t>
      </w:r>
      <w:r w:rsidRPr="00182144">
        <w:tab/>
      </w:r>
      <w:r>
        <w:tab/>
      </w:r>
      <w:r w:rsidR="009B3659">
        <w:t>1</w:t>
      </w:r>
      <w:r w:rsidR="000D7532">
        <w:t>1</w:t>
      </w:r>
    </w:p>
    <w:p w14:paraId="4B38DFC4" w14:textId="2AC7A2C5" w:rsidR="002A3E33" w:rsidRDefault="002A3E33" w:rsidP="004C1FDC">
      <w:pPr>
        <w:pStyle w:val="TOC3"/>
        <w:tabs>
          <w:tab w:val="clear" w:pos="3024"/>
        </w:tabs>
        <w:ind w:left="2520" w:hanging="360"/>
      </w:pPr>
      <w:r w:rsidRPr="00182144">
        <w:t xml:space="preserve">Any </w:t>
      </w:r>
      <w:r>
        <w:t>Use of Periodic (Less Frequent T</w:t>
      </w:r>
      <w:r w:rsidRPr="00182144">
        <w:t>han Annual) Data Collection Cycles to Reduce Burden</w:t>
      </w:r>
      <w:r w:rsidRPr="00182144">
        <w:tab/>
      </w:r>
      <w:r>
        <w:tab/>
        <w:t>1</w:t>
      </w:r>
      <w:r w:rsidR="009B3659">
        <w:t>1</w:t>
      </w:r>
    </w:p>
    <w:p w14:paraId="5FED2F3A" w14:textId="77777777" w:rsidR="002A3E33" w:rsidRDefault="002A3E33" w:rsidP="008F3BCB">
      <w:pPr>
        <w:pStyle w:val="TOC2"/>
        <w:tabs>
          <w:tab w:val="left" w:pos="3060"/>
        </w:tabs>
        <w:spacing w:after="120"/>
      </w:pPr>
    </w:p>
    <w:p w14:paraId="4E82F95E" w14:textId="77777777" w:rsidR="009B3659" w:rsidRDefault="008F3BCB" w:rsidP="004C1FDC">
      <w:pPr>
        <w:pStyle w:val="TOC2"/>
        <w:tabs>
          <w:tab w:val="clear" w:pos="2160"/>
          <w:tab w:val="left" w:pos="3060"/>
        </w:tabs>
      </w:pPr>
      <w:r w:rsidRPr="00182144">
        <w:t>B.3</w:t>
      </w:r>
      <w:r w:rsidRPr="00182144">
        <w:rPr>
          <w:rFonts w:eastAsiaTheme="minorEastAsia"/>
        </w:rPr>
        <w:tab/>
      </w:r>
      <w:r w:rsidRPr="00182144">
        <w:t>Methods to Maximize Response Rates and to Deal With</w:t>
      </w:r>
    </w:p>
    <w:p w14:paraId="13EA5AC4" w14:textId="09489602" w:rsidR="009B3659" w:rsidRDefault="008F3BCB" w:rsidP="004C1FDC">
      <w:pPr>
        <w:pStyle w:val="TOC2"/>
        <w:tabs>
          <w:tab w:val="clear" w:pos="2160"/>
          <w:tab w:val="left" w:pos="3060"/>
        </w:tabs>
        <w:ind w:left="2520" w:firstLine="0"/>
      </w:pPr>
      <w:r w:rsidRPr="00182144">
        <w:t>Issues of Nonresponse</w:t>
      </w:r>
      <w:r w:rsidRPr="00182144">
        <w:tab/>
      </w:r>
      <w:r>
        <w:tab/>
        <w:t>1</w:t>
      </w:r>
      <w:r w:rsidR="000D7532">
        <w:t>2</w:t>
      </w:r>
    </w:p>
    <w:p w14:paraId="2939B9C9" w14:textId="2F97F470" w:rsidR="008F3BCB" w:rsidRDefault="008F3BCB" w:rsidP="004C1FDC">
      <w:pPr>
        <w:pStyle w:val="TOC2"/>
        <w:tabs>
          <w:tab w:val="clear" w:pos="2160"/>
          <w:tab w:val="left" w:pos="3060"/>
        </w:tabs>
        <w:ind w:firstLine="0"/>
      </w:pPr>
    </w:p>
    <w:p w14:paraId="5DDEC39A" w14:textId="40AF8F70" w:rsidR="009B3659" w:rsidRDefault="008F3BCB" w:rsidP="004C1FDC">
      <w:pPr>
        <w:pStyle w:val="TOC4"/>
        <w:ind w:hanging="1728"/>
      </w:pPr>
      <w:r w:rsidRPr="00C77794">
        <w:t>Nonresponse Bias Analysis</w:t>
      </w:r>
      <w:r>
        <w:tab/>
      </w:r>
      <w:r>
        <w:tab/>
        <w:t>1</w:t>
      </w:r>
      <w:r w:rsidR="000D7532">
        <w:t>3</w:t>
      </w:r>
    </w:p>
    <w:p w14:paraId="26991536" w14:textId="738933A4" w:rsidR="008F3BCB" w:rsidRDefault="008F3BCB" w:rsidP="004C1FDC">
      <w:pPr>
        <w:pStyle w:val="TOC4"/>
        <w:ind w:hanging="1728"/>
      </w:pPr>
    </w:p>
    <w:p w14:paraId="51B8E786" w14:textId="2A1E84D2" w:rsidR="009B3659" w:rsidRDefault="008F3BCB" w:rsidP="008F3BCB">
      <w:pPr>
        <w:pStyle w:val="TOC2"/>
        <w:tabs>
          <w:tab w:val="left" w:pos="3060"/>
        </w:tabs>
        <w:spacing w:before="120"/>
      </w:pPr>
      <w:r w:rsidRPr="00182144">
        <w:t>B.4</w:t>
      </w:r>
      <w:r w:rsidRPr="00182144">
        <w:rPr>
          <w:rFonts w:eastAsiaTheme="minorEastAsia"/>
        </w:rPr>
        <w:tab/>
      </w:r>
      <w:r w:rsidRPr="00182144">
        <w:t>Test of Procedures or Methods to be Undertaken</w:t>
      </w:r>
      <w:r w:rsidRPr="00182144">
        <w:tab/>
      </w:r>
      <w:r>
        <w:tab/>
        <w:t>1</w:t>
      </w:r>
      <w:r w:rsidR="000D7532">
        <w:t>4</w:t>
      </w:r>
    </w:p>
    <w:p w14:paraId="59CF6D24" w14:textId="718F1B4D" w:rsidR="008F3BCB" w:rsidRPr="00182144" w:rsidRDefault="008F3BCB" w:rsidP="008F3BCB">
      <w:pPr>
        <w:pStyle w:val="TOC2"/>
        <w:tabs>
          <w:tab w:val="left" w:pos="3060"/>
        </w:tabs>
        <w:spacing w:before="120"/>
        <w:rPr>
          <w:rFonts w:eastAsiaTheme="minorEastAsia"/>
        </w:rPr>
      </w:pPr>
    </w:p>
    <w:p w14:paraId="3A28FE50" w14:textId="77777777" w:rsidR="009B3659" w:rsidRDefault="008F3BCB" w:rsidP="008F3BCB">
      <w:pPr>
        <w:pStyle w:val="TOC2"/>
        <w:tabs>
          <w:tab w:val="left" w:pos="3060"/>
        </w:tabs>
      </w:pPr>
      <w:r w:rsidRPr="00182144">
        <w:t>B.5</w:t>
      </w:r>
      <w:r w:rsidRPr="00182144">
        <w:rPr>
          <w:rFonts w:eastAsiaTheme="minorEastAsia"/>
        </w:rPr>
        <w:tab/>
      </w:r>
      <w:r w:rsidRPr="00182144">
        <w:t xml:space="preserve">Individuals Consulted on Statistical Aspects and </w:t>
      </w:r>
    </w:p>
    <w:p w14:paraId="059AE495" w14:textId="6FDA2A8D" w:rsidR="008F3BCB" w:rsidRDefault="008F3BCB" w:rsidP="004C1FDC">
      <w:pPr>
        <w:pStyle w:val="TOC2"/>
        <w:tabs>
          <w:tab w:val="left" w:pos="3060"/>
        </w:tabs>
        <w:ind w:firstLine="360"/>
      </w:pPr>
      <w:r w:rsidRPr="00182144">
        <w:t>Individuals Collecting and/or Analyzing Data</w:t>
      </w:r>
      <w:r w:rsidRPr="00182144">
        <w:tab/>
      </w:r>
      <w:r w:rsidR="003A2A86">
        <w:tab/>
        <w:t>1</w:t>
      </w:r>
      <w:r w:rsidR="000D7532">
        <w:t>5</w:t>
      </w:r>
      <w:r>
        <w:br w:type="page"/>
      </w:r>
    </w:p>
    <w:p w14:paraId="223FEE30" w14:textId="77777777" w:rsidR="008F3BCB" w:rsidRPr="00C467A9" w:rsidRDefault="008F3BCB" w:rsidP="008F3BCB">
      <w:pPr>
        <w:pStyle w:val="TC-TableofContentsHeading"/>
        <w:rPr>
          <w:sz w:val="24"/>
          <w:szCs w:val="24"/>
        </w:rPr>
      </w:pPr>
      <w:r w:rsidRPr="00C467A9">
        <w:rPr>
          <w:sz w:val="24"/>
          <w:szCs w:val="24"/>
        </w:rPr>
        <w:lastRenderedPageBreak/>
        <w:t>Contents (continued)</w:t>
      </w:r>
    </w:p>
    <w:p w14:paraId="09A17AE9" w14:textId="77777777" w:rsidR="008F3BCB" w:rsidRDefault="008F3BCB" w:rsidP="008F3BCB">
      <w:pPr>
        <w:pStyle w:val="T0-ChapPgHd"/>
      </w:pPr>
      <w:r>
        <w:t>Tables</w:t>
      </w:r>
      <w:r>
        <w:tab/>
        <w:t>Page</w:t>
      </w:r>
    </w:p>
    <w:p w14:paraId="12F4FD76" w14:textId="77777777" w:rsidR="008F3BCB" w:rsidRDefault="008F3BCB" w:rsidP="008F3BCB">
      <w:pPr>
        <w:pStyle w:val="T0-ChapPgHd"/>
      </w:pPr>
    </w:p>
    <w:p w14:paraId="5BAC4FEA" w14:textId="4162E694" w:rsidR="008F3BCB" w:rsidRPr="00182144" w:rsidRDefault="008F3BCB" w:rsidP="008F3BCB">
      <w:pPr>
        <w:pStyle w:val="TOC5"/>
        <w:rPr>
          <w:rFonts w:eastAsiaTheme="minorEastAsia"/>
        </w:rPr>
      </w:pPr>
      <w:r>
        <w:t>B</w:t>
      </w:r>
      <w:r w:rsidR="00626DCB">
        <w:t>.</w:t>
      </w:r>
      <w:r>
        <w:t>1.1</w:t>
      </w:r>
      <w:r w:rsidRPr="00182144">
        <w:rPr>
          <w:rFonts w:eastAsiaTheme="minorEastAsia"/>
        </w:rPr>
        <w:tab/>
      </w:r>
      <w:r>
        <w:rPr>
          <w:rFonts w:eastAsiaTheme="minorEastAsia"/>
        </w:rPr>
        <w:t>Pilot Target Sample Sizes</w:t>
      </w:r>
      <w:r w:rsidRPr="00182144">
        <w:tab/>
      </w:r>
      <w:r>
        <w:tab/>
      </w:r>
      <w:r w:rsidR="009B3659">
        <w:t>3</w:t>
      </w:r>
    </w:p>
    <w:p w14:paraId="7C8298C0" w14:textId="77777777" w:rsidR="008F3BCB" w:rsidRDefault="008F3BCB" w:rsidP="008F3BCB">
      <w:pPr>
        <w:pStyle w:val="TOC5"/>
      </w:pPr>
    </w:p>
    <w:p w14:paraId="392AE84C" w14:textId="0A3491DD" w:rsidR="008F3BCB" w:rsidRPr="00182144" w:rsidRDefault="008F3BCB" w:rsidP="008F3BCB">
      <w:pPr>
        <w:pStyle w:val="TOC5"/>
        <w:rPr>
          <w:rFonts w:eastAsiaTheme="minorEastAsia"/>
        </w:rPr>
      </w:pPr>
      <w:r>
        <w:t>B</w:t>
      </w:r>
      <w:r w:rsidR="00626DCB">
        <w:t>.</w:t>
      </w:r>
      <w:r>
        <w:t>1.2</w:t>
      </w:r>
      <w:r w:rsidRPr="00182144">
        <w:rPr>
          <w:rFonts w:eastAsiaTheme="minorEastAsia"/>
        </w:rPr>
        <w:tab/>
      </w:r>
      <w:r>
        <w:rPr>
          <w:rFonts w:eastAsiaTheme="minorEastAsia"/>
        </w:rPr>
        <w:t>Pilot Study Assumed Attrition Rates and Sample Sizes</w:t>
      </w:r>
      <w:r w:rsidRPr="00182144">
        <w:tab/>
      </w:r>
      <w:r>
        <w:tab/>
      </w:r>
      <w:r w:rsidR="009B3659">
        <w:t>4</w:t>
      </w:r>
    </w:p>
    <w:p w14:paraId="3E1E90D7" w14:textId="77777777" w:rsidR="00AF28AE" w:rsidRDefault="00AF28AE" w:rsidP="001B265D">
      <w:pPr>
        <w:pStyle w:val="Heading1"/>
        <w:sectPr w:rsidR="00AF28AE" w:rsidSect="008A6A7C">
          <w:headerReference w:type="default" r:id="rId10"/>
          <w:footerReference w:type="default" r:id="rId11"/>
          <w:headerReference w:type="first" r:id="rId12"/>
          <w:footerReference w:type="first" r:id="rId13"/>
          <w:pgSz w:w="12240" w:h="15840" w:code="1"/>
          <w:pgMar w:top="1440" w:right="1440" w:bottom="1440" w:left="1440" w:header="720" w:footer="576" w:gutter="0"/>
          <w:pgNumType w:start="1"/>
          <w:cols w:space="720"/>
          <w:titlePg/>
          <w:docGrid w:linePitch="326"/>
        </w:sectPr>
      </w:pPr>
    </w:p>
    <w:p w14:paraId="35A74ACB" w14:textId="77777777" w:rsidR="00271489" w:rsidRDefault="00271489" w:rsidP="001B265D">
      <w:pPr>
        <w:pStyle w:val="Heading1"/>
      </w:pPr>
      <w:r w:rsidRPr="00127EE4">
        <w:lastRenderedPageBreak/>
        <w:t xml:space="preserve">Part </w:t>
      </w:r>
      <w:r w:rsidR="001B265D">
        <w:t>B</w:t>
      </w:r>
      <w:r w:rsidRPr="00127EE4">
        <w:t xml:space="preserve">. </w:t>
      </w:r>
      <w:bookmarkStart w:id="6" w:name="_Toc409090898"/>
      <w:bookmarkStart w:id="7" w:name="_Toc400377717"/>
      <w:r w:rsidR="00127EE4" w:rsidRPr="0074555B">
        <w:t>Collections of Information Employing</w:t>
      </w:r>
      <w:bookmarkStart w:id="8" w:name="_Toc409090899"/>
      <w:bookmarkEnd w:id="6"/>
      <w:r w:rsidR="00067184">
        <w:t xml:space="preserve"> </w:t>
      </w:r>
      <w:r w:rsidR="00127EE4" w:rsidRPr="0074555B">
        <w:t>Statistical Methods</w:t>
      </w:r>
      <w:bookmarkEnd w:id="7"/>
      <w:bookmarkEnd w:id="8"/>
    </w:p>
    <w:p w14:paraId="6DED1A8C" w14:textId="77777777" w:rsidR="00271489" w:rsidRDefault="00271489" w:rsidP="001B265D">
      <w:pPr>
        <w:pStyle w:val="Heading1"/>
      </w:pPr>
    </w:p>
    <w:p w14:paraId="3C204DAB" w14:textId="77777777" w:rsidR="008A6A7C" w:rsidRPr="0074555B" w:rsidRDefault="008A6A7C" w:rsidP="001B265D">
      <w:pPr>
        <w:pStyle w:val="Heading2"/>
      </w:pPr>
      <w:bookmarkStart w:id="9" w:name="_Toc329341099"/>
      <w:bookmarkStart w:id="10" w:name="_Toc400377718"/>
      <w:bookmarkStart w:id="11" w:name="_Toc409090900"/>
      <w:bookmarkStart w:id="12" w:name="_Toc290021780"/>
      <w:r w:rsidRPr="0074555B">
        <w:t>B.1</w:t>
      </w:r>
      <w:r w:rsidRPr="0074555B">
        <w:tab/>
        <w:t>Respondent Universe and Sampling Methods</w:t>
      </w:r>
      <w:bookmarkEnd w:id="9"/>
      <w:bookmarkEnd w:id="10"/>
      <w:bookmarkEnd w:id="11"/>
    </w:p>
    <w:p w14:paraId="3E5066AC" w14:textId="77777777" w:rsidR="008A6A7C" w:rsidRPr="002232F7" w:rsidRDefault="008A6A7C" w:rsidP="001B265D">
      <w:pPr>
        <w:pStyle w:val="L1-FlLSp12"/>
        <w:rPr>
          <w:b/>
        </w:rPr>
      </w:pPr>
      <w:bookmarkStart w:id="13" w:name="_Toc316652505"/>
      <w:bookmarkStart w:id="14" w:name="_Toc325550963"/>
      <w:bookmarkStart w:id="15" w:name="_Toc400377719"/>
      <w:bookmarkStart w:id="16" w:name="_Toc290021779"/>
      <w:r w:rsidRPr="002232F7">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3"/>
      <w:bookmarkEnd w:id="14"/>
      <w:bookmarkEnd w:id="15"/>
    </w:p>
    <w:p w14:paraId="2D7FAE40" w14:textId="77777777" w:rsidR="008A6A7C" w:rsidRDefault="008A6A7C" w:rsidP="001B265D">
      <w:pPr>
        <w:pStyle w:val="L1-FlLSp12"/>
      </w:pPr>
    </w:p>
    <w:p w14:paraId="164C97F5" w14:textId="77777777" w:rsidR="001B265D" w:rsidRPr="0074555B" w:rsidRDefault="001B265D" w:rsidP="001B265D">
      <w:pPr>
        <w:pStyle w:val="L1-FlLSp12"/>
      </w:pPr>
    </w:p>
    <w:p w14:paraId="136E4927" w14:textId="77777777" w:rsidR="008A6A7C" w:rsidRPr="0074555B" w:rsidRDefault="001B265D" w:rsidP="00E329A7">
      <w:pPr>
        <w:pStyle w:val="Heading3"/>
      </w:pPr>
      <w:bookmarkStart w:id="17" w:name="_Toc400377720"/>
      <w:bookmarkEnd w:id="16"/>
      <w:r>
        <w:tab/>
      </w:r>
      <w:r w:rsidR="008A6A7C" w:rsidRPr="0074555B">
        <w:t>Respondent Universe</w:t>
      </w:r>
      <w:bookmarkEnd w:id="17"/>
    </w:p>
    <w:p w14:paraId="10DEFA33" w14:textId="31CCB6AF" w:rsidR="00F431EE" w:rsidRDefault="00296961" w:rsidP="00F431EE">
      <w:pPr>
        <w:pStyle w:val="L1-FlLSp12"/>
      </w:pPr>
      <w:r>
        <w:t>The respondent universe is described</w:t>
      </w:r>
      <w:r w:rsidR="007A5AB5">
        <w:t xml:space="preserve"> in this section</w:t>
      </w:r>
      <w:r>
        <w:t xml:space="preserve"> with a general description of the sampling methods. More details on the sampling methods are provided in Section B.2. </w:t>
      </w:r>
      <w:r w:rsidR="00AA01D2">
        <w:t>As part of the sample selection process</w:t>
      </w:r>
      <w:r w:rsidR="007F5CDB">
        <w:t xml:space="preserve"> for the National Food Study Pilot</w:t>
      </w:r>
      <w:r w:rsidR="00AA01D2">
        <w:t>, the survey contractor, Westat, plans to request</w:t>
      </w:r>
      <w:r w:rsidR="007F5CDB">
        <w:t xml:space="preserve"> </w:t>
      </w:r>
      <w:r w:rsidR="000210DC">
        <w:t xml:space="preserve">from states </w:t>
      </w:r>
      <w:r w:rsidR="007F5CDB">
        <w:t>administrative</w:t>
      </w:r>
      <w:r w:rsidR="00AA01D2">
        <w:t xml:space="preserve"> lists</w:t>
      </w:r>
      <w:r w:rsidR="007F5CDB">
        <w:t xml:space="preserve"> </w:t>
      </w:r>
      <w:r w:rsidR="00AA01D2">
        <w:t xml:space="preserve">of addresses </w:t>
      </w:r>
      <w:r w:rsidR="007F5CDB">
        <w:t>with</w:t>
      </w:r>
      <w:r w:rsidR="00AA01D2">
        <w:t xml:space="preserve"> SNAP participants to facilitate oversampling of SNAP households.  This same procedure was </w:t>
      </w:r>
      <w:r w:rsidR="00EE5AE9">
        <w:t xml:space="preserve">used </w:t>
      </w:r>
      <w:r w:rsidR="00AA01D2">
        <w:t xml:space="preserve">for </w:t>
      </w:r>
      <w:r w:rsidR="003E5471">
        <w:t>USDA’s National Household Food Acquisition and Purchase Survey (</w:t>
      </w:r>
      <w:r w:rsidR="00AA01D2">
        <w:t>FoodAPS-1</w:t>
      </w:r>
      <w:r w:rsidR="003E5471">
        <w:t>)</w:t>
      </w:r>
      <w:r w:rsidR="007F5CDB">
        <w:t xml:space="preserve">. </w:t>
      </w:r>
      <w:r w:rsidR="00F431EE">
        <w:t xml:space="preserve">The key sampling domains for the National Food Study </w:t>
      </w:r>
      <w:r w:rsidR="004C282D">
        <w:t xml:space="preserve">(NFS) </w:t>
      </w:r>
      <w:r w:rsidR="00F431EE">
        <w:t>Pilot are:</w:t>
      </w:r>
    </w:p>
    <w:p w14:paraId="55312DE6" w14:textId="77777777" w:rsidR="00F431EE" w:rsidRDefault="00F431EE" w:rsidP="00F431EE">
      <w:pPr>
        <w:pStyle w:val="L1-FlLSp12"/>
      </w:pPr>
    </w:p>
    <w:p w14:paraId="5ABAB34F" w14:textId="77777777" w:rsidR="00F431EE" w:rsidRDefault="00F431EE" w:rsidP="00F431EE">
      <w:pPr>
        <w:pStyle w:val="N1-1stBullet"/>
        <w:numPr>
          <w:ilvl w:val="0"/>
          <w:numId w:val="19"/>
        </w:numPr>
      </w:pPr>
      <w:r>
        <w:t>SNAP households (of any income)</w:t>
      </w:r>
    </w:p>
    <w:p w14:paraId="477DC6F9" w14:textId="77777777" w:rsidR="00F431EE" w:rsidRDefault="00F431EE" w:rsidP="00F431EE">
      <w:pPr>
        <w:pStyle w:val="N1-1stBullet"/>
        <w:numPr>
          <w:ilvl w:val="0"/>
          <w:numId w:val="19"/>
        </w:numPr>
      </w:pPr>
      <w:r w:rsidRPr="008F6CF7">
        <w:t>Non-SNAP WIC households (of any income)</w:t>
      </w:r>
    </w:p>
    <w:p w14:paraId="3F47202A" w14:textId="77777777" w:rsidR="00F431EE" w:rsidRDefault="00F431EE" w:rsidP="00F431EE">
      <w:pPr>
        <w:pStyle w:val="N1-1stBullet"/>
        <w:numPr>
          <w:ilvl w:val="0"/>
          <w:numId w:val="19"/>
        </w:numPr>
      </w:pPr>
      <w:r w:rsidRPr="008F6CF7">
        <w:t>Non-SNAP and non-WIC households with income at or below 130% of Federal Poverty Level (FPL)</w:t>
      </w:r>
    </w:p>
    <w:p w14:paraId="26A9BFB4" w14:textId="77777777" w:rsidR="00F431EE" w:rsidRDefault="00F431EE" w:rsidP="00F431EE">
      <w:pPr>
        <w:pStyle w:val="N1-1stBullet"/>
        <w:numPr>
          <w:ilvl w:val="0"/>
          <w:numId w:val="19"/>
        </w:numPr>
      </w:pPr>
      <w:r>
        <w:t>Non-SNAP and non-WIC households with income between 131% and 185% of FPL</w:t>
      </w:r>
    </w:p>
    <w:p w14:paraId="592C2B10" w14:textId="77777777" w:rsidR="00F431EE" w:rsidRDefault="00F431EE" w:rsidP="00F431EE">
      <w:pPr>
        <w:pStyle w:val="N1-1stBullet"/>
        <w:numPr>
          <w:ilvl w:val="0"/>
          <w:numId w:val="19"/>
        </w:numPr>
      </w:pPr>
      <w:r>
        <w:t>Non-SNAP and non-WIC households with income above 185% of FPL</w:t>
      </w:r>
    </w:p>
    <w:p w14:paraId="7AAED05F" w14:textId="77777777" w:rsidR="007F5CDB" w:rsidRDefault="007F5CDB" w:rsidP="008F6CF7">
      <w:pPr>
        <w:pStyle w:val="L1-FlLSp12"/>
      </w:pPr>
    </w:p>
    <w:p w14:paraId="0FE58682" w14:textId="29293EDA" w:rsidR="00AA01D2" w:rsidRDefault="007F5CDB" w:rsidP="008F6CF7">
      <w:pPr>
        <w:pStyle w:val="L1-FlLSp12"/>
      </w:pPr>
      <w:r>
        <w:t xml:space="preserve">A three-stage sample design will be employed in which the primary sampling units (PSUs) are counties or groups of contiguous counties. As described further in Section B.2, a probability-based </w:t>
      </w:r>
      <w:r>
        <w:lastRenderedPageBreak/>
        <w:t>sample of 12 PSUs ha</w:t>
      </w:r>
      <w:r w:rsidR="004F0DB7">
        <w:t>s</w:t>
      </w:r>
      <w:r>
        <w:t xml:space="preserve"> been selected from the 50 PSUs </w:t>
      </w:r>
      <w:r w:rsidR="00F431EE">
        <w:t>that were selected for FoodAPS-1</w:t>
      </w:r>
      <w:r>
        <w:t xml:space="preserve">. Given the probability-based selection, the 12 PSUs are nationally representative. The 12 PSUs fall into 9 states. </w:t>
      </w:r>
      <w:r w:rsidR="005E2D82">
        <w:t xml:space="preserve">Therefore, the National Food Study Pilot is limited to nine of the 27 states with selected sample for FoodAPS-1. </w:t>
      </w:r>
      <w:r w:rsidR="00AA01D2">
        <w:t>The purpose is to</w:t>
      </w:r>
      <w:r w:rsidR="00BA0C23">
        <w:t xml:space="preserve"> </w:t>
      </w:r>
      <w:r w:rsidR="00AA01D2">
        <w:t>minimize the effort that state SNAP agencies will need to make to provide the requested data</w:t>
      </w:r>
      <w:r w:rsidR="00BA0C23">
        <w:t xml:space="preserve"> as the Pilot will be asking for essentially the same information.</w:t>
      </w:r>
      <w:r w:rsidR="00F431EE">
        <w:t xml:space="preserve"> The respondent universe excludes persons living in institutions or group quarters. </w:t>
      </w:r>
    </w:p>
    <w:p w14:paraId="59E407AC" w14:textId="77777777" w:rsidR="00BA0C23" w:rsidRDefault="00BA0C23" w:rsidP="008F6CF7">
      <w:pPr>
        <w:pStyle w:val="L1-FlLSp12"/>
      </w:pPr>
    </w:p>
    <w:p w14:paraId="717AA331" w14:textId="77777777" w:rsidR="004F0DB7" w:rsidRDefault="007A5AB5" w:rsidP="00C47F02">
      <w:pPr>
        <w:pStyle w:val="L1-FlLSp12"/>
      </w:pPr>
      <w:r>
        <w:t>In t</w:t>
      </w:r>
      <w:r w:rsidR="007F5CDB">
        <w:t>he second stage</w:t>
      </w:r>
      <w:r>
        <w:t xml:space="preserve">, segments comprised of </w:t>
      </w:r>
      <w:r w:rsidR="007F5CDB">
        <w:t>census block groups or combinations of block groups</w:t>
      </w:r>
      <w:r>
        <w:t xml:space="preserve"> are selected</w:t>
      </w:r>
      <w:r w:rsidR="007F5CDB">
        <w:t>.</w:t>
      </w:r>
      <w:r>
        <w:t xml:space="preserve"> As discussed further in Section B.2, segments with a larger number of SNAP participants will be given a higher chance of selection. </w:t>
      </w:r>
    </w:p>
    <w:p w14:paraId="35F418C4" w14:textId="77777777" w:rsidR="004F0DB7" w:rsidRDefault="004F0DB7" w:rsidP="00C47F02">
      <w:pPr>
        <w:pStyle w:val="L1-FlLSp12"/>
      </w:pPr>
    </w:p>
    <w:p w14:paraId="5623ABB7" w14:textId="6DC438D1" w:rsidR="007F5CDB" w:rsidRDefault="007A5AB5" w:rsidP="00C47F02">
      <w:pPr>
        <w:pStyle w:val="L1-FlLSp12"/>
      </w:pPr>
      <w:r>
        <w:t>In the third stage, residential addresses will be selected</w:t>
      </w:r>
      <w:r w:rsidR="00C47F02">
        <w:t xml:space="preserve"> within the selected segments from two strata (addresses on the state’s SNAP address list, and addresses not on the SNAP address list)</w:t>
      </w:r>
      <w:r>
        <w:t xml:space="preserve">. </w:t>
      </w:r>
      <w:r w:rsidR="00C47F02">
        <w:t>To do so</w:t>
      </w:r>
      <w:r>
        <w:t>, a sampling frame of addresses will be obtained from two sources</w:t>
      </w:r>
      <w:r w:rsidR="00521856">
        <w:t xml:space="preserve"> of address listings</w:t>
      </w:r>
      <w:r>
        <w:t>.</w:t>
      </w:r>
      <w:r w:rsidR="00521856">
        <w:t xml:space="preserve"> T</w:t>
      </w:r>
      <w:r w:rsidR="00521856" w:rsidRPr="00521856">
        <w:t xml:space="preserve">o reduce cost, Westat will not </w:t>
      </w:r>
      <w:r w:rsidR="00521856">
        <w:t xml:space="preserve">be </w:t>
      </w:r>
      <w:r w:rsidR="00521856" w:rsidRPr="00521856">
        <w:t>conduct</w:t>
      </w:r>
      <w:r w:rsidR="00521856">
        <w:t>ing</w:t>
      </w:r>
      <w:r w:rsidR="00521856" w:rsidRPr="00521856">
        <w:t xml:space="preserve"> traditional listing in areas where addresses </w:t>
      </w:r>
      <w:r w:rsidR="00521856">
        <w:t>may have low coverage</w:t>
      </w:r>
      <w:r w:rsidR="00521856" w:rsidRPr="00521856">
        <w:t xml:space="preserve"> </w:t>
      </w:r>
      <w:r w:rsidR="00521856">
        <w:t xml:space="preserve">(e.g., due to the use of </w:t>
      </w:r>
      <w:r w:rsidR="00521856" w:rsidRPr="00521856">
        <w:t>PO boxes</w:t>
      </w:r>
      <w:r w:rsidR="00521856">
        <w:t>)</w:t>
      </w:r>
      <w:r w:rsidR="00521856" w:rsidRPr="00521856">
        <w:t xml:space="preserve">. In such areas, a larger number of addresses </w:t>
      </w:r>
      <w:r w:rsidR="00521856">
        <w:t>will</w:t>
      </w:r>
      <w:r w:rsidR="00521856" w:rsidRPr="00521856">
        <w:t xml:space="preserve"> be selected to account for the loss due to </w:t>
      </w:r>
      <w:r w:rsidR="00521856">
        <w:t>housing units that are not on the address listings</w:t>
      </w:r>
      <w:r w:rsidR="00521856" w:rsidRPr="00521856">
        <w:t>.</w:t>
      </w:r>
      <w:r>
        <w:t xml:space="preserve"> </w:t>
      </w:r>
      <w:r w:rsidR="00521856">
        <w:t>The first source of address listings will be</w:t>
      </w:r>
      <w:r>
        <w:t xml:space="preserve"> a list of all </w:t>
      </w:r>
      <w:r w:rsidRPr="007A5AB5">
        <w:t>residential addresses from the most recent United States Postal Service (USPS) computerized delivery sequence file (CDSF).</w:t>
      </w:r>
      <w:r w:rsidR="00521856">
        <w:t xml:space="preserve"> </w:t>
      </w:r>
      <w:r w:rsidRPr="007A5AB5">
        <w:t>The USPS address lists include street addresses along with the carrier route information. Qualified vendors receive updated lists from the USPS on a bimonthly or weekly basis and attach additional information from outside commercial databases</w:t>
      </w:r>
      <w:r w:rsidR="009E687C">
        <w:t>, including Census geography</w:t>
      </w:r>
      <w:r w:rsidR="0064778E">
        <w:t xml:space="preserve"> (e.g., FIPS county codes and Census block group)</w:t>
      </w:r>
      <w:r w:rsidR="009E687C">
        <w:t>, telephone numbers, and demographics</w:t>
      </w:r>
      <w:r w:rsidR="0064778E">
        <w:t xml:space="preserve"> (e.g., number of children in the household and estimated household income)</w:t>
      </w:r>
      <w:r w:rsidRPr="007A5AB5">
        <w:t>.</w:t>
      </w:r>
      <w:r w:rsidR="00C47F02">
        <w:t xml:space="preserve"> </w:t>
      </w:r>
      <w:r w:rsidR="00EC5F71">
        <w:t xml:space="preserve">For the second source for creating the frame of addresses, </w:t>
      </w:r>
      <w:r w:rsidR="00EC5F71" w:rsidRPr="00EC5F71">
        <w:t>Westat will seek to obtain lists of addresses with SNAP participants from the states.</w:t>
      </w:r>
      <w:r w:rsidR="00EC5F71">
        <w:t xml:space="preserve"> As described further in Section B.2, a matching operation will be conducted to determine which </w:t>
      </w:r>
      <w:r w:rsidR="006F358D">
        <w:t>address-based sampling (</w:t>
      </w:r>
      <w:r w:rsidR="00EC5F71">
        <w:t>ABS</w:t>
      </w:r>
      <w:r w:rsidR="006F358D">
        <w:t>)</w:t>
      </w:r>
      <w:r w:rsidR="00EC5F71">
        <w:t xml:space="preserve"> addresses are not on the SNAP administrative list of addresses. </w:t>
      </w:r>
      <w:r w:rsidR="005E2D82">
        <w:t xml:space="preserve">The matching operation effectively stratifies the addresses into two strata, 1) SNAP list addresses and 2) addresses not on the SNAP list.  </w:t>
      </w:r>
      <w:r w:rsidR="00EC5F71">
        <w:t>A systematic random sample of addresses</w:t>
      </w:r>
      <w:r w:rsidR="00EC5F71" w:rsidRPr="00EC5F71">
        <w:t xml:space="preserve"> will be </w:t>
      </w:r>
      <w:r w:rsidR="00EC5F71">
        <w:t>selected within each strat</w:t>
      </w:r>
      <w:r w:rsidR="00EE5AE9">
        <w:t>um</w:t>
      </w:r>
      <w:r w:rsidR="00EC5F71">
        <w:t xml:space="preserve"> </w:t>
      </w:r>
      <w:r w:rsidR="00EC5F71" w:rsidRPr="00EC5F71">
        <w:t xml:space="preserve">from these lists.  Once </w:t>
      </w:r>
      <w:r w:rsidR="00EC5F71">
        <w:t>addresses</w:t>
      </w:r>
      <w:r w:rsidR="00EC5F71" w:rsidRPr="00EC5F71">
        <w:t xml:space="preserve"> are selected, a </w:t>
      </w:r>
      <w:r w:rsidR="005E2D82" w:rsidRPr="00EC5F71">
        <w:t>screeni</w:t>
      </w:r>
      <w:r w:rsidR="005E2D82">
        <w:t>ng</w:t>
      </w:r>
      <w:r w:rsidR="00EC5F71" w:rsidRPr="00EC5F71">
        <w:t xml:space="preserve"> interview will be conducted to identify the sampling domain of both the SNAP and non-SNAP households. Among the screener completes, all who report to be on SNAP will be retained for the initial interview. A random proportion of those who are classified as non-SNAP in the highest income category will be screened out in order to reduce the number of high income participants in the sample. The remaining households will continue on with the main survey.</w:t>
      </w:r>
    </w:p>
    <w:p w14:paraId="43A2529D" w14:textId="77777777" w:rsidR="007F5CDB" w:rsidRDefault="007F5CDB" w:rsidP="008F6CF7">
      <w:pPr>
        <w:pStyle w:val="L1-FlLSp12"/>
      </w:pPr>
    </w:p>
    <w:bookmarkEnd w:id="12"/>
    <w:p w14:paraId="2FAD9497" w14:textId="34820C0A" w:rsidR="00C05B17" w:rsidRDefault="00C05B17" w:rsidP="001B265D">
      <w:pPr>
        <w:pStyle w:val="L1-FlLSp12"/>
      </w:pPr>
      <w:r w:rsidRPr="00C05B17">
        <w:lastRenderedPageBreak/>
        <w:t xml:space="preserve">The </w:t>
      </w:r>
      <w:r w:rsidR="004C282D">
        <w:t>NFS P</w:t>
      </w:r>
      <w:r w:rsidRPr="00C05B17">
        <w:t>ilot study will be comprised of a probability-based nationally representative sample of 500 households. Table B</w:t>
      </w:r>
      <w:r w:rsidR="00BB1664">
        <w:t>.1.</w:t>
      </w:r>
      <w:r w:rsidRPr="00C05B17">
        <w:t>1 shows national Current Population Survey (CPS) estimates of the percentage of households in each sampling domain, out of the approximately 120 million households in the nation, along with the target number of completes. The sample of 500 total completed households will allow for adequate precision for planned performance measures</w:t>
      </w:r>
      <w:r w:rsidR="00D46B7E">
        <w:t>;</w:t>
      </w:r>
      <w:r w:rsidRPr="00C05B17">
        <w:t xml:space="preserve"> however, there will not be enough cases to analyze separately in any sampling domain.</w:t>
      </w:r>
    </w:p>
    <w:p w14:paraId="312A1FD3" w14:textId="77777777" w:rsidR="00D46B7E" w:rsidRDefault="00D46B7E" w:rsidP="00C05B17">
      <w:pPr>
        <w:pStyle w:val="TT-TableTitle"/>
      </w:pPr>
    </w:p>
    <w:p w14:paraId="3813B99E" w14:textId="77777777" w:rsidR="00C05B17" w:rsidRDefault="00C05B17" w:rsidP="00C05B17">
      <w:pPr>
        <w:pStyle w:val="TT-TableTitle"/>
      </w:pPr>
      <w:r>
        <w:t>Table B</w:t>
      </w:r>
      <w:r w:rsidR="00BB1664">
        <w:t>.</w:t>
      </w:r>
      <w:r>
        <w:t>1.1.</w:t>
      </w:r>
      <w:r>
        <w:tab/>
        <w:t>Pilot target sample sizes</w:t>
      </w:r>
    </w:p>
    <w:p w14:paraId="67C4C5AD" w14:textId="77777777" w:rsidR="009B57EC" w:rsidRDefault="009B57EC" w:rsidP="00C05B17">
      <w:pPr>
        <w:pStyle w:val="TT-TableTitle"/>
      </w:pPr>
    </w:p>
    <w:tbl>
      <w:tblPr>
        <w:tblW w:w="0" w:type="auto"/>
        <w:tblInd w:w="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855"/>
        <w:gridCol w:w="1350"/>
        <w:gridCol w:w="1278"/>
      </w:tblGrid>
      <w:tr w:rsidR="00C05B17" w:rsidRPr="0045758F" w14:paraId="20F89F12" w14:textId="77777777" w:rsidTr="00157B91">
        <w:trPr>
          <w:trHeight w:val="800"/>
        </w:trPr>
        <w:tc>
          <w:tcPr>
            <w:tcW w:w="6855" w:type="dxa"/>
            <w:tcBorders>
              <w:bottom w:val="single" w:sz="4" w:space="0" w:color="auto"/>
            </w:tcBorders>
            <w:shd w:val="clear" w:color="auto" w:fill="AFBED7"/>
            <w:noWrap/>
            <w:vAlign w:val="bottom"/>
            <w:hideMark/>
          </w:tcPr>
          <w:p w14:paraId="02E0718A" w14:textId="77777777" w:rsidR="00C05B17" w:rsidRPr="0045758F" w:rsidRDefault="00C05B17" w:rsidP="00157B91">
            <w:pPr>
              <w:pStyle w:val="TH-TableHeading"/>
            </w:pPr>
            <w:r w:rsidRPr="0045758F">
              <w:t>Sampling domain</w:t>
            </w:r>
          </w:p>
        </w:tc>
        <w:tc>
          <w:tcPr>
            <w:tcW w:w="1350" w:type="dxa"/>
            <w:tcBorders>
              <w:bottom w:val="single" w:sz="4" w:space="0" w:color="auto"/>
            </w:tcBorders>
            <w:shd w:val="clear" w:color="auto" w:fill="AFBED7"/>
            <w:vAlign w:val="bottom"/>
            <w:hideMark/>
          </w:tcPr>
          <w:p w14:paraId="77707FFD" w14:textId="77777777" w:rsidR="00C05B17" w:rsidRPr="0045758F" w:rsidRDefault="00C05B17" w:rsidP="00157B91">
            <w:pPr>
              <w:pStyle w:val="TH-TableHeading"/>
            </w:pPr>
            <w:r w:rsidRPr="0045758F">
              <w:t>Es</w:t>
            </w:r>
            <w:r>
              <w:t>timated population percentages</w:t>
            </w:r>
            <w:r>
              <w:br/>
            </w:r>
            <w:r w:rsidRPr="0045758F">
              <w:t>(CPS 2013)</w:t>
            </w:r>
          </w:p>
        </w:tc>
        <w:tc>
          <w:tcPr>
            <w:tcW w:w="1278" w:type="dxa"/>
            <w:tcBorders>
              <w:bottom w:val="single" w:sz="4" w:space="0" w:color="auto"/>
            </w:tcBorders>
            <w:shd w:val="clear" w:color="auto" w:fill="AFBED7"/>
            <w:vAlign w:val="bottom"/>
            <w:hideMark/>
          </w:tcPr>
          <w:p w14:paraId="31EB0A58" w14:textId="77777777" w:rsidR="00C05B17" w:rsidRPr="0045758F" w:rsidRDefault="00C05B17" w:rsidP="00157B91">
            <w:pPr>
              <w:pStyle w:val="TH-TableHeading"/>
            </w:pPr>
            <w:r w:rsidRPr="0045758F">
              <w:t>Target number of households</w:t>
            </w:r>
          </w:p>
        </w:tc>
      </w:tr>
      <w:tr w:rsidR="00C05B17" w:rsidRPr="0045758F" w14:paraId="7B0CB6D5" w14:textId="77777777" w:rsidTr="00157B91">
        <w:trPr>
          <w:trHeight w:val="260"/>
        </w:trPr>
        <w:tc>
          <w:tcPr>
            <w:tcW w:w="6855" w:type="dxa"/>
            <w:tcBorders>
              <w:bottom w:val="nil"/>
            </w:tcBorders>
            <w:shd w:val="clear" w:color="auto" w:fill="auto"/>
            <w:noWrap/>
            <w:vAlign w:val="center"/>
            <w:hideMark/>
          </w:tcPr>
          <w:p w14:paraId="7CFB4BDA" w14:textId="77777777" w:rsidR="00C05B17" w:rsidRPr="0045758F" w:rsidRDefault="00C05B17" w:rsidP="00157B91">
            <w:pPr>
              <w:pStyle w:val="TX-TableText"/>
              <w:rPr>
                <w:bCs/>
              </w:rPr>
            </w:pPr>
            <w:r w:rsidRPr="0045758F">
              <w:rPr>
                <w:rFonts w:cstheme="minorHAnsi"/>
                <w:bCs/>
              </w:rPr>
              <w:t>SNAP households</w:t>
            </w:r>
          </w:p>
        </w:tc>
        <w:tc>
          <w:tcPr>
            <w:tcW w:w="1350" w:type="dxa"/>
            <w:tcBorders>
              <w:bottom w:val="nil"/>
            </w:tcBorders>
            <w:shd w:val="clear" w:color="auto" w:fill="auto"/>
            <w:noWrap/>
            <w:vAlign w:val="center"/>
            <w:hideMark/>
          </w:tcPr>
          <w:p w14:paraId="4F99F3FD" w14:textId="77777777" w:rsidR="00C05B17" w:rsidRPr="0045758F" w:rsidRDefault="00C05B17" w:rsidP="00157B91">
            <w:pPr>
              <w:pStyle w:val="TX-TableText"/>
              <w:jc w:val="center"/>
              <w:rPr>
                <w:bCs/>
              </w:rPr>
            </w:pPr>
            <w:r w:rsidRPr="0045758F">
              <w:rPr>
                <w:bCs/>
              </w:rPr>
              <w:t>11.1%</w:t>
            </w:r>
          </w:p>
        </w:tc>
        <w:tc>
          <w:tcPr>
            <w:tcW w:w="1278" w:type="dxa"/>
            <w:tcBorders>
              <w:bottom w:val="nil"/>
            </w:tcBorders>
            <w:shd w:val="clear" w:color="auto" w:fill="auto"/>
            <w:noWrap/>
            <w:vAlign w:val="center"/>
            <w:hideMark/>
          </w:tcPr>
          <w:p w14:paraId="60320C3F" w14:textId="77777777" w:rsidR="00C05B17" w:rsidRPr="0045758F" w:rsidRDefault="00C05B17" w:rsidP="00157B91">
            <w:pPr>
              <w:pStyle w:val="TX-TableText"/>
              <w:jc w:val="center"/>
              <w:rPr>
                <w:bCs/>
              </w:rPr>
            </w:pPr>
            <w:r w:rsidRPr="0045758F">
              <w:rPr>
                <w:bCs/>
              </w:rPr>
              <w:t>150 (30%)</w:t>
            </w:r>
          </w:p>
        </w:tc>
      </w:tr>
      <w:tr w:rsidR="00C05B17" w:rsidRPr="0045758F" w14:paraId="50588CC6" w14:textId="77777777" w:rsidTr="00157B91">
        <w:trPr>
          <w:trHeight w:val="215"/>
        </w:trPr>
        <w:tc>
          <w:tcPr>
            <w:tcW w:w="6855" w:type="dxa"/>
            <w:tcBorders>
              <w:top w:val="nil"/>
              <w:bottom w:val="nil"/>
            </w:tcBorders>
            <w:shd w:val="clear" w:color="auto" w:fill="auto"/>
            <w:noWrap/>
            <w:vAlign w:val="center"/>
            <w:hideMark/>
          </w:tcPr>
          <w:p w14:paraId="31CF0370" w14:textId="77777777" w:rsidR="00C05B17" w:rsidRPr="0045758F" w:rsidRDefault="00C05B17" w:rsidP="00157B91">
            <w:pPr>
              <w:pStyle w:val="TX-TableText"/>
            </w:pPr>
            <w:r w:rsidRPr="0045758F">
              <w:rPr>
                <w:rFonts w:cstheme="minorHAnsi"/>
                <w:bCs/>
              </w:rPr>
              <w:t xml:space="preserve">Non-SNAP WIC households </w:t>
            </w:r>
          </w:p>
        </w:tc>
        <w:tc>
          <w:tcPr>
            <w:tcW w:w="1350" w:type="dxa"/>
            <w:tcBorders>
              <w:top w:val="nil"/>
              <w:bottom w:val="nil"/>
            </w:tcBorders>
            <w:shd w:val="clear" w:color="auto" w:fill="auto"/>
            <w:noWrap/>
            <w:vAlign w:val="center"/>
            <w:hideMark/>
          </w:tcPr>
          <w:p w14:paraId="6DC3B57A" w14:textId="77777777" w:rsidR="00C05B17" w:rsidRPr="0045758F" w:rsidRDefault="00C05B17" w:rsidP="00157B91">
            <w:pPr>
              <w:pStyle w:val="TX-TableText"/>
              <w:jc w:val="center"/>
            </w:pPr>
            <w:r w:rsidRPr="0045758F">
              <w:t>1.2%</w:t>
            </w:r>
          </w:p>
        </w:tc>
        <w:tc>
          <w:tcPr>
            <w:tcW w:w="1278" w:type="dxa"/>
            <w:tcBorders>
              <w:top w:val="nil"/>
              <w:bottom w:val="nil"/>
            </w:tcBorders>
            <w:shd w:val="clear" w:color="auto" w:fill="auto"/>
            <w:noWrap/>
            <w:vAlign w:val="center"/>
            <w:hideMark/>
          </w:tcPr>
          <w:p w14:paraId="081608B4" w14:textId="41773525" w:rsidR="00C05B17" w:rsidRPr="0045758F" w:rsidRDefault="00382DB9" w:rsidP="00157B91">
            <w:pPr>
              <w:pStyle w:val="TX-TableText"/>
              <w:jc w:val="center"/>
            </w:pPr>
            <w:r>
              <w:t xml:space="preserve">5 </w:t>
            </w:r>
            <w:r w:rsidR="00C05B17" w:rsidRPr="0045758F">
              <w:t>(1%)</w:t>
            </w:r>
          </w:p>
        </w:tc>
      </w:tr>
      <w:tr w:rsidR="00C05B17" w:rsidRPr="0045758F" w14:paraId="6B732DF5" w14:textId="77777777" w:rsidTr="00157B91">
        <w:trPr>
          <w:trHeight w:val="300"/>
        </w:trPr>
        <w:tc>
          <w:tcPr>
            <w:tcW w:w="6855" w:type="dxa"/>
            <w:tcBorders>
              <w:top w:val="nil"/>
              <w:bottom w:val="nil"/>
            </w:tcBorders>
            <w:shd w:val="clear" w:color="auto" w:fill="auto"/>
            <w:noWrap/>
            <w:vAlign w:val="center"/>
            <w:hideMark/>
          </w:tcPr>
          <w:p w14:paraId="701D6849" w14:textId="77777777" w:rsidR="00C05B17" w:rsidRPr="0076155F" w:rsidRDefault="00C05B17" w:rsidP="00157B91">
            <w:pPr>
              <w:pStyle w:val="TX-TableText"/>
            </w:pPr>
            <w:r w:rsidRPr="0076155F">
              <w:rPr>
                <w:rFonts w:cstheme="minorHAnsi"/>
                <w:bCs/>
              </w:rPr>
              <w:t xml:space="preserve">Non-SNAP and non-WIC households with income </w:t>
            </w:r>
            <w:r>
              <w:rPr>
                <w:rFonts w:cstheme="minorHAnsi"/>
                <w:bCs/>
              </w:rPr>
              <w:t>at or below 130% of FPL</w:t>
            </w:r>
          </w:p>
        </w:tc>
        <w:tc>
          <w:tcPr>
            <w:tcW w:w="1350" w:type="dxa"/>
            <w:tcBorders>
              <w:top w:val="nil"/>
              <w:bottom w:val="nil"/>
            </w:tcBorders>
            <w:shd w:val="clear" w:color="auto" w:fill="auto"/>
            <w:noWrap/>
            <w:vAlign w:val="center"/>
          </w:tcPr>
          <w:p w14:paraId="3336A8FD" w14:textId="77777777" w:rsidR="00C05B17" w:rsidRPr="0076155F" w:rsidRDefault="00C05B17" w:rsidP="00157B91">
            <w:pPr>
              <w:pStyle w:val="TX-TableText"/>
              <w:jc w:val="center"/>
            </w:pPr>
            <w:r>
              <w:t>13.8%</w:t>
            </w:r>
          </w:p>
        </w:tc>
        <w:tc>
          <w:tcPr>
            <w:tcW w:w="1278" w:type="dxa"/>
            <w:tcBorders>
              <w:top w:val="nil"/>
              <w:bottom w:val="nil"/>
            </w:tcBorders>
            <w:shd w:val="clear" w:color="auto" w:fill="auto"/>
            <w:noWrap/>
            <w:vAlign w:val="center"/>
          </w:tcPr>
          <w:p w14:paraId="52FDBE1D" w14:textId="77777777" w:rsidR="00C05B17" w:rsidRPr="0076155F" w:rsidRDefault="00C05B17" w:rsidP="00157B91">
            <w:pPr>
              <w:pStyle w:val="TX-TableText"/>
              <w:jc w:val="center"/>
            </w:pPr>
            <w:r>
              <w:t>70 (14%)</w:t>
            </w:r>
          </w:p>
        </w:tc>
      </w:tr>
      <w:tr w:rsidR="00C05B17" w:rsidRPr="0045758F" w14:paraId="46056EAC" w14:textId="77777777" w:rsidTr="00157B91">
        <w:trPr>
          <w:trHeight w:val="300"/>
        </w:trPr>
        <w:tc>
          <w:tcPr>
            <w:tcW w:w="6855" w:type="dxa"/>
            <w:tcBorders>
              <w:top w:val="nil"/>
              <w:bottom w:val="nil"/>
            </w:tcBorders>
            <w:shd w:val="clear" w:color="auto" w:fill="auto"/>
            <w:noWrap/>
            <w:vAlign w:val="center"/>
            <w:hideMark/>
          </w:tcPr>
          <w:p w14:paraId="3CB6FE86" w14:textId="77777777" w:rsidR="00C05B17" w:rsidRPr="0076155F" w:rsidRDefault="00C05B17" w:rsidP="00157B91">
            <w:pPr>
              <w:pStyle w:val="TX-TableText"/>
            </w:pPr>
            <w:r w:rsidRPr="0076155F">
              <w:rPr>
                <w:rFonts w:cstheme="minorHAnsi"/>
                <w:bCs/>
              </w:rPr>
              <w:t>Non-SNAP and non-WIC ho</w:t>
            </w:r>
            <w:r>
              <w:rPr>
                <w:rFonts w:cstheme="minorHAnsi"/>
                <w:bCs/>
              </w:rPr>
              <w:t>useholds with income between 131</w:t>
            </w:r>
            <w:r w:rsidRPr="0076155F">
              <w:rPr>
                <w:rFonts w:cstheme="minorHAnsi"/>
                <w:bCs/>
              </w:rPr>
              <w:t>-185% of FPL</w:t>
            </w:r>
          </w:p>
        </w:tc>
        <w:tc>
          <w:tcPr>
            <w:tcW w:w="1350" w:type="dxa"/>
            <w:tcBorders>
              <w:top w:val="nil"/>
              <w:bottom w:val="nil"/>
            </w:tcBorders>
            <w:shd w:val="clear" w:color="auto" w:fill="auto"/>
            <w:noWrap/>
            <w:vAlign w:val="center"/>
          </w:tcPr>
          <w:p w14:paraId="534F3185" w14:textId="77777777" w:rsidR="00C05B17" w:rsidRPr="0076155F" w:rsidRDefault="00C05B17" w:rsidP="00157B91">
            <w:pPr>
              <w:pStyle w:val="TX-TableText"/>
              <w:jc w:val="center"/>
            </w:pPr>
            <w:r>
              <w:t>9.2%</w:t>
            </w:r>
          </w:p>
        </w:tc>
        <w:tc>
          <w:tcPr>
            <w:tcW w:w="1278" w:type="dxa"/>
            <w:tcBorders>
              <w:top w:val="nil"/>
              <w:bottom w:val="nil"/>
            </w:tcBorders>
            <w:shd w:val="clear" w:color="auto" w:fill="auto"/>
            <w:noWrap/>
            <w:vAlign w:val="center"/>
          </w:tcPr>
          <w:p w14:paraId="202BA92A" w14:textId="77777777" w:rsidR="00C05B17" w:rsidRPr="0076155F" w:rsidRDefault="00C05B17" w:rsidP="00157B91">
            <w:pPr>
              <w:pStyle w:val="TX-TableText"/>
              <w:jc w:val="center"/>
            </w:pPr>
            <w:r>
              <w:t>45 (9%)</w:t>
            </w:r>
          </w:p>
        </w:tc>
      </w:tr>
      <w:tr w:rsidR="00C05B17" w:rsidRPr="0045758F" w14:paraId="3316330F" w14:textId="77777777" w:rsidTr="00157B91">
        <w:trPr>
          <w:trHeight w:val="188"/>
        </w:trPr>
        <w:tc>
          <w:tcPr>
            <w:tcW w:w="6855" w:type="dxa"/>
            <w:tcBorders>
              <w:top w:val="nil"/>
            </w:tcBorders>
            <w:shd w:val="clear" w:color="auto" w:fill="auto"/>
            <w:noWrap/>
            <w:vAlign w:val="bottom"/>
            <w:hideMark/>
          </w:tcPr>
          <w:p w14:paraId="5973A216" w14:textId="77777777" w:rsidR="00C05B17" w:rsidRPr="008D322A" w:rsidRDefault="00C05B17" w:rsidP="00157B91">
            <w:pPr>
              <w:pStyle w:val="TX-TableText"/>
            </w:pPr>
            <w:r w:rsidRPr="008D322A">
              <w:t>Non-SNAP and non-WIC households with income above 185% of FPL</w:t>
            </w:r>
          </w:p>
        </w:tc>
        <w:tc>
          <w:tcPr>
            <w:tcW w:w="1350" w:type="dxa"/>
            <w:tcBorders>
              <w:top w:val="nil"/>
            </w:tcBorders>
            <w:shd w:val="clear" w:color="auto" w:fill="auto"/>
            <w:noWrap/>
            <w:vAlign w:val="bottom"/>
            <w:hideMark/>
          </w:tcPr>
          <w:p w14:paraId="441E0B85" w14:textId="77777777" w:rsidR="00C05B17" w:rsidRPr="008D322A" w:rsidRDefault="00C05B17" w:rsidP="00157B91">
            <w:pPr>
              <w:pStyle w:val="TX-TableText"/>
              <w:jc w:val="center"/>
            </w:pPr>
            <w:r w:rsidRPr="008D322A">
              <w:t>64.6%</w:t>
            </w:r>
          </w:p>
        </w:tc>
        <w:tc>
          <w:tcPr>
            <w:tcW w:w="1278" w:type="dxa"/>
            <w:tcBorders>
              <w:top w:val="nil"/>
            </w:tcBorders>
            <w:shd w:val="clear" w:color="auto" w:fill="auto"/>
            <w:noWrap/>
            <w:vAlign w:val="center"/>
            <w:hideMark/>
          </w:tcPr>
          <w:p w14:paraId="4FACCBE0" w14:textId="77777777" w:rsidR="00C05B17" w:rsidRPr="008D322A" w:rsidRDefault="00C05B17" w:rsidP="00157B91">
            <w:pPr>
              <w:pStyle w:val="TX-TableText"/>
              <w:jc w:val="center"/>
            </w:pPr>
            <w:r w:rsidRPr="008D322A">
              <w:t>230 (46%)</w:t>
            </w:r>
          </w:p>
        </w:tc>
      </w:tr>
      <w:tr w:rsidR="00C05B17" w:rsidRPr="0045758F" w14:paraId="58EF0C03" w14:textId="77777777" w:rsidTr="00157B91">
        <w:trPr>
          <w:trHeight w:val="242"/>
        </w:trPr>
        <w:tc>
          <w:tcPr>
            <w:tcW w:w="6855" w:type="dxa"/>
            <w:shd w:val="clear" w:color="auto" w:fill="auto"/>
            <w:noWrap/>
            <w:vAlign w:val="bottom"/>
            <w:hideMark/>
          </w:tcPr>
          <w:p w14:paraId="75B18264" w14:textId="77777777" w:rsidR="00C05B17" w:rsidRPr="0045758F" w:rsidRDefault="00C05B17" w:rsidP="00157B91">
            <w:pPr>
              <w:pStyle w:val="TX-TableText"/>
            </w:pPr>
            <w:r w:rsidRPr="0045758F">
              <w:t>Total</w:t>
            </w:r>
          </w:p>
        </w:tc>
        <w:tc>
          <w:tcPr>
            <w:tcW w:w="1350" w:type="dxa"/>
            <w:shd w:val="clear" w:color="auto" w:fill="auto"/>
            <w:noWrap/>
            <w:vAlign w:val="bottom"/>
            <w:hideMark/>
          </w:tcPr>
          <w:p w14:paraId="35E41C28" w14:textId="77777777" w:rsidR="00C05B17" w:rsidRPr="0045758F" w:rsidRDefault="00C05B17" w:rsidP="00157B91">
            <w:pPr>
              <w:pStyle w:val="TX-TableText"/>
              <w:jc w:val="center"/>
            </w:pPr>
          </w:p>
        </w:tc>
        <w:tc>
          <w:tcPr>
            <w:tcW w:w="1278" w:type="dxa"/>
            <w:shd w:val="clear" w:color="auto" w:fill="auto"/>
            <w:noWrap/>
            <w:vAlign w:val="center"/>
            <w:hideMark/>
          </w:tcPr>
          <w:p w14:paraId="0B18FEAE" w14:textId="77777777" w:rsidR="00C05B17" w:rsidRPr="0045758F" w:rsidRDefault="00C05B17" w:rsidP="00157B91">
            <w:pPr>
              <w:pStyle w:val="TX-TableText"/>
              <w:jc w:val="center"/>
            </w:pPr>
            <w:r w:rsidRPr="0045758F">
              <w:t>500 (100%)</w:t>
            </w:r>
          </w:p>
        </w:tc>
      </w:tr>
    </w:tbl>
    <w:p w14:paraId="65ACAEC5" w14:textId="77777777" w:rsidR="004A7048" w:rsidRDefault="004A7048" w:rsidP="001B265D">
      <w:pPr>
        <w:pStyle w:val="L1-FlLSp12"/>
      </w:pPr>
    </w:p>
    <w:p w14:paraId="2CB9BA0C" w14:textId="0A88BC54" w:rsidR="00BA5AD3" w:rsidRDefault="00BA5AD3" w:rsidP="00BA5AD3">
      <w:pPr>
        <w:pStyle w:val="L1-FlLSp12"/>
      </w:pPr>
      <w:r>
        <w:t xml:space="preserve">The oversample of SNAP </w:t>
      </w:r>
      <w:r w:rsidR="00C6414E">
        <w:t xml:space="preserve">households </w:t>
      </w:r>
      <w:r>
        <w:t>is accomplished by the use of SNAP lists from state agencies. Westat is aware of the under-reporting of program participation in CPS (e.g., FNS reports about 18.5% SNAP households compared to 11% in CPS). Therefore</w:t>
      </w:r>
      <w:r w:rsidR="00D46B7E">
        <w:t>,</w:t>
      </w:r>
      <w:r>
        <w:t xml:space="preserve"> we would expect to achieve more SNAP households and possibly more households with WIC individuals than shown in Table B</w:t>
      </w:r>
      <w:r w:rsidR="005C1BC5">
        <w:t>.</w:t>
      </w:r>
      <w:r>
        <w:t>1.1. Furthermore, we expect that there will be a great deal of overlap between these groups</w:t>
      </w:r>
      <w:r w:rsidR="00D46B7E">
        <w:t>,</w:t>
      </w:r>
      <w:r>
        <w:t xml:space="preserve"> and this </w:t>
      </w:r>
      <w:r w:rsidR="00D46B7E">
        <w:t xml:space="preserve">pilot </w:t>
      </w:r>
      <w:r>
        <w:t>test will further inform the degree of this overlap to inform a more efficient design of future FoodAPS surveys.</w:t>
      </w:r>
    </w:p>
    <w:p w14:paraId="6C232936" w14:textId="77777777" w:rsidR="00BA5AD3" w:rsidRDefault="00BA5AD3" w:rsidP="00BA5AD3">
      <w:pPr>
        <w:pStyle w:val="L1-FlLSp12"/>
      </w:pPr>
    </w:p>
    <w:p w14:paraId="14A0FF52" w14:textId="77777777" w:rsidR="009A73F3" w:rsidRDefault="009A73F3" w:rsidP="00BA5AD3">
      <w:pPr>
        <w:pStyle w:val="L1-FlLSp12"/>
      </w:pPr>
    </w:p>
    <w:p w14:paraId="2B764751" w14:textId="77777777" w:rsidR="008A6A7C" w:rsidRPr="006A3E92" w:rsidRDefault="00E329A7" w:rsidP="00E329A7">
      <w:pPr>
        <w:pStyle w:val="Heading3"/>
      </w:pPr>
      <w:r>
        <w:tab/>
      </w:r>
      <w:r w:rsidR="00BA5AD3">
        <w:t>Pilot Study Sample Sizes and Expected Response Rates</w:t>
      </w:r>
    </w:p>
    <w:p w14:paraId="14778513" w14:textId="45CB616F" w:rsidR="002024B6" w:rsidRDefault="002024B6" w:rsidP="001B265D">
      <w:pPr>
        <w:pStyle w:val="L1-FlLSp12"/>
      </w:pPr>
      <w:r w:rsidRPr="002024B6">
        <w:t>As shown in Table B</w:t>
      </w:r>
      <w:r w:rsidR="005C1BC5">
        <w:t>.</w:t>
      </w:r>
      <w:r>
        <w:t>1.</w:t>
      </w:r>
      <w:r w:rsidRPr="002024B6">
        <w:t>2, an overall initial sample size of 2,500 would achieve at least four participating households per segment, accounting for vacancies and nonresponse to the study (assuming the rates shown in Table B</w:t>
      </w:r>
      <w:r w:rsidR="005C1BC5">
        <w:t>.</w:t>
      </w:r>
      <w:r>
        <w:t>1.</w:t>
      </w:r>
      <w:r w:rsidRPr="002024B6">
        <w:t>2).  Among the 2,500 housing units initially selected, 580 will be selected from the SNAP list, and 1,920 from the non-SNAP ABS list. The non</w:t>
      </w:r>
      <w:r w:rsidR="00956BB1">
        <w:t>-</w:t>
      </w:r>
      <w:r w:rsidRPr="002024B6">
        <w:t>SNAP ABS list includes both occupied and vacant units. The SNAP list includes only addresses with SNAP participants, and therefore only occupied housing units, unless the unit was vacated between the time the list was created and data collection. Therefore, we expect a lower vacancy rate (ten percent) for the SNAP list than the non-SNAP list, which is assumed to be 15 percent.</w:t>
      </w:r>
      <w:r w:rsidR="00521856">
        <w:t xml:space="preserve"> </w:t>
      </w:r>
    </w:p>
    <w:p w14:paraId="2B25E305" w14:textId="77777777" w:rsidR="0039123D" w:rsidRDefault="0039123D">
      <w:pPr>
        <w:spacing w:line="240" w:lineRule="auto"/>
        <w:rPr>
          <w:rFonts w:ascii="Franklin Gothic Medium" w:hAnsi="Franklin Gothic Medium" w:cs="Arial"/>
          <w:bCs/>
          <w:sz w:val="22"/>
        </w:rPr>
      </w:pPr>
      <w:bookmarkStart w:id="18" w:name="_Toc437956268"/>
      <w:r>
        <w:rPr>
          <w:rFonts w:cs="Arial"/>
          <w:bCs/>
        </w:rPr>
        <w:br w:type="page"/>
      </w:r>
    </w:p>
    <w:p w14:paraId="4838F3DB" w14:textId="3F7501D5" w:rsidR="009B57EC" w:rsidRDefault="009B57EC" w:rsidP="009B57EC">
      <w:pPr>
        <w:pStyle w:val="TT-TableTitle"/>
      </w:pPr>
      <w:r w:rsidRPr="0045758F">
        <w:rPr>
          <w:rFonts w:cs="Arial"/>
          <w:bCs/>
        </w:rPr>
        <w:lastRenderedPageBreak/>
        <w:t xml:space="preserve">Table </w:t>
      </w:r>
      <w:r>
        <w:rPr>
          <w:rFonts w:cs="Arial"/>
          <w:bCs/>
        </w:rPr>
        <w:t>B</w:t>
      </w:r>
      <w:r w:rsidR="00B21A4E">
        <w:rPr>
          <w:rFonts w:cs="Arial"/>
          <w:bCs/>
        </w:rPr>
        <w:t>.</w:t>
      </w:r>
      <w:r>
        <w:rPr>
          <w:rFonts w:cs="Arial"/>
          <w:bCs/>
        </w:rPr>
        <w:t>1.2.</w:t>
      </w:r>
      <w:r>
        <w:rPr>
          <w:rFonts w:cs="Arial"/>
          <w:bCs/>
        </w:rPr>
        <w:tab/>
      </w:r>
      <w:r w:rsidRPr="0045758F">
        <w:t xml:space="preserve">Pilot </w:t>
      </w:r>
      <w:r w:rsidR="00AB3C39">
        <w:t xml:space="preserve">study </w:t>
      </w:r>
      <w:r w:rsidRPr="0045758F">
        <w:t>assumed attrition rates and sample sizes</w:t>
      </w:r>
      <w:bookmarkEnd w:id="18"/>
    </w:p>
    <w:p w14:paraId="4BEFFD1D" w14:textId="77777777" w:rsidR="009B57EC" w:rsidRDefault="009B57EC" w:rsidP="009B57EC">
      <w:pPr>
        <w:pStyle w:val="TT-TableTitle"/>
      </w:pPr>
    </w:p>
    <w:tbl>
      <w:tblPr>
        <w:tblW w:w="0" w:type="auto"/>
        <w:tblInd w:w="93" w:type="dxa"/>
        <w:tblLayout w:type="fixed"/>
        <w:tblLook w:val="04A0" w:firstRow="1" w:lastRow="0" w:firstColumn="1" w:lastColumn="0" w:noHBand="0" w:noVBand="1"/>
      </w:tblPr>
      <w:tblGrid>
        <w:gridCol w:w="5505"/>
        <w:gridCol w:w="900"/>
        <w:gridCol w:w="720"/>
        <w:gridCol w:w="810"/>
        <w:gridCol w:w="720"/>
        <w:gridCol w:w="828"/>
      </w:tblGrid>
      <w:tr w:rsidR="009B57EC" w:rsidRPr="0045758F" w14:paraId="78F5A50D" w14:textId="77777777" w:rsidTr="00157B91">
        <w:trPr>
          <w:trHeight w:hRule="exact" w:val="216"/>
        </w:trPr>
        <w:tc>
          <w:tcPr>
            <w:tcW w:w="5505" w:type="dxa"/>
            <w:vMerge w:val="restart"/>
            <w:tcBorders>
              <w:top w:val="single" w:sz="4" w:space="0" w:color="auto"/>
              <w:right w:val="single" w:sz="4" w:space="0" w:color="auto"/>
            </w:tcBorders>
            <w:shd w:val="clear" w:color="auto" w:fill="AFBED7"/>
            <w:noWrap/>
            <w:vAlign w:val="bottom"/>
            <w:hideMark/>
          </w:tcPr>
          <w:p w14:paraId="50CE123B" w14:textId="77777777" w:rsidR="009B57EC" w:rsidRPr="0045758F" w:rsidRDefault="009B57EC" w:rsidP="00157B91">
            <w:pPr>
              <w:pStyle w:val="TH-TableHeading"/>
            </w:pPr>
            <w:r w:rsidRPr="0045758F">
              <w:t> </w:t>
            </w:r>
          </w:p>
        </w:tc>
        <w:tc>
          <w:tcPr>
            <w:tcW w:w="1620" w:type="dxa"/>
            <w:gridSpan w:val="2"/>
            <w:tcBorders>
              <w:top w:val="single" w:sz="4" w:space="0" w:color="auto"/>
              <w:left w:val="nil"/>
              <w:bottom w:val="single" w:sz="4" w:space="0" w:color="auto"/>
              <w:right w:val="single" w:sz="4" w:space="0" w:color="auto"/>
            </w:tcBorders>
            <w:shd w:val="clear" w:color="auto" w:fill="AFBED7"/>
            <w:noWrap/>
            <w:vAlign w:val="bottom"/>
            <w:hideMark/>
          </w:tcPr>
          <w:p w14:paraId="0C9E5354" w14:textId="77777777" w:rsidR="009B57EC" w:rsidRPr="0045758F" w:rsidRDefault="009B57EC" w:rsidP="00157B91">
            <w:pPr>
              <w:pStyle w:val="TH-TableHeading"/>
            </w:pPr>
            <w:r w:rsidRPr="0045758F">
              <w:t>SNAP list</w:t>
            </w:r>
          </w:p>
        </w:tc>
        <w:tc>
          <w:tcPr>
            <w:tcW w:w="1530" w:type="dxa"/>
            <w:gridSpan w:val="2"/>
            <w:tcBorders>
              <w:top w:val="single" w:sz="4" w:space="0" w:color="auto"/>
              <w:left w:val="nil"/>
              <w:bottom w:val="single" w:sz="4" w:space="0" w:color="auto"/>
              <w:right w:val="single" w:sz="4" w:space="0" w:color="auto"/>
            </w:tcBorders>
            <w:shd w:val="clear" w:color="auto" w:fill="AFBED7"/>
            <w:noWrap/>
            <w:vAlign w:val="bottom"/>
            <w:hideMark/>
          </w:tcPr>
          <w:p w14:paraId="30EF7497" w14:textId="2665B006" w:rsidR="009B57EC" w:rsidRPr="0045758F" w:rsidRDefault="009B57EC" w:rsidP="00157B91">
            <w:pPr>
              <w:pStyle w:val="TH-TableHeading"/>
            </w:pPr>
            <w:r w:rsidRPr="0045758F">
              <w:t>Non</w:t>
            </w:r>
            <w:r w:rsidR="00956BB1">
              <w:t>-</w:t>
            </w:r>
            <w:r w:rsidRPr="0045758F">
              <w:t>SNAP list</w:t>
            </w:r>
          </w:p>
        </w:tc>
        <w:tc>
          <w:tcPr>
            <w:tcW w:w="828" w:type="dxa"/>
            <w:tcBorders>
              <w:top w:val="single" w:sz="4" w:space="0" w:color="auto"/>
              <w:left w:val="nil"/>
              <w:bottom w:val="single" w:sz="4" w:space="0" w:color="auto"/>
            </w:tcBorders>
            <w:shd w:val="clear" w:color="auto" w:fill="AFBED7"/>
            <w:noWrap/>
            <w:vAlign w:val="bottom"/>
            <w:hideMark/>
          </w:tcPr>
          <w:p w14:paraId="6D588BBC" w14:textId="77777777" w:rsidR="009B57EC" w:rsidRPr="0045758F" w:rsidRDefault="009B57EC" w:rsidP="00157B91">
            <w:pPr>
              <w:pStyle w:val="TH-TableHeading"/>
            </w:pPr>
            <w:r w:rsidRPr="0045758F">
              <w:t>Total</w:t>
            </w:r>
          </w:p>
        </w:tc>
      </w:tr>
      <w:tr w:rsidR="009B57EC" w:rsidRPr="0045758F" w14:paraId="56BED8D4" w14:textId="77777777" w:rsidTr="00157B91">
        <w:trPr>
          <w:trHeight w:hRule="exact" w:val="216"/>
        </w:trPr>
        <w:tc>
          <w:tcPr>
            <w:tcW w:w="5505" w:type="dxa"/>
            <w:vMerge/>
            <w:tcBorders>
              <w:bottom w:val="single" w:sz="4" w:space="0" w:color="auto"/>
              <w:right w:val="single" w:sz="4" w:space="0" w:color="auto"/>
            </w:tcBorders>
            <w:shd w:val="clear" w:color="auto" w:fill="AFBED7"/>
            <w:noWrap/>
            <w:vAlign w:val="bottom"/>
            <w:hideMark/>
          </w:tcPr>
          <w:p w14:paraId="02C9EA5F" w14:textId="77777777" w:rsidR="009B57EC" w:rsidRPr="0045758F" w:rsidRDefault="009B57EC" w:rsidP="00157B91">
            <w:pPr>
              <w:pStyle w:val="TH-TableHeading"/>
            </w:pPr>
          </w:p>
        </w:tc>
        <w:tc>
          <w:tcPr>
            <w:tcW w:w="900" w:type="dxa"/>
            <w:tcBorders>
              <w:top w:val="nil"/>
              <w:left w:val="nil"/>
              <w:bottom w:val="single" w:sz="4" w:space="0" w:color="auto"/>
              <w:right w:val="single" w:sz="4" w:space="0" w:color="auto"/>
            </w:tcBorders>
            <w:shd w:val="clear" w:color="auto" w:fill="AFBED7"/>
            <w:noWrap/>
            <w:vAlign w:val="bottom"/>
            <w:hideMark/>
          </w:tcPr>
          <w:p w14:paraId="173101BA" w14:textId="77777777" w:rsidR="009B57EC" w:rsidRPr="0045758F" w:rsidRDefault="009B57EC" w:rsidP="00157B91">
            <w:pPr>
              <w:pStyle w:val="TH-TableHeading"/>
            </w:pPr>
            <w:r w:rsidRPr="0045758F">
              <w:t>N</w:t>
            </w:r>
          </w:p>
        </w:tc>
        <w:tc>
          <w:tcPr>
            <w:tcW w:w="720" w:type="dxa"/>
            <w:tcBorders>
              <w:top w:val="nil"/>
              <w:left w:val="nil"/>
              <w:bottom w:val="single" w:sz="4" w:space="0" w:color="auto"/>
              <w:right w:val="single" w:sz="4" w:space="0" w:color="auto"/>
            </w:tcBorders>
            <w:shd w:val="clear" w:color="auto" w:fill="AFBED7"/>
            <w:noWrap/>
            <w:vAlign w:val="bottom"/>
            <w:hideMark/>
          </w:tcPr>
          <w:p w14:paraId="4E1BED6D" w14:textId="77777777" w:rsidR="009B57EC" w:rsidRPr="0045758F" w:rsidRDefault="009B57EC" w:rsidP="00157B91">
            <w:pPr>
              <w:pStyle w:val="TH-TableHeading"/>
            </w:pPr>
            <w:r w:rsidRPr="0045758F">
              <w:t>Rates</w:t>
            </w:r>
          </w:p>
        </w:tc>
        <w:tc>
          <w:tcPr>
            <w:tcW w:w="810" w:type="dxa"/>
            <w:tcBorders>
              <w:top w:val="nil"/>
              <w:left w:val="nil"/>
              <w:bottom w:val="single" w:sz="4" w:space="0" w:color="auto"/>
              <w:right w:val="single" w:sz="4" w:space="0" w:color="auto"/>
            </w:tcBorders>
            <w:shd w:val="clear" w:color="auto" w:fill="AFBED7"/>
            <w:noWrap/>
            <w:vAlign w:val="bottom"/>
            <w:hideMark/>
          </w:tcPr>
          <w:p w14:paraId="20704990" w14:textId="77777777" w:rsidR="009B57EC" w:rsidRPr="0045758F" w:rsidRDefault="009B57EC" w:rsidP="00157B91">
            <w:pPr>
              <w:pStyle w:val="TH-TableHeading"/>
            </w:pPr>
            <w:r w:rsidRPr="0045758F">
              <w:t>n</w:t>
            </w:r>
          </w:p>
        </w:tc>
        <w:tc>
          <w:tcPr>
            <w:tcW w:w="720" w:type="dxa"/>
            <w:tcBorders>
              <w:top w:val="nil"/>
              <w:left w:val="nil"/>
              <w:bottom w:val="single" w:sz="4" w:space="0" w:color="auto"/>
              <w:right w:val="single" w:sz="4" w:space="0" w:color="auto"/>
            </w:tcBorders>
            <w:shd w:val="clear" w:color="auto" w:fill="AFBED7"/>
            <w:noWrap/>
            <w:vAlign w:val="bottom"/>
            <w:hideMark/>
          </w:tcPr>
          <w:p w14:paraId="0EC2E06C" w14:textId="77777777" w:rsidR="009B57EC" w:rsidRPr="0045758F" w:rsidRDefault="009B57EC" w:rsidP="00157B91">
            <w:pPr>
              <w:pStyle w:val="TH-TableHeading"/>
            </w:pPr>
            <w:r w:rsidRPr="0045758F">
              <w:t>Rates</w:t>
            </w:r>
          </w:p>
        </w:tc>
        <w:tc>
          <w:tcPr>
            <w:tcW w:w="828" w:type="dxa"/>
            <w:tcBorders>
              <w:top w:val="nil"/>
              <w:left w:val="nil"/>
              <w:bottom w:val="single" w:sz="4" w:space="0" w:color="auto"/>
            </w:tcBorders>
            <w:shd w:val="clear" w:color="auto" w:fill="AFBED7"/>
            <w:noWrap/>
            <w:vAlign w:val="bottom"/>
            <w:hideMark/>
          </w:tcPr>
          <w:p w14:paraId="6528512B" w14:textId="77777777" w:rsidR="009B57EC" w:rsidRPr="0045758F" w:rsidRDefault="009B57EC" w:rsidP="00157B91">
            <w:pPr>
              <w:pStyle w:val="TH-TableHeading"/>
            </w:pPr>
            <w:r w:rsidRPr="0045758F">
              <w:t>n</w:t>
            </w:r>
          </w:p>
        </w:tc>
      </w:tr>
      <w:tr w:rsidR="009B57EC" w:rsidRPr="0045758F" w14:paraId="24965F3D"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729120AB" w14:textId="77777777" w:rsidR="009B57EC" w:rsidRPr="0045758F" w:rsidRDefault="009B57EC" w:rsidP="00157B91">
            <w:pPr>
              <w:pStyle w:val="TX-TableText"/>
            </w:pPr>
            <w:r w:rsidRPr="0045758F">
              <w:t>PSUs</w:t>
            </w:r>
          </w:p>
        </w:tc>
        <w:tc>
          <w:tcPr>
            <w:tcW w:w="900" w:type="dxa"/>
            <w:tcBorders>
              <w:top w:val="nil"/>
              <w:left w:val="nil"/>
              <w:bottom w:val="single" w:sz="4" w:space="0" w:color="auto"/>
              <w:right w:val="single" w:sz="4" w:space="0" w:color="auto"/>
            </w:tcBorders>
            <w:shd w:val="clear" w:color="auto" w:fill="auto"/>
            <w:noWrap/>
            <w:vAlign w:val="bottom"/>
            <w:hideMark/>
          </w:tcPr>
          <w:p w14:paraId="449F304A" w14:textId="77777777" w:rsidR="009B57EC" w:rsidRPr="0045758F" w:rsidRDefault="009B57EC" w:rsidP="00157B91">
            <w:pPr>
              <w:pStyle w:val="TX-TableText"/>
              <w:jc w:val="center"/>
            </w:pPr>
            <w:r w:rsidRPr="0045758F">
              <w:t>12</w:t>
            </w:r>
          </w:p>
        </w:tc>
        <w:tc>
          <w:tcPr>
            <w:tcW w:w="720" w:type="dxa"/>
            <w:tcBorders>
              <w:top w:val="nil"/>
              <w:left w:val="nil"/>
              <w:bottom w:val="single" w:sz="4" w:space="0" w:color="auto"/>
              <w:right w:val="single" w:sz="4" w:space="0" w:color="auto"/>
            </w:tcBorders>
            <w:shd w:val="clear" w:color="auto" w:fill="auto"/>
            <w:noWrap/>
            <w:vAlign w:val="bottom"/>
            <w:hideMark/>
          </w:tcPr>
          <w:p w14:paraId="2A0C5D94" w14:textId="77777777" w:rsidR="009B57EC" w:rsidRPr="0045758F" w:rsidRDefault="009B57EC" w:rsidP="00157B91">
            <w:pPr>
              <w:pStyle w:val="TX-TableText"/>
              <w:jc w:val="center"/>
            </w:pPr>
          </w:p>
        </w:tc>
        <w:tc>
          <w:tcPr>
            <w:tcW w:w="810" w:type="dxa"/>
            <w:tcBorders>
              <w:top w:val="nil"/>
              <w:left w:val="nil"/>
              <w:bottom w:val="single" w:sz="4" w:space="0" w:color="auto"/>
              <w:right w:val="single" w:sz="4" w:space="0" w:color="auto"/>
            </w:tcBorders>
            <w:shd w:val="clear" w:color="auto" w:fill="auto"/>
            <w:noWrap/>
            <w:vAlign w:val="bottom"/>
            <w:hideMark/>
          </w:tcPr>
          <w:p w14:paraId="376EB050" w14:textId="77777777" w:rsidR="009B57EC" w:rsidRPr="0045758F" w:rsidRDefault="009B57EC" w:rsidP="00157B91">
            <w:pPr>
              <w:pStyle w:val="TX-TableText"/>
              <w:jc w:val="center"/>
            </w:pPr>
            <w:r w:rsidRPr="0045758F">
              <w:t>12</w:t>
            </w:r>
          </w:p>
        </w:tc>
        <w:tc>
          <w:tcPr>
            <w:tcW w:w="720" w:type="dxa"/>
            <w:tcBorders>
              <w:top w:val="nil"/>
              <w:left w:val="nil"/>
              <w:bottom w:val="single" w:sz="4" w:space="0" w:color="auto"/>
              <w:right w:val="single" w:sz="4" w:space="0" w:color="auto"/>
            </w:tcBorders>
            <w:shd w:val="clear" w:color="auto" w:fill="auto"/>
            <w:noWrap/>
            <w:vAlign w:val="bottom"/>
            <w:hideMark/>
          </w:tcPr>
          <w:p w14:paraId="2C6EB3B9" w14:textId="77777777" w:rsidR="009B57EC" w:rsidRPr="0045758F" w:rsidRDefault="009B57EC" w:rsidP="00157B91">
            <w:pPr>
              <w:pStyle w:val="TX-TableText"/>
              <w:jc w:val="center"/>
            </w:pPr>
          </w:p>
        </w:tc>
        <w:tc>
          <w:tcPr>
            <w:tcW w:w="828" w:type="dxa"/>
            <w:tcBorders>
              <w:top w:val="nil"/>
              <w:left w:val="nil"/>
              <w:bottom w:val="single" w:sz="4" w:space="0" w:color="auto"/>
            </w:tcBorders>
            <w:shd w:val="clear" w:color="auto" w:fill="auto"/>
            <w:noWrap/>
            <w:vAlign w:val="bottom"/>
            <w:hideMark/>
          </w:tcPr>
          <w:p w14:paraId="2DF17EB3" w14:textId="77777777" w:rsidR="009B57EC" w:rsidRPr="0045758F" w:rsidRDefault="009B57EC" w:rsidP="00157B91">
            <w:pPr>
              <w:pStyle w:val="TX-TableText"/>
              <w:jc w:val="center"/>
            </w:pPr>
            <w:r w:rsidRPr="0045758F">
              <w:t>12</w:t>
            </w:r>
          </w:p>
        </w:tc>
      </w:tr>
      <w:tr w:rsidR="009B57EC" w:rsidRPr="0045758F" w14:paraId="72AF21C3"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37D06234" w14:textId="77777777" w:rsidR="009B57EC" w:rsidRPr="0045758F" w:rsidRDefault="009B57EC" w:rsidP="00157B91">
            <w:pPr>
              <w:pStyle w:val="TX-TableText"/>
            </w:pPr>
            <w:r w:rsidRPr="0045758F">
              <w:t>Segments</w:t>
            </w:r>
          </w:p>
        </w:tc>
        <w:tc>
          <w:tcPr>
            <w:tcW w:w="900" w:type="dxa"/>
            <w:tcBorders>
              <w:top w:val="nil"/>
              <w:left w:val="nil"/>
              <w:bottom w:val="single" w:sz="4" w:space="0" w:color="auto"/>
              <w:right w:val="single" w:sz="4" w:space="0" w:color="auto"/>
            </w:tcBorders>
            <w:shd w:val="clear" w:color="auto" w:fill="auto"/>
            <w:noWrap/>
            <w:vAlign w:val="bottom"/>
            <w:hideMark/>
          </w:tcPr>
          <w:p w14:paraId="505443D3" w14:textId="77777777" w:rsidR="009B57EC" w:rsidRPr="0045758F" w:rsidRDefault="009B57EC" w:rsidP="00157B91">
            <w:pPr>
              <w:pStyle w:val="TX-TableText"/>
              <w:jc w:val="center"/>
            </w:pPr>
            <w:r w:rsidRPr="0045758F">
              <w:t>120</w:t>
            </w:r>
          </w:p>
        </w:tc>
        <w:tc>
          <w:tcPr>
            <w:tcW w:w="720" w:type="dxa"/>
            <w:tcBorders>
              <w:top w:val="nil"/>
              <w:left w:val="nil"/>
              <w:bottom w:val="single" w:sz="4" w:space="0" w:color="auto"/>
              <w:right w:val="single" w:sz="4" w:space="0" w:color="auto"/>
            </w:tcBorders>
            <w:shd w:val="clear" w:color="auto" w:fill="auto"/>
            <w:noWrap/>
            <w:vAlign w:val="bottom"/>
            <w:hideMark/>
          </w:tcPr>
          <w:p w14:paraId="4BBAD4D0" w14:textId="77777777" w:rsidR="009B57EC" w:rsidRPr="0045758F" w:rsidRDefault="009B57EC" w:rsidP="00157B91">
            <w:pPr>
              <w:pStyle w:val="TX-TableText"/>
              <w:jc w:val="center"/>
            </w:pPr>
          </w:p>
        </w:tc>
        <w:tc>
          <w:tcPr>
            <w:tcW w:w="810" w:type="dxa"/>
            <w:tcBorders>
              <w:top w:val="nil"/>
              <w:left w:val="nil"/>
              <w:bottom w:val="single" w:sz="4" w:space="0" w:color="auto"/>
              <w:right w:val="single" w:sz="4" w:space="0" w:color="auto"/>
            </w:tcBorders>
            <w:shd w:val="clear" w:color="auto" w:fill="auto"/>
            <w:noWrap/>
            <w:vAlign w:val="bottom"/>
            <w:hideMark/>
          </w:tcPr>
          <w:p w14:paraId="5982FD43" w14:textId="77777777" w:rsidR="009B57EC" w:rsidRPr="0045758F" w:rsidRDefault="009B57EC" w:rsidP="00157B91">
            <w:pPr>
              <w:pStyle w:val="TX-TableText"/>
              <w:jc w:val="center"/>
            </w:pPr>
            <w:r w:rsidRPr="0045758F">
              <w:t>120</w:t>
            </w:r>
          </w:p>
        </w:tc>
        <w:tc>
          <w:tcPr>
            <w:tcW w:w="720" w:type="dxa"/>
            <w:tcBorders>
              <w:top w:val="nil"/>
              <w:left w:val="nil"/>
              <w:bottom w:val="single" w:sz="4" w:space="0" w:color="auto"/>
              <w:right w:val="single" w:sz="4" w:space="0" w:color="auto"/>
            </w:tcBorders>
            <w:shd w:val="clear" w:color="auto" w:fill="auto"/>
            <w:noWrap/>
            <w:vAlign w:val="bottom"/>
            <w:hideMark/>
          </w:tcPr>
          <w:p w14:paraId="113ADB0B" w14:textId="77777777" w:rsidR="009B57EC" w:rsidRPr="0045758F" w:rsidRDefault="009B57EC" w:rsidP="00157B91">
            <w:pPr>
              <w:pStyle w:val="TX-TableText"/>
              <w:jc w:val="center"/>
            </w:pPr>
          </w:p>
        </w:tc>
        <w:tc>
          <w:tcPr>
            <w:tcW w:w="828" w:type="dxa"/>
            <w:tcBorders>
              <w:top w:val="nil"/>
              <w:left w:val="nil"/>
              <w:bottom w:val="single" w:sz="4" w:space="0" w:color="auto"/>
            </w:tcBorders>
            <w:shd w:val="clear" w:color="auto" w:fill="auto"/>
            <w:noWrap/>
            <w:vAlign w:val="bottom"/>
            <w:hideMark/>
          </w:tcPr>
          <w:p w14:paraId="19F1F776" w14:textId="77777777" w:rsidR="009B57EC" w:rsidRPr="0045758F" w:rsidRDefault="009B57EC" w:rsidP="00157B91">
            <w:pPr>
              <w:pStyle w:val="TX-TableText"/>
              <w:jc w:val="center"/>
            </w:pPr>
            <w:r w:rsidRPr="0045758F">
              <w:t>120</w:t>
            </w:r>
          </w:p>
        </w:tc>
      </w:tr>
      <w:tr w:rsidR="009B57EC" w:rsidRPr="0045758F" w14:paraId="13A544E3" w14:textId="77777777" w:rsidTr="00870B07">
        <w:trPr>
          <w:trHeight w:hRule="exact" w:val="442"/>
        </w:trPr>
        <w:tc>
          <w:tcPr>
            <w:tcW w:w="5505" w:type="dxa"/>
            <w:tcBorders>
              <w:top w:val="nil"/>
              <w:bottom w:val="single" w:sz="4" w:space="0" w:color="auto"/>
              <w:right w:val="single" w:sz="4" w:space="0" w:color="auto"/>
            </w:tcBorders>
            <w:shd w:val="clear" w:color="auto" w:fill="auto"/>
            <w:noWrap/>
            <w:vAlign w:val="bottom"/>
            <w:hideMark/>
          </w:tcPr>
          <w:p w14:paraId="485631D9" w14:textId="2769ADF1" w:rsidR="006F358D" w:rsidRDefault="009B57EC" w:rsidP="006F358D">
            <w:pPr>
              <w:pStyle w:val="TX-TableText"/>
            </w:pPr>
            <w:r w:rsidRPr="0045758F">
              <w:t xml:space="preserve">Selected </w:t>
            </w:r>
            <w:r w:rsidR="006F358D">
              <w:t>dwelling units</w:t>
            </w:r>
            <w:r w:rsidR="006F358D" w:rsidRPr="0045758F">
              <w:t xml:space="preserve"> </w:t>
            </w:r>
            <w:r w:rsidRPr="0045758F">
              <w:t xml:space="preserve">for screening attempts </w:t>
            </w:r>
          </w:p>
          <w:p w14:paraId="43AF2303" w14:textId="3280A1E4" w:rsidR="009B57EC" w:rsidRPr="0045758F" w:rsidRDefault="006F358D" w:rsidP="006F358D">
            <w:pPr>
              <w:pStyle w:val="TX-TableText"/>
            </w:pPr>
            <w:r>
              <w:t xml:space="preserve">     </w:t>
            </w:r>
            <w:r w:rsidR="009B57EC" w:rsidRPr="0045758F">
              <w:t>(Advance Letters)</w:t>
            </w:r>
          </w:p>
        </w:tc>
        <w:tc>
          <w:tcPr>
            <w:tcW w:w="900" w:type="dxa"/>
            <w:tcBorders>
              <w:top w:val="nil"/>
              <w:left w:val="nil"/>
              <w:bottom w:val="single" w:sz="4" w:space="0" w:color="auto"/>
              <w:right w:val="single" w:sz="4" w:space="0" w:color="auto"/>
            </w:tcBorders>
            <w:shd w:val="clear" w:color="auto" w:fill="auto"/>
            <w:noWrap/>
            <w:vAlign w:val="bottom"/>
            <w:hideMark/>
          </w:tcPr>
          <w:p w14:paraId="30DEF698" w14:textId="77777777" w:rsidR="009B57EC" w:rsidRPr="0045758F" w:rsidRDefault="009B57EC" w:rsidP="00157B91">
            <w:pPr>
              <w:pStyle w:val="TX-TableText"/>
              <w:jc w:val="center"/>
            </w:pPr>
            <w:r w:rsidRPr="0045758F">
              <w:t>580</w:t>
            </w:r>
          </w:p>
        </w:tc>
        <w:tc>
          <w:tcPr>
            <w:tcW w:w="720" w:type="dxa"/>
            <w:tcBorders>
              <w:top w:val="nil"/>
              <w:left w:val="nil"/>
              <w:bottom w:val="single" w:sz="4" w:space="0" w:color="auto"/>
              <w:right w:val="single" w:sz="4" w:space="0" w:color="auto"/>
            </w:tcBorders>
            <w:shd w:val="clear" w:color="auto" w:fill="auto"/>
            <w:noWrap/>
            <w:vAlign w:val="bottom"/>
            <w:hideMark/>
          </w:tcPr>
          <w:p w14:paraId="74A6EA26" w14:textId="77777777" w:rsidR="009B57EC" w:rsidRPr="0045758F" w:rsidRDefault="009B57EC" w:rsidP="00157B91">
            <w:pPr>
              <w:pStyle w:val="TX-TableText"/>
              <w:jc w:val="center"/>
            </w:pPr>
          </w:p>
        </w:tc>
        <w:tc>
          <w:tcPr>
            <w:tcW w:w="810" w:type="dxa"/>
            <w:tcBorders>
              <w:top w:val="nil"/>
              <w:left w:val="nil"/>
              <w:bottom w:val="single" w:sz="4" w:space="0" w:color="auto"/>
              <w:right w:val="single" w:sz="4" w:space="0" w:color="auto"/>
            </w:tcBorders>
            <w:shd w:val="clear" w:color="auto" w:fill="auto"/>
            <w:noWrap/>
            <w:vAlign w:val="bottom"/>
            <w:hideMark/>
          </w:tcPr>
          <w:p w14:paraId="4271B834" w14:textId="77777777" w:rsidR="009B57EC" w:rsidRPr="0045758F" w:rsidRDefault="009B57EC" w:rsidP="00157B91">
            <w:pPr>
              <w:pStyle w:val="TX-TableText"/>
              <w:jc w:val="center"/>
            </w:pPr>
            <w:r w:rsidRPr="0045758F">
              <w:t>1,920</w:t>
            </w:r>
          </w:p>
        </w:tc>
        <w:tc>
          <w:tcPr>
            <w:tcW w:w="720" w:type="dxa"/>
            <w:tcBorders>
              <w:top w:val="nil"/>
              <w:left w:val="nil"/>
              <w:bottom w:val="single" w:sz="4" w:space="0" w:color="auto"/>
              <w:right w:val="single" w:sz="4" w:space="0" w:color="auto"/>
            </w:tcBorders>
            <w:shd w:val="clear" w:color="auto" w:fill="auto"/>
            <w:noWrap/>
            <w:vAlign w:val="bottom"/>
            <w:hideMark/>
          </w:tcPr>
          <w:p w14:paraId="1FB47B3C" w14:textId="77777777" w:rsidR="009B57EC" w:rsidRPr="0045758F" w:rsidRDefault="009B57EC" w:rsidP="00157B91">
            <w:pPr>
              <w:pStyle w:val="TX-TableText"/>
              <w:jc w:val="center"/>
            </w:pPr>
          </w:p>
        </w:tc>
        <w:tc>
          <w:tcPr>
            <w:tcW w:w="828" w:type="dxa"/>
            <w:tcBorders>
              <w:top w:val="nil"/>
              <w:left w:val="nil"/>
              <w:bottom w:val="single" w:sz="4" w:space="0" w:color="auto"/>
            </w:tcBorders>
            <w:shd w:val="clear" w:color="auto" w:fill="auto"/>
            <w:noWrap/>
            <w:vAlign w:val="bottom"/>
            <w:hideMark/>
          </w:tcPr>
          <w:p w14:paraId="69E86631" w14:textId="77777777" w:rsidR="009B57EC" w:rsidRPr="0045758F" w:rsidRDefault="009B57EC" w:rsidP="00157B91">
            <w:pPr>
              <w:pStyle w:val="TX-TableText"/>
              <w:jc w:val="center"/>
            </w:pPr>
            <w:r w:rsidRPr="0045758F">
              <w:t>2,500</w:t>
            </w:r>
          </w:p>
        </w:tc>
      </w:tr>
      <w:tr w:rsidR="009B57EC" w:rsidRPr="0045758F" w14:paraId="116B4A7B"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46507F32" w14:textId="77777777" w:rsidR="009B57EC" w:rsidRPr="0045758F" w:rsidRDefault="009B57EC" w:rsidP="00157B91">
            <w:pPr>
              <w:pStyle w:val="TX-TableText"/>
            </w:pPr>
            <w:r w:rsidRPr="0045758F">
              <w:t xml:space="preserve">  Occupied addresses rate</w:t>
            </w:r>
          </w:p>
        </w:tc>
        <w:tc>
          <w:tcPr>
            <w:tcW w:w="900" w:type="dxa"/>
            <w:tcBorders>
              <w:top w:val="nil"/>
              <w:left w:val="nil"/>
              <w:bottom w:val="single" w:sz="4" w:space="0" w:color="auto"/>
              <w:right w:val="single" w:sz="4" w:space="0" w:color="auto"/>
            </w:tcBorders>
            <w:shd w:val="clear" w:color="auto" w:fill="auto"/>
            <w:noWrap/>
            <w:vAlign w:val="bottom"/>
            <w:hideMark/>
          </w:tcPr>
          <w:p w14:paraId="192C8CFD"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5D2987FF" w14:textId="77777777" w:rsidR="009B57EC" w:rsidRPr="0045758F" w:rsidRDefault="009B57EC" w:rsidP="00157B91">
            <w:pPr>
              <w:pStyle w:val="TX-TableText"/>
              <w:jc w:val="center"/>
            </w:pPr>
            <w:r>
              <w:t>0.90</w:t>
            </w:r>
          </w:p>
        </w:tc>
        <w:tc>
          <w:tcPr>
            <w:tcW w:w="810" w:type="dxa"/>
            <w:tcBorders>
              <w:top w:val="nil"/>
              <w:left w:val="nil"/>
              <w:bottom w:val="single" w:sz="4" w:space="0" w:color="auto"/>
              <w:right w:val="single" w:sz="4" w:space="0" w:color="auto"/>
            </w:tcBorders>
            <w:shd w:val="clear" w:color="auto" w:fill="auto"/>
            <w:noWrap/>
            <w:vAlign w:val="bottom"/>
            <w:hideMark/>
          </w:tcPr>
          <w:p w14:paraId="1D53236C"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19829B49" w14:textId="77777777" w:rsidR="009B57EC" w:rsidRPr="0045758F" w:rsidRDefault="009B57EC" w:rsidP="00157B91">
            <w:pPr>
              <w:pStyle w:val="TX-TableText"/>
              <w:jc w:val="center"/>
            </w:pPr>
            <w:r w:rsidRPr="0045758F">
              <w:t>0.85</w:t>
            </w:r>
          </w:p>
        </w:tc>
        <w:tc>
          <w:tcPr>
            <w:tcW w:w="828" w:type="dxa"/>
            <w:tcBorders>
              <w:top w:val="nil"/>
              <w:left w:val="nil"/>
              <w:bottom w:val="single" w:sz="4" w:space="0" w:color="auto"/>
            </w:tcBorders>
            <w:shd w:val="clear" w:color="auto" w:fill="auto"/>
            <w:noWrap/>
            <w:vAlign w:val="bottom"/>
            <w:hideMark/>
          </w:tcPr>
          <w:p w14:paraId="428C0A13" w14:textId="77777777" w:rsidR="009B57EC" w:rsidRPr="0045758F" w:rsidRDefault="009B57EC" w:rsidP="00157B91">
            <w:pPr>
              <w:pStyle w:val="TX-TableText"/>
              <w:jc w:val="center"/>
            </w:pPr>
          </w:p>
        </w:tc>
      </w:tr>
      <w:tr w:rsidR="009B57EC" w:rsidRPr="0045758F" w14:paraId="08813888"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5C150069" w14:textId="77777777" w:rsidR="009B57EC" w:rsidRPr="0045758F" w:rsidRDefault="009B57EC" w:rsidP="00157B91">
            <w:pPr>
              <w:pStyle w:val="TX-TableText"/>
            </w:pPr>
            <w:r w:rsidRPr="0045758F">
              <w:t xml:space="preserve">  Screener response rate</w:t>
            </w:r>
          </w:p>
        </w:tc>
        <w:tc>
          <w:tcPr>
            <w:tcW w:w="900" w:type="dxa"/>
            <w:tcBorders>
              <w:top w:val="nil"/>
              <w:left w:val="nil"/>
              <w:bottom w:val="single" w:sz="4" w:space="0" w:color="auto"/>
              <w:right w:val="single" w:sz="4" w:space="0" w:color="auto"/>
            </w:tcBorders>
            <w:shd w:val="clear" w:color="auto" w:fill="auto"/>
            <w:noWrap/>
            <w:vAlign w:val="bottom"/>
            <w:hideMark/>
          </w:tcPr>
          <w:p w14:paraId="2CBDB109"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043D6789" w14:textId="77777777" w:rsidR="009B57EC" w:rsidRPr="0045758F" w:rsidRDefault="009B57EC" w:rsidP="00157B91">
            <w:pPr>
              <w:pStyle w:val="TX-TableText"/>
              <w:jc w:val="center"/>
            </w:pPr>
            <w:r w:rsidRPr="0045758F">
              <w:t>0.72</w:t>
            </w:r>
          </w:p>
        </w:tc>
        <w:tc>
          <w:tcPr>
            <w:tcW w:w="810" w:type="dxa"/>
            <w:tcBorders>
              <w:top w:val="nil"/>
              <w:left w:val="nil"/>
              <w:bottom w:val="single" w:sz="4" w:space="0" w:color="auto"/>
              <w:right w:val="single" w:sz="4" w:space="0" w:color="auto"/>
            </w:tcBorders>
            <w:shd w:val="clear" w:color="auto" w:fill="auto"/>
            <w:noWrap/>
            <w:vAlign w:val="bottom"/>
            <w:hideMark/>
          </w:tcPr>
          <w:p w14:paraId="42B9AE43"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685F22B8" w14:textId="77777777" w:rsidR="009B57EC" w:rsidRPr="0045758F" w:rsidRDefault="009B57EC" w:rsidP="00157B91">
            <w:pPr>
              <w:pStyle w:val="TX-TableText"/>
              <w:jc w:val="center"/>
            </w:pPr>
            <w:r w:rsidRPr="0045758F">
              <w:t>0.72</w:t>
            </w:r>
          </w:p>
        </w:tc>
        <w:tc>
          <w:tcPr>
            <w:tcW w:w="828" w:type="dxa"/>
            <w:tcBorders>
              <w:top w:val="nil"/>
              <w:left w:val="nil"/>
              <w:bottom w:val="single" w:sz="4" w:space="0" w:color="auto"/>
            </w:tcBorders>
            <w:shd w:val="clear" w:color="auto" w:fill="auto"/>
            <w:noWrap/>
            <w:vAlign w:val="bottom"/>
            <w:hideMark/>
          </w:tcPr>
          <w:p w14:paraId="24C3D9A4" w14:textId="77777777" w:rsidR="009B57EC" w:rsidRPr="0045758F" w:rsidRDefault="009B57EC" w:rsidP="00157B91">
            <w:pPr>
              <w:pStyle w:val="TX-TableText"/>
              <w:jc w:val="center"/>
            </w:pPr>
          </w:p>
        </w:tc>
      </w:tr>
      <w:tr w:rsidR="009B57EC" w:rsidRPr="0045758F" w14:paraId="14747B56"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6062659D" w14:textId="77777777" w:rsidR="009B57EC" w:rsidRPr="0045758F" w:rsidRDefault="009B57EC" w:rsidP="00157B91">
            <w:pPr>
              <w:pStyle w:val="TX-TableText"/>
            </w:pPr>
            <w:r w:rsidRPr="0045758F">
              <w:t>Screener completes prior to subsampling out cases</w:t>
            </w:r>
          </w:p>
        </w:tc>
        <w:tc>
          <w:tcPr>
            <w:tcW w:w="900" w:type="dxa"/>
            <w:tcBorders>
              <w:top w:val="nil"/>
              <w:left w:val="nil"/>
              <w:bottom w:val="single" w:sz="4" w:space="0" w:color="auto"/>
              <w:right w:val="single" w:sz="4" w:space="0" w:color="auto"/>
            </w:tcBorders>
            <w:shd w:val="clear" w:color="auto" w:fill="auto"/>
            <w:noWrap/>
            <w:vAlign w:val="bottom"/>
            <w:hideMark/>
          </w:tcPr>
          <w:p w14:paraId="39E11852" w14:textId="77777777" w:rsidR="009B57EC" w:rsidRPr="0045758F" w:rsidRDefault="009B57EC" w:rsidP="00157B91">
            <w:pPr>
              <w:pStyle w:val="TX-TableText"/>
              <w:jc w:val="center"/>
            </w:pPr>
            <w:r w:rsidRPr="0045758F">
              <w:t>3</w:t>
            </w:r>
            <w:r>
              <w:t>76</w:t>
            </w:r>
          </w:p>
        </w:tc>
        <w:tc>
          <w:tcPr>
            <w:tcW w:w="720" w:type="dxa"/>
            <w:tcBorders>
              <w:top w:val="nil"/>
              <w:left w:val="nil"/>
              <w:bottom w:val="single" w:sz="4" w:space="0" w:color="auto"/>
              <w:right w:val="single" w:sz="4" w:space="0" w:color="auto"/>
            </w:tcBorders>
            <w:shd w:val="clear" w:color="auto" w:fill="auto"/>
            <w:noWrap/>
            <w:vAlign w:val="bottom"/>
            <w:hideMark/>
          </w:tcPr>
          <w:p w14:paraId="0B6EC4EE" w14:textId="77777777" w:rsidR="009B57EC" w:rsidRPr="0045758F" w:rsidRDefault="009B57EC" w:rsidP="00157B91">
            <w:pPr>
              <w:pStyle w:val="TX-TableText"/>
              <w:jc w:val="center"/>
            </w:pPr>
          </w:p>
        </w:tc>
        <w:tc>
          <w:tcPr>
            <w:tcW w:w="810" w:type="dxa"/>
            <w:tcBorders>
              <w:top w:val="nil"/>
              <w:left w:val="nil"/>
              <w:bottom w:val="single" w:sz="4" w:space="0" w:color="auto"/>
              <w:right w:val="single" w:sz="4" w:space="0" w:color="auto"/>
            </w:tcBorders>
            <w:shd w:val="clear" w:color="auto" w:fill="auto"/>
            <w:noWrap/>
            <w:vAlign w:val="bottom"/>
            <w:hideMark/>
          </w:tcPr>
          <w:p w14:paraId="33858859" w14:textId="77777777" w:rsidR="009B57EC" w:rsidRPr="0045758F" w:rsidRDefault="009B57EC" w:rsidP="00157B91">
            <w:pPr>
              <w:pStyle w:val="TX-TableText"/>
              <w:jc w:val="center"/>
            </w:pPr>
            <w:r w:rsidRPr="0045758F">
              <w:t>1,17</w:t>
            </w:r>
            <w:r w:rsidR="005C1BC5">
              <w:t>5</w:t>
            </w:r>
          </w:p>
        </w:tc>
        <w:tc>
          <w:tcPr>
            <w:tcW w:w="720" w:type="dxa"/>
            <w:tcBorders>
              <w:top w:val="nil"/>
              <w:left w:val="nil"/>
              <w:bottom w:val="single" w:sz="4" w:space="0" w:color="auto"/>
              <w:right w:val="single" w:sz="4" w:space="0" w:color="auto"/>
            </w:tcBorders>
            <w:shd w:val="clear" w:color="auto" w:fill="auto"/>
            <w:noWrap/>
            <w:vAlign w:val="bottom"/>
            <w:hideMark/>
          </w:tcPr>
          <w:p w14:paraId="24CC866A" w14:textId="77777777" w:rsidR="009B57EC" w:rsidRPr="0045758F" w:rsidRDefault="009B57EC" w:rsidP="00157B91">
            <w:pPr>
              <w:pStyle w:val="TX-TableText"/>
              <w:jc w:val="center"/>
            </w:pPr>
          </w:p>
        </w:tc>
        <w:tc>
          <w:tcPr>
            <w:tcW w:w="828" w:type="dxa"/>
            <w:tcBorders>
              <w:top w:val="nil"/>
              <w:left w:val="nil"/>
              <w:bottom w:val="single" w:sz="4" w:space="0" w:color="auto"/>
            </w:tcBorders>
            <w:shd w:val="clear" w:color="auto" w:fill="auto"/>
            <w:noWrap/>
            <w:vAlign w:val="bottom"/>
            <w:hideMark/>
          </w:tcPr>
          <w:p w14:paraId="554D604E" w14:textId="77777777" w:rsidR="009B57EC" w:rsidRPr="0045758F" w:rsidRDefault="009B57EC" w:rsidP="00157B91">
            <w:pPr>
              <w:pStyle w:val="TX-TableText"/>
              <w:jc w:val="center"/>
            </w:pPr>
            <w:r w:rsidRPr="0045758F">
              <w:t>1,5</w:t>
            </w:r>
            <w:r w:rsidR="005C1BC5">
              <w:t>51</w:t>
            </w:r>
          </w:p>
        </w:tc>
      </w:tr>
      <w:tr w:rsidR="009B57EC" w:rsidRPr="0045758F" w14:paraId="64C6757C"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53AC5467" w14:textId="77777777" w:rsidR="009B57EC" w:rsidRPr="0045758F" w:rsidRDefault="009B57EC" w:rsidP="00157B91">
            <w:pPr>
              <w:pStyle w:val="TX-TableText"/>
            </w:pPr>
            <w:r w:rsidRPr="0045758F">
              <w:t xml:space="preserve">  </w:t>
            </w:r>
            <w:r w:rsidR="0067139D">
              <w:t xml:space="preserve">Complement of </w:t>
            </w:r>
            <w:r w:rsidRPr="0045758F">
              <w:t>Screen-out rate (due to domain 5)</w:t>
            </w:r>
          </w:p>
        </w:tc>
        <w:tc>
          <w:tcPr>
            <w:tcW w:w="900" w:type="dxa"/>
            <w:tcBorders>
              <w:top w:val="nil"/>
              <w:left w:val="nil"/>
              <w:bottom w:val="single" w:sz="4" w:space="0" w:color="auto"/>
              <w:right w:val="single" w:sz="4" w:space="0" w:color="auto"/>
            </w:tcBorders>
            <w:shd w:val="clear" w:color="auto" w:fill="auto"/>
            <w:noWrap/>
            <w:vAlign w:val="bottom"/>
            <w:hideMark/>
          </w:tcPr>
          <w:p w14:paraId="152EDC2C"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41C134EA" w14:textId="77777777" w:rsidR="009B57EC" w:rsidRPr="0045758F" w:rsidRDefault="009B57EC" w:rsidP="00157B91">
            <w:pPr>
              <w:pStyle w:val="TX-TableText"/>
              <w:jc w:val="center"/>
            </w:pPr>
            <w:r w:rsidRPr="0045758F">
              <w:t>1</w:t>
            </w:r>
          </w:p>
        </w:tc>
        <w:tc>
          <w:tcPr>
            <w:tcW w:w="810" w:type="dxa"/>
            <w:tcBorders>
              <w:top w:val="nil"/>
              <w:left w:val="nil"/>
              <w:bottom w:val="single" w:sz="4" w:space="0" w:color="auto"/>
              <w:right w:val="single" w:sz="4" w:space="0" w:color="auto"/>
            </w:tcBorders>
            <w:shd w:val="clear" w:color="auto" w:fill="auto"/>
            <w:noWrap/>
            <w:vAlign w:val="bottom"/>
            <w:hideMark/>
          </w:tcPr>
          <w:p w14:paraId="2C17BFF0"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262B263E" w14:textId="77777777" w:rsidR="009B57EC" w:rsidRPr="0045758F" w:rsidRDefault="009B57EC" w:rsidP="00157B91">
            <w:pPr>
              <w:pStyle w:val="TX-TableText"/>
              <w:jc w:val="center"/>
            </w:pPr>
            <w:r w:rsidRPr="0045758F">
              <w:t>0.79</w:t>
            </w:r>
          </w:p>
        </w:tc>
        <w:tc>
          <w:tcPr>
            <w:tcW w:w="828" w:type="dxa"/>
            <w:tcBorders>
              <w:top w:val="nil"/>
              <w:left w:val="nil"/>
              <w:bottom w:val="single" w:sz="4" w:space="0" w:color="auto"/>
            </w:tcBorders>
            <w:shd w:val="clear" w:color="auto" w:fill="auto"/>
            <w:noWrap/>
            <w:vAlign w:val="bottom"/>
            <w:hideMark/>
          </w:tcPr>
          <w:p w14:paraId="6066DA02" w14:textId="77777777" w:rsidR="009B57EC" w:rsidRPr="0045758F" w:rsidRDefault="009B57EC" w:rsidP="00157B91">
            <w:pPr>
              <w:pStyle w:val="TX-TableText"/>
              <w:jc w:val="center"/>
            </w:pPr>
          </w:p>
        </w:tc>
      </w:tr>
      <w:tr w:rsidR="009B57EC" w:rsidRPr="0045758F" w14:paraId="02ACECB2"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2C96126E" w14:textId="77777777" w:rsidR="009B57EC" w:rsidRPr="0045758F" w:rsidRDefault="009B57EC" w:rsidP="00157B91">
            <w:pPr>
              <w:pStyle w:val="TX-TableText"/>
            </w:pPr>
            <w:r w:rsidRPr="0045758F">
              <w:t xml:space="preserve">  Web only rate</w:t>
            </w:r>
          </w:p>
        </w:tc>
        <w:tc>
          <w:tcPr>
            <w:tcW w:w="900" w:type="dxa"/>
            <w:tcBorders>
              <w:top w:val="nil"/>
              <w:left w:val="nil"/>
              <w:bottom w:val="single" w:sz="4" w:space="0" w:color="auto"/>
              <w:right w:val="single" w:sz="4" w:space="0" w:color="auto"/>
            </w:tcBorders>
            <w:shd w:val="clear" w:color="auto" w:fill="auto"/>
            <w:noWrap/>
            <w:vAlign w:val="bottom"/>
            <w:hideMark/>
          </w:tcPr>
          <w:p w14:paraId="144DCD85"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07D22CB4" w14:textId="77777777" w:rsidR="009B57EC" w:rsidRPr="0045758F" w:rsidRDefault="009B57EC" w:rsidP="00157B91">
            <w:pPr>
              <w:pStyle w:val="TX-TableText"/>
              <w:jc w:val="center"/>
            </w:pPr>
            <w:r>
              <w:t>0.</w:t>
            </w:r>
            <w:r w:rsidR="005C1BC5">
              <w:t>61</w:t>
            </w:r>
          </w:p>
        </w:tc>
        <w:tc>
          <w:tcPr>
            <w:tcW w:w="810" w:type="dxa"/>
            <w:tcBorders>
              <w:top w:val="nil"/>
              <w:left w:val="nil"/>
              <w:bottom w:val="single" w:sz="4" w:space="0" w:color="auto"/>
              <w:right w:val="single" w:sz="4" w:space="0" w:color="auto"/>
            </w:tcBorders>
            <w:shd w:val="clear" w:color="auto" w:fill="auto"/>
            <w:noWrap/>
            <w:vAlign w:val="bottom"/>
            <w:hideMark/>
          </w:tcPr>
          <w:p w14:paraId="2509B083"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7FC55120" w14:textId="77777777" w:rsidR="009B57EC" w:rsidRPr="0045758F" w:rsidRDefault="009B57EC" w:rsidP="00157B91">
            <w:pPr>
              <w:pStyle w:val="TX-TableText"/>
              <w:jc w:val="center"/>
            </w:pPr>
            <w:r w:rsidRPr="0045758F">
              <w:t>0.6</w:t>
            </w:r>
            <w:r w:rsidR="005C1BC5">
              <w:t>1</w:t>
            </w:r>
          </w:p>
        </w:tc>
        <w:tc>
          <w:tcPr>
            <w:tcW w:w="828" w:type="dxa"/>
            <w:tcBorders>
              <w:top w:val="nil"/>
              <w:left w:val="nil"/>
              <w:bottom w:val="single" w:sz="4" w:space="0" w:color="auto"/>
            </w:tcBorders>
            <w:shd w:val="clear" w:color="auto" w:fill="auto"/>
            <w:noWrap/>
            <w:vAlign w:val="bottom"/>
            <w:hideMark/>
          </w:tcPr>
          <w:p w14:paraId="4FC63A07" w14:textId="77777777" w:rsidR="009B57EC" w:rsidRPr="0045758F" w:rsidRDefault="009B57EC" w:rsidP="00157B91">
            <w:pPr>
              <w:pStyle w:val="TX-TableText"/>
              <w:jc w:val="center"/>
            </w:pPr>
          </w:p>
        </w:tc>
      </w:tr>
      <w:tr w:rsidR="009B57EC" w:rsidRPr="0045758F" w14:paraId="0B1BB1BA" w14:textId="77777777" w:rsidTr="00157B91">
        <w:trPr>
          <w:trHeight w:hRule="exact" w:val="442"/>
        </w:trPr>
        <w:tc>
          <w:tcPr>
            <w:tcW w:w="5505" w:type="dxa"/>
            <w:tcBorders>
              <w:top w:val="nil"/>
              <w:bottom w:val="single" w:sz="4" w:space="0" w:color="auto"/>
              <w:right w:val="single" w:sz="4" w:space="0" w:color="auto"/>
            </w:tcBorders>
            <w:shd w:val="clear" w:color="auto" w:fill="auto"/>
            <w:noWrap/>
            <w:vAlign w:val="bottom"/>
            <w:hideMark/>
          </w:tcPr>
          <w:p w14:paraId="3F012D73" w14:textId="77777777" w:rsidR="009B57EC" w:rsidRPr="0045758F" w:rsidRDefault="009B57EC" w:rsidP="00157B91">
            <w:pPr>
              <w:pStyle w:val="TX-TableText"/>
            </w:pPr>
            <w:r w:rsidRPr="0045758F">
              <w:t>Screener completes after subsampling, and to proceed with web collection</w:t>
            </w:r>
          </w:p>
        </w:tc>
        <w:tc>
          <w:tcPr>
            <w:tcW w:w="900" w:type="dxa"/>
            <w:tcBorders>
              <w:top w:val="nil"/>
              <w:left w:val="nil"/>
              <w:bottom w:val="single" w:sz="4" w:space="0" w:color="auto"/>
              <w:right w:val="single" w:sz="4" w:space="0" w:color="auto"/>
            </w:tcBorders>
            <w:shd w:val="clear" w:color="auto" w:fill="auto"/>
            <w:noWrap/>
            <w:vAlign w:val="center"/>
            <w:hideMark/>
          </w:tcPr>
          <w:p w14:paraId="2B3964E1" w14:textId="1C42B2DF" w:rsidR="009B57EC" w:rsidRPr="0045758F" w:rsidRDefault="009B57EC" w:rsidP="00157B91">
            <w:pPr>
              <w:pStyle w:val="TX-TableText"/>
              <w:jc w:val="center"/>
            </w:pPr>
            <w:r w:rsidRPr="0045758F">
              <w:t>2</w:t>
            </w:r>
            <w:r w:rsidR="001F2C2D">
              <w:t>30</w:t>
            </w:r>
          </w:p>
        </w:tc>
        <w:tc>
          <w:tcPr>
            <w:tcW w:w="720" w:type="dxa"/>
            <w:tcBorders>
              <w:top w:val="nil"/>
              <w:left w:val="nil"/>
              <w:bottom w:val="single" w:sz="4" w:space="0" w:color="auto"/>
              <w:right w:val="single" w:sz="4" w:space="0" w:color="auto"/>
            </w:tcBorders>
            <w:shd w:val="clear" w:color="auto" w:fill="auto"/>
            <w:noWrap/>
            <w:vAlign w:val="center"/>
            <w:hideMark/>
          </w:tcPr>
          <w:p w14:paraId="53DFDCE2" w14:textId="77777777" w:rsidR="009B57EC" w:rsidRPr="0045758F" w:rsidRDefault="009B57EC" w:rsidP="00157B91">
            <w:pPr>
              <w:pStyle w:val="TX-TableText"/>
              <w:jc w:val="center"/>
            </w:pPr>
          </w:p>
        </w:tc>
        <w:tc>
          <w:tcPr>
            <w:tcW w:w="810" w:type="dxa"/>
            <w:tcBorders>
              <w:top w:val="nil"/>
              <w:left w:val="nil"/>
              <w:bottom w:val="single" w:sz="4" w:space="0" w:color="auto"/>
              <w:right w:val="single" w:sz="4" w:space="0" w:color="auto"/>
            </w:tcBorders>
            <w:shd w:val="clear" w:color="auto" w:fill="auto"/>
            <w:noWrap/>
            <w:vAlign w:val="center"/>
            <w:hideMark/>
          </w:tcPr>
          <w:p w14:paraId="4E29BF70" w14:textId="77777777" w:rsidR="009B57EC" w:rsidRPr="0045758F" w:rsidRDefault="009B57EC" w:rsidP="00157B91">
            <w:pPr>
              <w:pStyle w:val="TX-TableText"/>
              <w:jc w:val="center"/>
            </w:pPr>
            <w:r w:rsidRPr="0045758F">
              <w:t>5</w:t>
            </w:r>
            <w:r w:rsidR="00051E4C">
              <w:t>66</w:t>
            </w:r>
          </w:p>
        </w:tc>
        <w:tc>
          <w:tcPr>
            <w:tcW w:w="720" w:type="dxa"/>
            <w:tcBorders>
              <w:top w:val="nil"/>
              <w:left w:val="nil"/>
              <w:bottom w:val="single" w:sz="4" w:space="0" w:color="auto"/>
              <w:right w:val="single" w:sz="4" w:space="0" w:color="auto"/>
            </w:tcBorders>
            <w:shd w:val="clear" w:color="auto" w:fill="auto"/>
            <w:noWrap/>
            <w:vAlign w:val="center"/>
            <w:hideMark/>
          </w:tcPr>
          <w:p w14:paraId="32A216C3" w14:textId="77777777" w:rsidR="009B57EC" w:rsidRPr="0045758F" w:rsidRDefault="009B57EC" w:rsidP="00157B91">
            <w:pPr>
              <w:pStyle w:val="TX-TableText"/>
              <w:jc w:val="center"/>
            </w:pPr>
          </w:p>
        </w:tc>
        <w:tc>
          <w:tcPr>
            <w:tcW w:w="828" w:type="dxa"/>
            <w:tcBorders>
              <w:top w:val="nil"/>
              <w:left w:val="nil"/>
              <w:bottom w:val="single" w:sz="4" w:space="0" w:color="auto"/>
            </w:tcBorders>
            <w:shd w:val="clear" w:color="auto" w:fill="auto"/>
            <w:noWrap/>
            <w:vAlign w:val="center"/>
            <w:hideMark/>
          </w:tcPr>
          <w:p w14:paraId="0F4FFFF9" w14:textId="77777777" w:rsidR="009B57EC" w:rsidRPr="0045758F" w:rsidRDefault="009B57EC" w:rsidP="00157B91">
            <w:pPr>
              <w:pStyle w:val="TX-TableText"/>
              <w:jc w:val="center"/>
            </w:pPr>
            <w:r w:rsidRPr="0045758F">
              <w:t>7</w:t>
            </w:r>
            <w:r w:rsidR="009B4331">
              <w:t>96</w:t>
            </w:r>
          </w:p>
        </w:tc>
      </w:tr>
      <w:tr w:rsidR="009B57EC" w:rsidRPr="0045758F" w14:paraId="4309E4F0"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407DDDE0" w14:textId="77777777" w:rsidR="009B57EC" w:rsidRPr="0045758F" w:rsidRDefault="009B57EC" w:rsidP="00157B91">
            <w:pPr>
              <w:pStyle w:val="TX-TableText"/>
            </w:pPr>
            <w:r w:rsidRPr="0045758F">
              <w:t xml:space="preserve">  Food acquisition recording</w:t>
            </w:r>
            <w:r>
              <w:t>, final and feedback form</w:t>
            </w:r>
            <w:r w:rsidRPr="0045758F">
              <w:t xml:space="preserve"> response rate (1 week)</w:t>
            </w:r>
          </w:p>
        </w:tc>
        <w:tc>
          <w:tcPr>
            <w:tcW w:w="900" w:type="dxa"/>
            <w:tcBorders>
              <w:top w:val="nil"/>
              <w:left w:val="nil"/>
              <w:bottom w:val="single" w:sz="4" w:space="0" w:color="auto"/>
              <w:right w:val="single" w:sz="4" w:space="0" w:color="auto"/>
            </w:tcBorders>
            <w:shd w:val="clear" w:color="auto" w:fill="auto"/>
            <w:noWrap/>
            <w:vAlign w:val="bottom"/>
            <w:hideMark/>
          </w:tcPr>
          <w:p w14:paraId="37B5A1C8"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4E0C5377" w14:textId="77777777" w:rsidR="009B57EC" w:rsidRPr="0045758F" w:rsidRDefault="009B57EC" w:rsidP="00157B91">
            <w:pPr>
              <w:pStyle w:val="TX-TableText"/>
              <w:jc w:val="center"/>
            </w:pPr>
            <w:r w:rsidRPr="0045758F">
              <w:t>0.</w:t>
            </w:r>
            <w:r>
              <w:t>7</w:t>
            </w:r>
            <w:r w:rsidR="009B4331">
              <w:t>5</w:t>
            </w:r>
          </w:p>
        </w:tc>
        <w:tc>
          <w:tcPr>
            <w:tcW w:w="810" w:type="dxa"/>
            <w:tcBorders>
              <w:top w:val="nil"/>
              <w:left w:val="nil"/>
              <w:bottom w:val="single" w:sz="4" w:space="0" w:color="auto"/>
              <w:right w:val="single" w:sz="4" w:space="0" w:color="auto"/>
            </w:tcBorders>
            <w:shd w:val="clear" w:color="auto" w:fill="auto"/>
            <w:noWrap/>
            <w:vAlign w:val="bottom"/>
            <w:hideMark/>
          </w:tcPr>
          <w:p w14:paraId="49EAE5F4" w14:textId="77777777" w:rsidR="009B57EC" w:rsidRPr="0045758F" w:rsidRDefault="009B57EC" w:rsidP="00157B91">
            <w:pPr>
              <w:pStyle w:val="TX-TableText"/>
              <w:jc w:val="center"/>
            </w:pPr>
          </w:p>
        </w:tc>
        <w:tc>
          <w:tcPr>
            <w:tcW w:w="720" w:type="dxa"/>
            <w:tcBorders>
              <w:top w:val="nil"/>
              <w:left w:val="nil"/>
              <w:bottom w:val="single" w:sz="4" w:space="0" w:color="auto"/>
              <w:right w:val="single" w:sz="4" w:space="0" w:color="auto"/>
            </w:tcBorders>
            <w:shd w:val="clear" w:color="auto" w:fill="auto"/>
            <w:noWrap/>
            <w:vAlign w:val="bottom"/>
            <w:hideMark/>
          </w:tcPr>
          <w:p w14:paraId="5384A6CB" w14:textId="77777777" w:rsidR="009B57EC" w:rsidRPr="0045758F" w:rsidRDefault="009B57EC" w:rsidP="00157B91">
            <w:pPr>
              <w:pStyle w:val="TX-TableText"/>
              <w:jc w:val="center"/>
            </w:pPr>
            <w:r>
              <w:t>0.6</w:t>
            </w:r>
            <w:r w:rsidR="009B4331">
              <w:t>4</w:t>
            </w:r>
          </w:p>
        </w:tc>
        <w:tc>
          <w:tcPr>
            <w:tcW w:w="828" w:type="dxa"/>
            <w:tcBorders>
              <w:top w:val="nil"/>
              <w:left w:val="nil"/>
              <w:bottom w:val="single" w:sz="4" w:space="0" w:color="auto"/>
            </w:tcBorders>
            <w:shd w:val="clear" w:color="auto" w:fill="auto"/>
            <w:noWrap/>
            <w:vAlign w:val="bottom"/>
            <w:hideMark/>
          </w:tcPr>
          <w:p w14:paraId="22FF9BD4" w14:textId="77777777" w:rsidR="009B57EC" w:rsidRPr="0045758F" w:rsidRDefault="009B57EC" w:rsidP="00157B91">
            <w:pPr>
              <w:pStyle w:val="TX-TableText"/>
              <w:jc w:val="center"/>
            </w:pPr>
          </w:p>
        </w:tc>
      </w:tr>
      <w:tr w:rsidR="009B57EC" w:rsidRPr="0045758F" w14:paraId="13A27222" w14:textId="77777777" w:rsidTr="00157B91">
        <w:trPr>
          <w:trHeight w:hRule="exact" w:val="216"/>
        </w:trPr>
        <w:tc>
          <w:tcPr>
            <w:tcW w:w="5505" w:type="dxa"/>
            <w:tcBorders>
              <w:top w:val="nil"/>
              <w:bottom w:val="single" w:sz="4" w:space="0" w:color="auto"/>
              <w:right w:val="single" w:sz="4" w:space="0" w:color="auto"/>
            </w:tcBorders>
            <w:shd w:val="clear" w:color="auto" w:fill="auto"/>
            <w:noWrap/>
            <w:vAlign w:val="bottom"/>
            <w:hideMark/>
          </w:tcPr>
          <w:p w14:paraId="6DA0AB9E" w14:textId="77777777" w:rsidR="009B57EC" w:rsidRPr="0045758F" w:rsidRDefault="009B57EC" w:rsidP="00157B91">
            <w:pPr>
              <w:pStyle w:val="TX-TableText"/>
            </w:pPr>
            <w:r>
              <w:t>C</w:t>
            </w:r>
            <w:r w:rsidRPr="0045758F">
              <w:t>ompletes</w:t>
            </w:r>
          </w:p>
        </w:tc>
        <w:tc>
          <w:tcPr>
            <w:tcW w:w="900" w:type="dxa"/>
            <w:tcBorders>
              <w:top w:val="nil"/>
              <w:left w:val="nil"/>
              <w:bottom w:val="single" w:sz="4" w:space="0" w:color="auto"/>
              <w:right w:val="single" w:sz="4" w:space="0" w:color="auto"/>
            </w:tcBorders>
            <w:shd w:val="clear" w:color="auto" w:fill="auto"/>
            <w:noWrap/>
            <w:vAlign w:val="bottom"/>
            <w:hideMark/>
          </w:tcPr>
          <w:p w14:paraId="47E4C3D6" w14:textId="77777777" w:rsidR="009B57EC" w:rsidRPr="0045758F" w:rsidRDefault="009B57EC" w:rsidP="00157B91">
            <w:pPr>
              <w:pStyle w:val="TX-TableText"/>
              <w:jc w:val="center"/>
            </w:pPr>
            <w:r w:rsidRPr="0045758F">
              <w:t>1</w:t>
            </w:r>
            <w:r w:rsidR="009B4331">
              <w:t>72</w:t>
            </w:r>
          </w:p>
        </w:tc>
        <w:tc>
          <w:tcPr>
            <w:tcW w:w="720" w:type="dxa"/>
            <w:tcBorders>
              <w:top w:val="nil"/>
              <w:left w:val="nil"/>
              <w:bottom w:val="single" w:sz="4" w:space="0" w:color="auto"/>
              <w:right w:val="single" w:sz="4" w:space="0" w:color="auto"/>
            </w:tcBorders>
            <w:shd w:val="clear" w:color="auto" w:fill="auto"/>
            <w:noWrap/>
            <w:vAlign w:val="bottom"/>
            <w:hideMark/>
          </w:tcPr>
          <w:p w14:paraId="2E39B0E6" w14:textId="77777777" w:rsidR="009B57EC" w:rsidRPr="0045758F" w:rsidRDefault="009B57EC" w:rsidP="00157B91">
            <w:pPr>
              <w:pStyle w:val="TX-TableText"/>
              <w:jc w:val="center"/>
            </w:pPr>
          </w:p>
        </w:tc>
        <w:tc>
          <w:tcPr>
            <w:tcW w:w="810" w:type="dxa"/>
            <w:tcBorders>
              <w:top w:val="nil"/>
              <w:left w:val="nil"/>
              <w:bottom w:val="single" w:sz="4" w:space="0" w:color="auto"/>
              <w:right w:val="single" w:sz="4" w:space="0" w:color="auto"/>
            </w:tcBorders>
            <w:shd w:val="clear" w:color="auto" w:fill="auto"/>
            <w:noWrap/>
            <w:vAlign w:val="bottom"/>
            <w:hideMark/>
          </w:tcPr>
          <w:p w14:paraId="76443E52" w14:textId="77777777" w:rsidR="009B57EC" w:rsidRPr="0045758F" w:rsidRDefault="009B57EC" w:rsidP="00157B91">
            <w:pPr>
              <w:pStyle w:val="TX-TableText"/>
              <w:jc w:val="center"/>
            </w:pPr>
            <w:r w:rsidRPr="0045758F">
              <w:t>3</w:t>
            </w:r>
            <w:r w:rsidR="009B4331">
              <w:t>62</w:t>
            </w:r>
          </w:p>
        </w:tc>
        <w:tc>
          <w:tcPr>
            <w:tcW w:w="720" w:type="dxa"/>
            <w:tcBorders>
              <w:top w:val="nil"/>
              <w:left w:val="nil"/>
              <w:bottom w:val="single" w:sz="4" w:space="0" w:color="auto"/>
              <w:right w:val="single" w:sz="4" w:space="0" w:color="auto"/>
            </w:tcBorders>
            <w:shd w:val="clear" w:color="auto" w:fill="auto"/>
            <w:noWrap/>
            <w:vAlign w:val="bottom"/>
            <w:hideMark/>
          </w:tcPr>
          <w:p w14:paraId="3317B6AB" w14:textId="77777777" w:rsidR="009B57EC" w:rsidRPr="0045758F" w:rsidRDefault="009B57EC" w:rsidP="00157B91">
            <w:pPr>
              <w:pStyle w:val="TX-TableText"/>
              <w:jc w:val="center"/>
            </w:pPr>
          </w:p>
        </w:tc>
        <w:tc>
          <w:tcPr>
            <w:tcW w:w="828" w:type="dxa"/>
            <w:tcBorders>
              <w:top w:val="nil"/>
              <w:left w:val="nil"/>
              <w:bottom w:val="single" w:sz="4" w:space="0" w:color="auto"/>
            </w:tcBorders>
            <w:shd w:val="clear" w:color="auto" w:fill="auto"/>
            <w:noWrap/>
            <w:vAlign w:val="bottom"/>
            <w:hideMark/>
          </w:tcPr>
          <w:p w14:paraId="2FC780BC" w14:textId="77777777" w:rsidR="009B57EC" w:rsidRPr="0045758F" w:rsidRDefault="009B57EC" w:rsidP="00157B91">
            <w:pPr>
              <w:pStyle w:val="TX-TableText"/>
              <w:jc w:val="center"/>
            </w:pPr>
            <w:r w:rsidRPr="0045758F">
              <w:t>5</w:t>
            </w:r>
            <w:r w:rsidR="009B4331">
              <w:t>34</w:t>
            </w:r>
          </w:p>
        </w:tc>
      </w:tr>
    </w:tbl>
    <w:p w14:paraId="5A0140EA" w14:textId="77777777" w:rsidR="002024B6" w:rsidRDefault="002024B6" w:rsidP="001B265D">
      <w:pPr>
        <w:pStyle w:val="L1-FlLSp12"/>
      </w:pPr>
    </w:p>
    <w:p w14:paraId="7D24448B" w14:textId="04984DB9" w:rsidR="009B57EC" w:rsidRDefault="009B57EC" w:rsidP="009B57EC">
      <w:pPr>
        <w:pStyle w:val="L1-FlLSp12"/>
      </w:pPr>
      <w:r>
        <w:t xml:space="preserve">Among the screener completes, a random proportion of about 21 percent of those on the non-SNAP list will be screened out due to high income. </w:t>
      </w:r>
      <w:r w:rsidR="00521856">
        <w:t>It is expected that a proportion of those on the SNAP list will not be classified by the screene</w:t>
      </w:r>
      <w:r w:rsidR="000B46B4">
        <w:t>r responses as a SNAP household. This loss from the SNAP list will be off-set to a certain extent by a</w:t>
      </w:r>
      <w:r w:rsidR="00521856">
        <w:t xml:space="preserve"> proportion of those on the </w:t>
      </w:r>
      <w:r w:rsidR="00956BB1">
        <w:t>n</w:t>
      </w:r>
      <w:r w:rsidR="00521856">
        <w:t>on</w:t>
      </w:r>
      <w:r w:rsidR="00956BB1">
        <w:t>-</w:t>
      </w:r>
      <w:r w:rsidR="00521856">
        <w:t>SNAP list</w:t>
      </w:r>
      <w:r w:rsidR="000B46B4">
        <w:t xml:space="preserve"> that</w:t>
      </w:r>
      <w:r w:rsidR="00521856">
        <w:t xml:space="preserve"> </w:t>
      </w:r>
      <w:r w:rsidR="000B46B4">
        <w:t>will be classified as a SNAP household</w:t>
      </w:r>
      <w:r w:rsidR="00521856">
        <w:t>.</w:t>
      </w:r>
      <w:r w:rsidR="000B46B4">
        <w:t xml:space="preserve"> All cases</w:t>
      </w:r>
      <w:r w:rsidR="00521856" w:rsidRPr="00521856">
        <w:t xml:space="preserve"> classified as SNAP in the screener</w:t>
      </w:r>
      <w:r w:rsidR="000B46B4">
        <w:t xml:space="preserve"> will be retained for the initial interview.</w:t>
      </w:r>
      <w:r w:rsidR="00521856" w:rsidRPr="00521856">
        <w:t xml:space="preserve"> </w:t>
      </w:r>
      <w:r w:rsidR="003E5471">
        <w:t>Releases of reserve sample</w:t>
      </w:r>
      <w:r w:rsidR="00C6414E">
        <w:t xml:space="preserve"> from the 12 PSUs</w:t>
      </w:r>
      <w:r w:rsidR="003E5471">
        <w:t xml:space="preserve"> will occur in case of observed shortfalls during the data collection period. </w:t>
      </w:r>
      <w:r>
        <w:t>Among all screener completes, we conservatively estimate about 6</w:t>
      </w:r>
      <w:r w:rsidR="00A42AFC">
        <w:t>1</w:t>
      </w:r>
      <w:r>
        <w:t xml:space="preserve">% would be capable of </w:t>
      </w:r>
      <w:r w:rsidR="0067139D">
        <w:t xml:space="preserve">entering survey data </w:t>
      </w:r>
      <w:r>
        <w:t xml:space="preserve">via </w:t>
      </w:r>
      <w:r w:rsidR="0067139D">
        <w:t xml:space="preserve">the </w:t>
      </w:r>
      <w:r>
        <w:t xml:space="preserve">web or </w:t>
      </w:r>
      <w:r w:rsidR="0067139D">
        <w:t xml:space="preserve">a </w:t>
      </w:r>
      <w:r>
        <w:t xml:space="preserve">smartphone. </w:t>
      </w:r>
      <w:r w:rsidR="00190EA7">
        <w:t>This number is a general approximation from statistics reported in File and Ryan (2014)</w:t>
      </w:r>
      <w:r w:rsidR="00190EA7">
        <w:rPr>
          <w:rStyle w:val="FootnoteReference"/>
        </w:rPr>
        <w:footnoteReference w:id="1"/>
      </w:r>
      <w:r w:rsidR="00190EA7">
        <w:t xml:space="preserve"> using data from the American Community Survey (ACS). T</w:t>
      </w:r>
      <w:r w:rsidR="00190EA7" w:rsidRPr="00D960CD">
        <w:rPr>
          <w:rFonts w:eastAsia="Calibri"/>
        </w:rPr>
        <w:t xml:space="preserve">here is </w:t>
      </w:r>
      <w:r w:rsidR="00190EA7">
        <w:t>variation in computer ownership, handheld devices and internet use</w:t>
      </w:r>
      <w:r w:rsidR="00190EA7" w:rsidRPr="00D960CD">
        <w:rPr>
          <w:rFonts w:eastAsia="Calibri"/>
        </w:rPr>
        <w:t xml:space="preserve"> by income</w:t>
      </w:r>
      <w:r w:rsidR="00363FFF">
        <w:rPr>
          <w:rFonts w:eastAsia="Calibri"/>
        </w:rPr>
        <w:t xml:space="preserve">.  </w:t>
      </w:r>
      <w:r w:rsidR="00363FFF" w:rsidRPr="00D960CD">
        <w:rPr>
          <w:rFonts w:eastAsia="Calibri"/>
        </w:rPr>
        <w:t xml:space="preserve">For example, more than 90 percent of households with income of at least $50,000 dollars own a computer </w:t>
      </w:r>
      <w:r w:rsidR="00363FFF">
        <w:rPr>
          <w:rFonts w:eastAsia="Calibri"/>
        </w:rPr>
        <w:t>compared to</w:t>
      </w:r>
      <w:r w:rsidR="00363FFF" w:rsidRPr="00D960CD">
        <w:rPr>
          <w:rFonts w:eastAsia="Calibri"/>
        </w:rPr>
        <w:t xml:space="preserve"> only 62 percent of households with an income of less than $25,000. </w:t>
      </w:r>
      <w:r w:rsidR="00363FFF">
        <w:t>M</w:t>
      </w:r>
      <w:r w:rsidR="00363FFF" w:rsidRPr="00D960CD">
        <w:rPr>
          <w:rFonts w:eastAsia="Calibri"/>
        </w:rPr>
        <w:t>ore than 80 percent of households with an income of $100,000 or more</w:t>
      </w:r>
      <w:r w:rsidR="00363FFF">
        <w:t xml:space="preserve"> own a handheld device compared to a</w:t>
      </w:r>
      <w:r w:rsidR="00363FFF" w:rsidRPr="00D960CD">
        <w:rPr>
          <w:rFonts w:eastAsia="Calibri"/>
        </w:rPr>
        <w:t xml:space="preserve">pproximately 40 percent of households with income of less than $25,000. </w:t>
      </w:r>
      <w:r w:rsidR="00363FFF">
        <w:t xml:space="preserve"> </w:t>
      </w:r>
      <w:r w:rsidR="00363FFF">
        <w:rPr>
          <w:rFonts w:eastAsia="Calibri"/>
        </w:rPr>
        <w:t>Further, u</w:t>
      </w:r>
      <w:r w:rsidR="00363FFF" w:rsidRPr="00D960CD">
        <w:rPr>
          <w:rFonts w:eastAsia="Calibri"/>
        </w:rPr>
        <w:t xml:space="preserve">se of a high-speed Internet connection follows this pattern, with more than 90 percent for those with household incomes of $100,000 or more using high-speed Internet, compared to 47 percent for those with less than $25,000 in household income. </w:t>
      </w:r>
      <w:r w:rsidR="00363FFF">
        <w:t xml:space="preserve"> The percentage on the web could be as high as 85% based on estimates from PEW.</w:t>
      </w:r>
      <w:r w:rsidR="00363FFF">
        <w:rPr>
          <w:rStyle w:val="FootnoteReference"/>
        </w:rPr>
        <w:footnoteReference w:id="2"/>
      </w:r>
      <w:r w:rsidR="00190EA7">
        <w:t xml:space="preserve"> </w:t>
      </w:r>
      <w:r w:rsidR="00363FFF">
        <w:t>T</w:t>
      </w:r>
      <w:r w:rsidR="00190EA7">
        <w:t>he distribution of th</w:t>
      </w:r>
      <w:r w:rsidR="00363FFF">
        <w:t>is pilot study’s</w:t>
      </w:r>
      <w:r w:rsidR="00190EA7">
        <w:t xml:space="preserve"> sample is such that we expect a disproportionately larger sample of low income households.</w:t>
      </w:r>
      <w:r>
        <w:t xml:space="preserve">   </w:t>
      </w:r>
    </w:p>
    <w:p w14:paraId="73668C24" w14:textId="77777777" w:rsidR="009B57EC" w:rsidRDefault="009B57EC" w:rsidP="009B57EC">
      <w:pPr>
        <w:pStyle w:val="L1-FlLSp12"/>
      </w:pPr>
    </w:p>
    <w:p w14:paraId="401B46D3" w14:textId="3F451FF3" w:rsidR="009B57EC" w:rsidRDefault="009B57EC" w:rsidP="009B57EC">
      <w:pPr>
        <w:pStyle w:val="L1-FlLSp12"/>
      </w:pPr>
      <w:r>
        <w:lastRenderedPageBreak/>
        <w:t>We expect that about 64 percent to 7</w:t>
      </w:r>
      <w:r w:rsidR="00934894">
        <w:t>5</w:t>
      </w:r>
      <w:r>
        <w:t xml:space="preserve"> percent (similar to FoodAPS</w:t>
      </w:r>
      <w:r w:rsidR="00E254B3">
        <w:t>-1</w:t>
      </w:r>
      <w:r>
        <w:t>) of the 796 screened household</w:t>
      </w:r>
      <w:r w:rsidR="002B5A06">
        <w:t>s</w:t>
      </w:r>
      <w:r>
        <w:t xml:space="preserve"> who are capable of completing via web will agree to participate in the one week recording of their food acquisitions, depending on being in the non-SNAP or SNAP group, respectively.  This will result in approximately 5</w:t>
      </w:r>
      <w:r w:rsidR="00934894">
        <w:t>3</w:t>
      </w:r>
      <w:r w:rsidR="00ED40A4">
        <w:t>4</w:t>
      </w:r>
      <w:r>
        <w:t xml:space="preserve"> cases that would complete the food acquisitions during the week, of which 1</w:t>
      </w:r>
      <w:r w:rsidR="00ED40A4">
        <w:t>72</w:t>
      </w:r>
      <w:r>
        <w:t xml:space="preserve"> are expected to be SNAP participants, and </w:t>
      </w:r>
      <w:r w:rsidR="00ED40A4">
        <w:t>about</w:t>
      </w:r>
      <w:r>
        <w:t xml:space="preserve"> 30 expected to be WIC participants (assuming 16 percent on SNAP are also WIC households, and </w:t>
      </w:r>
      <w:r w:rsidR="00ED40A4">
        <w:t>a handful of</w:t>
      </w:r>
      <w:r>
        <w:t xml:space="preserve"> households </w:t>
      </w:r>
      <w:r w:rsidR="0067139D">
        <w:t xml:space="preserve">come </w:t>
      </w:r>
      <w:r>
        <w:t>from the non-SNAP WIC sample domain 2).</w:t>
      </w:r>
    </w:p>
    <w:p w14:paraId="7178EF55" w14:textId="77777777" w:rsidR="009B57EC" w:rsidRDefault="009B57EC" w:rsidP="009B57EC">
      <w:pPr>
        <w:pStyle w:val="L1-FlLSp12"/>
      </w:pPr>
    </w:p>
    <w:p w14:paraId="4782722F" w14:textId="15622DF3" w:rsidR="009B57EC" w:rsidRDefault="0067139D" w:rsidP="009B57EC">
      <w:pPr>
        <w:pStyle w:val="L1-FlLSp12"/>
      </w:pPr>
      <w:r>
        <w:t>At the same time that the 2,500 residential units are selected from the two sampling frames, an additional 1,250 uni</w:t>
      </w:r>
      <w:r w:rsidR="00161A7B">
        <w:t>t</w:t>
      </w:r>
      <w:r>
        <w:t xml:space="preserve">s will be selected to serve as a reserve sample.  </w:t>
      </w:r>
      <w:r w:rsidR="009B57EC">
        <w:t xml:space="preserve">Given the uncertainty in the percentage of households that will be able to complete the survey via the web, </w:t>
      </w:r>
      <w:r w:rsidR="00BA0C23">
        <w:t xml:space="preserve">Westat </w:t>
      </w:r>
      <w:r w:rsidR="009B57EC">
        <w:t>plan</w:t>
      </w:r>
      <w:r w:rsidR="00BA0C23">
        <w:t>s</w:t>
      </w:r>
      <w:r w:rsidR="009B57EC">
        <w:t xml:space="preserve"> to initially release a random 70% of the 2,500 selected dwelling units</w:t>
      </w:r>
      <w:r w:rsidR="000B46B4">
        <w:t xml:space="preserve"> and closely monitor the assumptions</w:t>
      </w:r>
      <w:r w:rsidR="009B57EC">
        <w:t>.</w:t>
      </w:r>
      <w:r w:rsidR="00161A7B">
        <w:t xml:space="preserve"> </w:t>
      </w:r>
      <w:r w:rsidR="009B57EC">
        <w:t xml:space="preserve"> The rates and sample yield will be monitored over the first couple of weeks of data collection</w:t>
      </w:r>
      <w:r w:rsidR="0075015F">
        <w:t>,</w:t>
      </w:r>
      <w:r w:rsidR="009B57EC">
        <w:t xml:space="preserve"> and </w:t>
      </w:r>
      <w:r w:rsidR="002B5A06">
        <w:t xml:space="preserve">the </w:t>
      </w:r>
      <w:r w:rsidR="009B57EC">
        <w:t>additional</w:t>
      </w:r>
      <w:r w:rsidR="002B5A06">
        <w:t xml:space="preserve"> 30%</w:t>
      </w:r>
      <w:r w:rsidR="009B57EC">
        <w:t xml:space="preserve"> sample</w:t>
      </w:r>
      <w:r w:rsidR="002B5A06">
        <w:t xml:space="preserve"> will be</w:t>
      </w:r>
      <w:r w:rsidR="009B57EC">
        <w:t xml:space="preserve"> released as needed. </w:t>
      </w:r>
      <w:r w:rsidR="002B5A06">
        <w:t>Beyond the additional 30%, Westat will use the reserve sample as needed.</w:t>
      </w:r>
    </w:p>
    <w:p w14:paraId="45EC1BD3" w14:textId="77777777" w:rsidR="009A73F3" w:rsidRDefault="009A73F3" w:rsidP="009B57EC">
      <w:pPr>
        <w:pStyle w:val="L1-FlLSp12"/>
      </w:pPr>
    </w:p>
    <w:p w14:paraId="55A87341" w14:textId="411FECF9" w:rsidR="009B57EC" w:rsidRPr="009B57EC" w:rsidRDefault="009B57EC" w:rsidP="009B57EC">
      <w:pPr>
        <w:pStyle w:val="L1-FlLSp12"/>
        <w:rPr>
          <w:rFonts w:ascii="Franklin Gothic Book" w:hAnsi="Franklin Gothic Book"/>
          <w:b/>
          <w:sz w:val="28"/>
          <w:szCs w:val="28"/>
        </w:rPr>
      </w:pPr>
    </w:p>
    <w:p w14:paraId="3A5A765B" w14:textId="00D2E95F" w:rsidR="009B57EC" w:rsidRDefault="009B57EC" w:rsidP="009B57EC">
      <w:pPr>
        <w:pStyle w:val="Heading3"/>
        <w:ind w:left="0" w:firstLine="0"/>
      </w:pPr>
      <w:r>
        <w:tab/>
        <w:t>Re</w:t>
      </w:r>
      <w:r w:rsidR="009F56C0">
        <w:t>call I</w:t>
      </w:r>
      <w:r>
        <w:t>nterview</w:t>
      </w:r>
      <w:r w:rsidRPr="006A3E92">
        <w:t xml:space="preserve"> </w:t>
      </w:r>
      <w:r w:rsidR="008F3BCB">
        <w:t>Sample</w:t>
      </w:r>
    </w:p>
    <w:p w14:paraId="3B7B508F" w14:textId="1AD0333F" w:rsidR="009B57EC" w:rsidRDefault="009B57EC" w:rsidP="009B57EC">
      <w:pPr>
        <w:pStyle w:val="L1-FlLSp12"/>
      </w:pPr>
      <w:r>
        <w:t>An extended final interview</w:t>
      </w:r>
      <w:r w:rsidR="002B5A06">
        <w:t xml:space="preserve"> (</w:t>
      </w:r>
      <w:r w:rsidR="009F56C0">
        <w:t>Recall Interview</w:t>
      </w:r>
      <w:r w:rsidR="002B5A06">
        <w:t>)</w:t>
      </w:r>
      <w:r>
        <w:t xml:space="preserve"> will be administered to </w:t>
      </w:r>
      <w:r w:rsidR="00ED40A4">
        <w:t xml:space="preserve">two household members in </w:t>
      </w:r>
      <w:r>
        <w:t>the approximately 5</w:t>
      </w:r>
      <w:r w:rsidR="00ED40A4">
        <w:t>34</w:t>
      </w:r>
      <w:r>
        <w:t xml:space="preserve"> responding households to walk them through their day and ensure that all food purchasing was reported</w:t>
      </w:r>
      <w:r w:rsidRPr="00AF5A9B">
        <w:rPr>
          <w:color w:val="000000" w:themeColor="text1"/>
        </w:rPr>
        <w:t xml:space="preserve">.  </w:t>
      </w:r>
      <w:r w:rsidR="00200D10" w:rsidRPr="00AF5A9B">
        <w:rPr>
          <w:color w:val="000000" w:themeColor="text1"/>
        </w:rPr>
        <w:t xml:space="preserve">All interviewers will be trained on the recall interview protocol to ensure that the recall procedures are administered consistently across respondents. </w:t>
      </w:r>
      <w:r w:rsidRPr="00AF5A9B">
        <w:rPr>
          <w:color w:val="000000" w:themeColor="text1"/>
        </w:rPr>
        <w:t xml:space="preserve">The </w:t>
      </w:r>
      <w:r>
        <w:t xml:space="preserve">extended interview will be used to collect more accurate data on food acquisitions from the primary shopper and one other randomly selected household member for the two most recent days of the household’s data collection week. </w:t>
      </w:r>
      <w:r w:rsidR="00B35B12">
        <w:t xml:space="preserve">The purpose is to better understand the overall extent of food acquisition underreporting, how it differs between food-at-home (FAH) events and food-away-from-home (FAFH) events, the characteristics of individuals most likely to underreport their food acquisitions, and the extent to which day of week or other factors affect underreporting.  </w:t>
      </w:r>
    </w:p>
    <w:p w14:paraId="0DF4422D" w14:textId="77777777" w:rsidR="009A73F3" w:rsidRDefault="009A73F3" w:rsidP="009B57EC">
      <w:pPr>
        <w:pStyle w:val="L1-FlLSp12"/>
      </w:pPr>
    </w:p>
    <w:p w14:paraId="796FA48C" w14:textId="77777777" w:rsidR="0022221F" w:rsidRDefault="0022221F" w:rsidP="001B265D">
      <w:pPr>
        <w:pStyle w:val="L1-FlLSp12"/>
      </w:pPr>
    </w:p>
    <w:p w14:paraId="4B08761C" w14:textId="77777777" w:rsidR="004A7048" w:rsidRDefault="00A20174" w:rsidP="00A20174">
      <w:pPr>
        <w:pStyle w:val="Heading3"/>
      </w:pPr>
      <w:r>
        <w:tab/>
      </w:r>
      <w:r w:rsidR="009B57EC">
        <w:t>Nonresponse Followup (NRFU) Sample</w:t>
      </w:r>
    </w:p>
    <w:p w14:paraId="1EA7F5B4" w14:textId="77777777" w:rsidR="00157B91" w:rsidRPr="00157B91" w:rsidRDefault="00157B91" w:rsidP="00157B91">
      <w:pPr>
        <w:pStyle w:val="L1-FlLSp12"/>
        <w:rPr>
          <w:rFonts w:eastAsiaTheme="minorEastAsia"/>
        </w:rPr>
      </w:pPr>
      <w:r w:rsidRPr="00157B91">
        <w:rPr>
          <w:rFonts w:eastAsiaTheme="minorEastAsia"/>
        </w:rPr>
        <w:t xml:space="preserve">To help with estimating the potential for nonresponse bias in the </w:t>
      </w:r>
      <w:r w:rsidR="00326D93">
        <w:rPr>
          <w:rFonts w:eastAsiaTheme="minorEastAsia"/>
        </w:rPr>
        <w:t>NFS</w:t>
      </w:r>
      <w:r w:rsidRPr="00157B91">
        <w:rPr>
          <w:rFonts w:eastAsiaTheme="minorEastAsia"/>
        </w:rPr>
        <w:t xml:space="preserve"> Pilot Test, a short questionnaire will be administered to households that were screened but did not participate in the survey for any of the following reasons:</w:t>
      </w:r>
    </w:p>
    <w:p w14:paraId="2C89B297" w14:textId="77777777" w:rsidR="00157B91" w:rsidRPr="00157B91" w:rsidRDefault="00157B91" w:rsidP="00157B91">
      <w:pPr>
        <w:pStyle w:val="L1-FlLSp12"/>
        <w:numPr>
          <w:ilvl w:val="0"/>
          <w:numId w:val="23"/>
        </w:numPr>
        <w:rPr>
          <w:rFonts w:eastAsiaTheme="minorEastAsia"/>
        </w:rPr>
      </w:pPr>
      <w:r w:rsidRPr="00157B91">
        <w:rPr>
          <w:rFonts w:eastAsiaTheme="minorEastAsia"/>
        </w:rPr>
        <w:lastRenderedPageBreak/>
        <w:t>Not invited to participate because of likely difficulty using a smartphone- or web-based data collection mode</w:t>
      </w:r>
    </w:p>
    <w:p w14:paraId="3995072C" w14:textId="77777777" w:rsidR="00157B91" w:rsidRPr="00157B91" w:rsidRDefault="00157B91" w:rsidP="00157B91">
      <w:pPr>
        <w:pStyle w:val="L1-FlLSp12"/>
        <w:numPr>
          <w:ilvl w:val="0"/>
          <w:numId w:val="23"/>
        </w:numPr>
        <w:rPr>
          <w:rFonts w:eastAsiaTheme="minorEastAsia"/>
        </w:rPr>
      </w:pPr>
      <w:r w:rsidRPr="00157B91">
        <w:rPr>
          <w:rFonts w:eastAsiaTheme="minorEastAsia"/>
        </w:rPr>
        <w:t>Eligible to participate but refused after the screener</w:t>
      </w:r>
    </w:p>
    <w:p w14:paraId="2541054B" w14:textId="77777777" w:rsidR="00157B91" w:rsidRPr="00157B91" w:rsidRDefault="00157B91" w:rsidP="00157B91">
      <w:pPr>
        <w:pStyle w:val="L1-FlLSp12"/>
        <w:numPr>
          <w:ilvl w:val="0"/>
          <w:numId w:val="23"/>
        </w:numPr>
        <w:rPr>
          <w:rFonts w:eastAsiaTheme="minorEastAsia"/>
        </w:rPr>
      </w:pPr>
      <w:r w:rsidRPr="00157B91">
        <w:rPr>
          <w:rFonts w:eastAsiaTheme="minorEastAsia"/>
        </w:rPr>
        <w:t>Eligible to participate but refused after the initial interview but before training</w:t>
      </w:r>
    </w:p>
    <w:p w14:paraId="4A74CDB6" w14:textId="77777777" w:rsidR="00157B91" w:rsidRPr="00157B91" w:rsidRDefault="00157B91" w:rsidP="00157B91">
      <w:pPr>
        <w:pStyle w:val="L1-FlLSp12"/>
        <w:numPr>
          <w:ilvl w:val="0"/>
          <w:numId w:val="23"/>
        </w:numPr>
        <w:rPr>
          <w:rFonts w:eastAsiaTheme="minorEastAsia"/>
        </w:rPr>
      </w:pPr>
      <w:r w:rsidRPr="00157B91">
        <w:rPr>
          <w:rFonts w:eastAsiaTheme="minorEastAsia"/>
        </w:rPr>
        <w:t>Eligible to participate but refused after training</w:t>
      </w:r>
    </w:p>
    <w:p w14:paraId="7E04932F" w14:textId="77777777" w:rsidR="00157B91" w:rsidRPr="00157B91" w:rsidRDefault="00157B91" w:rsidP="00157B91">
      <w:pPr>
        <w:pStyle w:val="L1-FlLSp12"/>
        <w:numPr>
          <w:ilvl w:val="0"/>
          <w:numId w:val="23"/>
        </w:numPr>
        <w:rPr>
          <w:rFonts w:eastAsiaTheme="minorEastAsia"/>
        </w:rPr>
      </w:pPr>
      <w:r w:rsidRPr="00157B91">
        <w:rPr>
          <w:rFonts w:eastAsiaTheme="minorEastAsia"/>
        </w:rPr>
        <w:t>Entire household refused during the reporting week</w:t>
      </w:r>
    </w:p>
    <w:p w14:paraId="108F6AA3" w14:textId="77777777" w:rsidR="00157B91" w:rsidRPr="00157B91" w:rsidRDefault="00157B91" w:rsidP="00157B91">
      <w:pPr>
        <w:pStyle w:val="L1-FlLSp12"/>
        <w:rPr>
          <w:rFonts w:eastAsiaTheme="minorEastAsia"/>
        </w:rPr>
      </w:pPr>
    </w:p>
    <w:p w14:paraId="68FAACBB" w14:textId="404ACB48" w:rsidR="00AC314D" w:rsidRDefault="00157B91" w:rsidP="00157B91">
      <w:pPr>
        <w:pStyle w:val="L1-FlLSp12"/>
      </w:pPr>
      <w:r w:rsidRPr="00157B91">
        <w:rPr>
          <w:rFonts w:eastAsiaTheme="minorEastAsia"/>
        </w:rPr>
        <w:t>All of the above nonrespond</w:t>
      </w:r>
      <w:r w:rsidR="008E2452">
        <w:rPr>
          <w:rFonts w:eastAsiaTheme="minorEastAsia"/>
        </w:rPr>
        <w:t>ing households</w:t>
      </w:r>
      <w:r w:rsidRPr="00157B91">
        <w:rPr>
          <w:rFonts w:eastAsiaTheme="minorEastAsia"/>
        </w:rPr>
        <w:t xml:space="preserve">, about </w:t>
      </w:r>
      <w:r w:rsidR="008E2452">
        <w:rPr>
          <w:rFonts w:eastAsiaTheme="minorEastAsia"/>
        </w:rPr>
        <w:t>3</w:t>
      </w:r>
      <w:r w:rsidR="00FF26BD">
        <w:rPr>
          <w:rFonts w:eastAsiaTheme="minorEastAsia"/>
        </w:rPr>
        <w:t>62</w:t>
      </w:r>
      <w:r w:rsidR="008E2452" w:rsidRPr="00157B91">
        <w:rPr>
          <w:rFonts w:eastAsiaTheme="minorEastAsia"/>
        </w:rPr>
        <w:t xml:space="preserve"> </w:t>
      </w:r>
      <w:r w:rsidRPr="00157B91">
        <w:rPr>
          <w:rFonts w:eastAsiaTheme="minorEastAsia"/>
        </w:rPr>
        <w:t xml:space="preserve">expected, will receive the NRFU questionnaire. </w:t>
      </w:r>
      <w:r w:rsidR="00200D10">
        <w:rPr>
          <w:rFonts w:eastAsiaTheme="minorEastAsia"/>
        </w:rPr>
        <w:t xml:space="preserve">The incentive to complete the questionnaire is $5. </w:t>
      </w:r>
      <w:r w:rsidRPr="00157B91">
        <w:rPr>
          <w:rFonts w:eastAsiaTheme="minorEastAsia"/>
        </w:rPr>
        <w:t xml:space="preserve">The short questionnaire will include questions whose responses are expected to be correlated with the Pilot Test’s main findings (e.g., total weekly spending on food by all household members for both food-at-home (FAH) and food-away-from-home (FAFH), and weekly number of FAH and FAFH food acquisition events).    </w:t>
      </w:r>
    </w:p>
    <w:p w14:paraId="73C160A4" w14:textId="77777777" w:rsidR="0022221F" w:rsidRDefault="0022221F" w:rsidP="00967F34">
      <w:pPr>
        <w:pStyle w:val="L1-FlLSp12"/>
      </w:pPr>
    </w:p>
    <w:p w14:paraId="5CA56432" w14:textId="77777777" w:rsidR="008A6A7C" w:rsidRPr="0074555B" w:rsidRDefault="008A6A7C" w:rsidP="00E329A7">
      <w:pPr>
        <w:pStyle w:val="Heading2"/>
      </w:pPr>
      <w:bookmarkStart w:id="19" w:name="_Toc329341117"/>
      <w:bookmarkStart w:id="20" w:name="_Toc290021782"/>
      <w:bookmarkStart w:id="21" w:name="_Toc287257090"/>
      <w:bookmarkStart w:id="22" w:name="_Toc287257036"/>
      <w:bookmarkStart w:id="23" w:name="_Toc400377724"/>
      <w:bookmarkStart w:id="24" w:name="_Toc409090901"/>
      <w:r w:rsidRPr="0074555B">
        <w:t>B.2</w:t>
      </w:r>
      <w:r w:rsidRPr="0074555B">
        <w:tab/>
        <w:t>Procedures for the Collection of Information</w:t>
      </w:r>
      <w:bookmarkEnd w:id="19"/>
      <w:bookmarkEnd w:id="20"/>
      <w:bookmarkEnd w:id="21"/>
      <w:bookmarkEnd w:id="22"/>
      <w:bookmarkEnd w:id="23"/>
      <w:bookmarkEnd w:id="24"/>
    </w:p>
    <w:p w14:paraId="5001AC4D" w14:textId="77777777" w:rsidR="008A6A7C" w:rsidRPr="002232F7" w:rsidRDefault="008A6A7C" w:rsidP="001B265D">
      <w:pPr>
        <w:pStyle w:val="L1-FlLSp12"/>
        <w:rPr>
          <w:b/>
        </w:rPr>
      </w:pPr>
      <w:bookmarkStart w:id="25" w:name="_Toc400377725"/>
      <w:bookmarkStart w:id="26" w:name="_Toc290021783"/>
      <w:bookmarkStart w:id="27" w:name="_Toc280185474"/>
      <w:r w:rsidRPr="002232F7">
        <w:rPr>
          <w:b/>
        </w:rPr>
        <w:t>Describe the procedures for the collection of information including:</w:t>
      </w:r>
      <w:bookmarkEnd w:id="25"/>
    </w:p>
    <w:p w14:paraId="6B3BF384" w14:textId="77777777" w:rsidR="008A6A7C" w:rsidRPr="002232F7" w:rsidRDefault="008A6A7C" w:rsidP="001B265D">
      <w:pPr>
        <w:pStyle w:val="L1-FlLSp12"/>
        <w:rPr>
          <w:b/>
        </w:rPr>
      </w:pPr>
    </w:p>
    <w:p w14:paraId="75F9FE38" w14:textId="77777777" w:rsidR="008A6A7C" w:rsidRPr="002232F7" w:rsidRDefault="008A6A7C" w:rsidP="004A7048">
      <w:pPr>
        <w:pStyle w:val="N1-1stBullet"/>
        <w:rPr>
          <w:b/>
        </w:rPr>
      </w:pPr>
      <w:bookmarkStart w:id="28" w:name="_Toc325550967"/>
      <w:bookmarkStart w:id="29" w:name="_Toc316652509"/>
      <w:bookmarkStart w:id="30" w:name="_Toc400377726"/>
      <w:r w:rsidRPr="002232F7">
        <w:rPr>
          <w:b/>
        </w:rPr>
        <w:t>Statistical methodology for stratification and sample selection,</w:t>
      </w:r>
      <w:bookmarkEnd w:id="28"/>
      <w:bookmarkEnd w:id="29"/>
      <w:bookmarkEnd w:id="30"/>
    </w:p>
    <w:p w14:paraId="129AA082" w14:textId="77777777" w:rsidR="008A6A7C" w:rsidRPr="002232F7" w:rsidRDefault="008A6A7C" w:rsidP="004A7048">
      <w:pPr>
        <w:pStyle w:val="N1-1stBullet"/>
        <w:rPr>
          <w:b/>
        </w:rPr>
      </w:pPr>
      <w:bookmarkStart w:id="31" w:name="_Toc325550968"/>
      <w:bookmarkStart w:id="32" w:name="_Toc316652510"/>
      <w:bookmarkStart w:id="33" w:name="_Toc400377727"/>
      <w:r w:rsidRPr="002232F7">
        <w:rPr>
          <w:b/>
        </w:rPr>
        <w:t>Estimation procedure,</w:t>
      </w:r>
      <w:bookmarkEnd w:id="31"/>
      <w:bookmarkEnd w:id="32"/>
      <w:bookmarkEnd w:id="33"/>
    </w:p>
    <w:p w14:paraId="510C5FEF" w14:textId="77777777" w:rsidR="008A6A7C" w:rsidRPr="002232F7" w:rsidRDefault="008A6A7C" w:rsidP="004A7048">
      <w:pPr>
        <w:pStyle w:val="N1-1stBullet"/>
        <w:rPr>
          <w:b/>
        </w:rPr>
      </w:pPr>
      <w:bookmarkStart w:id="34" w:name="_Toc325550969"/>
      <w:bookmarkStart w:id="35" w:name="_Toc316652511"/>
      <w:bookmarkStart w:id="36" w:name="_Toc400377728"/>
      <w:r w:rsidRPr="002232F7">
        <w:rPr>
          <w:b/>
        </w:rPr>
        <w:t>Degree of accuracy needed for the purpose described in the justification,</w:t>
      </w:r>
      <w:bookmarkEnd w:id="34"/>
      <w:bookmarkEnd w:id="35"/>
      <w:bookmarkEnd w:id="36"/>
    </w:p>
    <w:p w14:paraId="62C94351" w14:textId="77777777" w:rsidR="008A6A7C" w:rsidRPr="002232F7" w:rsidRDefault="008A6A7C" w:rsidP="004A7048">
      <w:pPr>
        <w:pStyle w:val="N1-1stBullet"/>
        <w:rPr>
          <w:b/>
        </w:rPr>
      </w:pPr>
      <w:bookmarkStart w:id="37" w:name="_Toc325550970"/>
      <w:bookmarkStart w:id="38" w:name="_Toc316652512"/>
      <w:bookmarkStart w:id="39" w:name="_Toc400377729"/>
      <w:r w:rsidRPr="002232F7">
        <w:rPr>
          <w:b/>
        </w:rPr>
        <w:t>Unusual problems requiring specialized sampling procedures, and</w:t>
      </w:r>
      <w:bookmarkEnd w:id="37"/>
      <w:bookmarkEnd w:id="38"/>
      <w:bookmarkEnd w:id="39"/>
    </w:p>
    <w:p w14:paraId="5E285F0E" w14:textId="77777777" w:rsidR="008A6A7C" w:rsidRPr="002232F7" w:rsidRDefault="008A6A7C" w:rsidP="004A7048">
      <w:pPr>
        <w:pStyle w:val="N1-1stBullet"/>
        <w:rPr>
          <w:b/>
        </w:rPr>
      </w:pPr>
      <w:bookmarkStart w:id="40" w:name="_Toc325550971"/>
      <w:bookmarkStart w:id="41" w:name="_Toc316652513"/>
      <w:bookmarkStart w:id="42" w:name="_Toc400377730"/>
      <w:r w:rsidRPr="002232F7">
        <w:rPr>
          <w:b/>
        </w:rPr>
        <w:t>Any use of periodic (less frequent than annual) data collection cycles to reduce burden.</w:t>
      </w:r>
      <w:bookmarkEnd w:id="40"/>
      <w:bookmarkEnd w:id="41"/>
      <w:bookmarkEnd w:id="42"/>
    </w:p>
    <w:p w14:paraId="4DD373C0" w14:textId="77777777" w:rsidR="008A6A7C" w:rsidRPr="0074555B" w:rsidRDefault="008A6A7C" w:rsidP="001B265D">
      <w:pPr>
        <w:pStyle w:val="L1-FlLSp12"/>
      </w:pPr>
    </w:p>
    <w:p w14:paraId="440C7A85" w14:textId="77777777" w:rsidR="008A6A7C" w:rsidRPr="0074555B" w:rsidRDefault="00E329A7" w:rsidP="00E329A7">
      <w:pPr>
        <w:pStyle w:val="Heading3"/>
      </w:pPr>
      <w:bookmarkStart w:id="43" w:name="_Toc400377731"/>
      <w:bookmarkEnd w:id="26"/>
      <w:bookmarkEnd w:id="27"/>
      <w:r>
        <w:tab/>
      </w:r>
      <w:r w:rsidR="008A6A7C" w:rsidRPr="0074555B">
        <w:t xml:space="preserve">Statistical Methodology </w:t>
      </w:r>
      <w:bookmarkEnd w:id="43"/>
    </w:p>
    <w:p w14:paraId="2DC51E21" w14:textId="71766FD9" w:rsidR="00157B91" w:rsidRDefault="00157B91" w:rsidP="00157B91">
      <w:pPr>
        <w:pStyle w:val="L1-FlLSp12"/>
      </w:pPr>
      <w:r>
        <w:t xml:space="preserve">For the initial stage of sampling for the pilot, the design includes a subsample of 12 Primary Sampling Units (PSUs) from the 50 </w:t>
      </w:r>
      <w:r w:rsidR="00BA0C23">
        <w:t xml:space="preserve">PSUs selected for </w:t>
      </w:r>
      <w:r>
        <w:t>FoodAPS</w:t>
      </w:r>
      <w:r w:rsidR="00BA0C23">
        <w:t>-1</w:t>
      </w:r>
      <w:r>
        <w:t>, which were formed as counties or groups of counties. In FoodAPS</w:t>
      </w:r>
      <w:r w:rsidR="00BA0C23">
        <w:t>-1</w:t>
      </w:r>
      <w:r>
        <w:t xml:space="preserve">, there was one PSU selected with certainty, and the other 49 PSUs were selected using Chromy’s method of sequential random sampling in SAS Proc SurveySelect. Prior to selection, the PSUs were sorted by metro status and region, which was defined by seven USDA Food and Nutrition Service (FNS) administrative regions. The PSUs were selected using a composite measure of size that was a function of the estimated number of households in key sampling domains and their associated overall sampling rates.  </w:t>
      </w:r>
    </w:p>
    <w:p w14:paraId="7E219B58" w14:textId="77777777" w:rsidR="00157B91" w:rsidRDefault="00157B91" w:rsidP="00157B91">
      <w:pPr>
        <w:pStyle w:val="L1-FlLSp12"/>
      </w:pPr>
    </w:p>
    <w:p w14:paraId="6A518A7C" w14:textId="4919EBDB" w:rsidR="00157B91" w:rsidRDefault="00157B91" w:rsidP="00157B91">
      <w:pPr>
        <w:pStyle w:val="L1-FlLSp12"/>
      </w:pPr>
      <w:r>
        <w:t xml:space="preserve">To select PSUs for the </w:t>
      </w:r>
      <w:r w:rsidR="00533E9B">
        <w:t>NFS P</w:t>
      </w:r>
      <w:r>
        <w:t>ilot, the one certainty PSU in FoodAPS</w:t>
      </w:r>
      <w:r w:rsidR="007E3C8E">
        <w:t>-1</w:t>
      </w:r>
      <w:r>
        <w:t xml:space="preserve"> was assigned a measure of size of 1.5 to reflect the multiple hits, and the other PSUs each received a measure of size of 1.  </w:t>
      </w:r>
      <w:r w:rsidR="009E2BF7">
        <w:t>By assigning the measure of size in this manner for the NFS Pilot, t</w:t>
      </w:r>
      <w:r>
        <w:t>he approach retains the key features of the composite measure of size assigned to PSUs in FoodAPS</w:t>
      </w:r>
      <w:r w:rsidR="007E3C8E">
        <w:t>-1</w:t>
      </w:r>
      <w:r>
        <w:t>. To ensure a wide representation of different characteristics of geographic areas, the 50 PSUs were sorted by FNS region, urbanicity, and the percentage of the population on SNAP. The subsample of 12 PSUs obtains a diverse mix of communities (e.g. having both urban and rural communities) to ensure the web administration</w:t>
      </w:r>
      <w:r w:rsidR="009E2BF7">
        <w:t xml:space="preserve"> is tested</w:t>
      </w:r>
      <w:r>
        <w:t xml:space="preserve"> under a variety of real world conditions.  The subsample was selected using systematic sampling from the sorted list, and probabilities proportionate to the measure of size. </w:t>
      </w:r>
      <w:r w:rsidR="009E2BF7">
        <w:t>In the end, there were seven</w:t>
      </w:r>
      <w:r>
        <w:t xml:space="preserve"> FNS regions and </w:t>
      </w:r>
      <w:r w:rsidR="009E2BF7">
        <w:t>nine</w:t>
      </w:r>
      <w:r>
        <w:t xml:space="preserve"> states </w:t>
      </w:r>
      <w:r w:rsidR="009E2BF7">
        <w:t>that had at least one selected PSU. There were two</w:t>
      </w:r>
      <w:r>
        <w:t xml:space="preserve"> PSUs </w:t>
      </w:r>
      <w:r w:rsidR="009E2BF7">
        <w:t>that</w:t>
      </w:r>
      <w:r>
        <w:t xml:space="preserve"> contained a mix of counties inside and outside metropolitan/</w:t>
      </w:r>
      <w:r w:rsidR="009E2BF7">
        <w:t xml:space="preserve"> </w:t>
      </w:r>
      <w:r>
        <w:t>micropolitan statistical areas.</w:t>
      </w:r>
    </w:p>
    <w:p w14:paraId="553A9947" w14:textId="77777777" w:rsidR="00157B91" w:rsidRDefault="00157B91" w:rsidP="00157B91">
      <w:pPr>
        <w:pStyle w:val="L1-FlLSp12"/>
      </w:pPr>
    </w:p>
    <w:p w14:paraId="441717A7" w14:textId="4F34932B" w:rsidR="00157B91" w:rsidRDefault="00157B91" w:rsidP="00157B91">
      <w:pPr>
        <w:pStyle w:val="L1-FlLSp12"/>
      </w:pPr>
      <w:r>
        <w:t>In the second stage,</w:t>
      </w:r>
      <w:r w:rsidR="009E2BF7">
        <w:t xml:space="preserve"> an average of </w:t>
      </w:r>
      <w:r>
        <w:t xml:space="preserve">10 segments (individual block groups or combination of adjacent block groups) will be selected </w:t>
      </w:r>
      <w:r w:rsidR="009E2BF7">
        <w:t>per</w:t>
      </w:r>
      <w:r>
        <w:t xml:space="preserve"> PSU.</w:t>
      </w:r>
      <w:r w:rsidR="00D50A82">
        <w:rPr>
          <w:rStyle w:val="FootnoteReference"/>
        </w:rPr>
        <w:footnoteReference w:id="3"/>
      </w:r>
      <w:r>
        <w:t xml:space="preserve"> While the </w:t>
      </w:r>
      <w:r w:rsidR="00035988">
        <w:t>NFS P</w:t>
      </w:r>
      <w:r>
        <w:t>ilot test includes fewer PSUs than FoodAPS</w:t>
      </w:r>
      <w:r w:rsidR="007E3C8E">
        <w:t>-1</w:t>
      </w:r>
      <w:r>
        <w:t xml:space="preserve"> for cost efficiency, the number of sampled segments within a PSU has been increased to spread the sample across the sampled PSU and cover diverse communities. The segments will be selected using a similar composite measure of size as </w:t>
      </w:r>
      <w:r w:rsidR="00035988">
        <w:t xml:space="preserve">in </w:t>
      </w:r>
      <w:r>
        <w:t>FoodAPS</w:t>
      </w:r>
      <w:r w:rsidR="007E3C8E">
        <w:t>-</w:t>
      </w:r>
      <w:r>
        <w:t xml:space="preserve">1, where the composite measure of size is calculated as a function of the segment population count and </w:t>
      </w:r>
      <w:r w:rsidR="009E2BF7">
        <w:t xml:space="preserve">the </w:t>
      </w:r>
      <w:r>
        <w:t>sampling fraction</w:t>
      </w:r>
      <w:r w:rsidR="002B5A06">
        <w:t xml:space="preserve"> of the SNAP domain, and other sampling</w:t>
      </w:r>
      <w:r>
        <w:t xml:space="preserve"> domains. </w:t>
      </w:r>
    </w:p>
    <w:p w14:paraId="44F339DC" w14:textId="77777777" w:rsidR="00157B91" w:rsidRDefault="00157B91" w:rsidP="00157B91">
      <w:pPr>
        <w:pStyle w:val="L1-FlLSp12"/>
      </w:pPr>
    </w:p>
    <w:p w14:paraId="41FF7EBE" w14:textId="77777777" w:rsidR="00157B91" w:rsidRDefault="00157B91" w:rsidP="00157B91">
      <w:pPr>
        <w:pStyle w:val="L1-FlLSp12"/>
      </w:pPr>
      <w:r>
        <w:t>There will be two mutually exclusive list frames constructed within each segment. First, an address-based sampling (ABS) frame (based on files that originate from the U.S. Postal Service) of addresses will be obtained from a vendor for each of the 10 segments in the selected counties. Westat’s ABS vendor, Marketing Systems Group (MS</w:t>
      </w:r>
      <w:bookmarkStart w:id="44" w:name="_GoBack"/>
      <w:bookmarkEnd w:id="44"/>
      <w:r>
        <w:t>G), geocodes every address in its ABS frame and identifies the census block associated with each address through its geocoding process.  Typically, in rural areas and in highly urban areas, traditional listing of dwelling units would occur. For the pilot test, to reduce cost, Westat will not conduct traditional listing in areas where addresses are problematic (PO boxes) and will only rely on the ABS frame.  In such areas, a larger number of addresses can be selected to account for the loss due to ones that are not locatable, or some additional work can be done to identify and remove non-locatable addresses from the frame prior to selection.</w:t>
      </w:r>
    </w:p>
    <w:p w14:paraId="01AE265B" w14:textId="77777777" w:rsidR="00157B91" w:rsidRDefault="00157B91" w:rsidP="00157B91">
      <w:pPr>
        <w:pStyle w:val="L1-FlLSp12"/>
      </w:pPr>
    </w:p>
    <w:p w14:paraId="110210AE" w14:textId="77777777" w:rsidR="00157B91" w:rsidRDefault="00157B91" w:rsidP="00157B91">
      <w:pPr>
        <w:pStyle w:val="L1-FlLSp12"/>
      </w:pPr>
      <w:r>
        <w:lastRenderedPageBreak/>
        <w:t xml:space="preserve">Second, Westat will seek address lists of SNAP households from the states for each sampled PSU. These addresses will be geocoded to identify those that fall within the sampled segments. For each sampled segment, the addresses from the SNAP lists that geocode to the block group(s) in the segment will be matched to addresses from the ABS frame that geocode to the block group(s).  For each address on the ABS frame, flags will be assigned that indicate successful matches to SNAP addresses. The flags will be used to control the sample size for the SNAP sample domain. Any program list addresses in selected segments but not on the ABS frame will be matched to the complete ABS frame (without the restriction of the block groups), to determine whether the non-match was due to geocoding error or whether the list address was missing from the ABS frame entirely; those that are missing from the ABS frame will be added to the frame prior to the sampling of addresses. </w:t>
      </w:r>
    </w:p>
    <w:p w14:paraId="1746AFB8" w14:textId="77777777" w:rsidR="00157B91" w:rsidRDefault="00157B91" w:rsidP="00157B91">
      <w:pPr>
        <w:pStyle w:val="L1-FlLSp12"/>
      </w:pPr>
    </w:p>
    <w:p w14:paraId="0DCFDB6C" w14:textId="77777777" w:rsidR="00157B91" w:rsidRDefault="00157B91" w:rsidP="00157B91">
      <w:pPr>
        <w:pStyle w:val="L1-FlLSp12"/>
      </w:pPr>
      <w:r>
        <w:t xml:space="preserve">Within each segment, a systematic random sample of addresses will be selected from a list sorted by frame listing type (SNAP list and non-SNAP list), and order of geographic location. The household screener will be used to confirm the program participation in SNAP. This will allow for an evaluation of the accuracy of the lists. SNAP participation of the current residents will be determined through the screener. Households also will be screened to gather income information and computer/internet usage. </w:t>
      </w:r>
    </w:p>
    <w:p w14:paraId="7A216CD6" w14:textId="77777777" w:rsidR="00157B91" w:rsidRDefault="00157B91" w:rsidP="00157B91">
      <w:pPr>
        <w:pStyle w:val="L1-FlLSp12"/>
      </w:pPr>
    </w:p>
    <w:p w14:paraId="6F594D31" w14:textId="7BBAEE6A" w:rsidR="00157B91" w:rsidRDefault="00157B91" w:rsidP="00157B91">
      <w:pPr>
        <w:pStyle w:val="L1-FlLSp12"/>
      </w:pPr>
      <w:r>
        <w:t xml:space="preserve">In the </w:t>
      </w:r>
      <w:r w:rsidR="00265027">
        <w:t>NFS P</w:t>
      </w:r>
      <w:r>
        <w:t>ilot test, whole households that are unable to do data entry via a computer</w:t>
      </w:r>
      <w:r w:rsidR="00265027">
        <w:t>, tablet or smartphone</w:t>
      </w:r>
      <w:r>
        <w:t xml:space="preserve"> because they lack these skills will be screened out (dropped). The pilot test will reveal what percentage of households is not capable of handling the web-based technology. As we will enumerate the socio-demographics of cases that are dropped, we will know if these households are concentrated within specific subgroups. It is important to know the number of households that will need to use the paper version of the survey to plan for </w:t>
      </w:r>
      <w:r w:rsidR="00265027">
        <w:t xml:space="preserve">the next </w:t>
      </w:r>
      <w:r>
        <w:t xml:space="preserve">FoodAPS. However, </w:t>
      </w:r>
      <w:r w:rsidR="00BB339D">
        <w:t>it is</w:t>
      </w:r>
      <w:r>
        <w:t xml:space="preserve"> </w:t>
      </w:r>
      <w:r w:rsidR="00BB339D">
        <w:t xml:space="preserve">planned to </w:t>
      </w:r>
      <w:r>
        <w:t xml:space="preserve">not collect food acquisition data from these households via paper as </w:t>
      </w:r>
      <w:r w:rsidRPr="00157B91">
        <w:t xml:space="preserve">part of the </w:t>
      </w:r>
      <w:r w:rsidR="00265027">
        <w:t>NFS P</w:t>
      </w:r>
      <w:r w:rsidRPr="00157B91">
        <w:t>ilot test.  A boost in the initial sample size will account for these sample losses.</w:t>
      </w:r>
    </w:p>
    <w:p w14:paraId="4FF34FF4" w14:textId="77777777" w:rsidR="004A7048" w:rsidRDefault="004A7048" w:rsidP="001B265D">
      <w:pPr>
        <w:pStyle w:val="L1-FlLSp12"/>
      </w:pPr>
    </w:p>
    <w:p w14:paraId="444F26EC" w14:textId="77777777" w:rsidR="008A6A7C" w:rsidRDefault="008A6A7C" w:rsidP="001B265D">
      <w:pPr>
        <w:pStyle w:val="L1-FlLSp12"/>
      </w:pPr>
      <w:bookmarkStart w:id="45" w:name="_Toc409090902"/>
    </w:p>
    <w:p w14:paraId="2B94F910" w14:textId="77777777" w:rsidR="008A6A7C" w:rsidRPr="0074555B" w:rsidRDefault="00E329A7" w:rsidP="00E329A7">
      <w:pPr>
        <w:pStyle w:val="Heading3"/>
      </w:pPr>
      <w:r>
        <w:tab/>
      </w:r>
      <w:r w:rsidR="00157B91">
        <w:t>Estimation</w:t>
      </w:r>
    </w:p>
    <w:p w14:paraId="0D239FAD" w14:textId="2CA539B5" w:rsidR="00157B91" w:rsidRDefault="00157B91" w:rsidP="00157B91">
      <w:pPr>
        <w:pStyle w:val="L1-FlLSp12"/>
        <w:rPr>
          <w:szCs w:val="24"/>
        </w:rPr>
      </w:pPr>
      <w:r w:rsidRPr="00157B91">
        <w:rPr>
          <w:szCs w:val="24"/>
        </w:rPr>
        <w:t xml:space="preserve">Westat will adjust the </w:t>
      </w:r>
      <w:r w:rsidR="00CC784B">
        <w:rPr>
          <w:szCs w:val="24"/>
        </w:rPr>
        <w:t>NFS P</w:t>
      </w:r>
      <w:r w:rsidRPr="00157B91">
        <w:rPr>
          <w:szCs w:val="24"/>
        </w:rPr>
        <w:t xml:space="preserve">ilot test base weights by assuming those </w:t>
      </w:r>
      <w:r w:rsidR="007E3C8E">
        <w:rPr>
          <w:szCs w:val="24"/>
        </w:rPr>
        <w:t xml:space="preserve">households </w:t>
      </w:r>
      <w:r w:rsidRPr="00157B91">
        <w:rPr>
          <w:szCs w:val="24"/>
        </w:rPr>
        <w:t xml:space="preserve">who could only do </w:t>
      </w:r>
      <w:r w:rsidR="007E3C8E">
        <w:rPr>
          <w:szCs w:val="24"/>
        </w:rPr>
        <w:t xml:space="preserve">a </w:t>
      </w:r>
      <w:r w:rsidRPr="00157B91">
        <w:rPr>
          <w:szCs w:val="24"/>
        </w:rPr>
        <w:t xml:space="preserve">paper survey are like </w:t>
      </w:r>
      <w:r w:rsidR="007E3C8E">
        <w:rPr>
          <w:szCs w:val="24"/>
        </w:rPr>
        <w:t>households</w:t>
      </w:r>
      <w:r w:rsidRPr="00157B91">
        <w:rPr>
          <w:szCs w:val="24"/>
        </w:rPr>
        <w:t xml:space="preserve"> who did the web survey</w:t>
      </w:r>
      <w:r w:rsidR="007E3C8E">
        <w:rPr>
          <w:szCs w:val="24"/>
        </w:rPr>
        <w:t>,</w:t>
      </w:r>
      <w:r w:rsidRPr="00157B91">
        <w:rPr>
          <w:szCs w:val="24"/>
        </w:rPr>
        <w:t xml:space="preserve"> within specified weighting cells. Certainly bias will exist</w:t>
      </w:r>
      <w:r w:rsidR="007E3C8E">
        <w:rPr>
          <w:szCs w:val="24"/>
        </w:rPr>
        <w:t>,</w:t>
      </w:r>
      <w:r w:rsidRPr="00157B91">
        <w:rPr>
          <w:szCs w:val="24"/>
        </w:rPr>
        <w:t xml:space="preserve"> and a basic nonresponse bias analysis will be conducted to check on the extent of the bias, and use weighting</w:t>
      </w:r>
      <w:r w:rsidR="009E2BF7">
        <w:rPr>
          <w:szCs w:val="24"/>
        </w:rPr>
        <w:t xml:space="preserve"> (auxiliary)</w:t>
      </w:r>
      <w:r w:rsidRPr="00157B91">
        <w:rPr>
          <w:szCs w:val="24"/>
        </w:rPr>
        <w:t xml:space="preserve"> variables to reduce the potential for bias. The basic nonresponse bias analysis will include </w:t>
      </w:r>
      <w:r w:rsidR="00C6414E">
        <w:rPr>
          <w:szCs w:val="24"/>
        </w:rPr>
        <w:t xml:space="preserve">auxiliary </w:t>
      </w:r>
      <w:r w:rsidRPr="00157B91">
        <w:rPr>
          <w:szCs w:val="24"/>
        </w:rPr>
        <w:t xml:space="preserve">variables available for three dispositions: </w:t>
      </w:r>
      <w:r w:rsidRPr="00157B91">
        <w:rPr>
          <w:szCs w:val="24"/>
        </w:rPr>
        <w:lastRenderedPageBreak/>
        <w:t>respondents, nonrespondents, and those not able to use the technology. We plan to compare distributions of the auxiliary variables for the three subgroups, and evaluate the relationship of the dispositions to the auxiliary variables through a multinomial regression.  The auxiliary variables will include</w:t>
      </w:r>
      <w:r w:rsidR="008743DA">
        <w:rPr>
          <w:szCs w:val="24"/>
        </w:rPr>
        <w:t>:</w:t>
      </w:r>
      <w:r w:rsidRPr="00157B91">
        <w:rPr>
          <w:szCs w:val="24"/>
        </w:rPr>
        <w:t xml:space="preserve"> </w:t>
      </w:r>
      <w:r w:rsidR="008743DA">
        <w:rPr>
          <w:szCs w:val="24"/>
        </w:rPr>
        <w:t xml:space="preserve">(1) variables from the </w:t>
      </w:r>
      <w:r w:rsidRPr="00157B91">
        <w:rPr>
          <w:szCs w:val="24"/>
        </w:rPr>
        <w:t>sampling frame</w:t>
      </w:r>
      <w:r w:rsidR="002A1C71">
        <w:rPr>
          <w:szCs w:val="24"/>
        </w:rPr>
        <w:t>s</w:t>
      </w:r>
      <w:r w:rsidRPr="00157B91">
        <w:rPr>
          <w:szCs w:val="24"/>
        </w:rPr>
        <w:t xml:space="preserve"> (such as </w:t>
      </w:r>
      <w:r w:rsidR="008743DA">
        <w:rPr>
          <w:szCs w:val="24"/>
        </w:rPr>
        <w:t>whether household</w:t>
      </w:r>
      <w:r w:rsidR="004F5D92">
        <w:rPr>
          <w:szCs w:val="24"/>
        </w:rPr>
        <w:t>s</w:t>
      </w:r>
      <w:r w:rsidR="008743DA">
        <w:rPr>
          <w:szCs w:val="24"/>
        </w:rPr>
        <w:t xml:space="preserve"> on the ABS frame </w:t>
      </w:r>
      <w:r w:rsidR="004F5D92">
        <w:rPr>
          <w:szCs w:val="24"/>
        </w:rPr>
        <w:t>are</w:t>
      </w:r>
      <w:r w:rsidR="008743DA">
        <w:rPr>
          <w:szCs w:val="24"/>
        </w:rPr>
        <w:t xml:space="preserve"> on the </w:t>
      </w:r>
      <w:r w:rsidRPr="00157B91">
        <w:rPr>
          <w:szCs w:val="24"/>
        </w:rPr>
        <w:t>SNAP frame</w:t>
      </w:r>
      <w:r w:rsidR="004F5D92">
        <w:rPr>
          <w:szCs w:val="24"/>
        </w:rPr>
        <w:t xml:space="preserve"> and vice versa</w:t>
      </w:r>
      <w:r w:rsidRPr="00157B91">
        <w:rPr>
          <w:szCs w:val="24"/>
        </w:rPr>
        <w:t>)</w:t>
      </w:r>
      <w:r w:rsidR="008743DA">
        <w:rPr>
          <w:szCs w:val="24"/>
        </w:rPr>
        <w:t xml:space="preserve">, (2) </w:t>
      </w:r>
      <w:r w:rsidRPr="00157B91">
        <w:rPr>
          <w:szCs w:val="24"/>
        </w:rPr>
        <w:t>American Community Survey tract-level characteristics (such as median income)</w:t>
      </w:r>
      <w:r w:rsidR="008743DA">
        <w:rPr>
          <w:szCs w:val="24"/>
        </w:rPr>
        <w:t>, (3) demographic data from our commercial vendor</w:t>
      </w:r>
      <w:r w:rsidR="004F5D92">
        <w:rPr>
          <w:szCs w:val="24"/>
        </w:rPr>
        <w:t>,</w:t>
      </w:r>
      <w:r w:rsidR="008743DA">
        <w:rPr>
          <w:szCs w:val="24"/>
        </w:rPr>
        <w:t xml:space="preserve"> </w:t>
      </w:r>
      <w:r w:rsidR="002A1C71">
        <w:rPr>
          <w:szCs w:val="24"/>
        </w:rPr>
        <w:t xml:space="preserve">assuming the quality </w:t>
      </w:r>
      <w:r w:rsidR="002A1C71" w:rsidRPr="002A1C71">
        <w:rPr>
          <w:szCs w:val="24"/>
        </w:rPr>
        <w:t>(number of missing values)</w:t>
      </w:r>
      <w:r w:rsidR="002A1C71">
        <w:rPr>
          <w:szCs w:val="24"/>
        </w:rPr>
        <w:t xml:space="preserve"> is acceptable</w:t>
      </w:r>
      <w:r w:rsidR="004F5D92">
        <w:rPr>
          <w:szCs w:val="24"/>
        </w:rPr>
        <w:t>,</w:t>
      </w:r>
      <w:r w:rsidR="002A1C71">
        <w:rPr>
          <w:szCs w:val="24"/>
        </w:rPr>
        <w:t xml:space="preserve"> </w:t>
      </w:r>
      <w:r w:rsidR="008743DA">
        <w:rPr>
          <w:szCs w:val="24"/>
        </w:rPr>
        <w:t>(such as the number of children in the household</w:t>
      </w:r>
      <w:r w:rsidR="002A1C71">
        <w:rPr>
          <w:szCs w:val="24"/>
        </w:rPr>
        <w:t xml:space="preserve">), </w:t>
      </w:r>
      <w:r w:rsidR="009E687C">
        <w:rPr>
          <w:szCs w:val="24"/>
        </w:rPr>
        <w:t xml:space="preserve">and </w:t>
      </w:r>
      <w:r w:rsidR="002A1C71">
        <w:rPr>
          <w:szCs w:val="24"/>
        </w:rPr>
        <w:t xml:space="preserve">(4) </w:t>
      </w:r>
      <w:r w:rsidR="009E687C">
        <w:rPr>
          <w:szCs w:val="24"/>
        </w:rPr>
        <w:t xml:space="preserve">interviewer observations </w:t>
      </w:r>
      <w:r w:rsidR="00745FAB">
        <w:rPr>
          <w:szCs w:val="24"/>
        </w:rPr>
        <w:t>(such as the income-level of the neighborhood)</w:t>
      </w:r>
      <w:r w:rsidR="009E687C">
        <w:rPr>
          <w:szCs w:val="24"/>
        </w:rPr>
        <w:t xml:space="preserve">. </w:t>
      </w:r>
      <w:r w:rsidRPr="00157B91">
        <w:rPr>
          <w:szCs w:val="24"/>
        </w:rPr>
        <w:t>For households that completed the screener, screener data can also be analyzed, including the variables on technology use</w:t>
      </w:r>
      <w:r w:rsidR="007E3C8E">
        <w:rPr>
          <w:szCs w:val="24"/>
        </w:rPr>
        <w:t xml:space="preserve"> included in the screener</w:t>
      </w:r>
      <w:r w:rsidRPr="00157B91">
        <w:rPr>
          <w:szCs w:val="24"/>
        </w:rPr>
        <w:t>.</w:t>
      </w:r>
    </w:p>
    <w:p w14:paraId="2AB1608D" w14:textId="4BAA1E85" w:rsidR="00157B91" w:rsidRPr="00157B91" w:rsidRDefault="00157B91" w:rsidP="00157B91">
      <w:pPr>
        <w:pStyle w:val="L1-FlLSp12"/>
        <w:rPr>
          <w:szCs w:val="24"/>
        </w:rPr>
      </w:pPr>
    </w:p>
    <w:p w14:paraId="71D1DD9B" w14:textId="73EFD71C" w:rsidR="00157B91" w:rsidRDefault="00157B91" w:rsidP="00157B91">
      <w:pPr>
        <w:pStyle w:val="L1-FlLSp12"/>
        <w:rPr>
          <w:szCs w:val="24"/>
        </w:rPr>
      </w:pPr>
      <w:r w:rsidRPr="00157B91">
        <w:rPr>
          <w:szCs w:val="24"/>
        </w:rPr>
        <w:t xml:space="preserve">Sampling weights will be produced to facilitate the estimation of the target population parameters. Replicate weights will be computed to facilitate variance estimation, and will capture the variation due to the sample design and selection, as well as weighting adjustments. As discussed above, a subsample of 12 PSUs </w:t>
      </w:r>
      <w:r w:rsidR="007E3C8E">
        <w:rPr>
          <w:szCs w:val="24"/>
        </w:rPr>
        <w:t>will be</w:t>
      </w:r>
      <w:r w:rsidR="007E3C8E" w:rsidRPr="00157B91">
        <w:rPr>
          <w:szCs w:val="24"/>
        </w:rPr>
        <w:t xml:space="preserve"> </w:t>
      </w:r>
      <w:r w:rsidRPr="00157B91">
        <w:rPr>
          <w:szCs w:val="24"/>
        </w:rPr>
        <w:t>selected from the 50 PSUs in FoodAPS</w:t>
      </w:r>
      <w:r w:rsidR="007E3C8E">
        <w:rPr>
          <w:szCs w:val="24"/>
        </w:rPr>
        <w:t>-1</w:t>
      </w:r>
      <w:r w:rsidRPr="00157B91">
        <w:rPr>
          <w:szCs w:val="24"/>
        </w:rPr>
        <w:t xml:space="preserve"> for the </w:t>
      </w:r>
      <w:r w:rsidR="008742BF">
        <w:rPr>
          <w:szCs w:val="24"/>
        </w:rPr>
        <w:t>NFS P</w:t>
      </w:r>
      <w:r w:rsidRPr="00157B91">
        <w:rPr>
          <w:szCs w:val="24"/>
        </w:rPr>
        <w:t>ilot test so that a nationally representative sample can be compared statistically with FoodAPS</w:t>
      </w:r>
      <w:r w:rsidR="007E3C8E">
        <w:rPr>
          <w:szCs w:val="24"/>
        </w:rPr>
        <w:t>-1</w:t>
      </w:r>
      <w:r w:rsidRPr="00157B91">
        <w:rPr>
          <w:szCs w:val="24"/>
        </w:rPr>
        <w:t xml:space="preserve">. </w:t>
      </w:r>
      <w:r w:rsidR="005E2D82" w:rsidRPr="00157B91">
        <w:rPr>
          <w:szCs w:val="24"/>
        </w:rPr>
        <w:t>For the analysis, the FoodAPS</w:t>
      </w:r>
      <w:r w:rsidR="005E2D82">
        <w:rPr>
          <w:szCs w:val="24"/>
        </w:rPr>
        <w:t>-1</w:t>
      </w:r>
      <w:r w:rsidR="005E2D82" w:rsidRPr="00157B91">
        <w:rPr>
          <w:szCs w:val="24"/>
        </w:rPr>
        <w:t xml:space="preserve"> sample data will be reduced to the same subsample of PSUs to improve the comparison, with re-weighting of the FoodAPS</w:t>
      </w:r>
      <w:r w:rsidR="005E2D82">
        <w:rPr>
          <w:szCs w:val="24"/>
        </w:rPr>
        <w:t>-1</w:t>
      </w:r>
      <w:r w:rsidR="005E2D82" w:rsidRPr="00157B91">
        <w:rPr>
          <w:szCs w:val="24"/>
        </w:rPr>
        <w:t xml:space="preserve"> subsample.</w:t>
      </w:r>
    </w:p>
    <w:p w14:paraId="1B2F8217" w14:textId="77777777" w:rsidR="00157B91" w:rsidRPr="00157B91" w:rsidRDefault="00157B91" w:rsidP="00157B91">
      <w:pPr>
        <w:pStyle w:val="L1-FlLSp12"/>
        <w:rPr>
          <w:szCs w:val="24"/>
        </w:rPr>
      </w:pPr>
    </w:p>
    <w:p w14:paraId="089E6CB9" w14:textId="7C58F581" w:rsidR="00157B91" w:rsidRDefault="00157B91" w:rsidP="00157B91">
      <w:pPr>
        <w:pStyle w:val="L1-FlLSp12"/>
        <w:rPr>
          <w:szCs w:val="24"/>
        </w:rPr>
      </w:pPr>
      <w:r w:rsidRPr="00157B91">
        <w:rPr>
          <w:szCs w:val="24"/>
        </w:rPr>
        <w:t>We</w:t>
      </w:r>
      <w:r w:rsidR="007E3C8E">
        <w:rPr>
          <w:szCs w:val="24"/>
        </w:rPr>
        <w:t>stat</w:t>
      </w:r>
      <w:r w:rsidRPr="00157B91">
        <w:rPr>
          <w:szCs w:val="24"/>
        </w:rPr>
        <w:t xml:space="preserve"> will perform an analysis to evaluate the quality of the </w:t>
      </w:r>
      <w:r w:rsidR="00B61FC6">
        <w:rPr>
          <w:szCs w:val="24"/>
        </w:rPr>
        <w:t>automated data collection methodology in the NFS Pilot</w:t>
      </w:r>
      <w:r w:rsidRPr="00157B91">
        <w:rPr>
          <w:szCs w:val="24"/>
        </w:rPr>
        <w:t xml:space="preserve">. </w:t>
      </w:r>
      <w:r w:rsidR="005E2D82" w:rsidRPr="00157B91">
        <w:rPr>
          <w:szCs w:val="24"/>
        </w:rPr>
        <w:t xml:space="preserve">First, </w:t>
      </w:r>
      <w:r w:rsidR="005E2D82">
        <w:rPr>
          <w:szCs w:val="24"/>
        </w:rPr>
        <w:t>they</w:t>
      </w:r>
      <w:r w:rsidR="005E2D82" w:rsidRPr="00157B91">
        <w:rPr>
          <w:szCs w:val="24"/>
        </w:rPr>
        <w:t xml:space="preserve"> will select a number of estimates of food acquisitions and compare them to estimates from </w:t>
      </w:r>
      <w:r w:rsidR="005E2D82">
        <w:rPr>
          <w:szCs w:val="24"/>
        </w:rPr>
        <w:t xml:space="preserve">the </w:t>
      </w:r>
      <w:r w:rsidR="005E2D82" w:rsidRPr="00157B91">
        <w:rPr>
          <w:szCs w:val="24"/>
        </w:rPr>
        <w:t>FoodAPS</w:t>
      </w:r>
      <w:r w:rsidR="005E2D82">
        <w:rPr>
          <w:szCs w:val="24"/>
        </w:rPr>
        <w:t>-1</w:t>
      </w:r>
      <w:r w:rsidR="005E2D82" w:rsidRPr="00157B91">
        <w:rPr>
          <w:szCs w:val="24"/>
        </w:rPr>
        <w:t xml:space="preserve">. </w:t>
      </w:r>
      <w:r w:rsidRPr="00157B91">
        <w:rPr>
          <w:szCs w:val="24"/>
        </w:rPr>
        <w:t xml:space="preserve">For instance, </w:t>
      </w:r>
      <w:r w:rsidR="007E3C8E">
        <w:rPr>
          <w:szCs w:val="24"/>
        </w:rPr>
        <w:t>Westat</w:t>
      </w:r>
      <w:r w:rsidR="007E3C8E" w:rsidRPr="00157B91">
        <w:rPr>
          <w:szCs w:val="24"/>
        </w:rPr>
        <w:t xml:space="preserve"> </w:t>
      </w:r>
      <w:r w:rsidRPr="00157B91">
        <w:rPr>
          <w:szCs w:val="24"/>
        </w:rPr>
        <w:t xml:space="preserve">will estimate the average number of food events </w:t>
      </w:r>
      <w:r w:rsidR="00B61FC6">
        <w:rPr>
          <w:szCs w:val="24"/>
        </w:rPr>
        <w:t xml:space="preserve">that </w:t>
      </w:r>
      <w:r w:rsidRPr="00157B91">
        <w:rPr>
          <w:szCs w:val="24"/>
        </w:rPr>
        <w:t>occurred during the data collection week and the average number of food items obtained during the data collection week and compare them to estimates from FoodAPS</w:t>
      </w:r>
      <w:r w:rsidR="007E3C8E">
        <w:rPr>
          <w:szCs w:val="24"/>
        </w:rPr>
        <w:t>-1</w:t>
      </w:r>
      <w:r w:rsidRPr="00157B91">
        <w:rPr>
          <w:szCs w:val="24"/>
        </w:rPr>
        <w:t xml:space="preserve">. </w:t>
      </w:r>
      <w:r w:rsidR="005E2D82" w:rsidRPr="00157B91">
        <w:rPr>
          <w:szCs w:val="24"/>
        </w:rPr>
        <w:t xml:space="preserve">The comparisons will tell if </w:t>
      </w:r>
      <w:r w:rsidR="005E2D82">
        <w:rPr>
          <w:szCs w:val="24"/>
        </w:rPr>
        <w:t>NFS Pilot</w:t>
      </w:r>
      <w:r w:rsidR="005E2D82" w:rsidRPr="00157B91">
        <w:rPr>
          <w:szCs w:val="24"/>
        </w:rPr>
        <w:t xml:space="preserve"> estimates are close to </w:t>
      </w:r>
      <w:r w:rsidR="005E2D82">
        <w:rPr>
          <w:szCs w:val="24"/>
        </w:rPr>
        <w:t xml:space="preserve">the </w:t>
      </w:r>
      <w:r w:rsidR="005E2D82" w:rsidRPr="00157B91">
        <w:rPr>
          <w:szCs w:val="24"/>
        </w:rPr>
        <w:t>FoodAPS</w:t>
      </w:r>
      <w:r w:rsidR="005E2D82">
        <w:rPr>
          <w:szCs w:val="24"/>
        </w:rPr>
        <w:t>-1 estimates</w:t>
      </w:r>
      <w:r w:rsidR="005E2D82" w:rsidRPr="00157B91">
        <w:rPr>
          <w:szCs w:val="24"/>
        </w:rPr>
        <w:t xml:space="preserve">. </w:t>
      </w:r>
      <w:r w:rsidRPr="00157B91">
        <w:rPr>
          <w:szCs w:val="24"/>
        </w:rPr>
        <w:t xml:space="preserve">Differences could arise from the differences in the two data collection methods. They could also arise from differences in other aspects of essential survey conditions (e.g., number of PSUs sampled, field length, and the targeted number of completed interviews). </w:t>
      </w:r>
    </w:p>
    <w:p w14:paraId="40BDA9CF" w14:textId="77777777" w:rsidR="00157B91" w:rsidRPr="00157B91" w:rsidRDefault="00157B91" w:rsidP="00157B91">
      <w:pPr>
        <w:pStyle w:val="L1-FlLSp12"/>
        <w:rPr>
          <w:szCs w:val="24"/>
        </w:rPr>
      </w:pPr>
    </w:p>
    <w:p w14:paraId="4728314E" w14:textId="7061592A" w:rsidR="00157B91" w:rsidRPr="00157B91" w:rsidRDefault="00157B91" w:rsidP="00157B91">
      <w:pPr>
        <w:pStyle w:val="L1-FlLSp12"/>
        <w:rPr>
          <w:szCs w:val="24"/>
        </w:rPr>
      </w:pPr>
      <w:r w:rsidRPr="00157B91">
        <w:rPr>
          <w:szCs w:val="24"/>
        </w:rPr>
        <w:t xml:space="preserve">Second, </w:t>
      </w:r>
      <w:r w:rsidR="007E3C8E">
        <w:rPr>
          <w:szCs w:val="24"/>
        </w:rPr>
        <w:t>Westat</w:t>
      </w:r>
      <w:r w:rsidR="007E3C8E" w:rsidRPr="00157B91">
        <w:rPr>
          <w:szCs w:val="24"/>
        </w:rPr>
        <w:t xml:space="preserve"> </w:t>
      </w:r>
      <w:r w:rsidRPr="00157B91">
        <w:rPr>
          <w:szCs w:val="24"/>
        </w:rPr>
        <w:t>will examine a certain number of indirect quality indicators that have critical implications for cost. We</w:t>
      </w:r>
      <w:r w:rsidR="007E3C8E">
        <w:rPr>
          <w:szCs w:val="24"/>
        </w:rPr>
        <w:t>stat</w:t>
      </w:r>
      <w:r w:rsidRPr="00157B91">
        <w:rPr>
          <w:szCs w:val="24"/>
        </w:rPr>
        <w:t xml:space="preserve"> will look at, for instance, missing data rates, the amount of outlying values, the amount of inconsisten</w:t>
      </w:r>
      <w:r w:rsidR="00542155">
        <w:rPr>
          <w:szCs w:val="24"/>
        </w:rPr>
        <w:t>t</w:t>
      </w:r>
      <w:r w:rsidRPr="00157B91">
        <w:rPr>
          <w:szCs w:val="24"/>
        </w:rPr>
        <w:t xml:space="preserve"> data (e.g., price is missing whereas the item is not marked as free), and the percent of cases that need manual review or post-survey processing (e.g., barcodes without item descriptions, food items to be added from receipts, food items dropped from scanned data).</w:t>
      </w:r>
    </w:p>
    <w:p w14:paraId="74D324B5" w14:textId="77777777" w:rsidR="007E3C8E" w:rsidRDefault="007E3C8E" w:rsidP="00157B91">
      <w:pPr>
        <w:pStyle w:val="L1-FlLSp12"/>
        <w:rPr>
          <w:szCs w:val="24"/>
        </w:rPr>
      </w:pPr>
    </w:p>
    <w:p w14:paraId="6BF865A2" w14:textId="61A69A64" w:rsidR="00157B91" w:rsidRDefault="00157B91" w:rsidP="00157B91">
      <w:pPr>
        <w:pStyle w:val="L1-FlLSp12"/>
        <w:rPr>
          <w:szCs w:val="24"/>
        </w:rPr>
      </w:pPr>
      <w:r w:rsidRPr="00157B91">
        <w:rPr>
          <w:szCs w:val="24"/>
        </w:rPr>
        <w:lastRenderedPageBreak/>
        <w:t xml:space="preserve">For the </w:t>
      </w:r>
      <w:r w:rsidR="001B61FF">
        <w:rPr>
          <w:szCs w:val="24"/>
        </w:rPr>
        <w:t xml:space="preserve">Recall </w:t>
      </w:r>
      <w:r w:rsidR="00B35B12">
        <w:rPr>
          <w:szCs w:val="24"/>
        </w:rPr>
        <w:t>Interview</w:t>
      </w:r>
      <w:r w:rsidRPr="00157B91">
        <w:rPr>
          <w:szCs w:val="24"/>
        </w:rPr>
        <w:t>, the collected information will be processed into an analysis file and used to better understand the overall extent of food acquisition underreporting, how it differs between food-at-home (FAH) events and food-away-from-home (FAFH) events, the characteristics of individuals most likely to underreport their food acquisitions, and the extent to which day or week or other factors affect underreporting.  This information will be used to create estimates of underreporting for Days 6 and 7 of the overall number of food acquisitions made during the week and their total dollar value.</w:t>
      </w:r>
    </w:p>
    <w:p w14:paraId="335FF210" w14:textId="77777777" w:rsidR="00157B91" w:rsidRPr="00157B91" w:rsidRDefault="00157B91" w:rsidP="00157B91">
      <w:pPr>
        <w:pStyle w:val="L1-FlLSp12"/>
        <w:rPr>
          <w:szCs w:val="24"/>
        </w:rPr>
      </w:pPr>
    </w:p>
    <w:p w14:paraId="02D60D2F" w14:textId="77777777" w:rsidR="00EF6A3E" w:rsidRDefault="00157B91" w:rsidP="00157B91">
      <w:pPr>
        <w:pStyle w:val="L1-FlLSp12"/>
        <w:rPr>
          <w:szCs w:val="24"/>
        </w:rPr>
      </w:pPr>
      <w:r w:rsidRPr="00157B91">
        <w:rPr>
          <w:szCs w:val="24"/>
        </w:rPr>
        <w:t xml:space="preserve">For the nonresponse followup sample, a weight adjustment will account for nonresponse to the NRFU questionnaire, and then indications of nonresponse bias in the </w:t>
      </w:r>
      <w:r w:rsidR="00B61FC6">
        <w:rPr>
          <w:szCs w:val="24"/>
        </w:rPr>
        <w:t>NFS</w:t>
      </w:r>
      <w:r w:rsidRPr="00157B91">
        <w:rPr>
          <w:szCs w:val="24"/>
        </w:rPr>
        <w:t xml:space="preserve"> Pilot Test results will be generated by comparing the respondents to the main survey to the respondents of the NRFU sample using the items asked in the NRFU questionnaire (which are the same as on the main survey).</w:t>
      </w:r>
    </w:p>
    <w:p w14:paraId="68C46E7B" w14:textId="77777777" w:rsidR="0022221F" w:rsidRDefault="0022221F" w:rsidP="00967F34">
      <w:pPr>
        <w:pStyle w:val="L1-FlLSp12"/>
        <w:rPr>
          <w:szCs w:val="24"/>
        </w:rPr>
      </w:pPr>
    </w:p>
    <w:p w14:paraId="6E9B67A0" w14:textId="77777777" w:rsidR="009A73F3" w:rsidRDefault="009A73F3" w:rsidP="00967F34">
      <w:pPr>
        <w:pStyle w:val="L1-FlLSp12"/>
        <w:rPr>
          <w:szCs w:val="24"/>
        </w:rPr>
      </w:pPr>
    </w:p>
    <w:p w14:paraId="52CF5D8B" w14:textId="77777777" w:rsidR="00EF6A3E" w:rsidRDefault="00EF6A3E" w:rsidP="00EF6A3E">
      <w:pPr>
        <w:pStyle w:val="Heading3"/>
      </w:pPr>
      <w:r>
        <w:tab/>
      </w:r>
      <w:r w:rsidR="00157B91">
        <w:t>Degree of Accuracy</w:t>
      </w:r>
    </w:p>
    <w:p w14:paraId="78448DCF" w14:textId="77777777" w:rsidR="00157B91" w:rsidRDefault="00157B91" w:rsidP="00157B91">
      <w:pPr>
        <w:pStyle w:val="L1-FlLSp12"/>
      </w:pPr>
      <w:r>
        <w:t xml:space="preserve">The overall sampling fraction for each sampling domain will be designed to balance cost with the effective sample size, which is the equivalent sample size under simple random sampling that will produce results with the same precision as the complex sample design for the pilot test. When oversampling occurs (i.e., sampling with rates that are disproportionate to population distributions), the effective sample size decreases, which can lead to increased costs to offset the reduction in sampling precision. </w:t>
      </w:r>
    </w:p>
    <w:p w14:paraId="386A9920" w14:textId="77777777" w:rsidR="00D228E3" w:rsidRDefault="00D228E3" w:rsidP="00157B91">
      <w:pPr>
        <w:pStyle w:val="L1-FlLSp12"/>
      </w:pPr>
    </w:p>
    <w:p w14:paraId="7901491D" w14:textId="7BCF5D08" w:rsidR="00157B91" w:rsidRDefault="00157B91" w:rsidP="00157B91">
      <w:pPr>
        <w:pStyle w:val="L1-FlLSp12"/>
      </w:pPr>
      <w:r>
        <w:t xml:space="preserve">For the pilot test, with the nominal target number of completes of </w:t>
      </w:r>
      <w:r w:rsidR="00057524">
        <w:t xml:space="preserve">about </w:t>
      </w:r>
      <w:r>
        <w:t>500,  the assigned targets from Table B</w:t>
      </w:r>
      <w:r w:rsidR="00057524">
        <w:t>.</w:t>
      </w:r>
      <w:r>
        <w:t xml:space="preserve">1.1 and the clustering within 12 PSUs, the design effect is assumed to be about 1.5, which results in an overall effective sample size of about 333. Under this design, for direct estimates of survey characteristics reported by 30 (or 70) percent of the population (for example, the percentage of a certain characteristic such as FAFH expenses, food insecurity), a margin of error (MOE) of five percent can be achieved at the 95% confidence level. </w:t>
      </w:r>
    </w:p>
    <w:p w14:paraId="415ED4BF" w14:textId="77777777" w:rsidR="00157B91" w:rsidRDefault="00157B91" w:rsidP="00157B91">
      <w:pPr>
        <w:pStyle w:val="L1-FlLSp12"/>
      </w:pPr>
    </w:p>
    <w:p w14:paraId="6E147CEC" w14:textId="14D38CB1" w:rsidR="00157B91" w:rsidRDefault="00157B91" w:rsidP="00157B91">
      <w:pPr>
        <w:pStyle w:val="L1-FlLSp12"/>
      </w:pPr>
      <w:r>
        <w:t xml:space="preserve">For the </w:t>
      </w:r>
      <w:r w:rsidR="00F55D25">
        <w:t>Recall Interview</w:t>
      </w:r>
      <w:r>
        <w:t xml:space="preserve">, </w:t>
      </w:r>
      <w:r w:rsidR="001725F1">
        <w:t xml:space="preserve">the comparison being made </w:t>
      </w:r>
      <w:r w:rsidR="00793E62">
        <w:t xml:space="preserve">is </w:t>
      </w:r>
      <w:r w:rsidR="001725F1">
        <w:t xml:space="preserve">between </w:t>
      </w:r>
      <w:r w:rsidR="00F55D25">
        <w:t>food log</w:t>
      </w:r>
      <w:r w:rsidR="001725F1">
        <w:t xml:space="preserve"> reports and the re</w:t>
      </w:r>
      <w:r w:rsidR="00F55D25">
        <w:t xml:space="preserve">call </w:t>
      </w:r>
      <w:r w:rsidR="001725F1">
        <w:t>interview among two selected persons within the 534 households that completed the final interview</w:t>
      </w:r>
      <w:r w:rsidR="00793E62">
        <w:t xml:space="preserve">. </w:t>
      </w:r>
      <w:r w:rsidR="00382EAE" w:rsidRPr="00EF46DE">
        <w:t>About 96</w:t>
      </w:r>
      <w:r w:rsidR="00EF46DE" w:rsidRPr="004C1FDC">
        <w:t>2</w:t>
      </w:r>
      <w:r w:rsidR="00382EAE" w:rsidRPr="00EF46DE">
        <w:t xml:space="preserve"> individuals are expected to comp</w:t>
      </w:r>
      <w:r w:rsidR="00AA4E4E">
        <w:t>l</w:t>
      </w:r>
      <w:r w:rsidR="00382EAE" w:rsidRPr="00EF46DE">
        <w:t>ete the re</w:t>
      </w:r>
      <w:r w:rsidR="004528FF" w:rsidRPr="00EF46DE">
        <w:t xml:space="preserve">call </w:t>
      </w:r>
      <w:r w:rsidR="00382EAE" w:rsidRPr="00EF46DE">
        <w:t xml:space="preserve">interview, and </w:t>
      </w:r>
      <w:r w:rsidR="001725F1" w:rsidRPr="00EF46DE">
        <w:t xml:space="preserve">a </w:t>
      </w:r>
      <w:r w:rsidR="00793E62" w:rsidRPr="00EF46DE">
        <w:t>design effect of 1.7</w:t>
      </w:r>
      <w:r w:rsidR="00382EAE" w:rsidRPr="00EF46DE">
        <w:t xml:space="preserve"> is assumed</w:t>
      </w:r>
      <w:r w:rsidR="00793E62" w:rsidRPr="00EF46DE">
        <w:t xml:space="preserve">, which is higher than in the analysis above due to clustering within households. This implies an effective sample size of </w:t>
      </w:r>
      <w:r w:rsidR="00382EAE" w:rsidRPr="00EF46DE">
        <w:t>56</w:t>
      </w:r>
      <w:r w:rsidR="00EF46DE" w:rsidRPr="00EF46DE">
        <w:t>6</w:t>
      </w:r>
      <w:r w:rsidR="00793E62" w:rsidRPr="00EF46DE">
        <w:t xml:space="preserve"> individuals</w:t>
      </w:r>
      <w:r w:rsidR="001725F1" w:rsidRPr="00EF46DE">
        <w:t>.  W</w:t>
      </w:r>
      <w:r w:rsidRPr="00EF46DE">
        <w:t xml:space="preserve">hen the proportion with a characteristic is </w:t>
      </w:r>
      <w:r w:rsidRPr="00EF46DE">
        <w:lastRenderedPageBreak/>
        <w:t>p_1=0.30, the minimum detectable difference of underreporting is δ = 0.0</w:t>
      </w:r>
      <w:r w:rsidR="00793E62" w:rsidRPr="00EF46DE">
        <w:t>3</w:t>
      </w:r>
      <w:r w:rsidR="00A2618E" w:rsidRPr="00EF46DE">
        <w:t>1</w:t>
      </w:r>
      <w:r w:rsidRPr="00EF46DE">
        <w:t>. The</w:t>
      </w:r>
      <w:r>
        <w:t xml:space="preserve"> computation assumes a significance level of α=0.05 for a two-tailed test and 80% power, and assumes a unit correlation of 0.80 between the results from the main </w:t>
      </w:r>
      <w:r w:rsidR="00057524">
        <w:t xml:space="preserve">NFS Pilot </w:t>
      </w:r>
      <w:r>
        <w:t xml:space="preserve">and the </w:t>
      </w:r>
      <w:r w:rsidR="001725F1">
        <w:t>re</w:t>
      </w:r>
      <w:r w:rsidR="004528FF">
        <w:t xml:space="preserve">call </w:t>
      </w:r>
      <w:r>
        <w:t>interview on the same sample cases.</w:t>
      </w:r>
    </w:p>
    <w:p w14:paraId="23096C43" w14:textId="77777777" w:rsidR="00157B91" w:rsidRDefault="00157B91" w:rsidP="00157B91">
      <w:pPr>
        <w:pStyle w:val="L1-FlLSp12"/>
      </w:pPr>
    </w:p>
    <w:p w14:paraId="3B8B0A00" w14:textId="613B5446" w:rsidR="008A6A7C" w:rsidRDefault="00157B91" w:rsidP="00157B91">
      <w:pPr>
        <w:pStyle w:val="L1-FlLSp12"/>
      </w:pPr>
      <w:r>
        <w:t xml:space="preserve">For the nonresponse followup sample, with the comparison being made between the 500 dwelling units and </w:t>
      </w:r>
      <w:r w:rsidR="00D228E3">
        <w:t>3</w:t>
      </w:r>
      <w:r w:rsidR="00FF26BD">
        <w:t>62</w:t>
      </w:r>
      <w:r w:rsidR="00D228E3">
        <w:t xml:space="preserve"> </w:t>
      </w:r>
      <w:r>
        <w:t>nonrespon</w:t>
      </w:r>
      <w:r w:rsidR="00057524">
        <w:t>se households</w:t>
      </w:r>
      <w:r w:rsidR="00D17069">
        <w:t xml:space="preserve"> (2</w:t>
      </w:r>
      <w:r w:rsidR="00FF26BD">
        <w:t>17</w:t>
      </w:r>
      <w:r w:rsidR="00D17069">
        <w:t xml:space="preserve"> responses</w:t>
      </w:r>
      <w:r w:rsidR="00C91576">
        <w:t>, or effective sample size of 16</w:t>
      </w:r>
      <w:r w:rsidR="00FF26BD">
        <w:t>7</w:t>
      </w:r>
      <w:r w:rsidR="00D17069">
        <w:t>)</w:t>
      </w:r>
      <w:r>
        <w:t>, we assume a design effect of 1.3, which is lower than state</w:t>
      </w:r>
      <w:r w:rsidR="003A6B2B">
        <w:t>d</w:t>
      </w:r>
      <w:r>
        <w:t xml:space="preserve"> above due to the covariance from the two groups of cases being in the same segments. When the proportion with a characteristic is p_1=0.30, the minimum detectable difference of underreporting is δ = 0.</w:t>
      </w:r>
      <w:r w:rsidR="005974CF">
        <w:t>1</w:t>
      </w:r>
      <w:r w:rsidR="00793E62">
        <w:t>5</w:t>
      </w:r>
      <w:r w:rsidR="00D17069">
        <w:t>, assuming</w:t>
      </w:r>
      <w:r>
        <w:t xml:space="preserve"> a significance level of α=0.05 for a two-tailed test and 80% power</w:t>
      </w:r>
      <w:r w:rsidR="00D17069">
        <w:t>, and δ = 0.12, assuming a significance level of α=0.15</w:t>
      </w:r>
      <w:r>
        <w:t xml:space="preserve">.  </w:t>
      </w:r>
    </w:p>
    <w:p w14:paraId="600B7CA9" w14:textId="77777777" w:rsidR="0022221F" w:rsidRDefault="0022221F" w:rsidP="001B265D">
      <w:pPr>
        <w:pStyle w:val="L1-FlLSp12"/>
      </w:pPr>
    </w:p>
    <w:p w14:paraId="5AE35691" w14:textId="77777777" w:rsidR="009A73F3" w:rsidRDefault="009A73F3" w:rsidP="001B265D">
      <w:pPr>
        <w:pStyle w:val="L1-FlLSp12"/>
      </w:pPr>
    </w:p>
    <w:p w14:paraId="33BA575B" w14:textId="77777777" w:rsidR="00EF6A3E" w:rsidRDefault="00E329A7" w:rsidP="00E329A7">
      <w:pPr>
        <w:pStyle w:val="Heading3"/>
      </w:pPr>
      <w:r>
        <w:tab/>
      </w:r>
      <w:r w:rsidR="00327463">
        <w:t>Specialized Sampling Procedures</w:t>
      </w:r>
    </w:p>
    <w:p w14:paraId="0EB6107C" w14:textId="5D30EFD2" w:rsidR="00327463" w:rsidRDefault="00327463" w:rsidP="00327463">
      <w:pPr>
        <w:pStyle w:val="L1-FlLSp12"/>
        <w:rPr>
          <w:rFonts w:eastAsiaTheme="minorEastAsia"/>
        </w:rPr>
      </w:pPr>
      <w:r w:rsidRPr="00327463">
        <w:rPr>
          <w:rFonts w:eastAsiaTheme="minorEastAsia"/>
        </w:rPr>
        <w:t xml:space="preserve">To reduce costs, in lieu of traditional listing, the sampling frame of dwelling units will be formed from purchased addresses based on files that originate from the U.S. Postal </w:t>
      </w:r>
      <w:r w:rsidR="005E2D82" w:rsidRPr="00327463">
        <w:rPr>
          <w:rFonts w:eastAsiaTheme="minorEastAsia"/>
        </w:rPr>
        <w:t>Service</w:t>
      </w:r>
      <w:r w:rsidRPr="00327463">
        <w:rPr>
          <w:rFonts w:eastAsiaTheme="minorEastAsia"/>
        </w:rPr>
        <w:t xml:space="preserve"> and a list of addresses for SNAP participants from State SNAP agencies. </w:t>
      </w:r>
    </w:p>
    <w:p w14:paraId="79A31107" w14:textId="77777777" w:rsidR="00327463" w:rsidRPr="00327463" w:rsidRDefault="00327463" w:rsidP="00327463">
      <w:pPr>
        <w:pStyle w:val="L1-FlLSp12"/>
        <w:rPr>
          <w:rFonts w:eastAsiaTheme="minorEastAsia"/>
        </w:rPr>
      </w:pPr>
    </w:p>
    <w:p w14:paraId="7FD12B48" w14:textId="77777777" w:rsidR="00327463" w:rsidRDefault="00327463" w:rsidP="00327463">
      <w:pPr>
        <w:pStyle w:val="L1-FlLSp12"/>
        <w:rPr>
          <w:rFonts w:eastAsiaTheme="minorEastAsia"/>
        </w:rPr>
      </w:pPr>
      <w:r w:rsidRPr="00327463">
        <w:rPr>
          <w:rFonts w:eastAsiaTheme="minorEastAsia"/>
        </w:rPr>
        <w:t xml:space="preserve">The pilot test will also be introducing a new sampling domain (Non-SNAP WIC households) captured through information from the screener questionnaire. With regards to sampling, the domain will allow control of the sampling rates for WIC participants in future cycles of FoodAPS. The screener questionnaire will be used to sample households at different sampling rates to meet the sample sizes required for the </w:t>
      </w:r>
      <w:r w:rsidR="00FE59B2">
        <w:rPr>
          <w:rFonts w:eastAsiaTheme="minorEastAsia"/>
        </w:rPr>
        <w:t>NFS P</w:t>
      </w:r>
      <w:r w:rsidRPr="00327463">
        <w:rPr>
          <w:rFonts w:eastAsiaTheme="minorEastAsia"/>
        </w:rPr>
        <w:t>ilot test.</w:t>
      </w:r>
    </w:p>
    <w:bookmarkEnd w:id="45"/>
    <w:p w14:paraId="562DD1C2" w14:textId="77777777" w:rsidR="002A3E33" w:rsidRDefault="002A3E33" w:rsidP="00D50A82">
      <w:pPr>
        <w:pStyle w:val="Heading3"/>
      </w:pPr>
    </w:p>
    <w:p w14:paraId="36D4D0D9" w14:textId="77777777" w:rsidR="00D50A82" w:rsidRPr="008126AB" w:rsidRDefault="002A3E33" w:rsidP="00D50A82">
      <w:pPr>
        <w:pStyle w:val="Heading3"/>
      </w:pPr>
      <w:r>
        <w:tab/>
      </w:r>
      <w:r w:rsidR="00D50A82" w:rsidRPr="008126AB">
        <w:t xml:space="preserve">Any </w:t>
      </w:r>
      <w:r w:rsidR="00D50A82">
        <w:t>U</w:t>
      </w:r>
      <w:r w:rsidR="00D50A82" w:rsidRPr="008126AB">
        <w:t>se of Periodic (</w:t>
      </w:r>
      <w:r w:rsidR="00D50A82">
        <w:t>Less Frequent T</w:t>
      </w:r>
      <w:r w:rsidR="00D50A82" w:rsidRPr="008126AB">
        <w:t>han Annual) Data Collection Cycles to Reduce Burden</w:t>
      </w:r>
    </w:p>
    <w:p w14:paraId="1D5CF8B7" w14:textId="2BC7A954" w:rsidR="00D50A82" w:rsidRPr="008126AB" w:rsidRDefault="00D50A82" w:rsidP="00D50A82">
      <w:pPr>
        <w:pStyle w:val="L1-FlLSp12"/>
      </w:pPr>
      <w:r w:rsidRPr="005E1CA5">
        <w:t xml:space="preserve">All data collection activities will occur within a </w:t>
      </w:r>
      <w:r>
        <w:t>4-</w:t>
      </w:r>
      <w:r w:rsidRPr="005E1CA5">
        <w:t>month period.</w:t>
      </w:r>
      <w:r>
        <w:t xml:space="preserve"> Use of periodic data collection cycles to </w:t>
      </w:r>
      <w:r w:rsidR="00B35B12">
        <w:t>reduce</w:t>
      </w:r>
      <w:r>
        <w:t xml:space="preserve"> burden is not applicable for this Pilot Study</w:t>
      </w:r>
      <w:r w:rsidRPr="005E1CA5">
        <w:t>.</w:t>
      </w:r>
    </w:p>
    <w:p w14:paraId="12BE3CD4" w14:textId="77777777" w:rsidR="004A7048" w:rsidRDefault="004A7048" w:rsidP="001B265D">
      <w:pPr>
        <w:pStyle w:val="L1-FlLSp12"/>
      </w:pPr>
    </w:p>
    <w:p w14:paraId="27305B45" w14:textId="77777777" w:rsidR="00D50A82" w:rsidRDefault="00D50A82" w:rsidP="001B265D">
      <w:pPr>
        <w:pStyle w:val="L1-FlLSp12"/>
      </w:pPr>
    </w:p>
    <w:p w14:paraId="052A4022" w14:textId="77777777" w:rsidR="008A6A7C" w:rsidRPr="008126AB" w:rsidRDefault="008A6A7C" w:rsidP="00E329A7">
      <w:pPr>
        <w:pStyle w:val="Heading2"/>
      </w:pPr>
      <w:bookmarkStart w:id="46" w:name="_Toc400377751"/>
      <w:bookmarkStart w:id="47" w:name="_Toc409090905"/>
      <w:r w:rsidRPr="008126AB">
        <w:lastRenderedPageBreak/>
        <w:t>B.3</w:t>
      </w:r>
      <w:r w:rsidRPr="008126AB">
        <w:tab/>
        <w:t>Methods to Maximize Response Rates and to Deal With Issues of Nonresponse</w:t>
      </w:r>
      <w:bookmarkEnd w:id="46"/>
      <w:bookmarkEnd w:id="47"/>
    </w:p>
    <w:p w14:paraId="40EB1891" w14:textId="77777777" w:rsidR="008A6A7C" w:rsidRPr="002232F7" w:rsidRDefault="008A6A7C" w:rsidP="001B265D">
      <w:pPr>
        <w:pStyle w:val="L1-FlLSp12"/>
        <w:rPr>
          <w:b/>
        </w:rPr>
      </w:pPr>
      <w:bookmarkStart w:id="48" w:name="_Toc400377752"/>
      <w:r w:rsidRPr="002232F7">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0A4805">
        <w:rPr>
          <w:b/>
        </w:rPr>
        <w:t>“</w:t>
      </w:r>
      <w:r w:rsidRPr="002232F7">
        <w:rPr>
          <w:b/>
        </w:rPr>
        <w:t>reliable</w:t>
      </w:r>
      <w:r w:rsidR="000A4805">
        <w:rPr>
          <w:b/>
        </w:rPr>
        <w:t>”</w:t>
      </w:r>
      <w:r w:rsidRPr="002232F7">
        <w:rPr>
          <w:b/>
        </w:rPr>
        <w:t xml:space="preserve"> data that can be generalized to the universe studied.</w:t>
      </w:r>
      <w:bookmarkEnd w:id="48"/>
    </w:p>
    <w:p w14:paraId="161A3FB4" w14:textId="77777777" w:rsidR="008A6A7C" w:rsidRDefault="008A6A7C" w:rsidP="001B265D">
      <w:pPr>
        <w:pStyle w:val="L1-FlLSp12"/>
      </w:pPr>
    </w:p>
    <w:p w14:paraId="080AABBE" w14:textId="61EA53EC" w:rsidR="008A6A7C" w:rsidRDefault="008A6A7C" w:rsidP="001B265D">
      <w:pPr>
        <w:pStyle w:val="L1-FlLSp12"/>
      </w:pPr>
      <w:r w:rsidRPr="0069672B">
        <w:t>By explaining the importance and potential usefulness of the study findings in the</w:t>
      </w:r>
      <w:r w:rsidR="00557023">
        <w:t xml:space="preserve"> NFS Pilot</w:t>
      </w:r>
      <w:r w:rsidRPr="0069672B">
        <w:t xml:space="preserve"> introductory letter, </w:t>
      </w:r>
      <w:r w:rsidR="00FE59B2">
        <w:t xml:space="preserve">providing interviewers will the tools to gain the households cooperation, explaining the incentive structure, </w:t>
      </w:r>
      <w:r w:rsidRPr="0069672B">
        <w:t xml:space="preserve">and implementing a series of follow-up reminders, we expect to achieve </w:t>
      </w:r>
      <w:r w:rsidR="006452FD">
        <w:t xml:space="preserve">an overall screener response rate of 72%, </w:t>
      </w:r>
      <w:r w:rsidR="009F511C">
        <w:t>an overall completion rate of 74% for the Initial Interview</w:t>
      </w:r>
      <w:r w:rsidR="006452FD">
        <w:t xml:space="preserve"> </w:t>
      </w:r>
      <w:r w:rsidR="009F511C">
        <w:t>conditioning on being screened in as eligible, an overall completion rate of 90% for the Final Interview conditioning on completing the Initial Interview</w:t>
      </w:r>
      <w:r w:rsidR="00E80A78">
        <w:t xml:space="preserve"> and agreeing to participate in the 7-day Food Log</w:t>
      </w:r>
      <w:r w:rsidR="009F511C">
        <w:t xml:space="preserve">, </w:t>
      </w:r>
      <w:r w:rsidR="00EE5AE9">
        <w:t xml:space="preserve">and </w:t>
      </w:r>
      <w:r w:rsidR="009F511C">
        <w:t xml:space="preserve">an overall completion rate of 95% for the Feedback Form conditioning on completing the Final Interview. In addition, we expect to achieve an </w:t>
      </w:r>
      <w:r w:rsidR="00B35B12">
        <w:t>overall</w:t>
      </w:r>
      <w:r w:rsidR="009F511C">
        <w:t xml:space="preserve"> completion rate of 80% for the Purchase and Free Food Log conditioning on completing the Initial Interview</w:t>
      </w:r>
      <w:r w:rsidR="00AC236E">
        <w:t xml:space="preserve"> and the training</w:t>
      </w:r>
      <w:r w:rsidR="009F511C">
        <w:t xml:space="preserve">. </w:t>
      </w:r>
      <w:r>
        <w:t>These</w:t>
      </w:r>
      <w:r w:rsidRPr="0069672B">
        <w:t xml:space="preserve"> procedures</w:t>
      </w:r>
      <w:r>
        <w:t xml:space="preserve"> will be used</w:t>
      </w:r>
      <w:r w:rsidRPr="0069672B">
        <w:t xml:space="preserve"> to maximize response rates</w:t>
      </w:r>
      <w:r w:rsidR="000E3226">
        <w:t xml:space="preserve"> from </w:t>
      </w:r>
      <w:r w:rsidR="006452FD">
        <w:t xml:space="preserve">both </w:t>
      </w:r>
      <w:r w:rsidR="000E3226">
        <w:t xml:space="preserve">SNAP </w:t>
      </w:r>
      <w:r w:rsidR="006452FD">
        <w:t xml:space="preserve">and </w:t>
      </w:r>
      <w:r w:rsidR="00956BB1">
        <w:t>n</w:t>
      </w:r>
      <w:r w:rsidR="006452FD">
        <w:t xml:space="preserve">on-SNAP </w:t>
      </w:r>
      <w:r w:rsidR="000E3226">
        <w:t>Participants</w:t>
      </w:r>
      <w:r w:rsidRPr="0069672B">
        <w:t>:</w:t>
      </w:r>
    </w:p>
    <w:p w14:paraId="1C6B5937" w14:textId="77777777" w:rsidR="00E329A7" w:rsidRDefault="00E329A7" w:rsidP="001B265D">
      <w:pPr>
        <w:pStyle w:val="L1-FlLSp12"/>
      </w:pPr>
    </w:p>
    <w:p w14:paraId="5D4A4781" w14:textId="41F4E016" w:rsidR="008A6A7C" w:rsidRPr="005E1CA5" w:rsidRDefault="008A6A7C" w:rsidP="00E329A7">
      <w:pPr>
        <w:pStyle w:val="N1-1stBullet"/>
      </w:pPr>
      <w:r>
        <w:t>Mail an introductory letter stating the importance of the study and their participation</w:t>
      </w:r>
      <w:r w:rsidR="004B4930">
        <w:t xml:space="preserve"> and the incentives they will receive upon full participation</w:t>
      </w:r>
      <w:r w:rsidR="00206A17">
        <w:t>.</w:t>
      </w:r>
    </w:p>
    <w:p w14:paraId="6A0E2091" w14:textId="2B3634A9" w:rsidR="004C28DE" w:rsidRDefault="004C28DE" w:rsidP="00E329A7">
      <w:pPr>
        <w:pStyle w:val="N1-1stBullet"/>
      </w:pPr>
      <w:r w:rsidRPr="004C28DE">
        <w:t xml:space="preserve">In accordance with the </w:t>
      </w:r>
      <w:r w:rsidRPr="004C1FDC">
        <w:rPr>
          <w:bCs/>
          <w:lang w:val="en"/>
        </w:rPr>
        <w:t>Confidential Information Protection and Statistical Efficiency Act</w:t>
      </w:r>
      <w:r w:rsidRPr="004C28DE">
        <w:rPr>
          <w:lang w:val="en"/>
        </w:rPr>
        <w:t xml:space="preserve"> ("</w:t>
      </w:r>
      <w:r w:rsidRPr="004C1FDC">
        <w:rPr>
          <w:bCs/>
          <w:lang w:val="en"/>
        </w:rPr>
        <w:t>CIPSEA</w:t>
      </w:r>
      <w:r w:rsidRPr="004C28DE">
        <w:rPr>
          <w:lang w:val="en"/>
        </w:rPr>
        <w:t xml:space="preserve">") enacted in </w:t>
      </w:r>
      <w:r w:rsidR="005E2D82" w:rsidRPr="004C28DE">
        <w:rPr>
          <w:lang w:val="en"/>
        </w:rPr>
        <w:t>2002;</w:t>
      </w:r>
      <w:r w:rsidRPr="004C28DE">
        <w:rPr>
          <w:lang w:val="en"/>
        </w:rPr>
        <w:t xml:space="preserve"> respondents will be assured that the information that they provide will be kept confidential.</w:t>
      </w:r>
    </w:p>
    <w:p w14:paraId="05A6065E" w14:textId="2DD3D55A" w:rsidR="008A6A7C" w:rsidRPr="004C4675" w:rsidRDefault="009F511C" w:rsidP="00E329A7">
      <w:pPr>
        <w:pStyle w:val="N1-1stBullet"/>
      </w:pPr>
      <w:r>
        <w:t>Provide in-person interviewing for the Screener, Initial Interview, training, Final Interview</w:t>
      </w:r>
      <w:r w:rsidR="00AC236E">
        <w:t>, Feedback Form</w:t>
      </w:r>
      <w:r>
        <w:t>, and Re</w:t>
      </w:r>
      <w:r w:rsidR="00D71D7D">
        <w:t>call I</w:t>
      </w:r>
      <w:r>
        <w:t>nterview</w:t>
      </w:r>
      <w:r w:rsidR="00AC236E">
        <w:t>.</w:t>
      </w:r>
    </w:p>
    <w:p w14:paraId="4D4F0A35" w14:textId="32ACA09B" w:rsidR="009F511C" w:rsidRDefault="009F511C" w:rsidP="00E329A7">
      <w:pPr>
        <w:pStyle w:val="N1-1stBullet"/>
      </w:pPr>
      <w:r>
        <w:t xml:space="preserve">Provide multiple reminder email messages and/or text </w:t>
      </w:r>
      <w:r w:rsidR="00B35B12">
        <w:t>updates</w:t>
      </w:r>
      <w:r w:rsidR="00AC236E">
        <w:t xml:space="preserve"> </w:t>
      </w:r>
      <w:r>
        <w:t xml:space="preserve">throughout the data collection week </w:t>
      </w:r>
      <w:r w:rsidR="00206A17">
        <w:t>informing respondents of the incentives they have earned and motivating them to complete their</w:t>
      </w:r>
      <w:r>
        <w:t xml:space="preserve"> Purchased and Free Food Log. </w:t>
      </w:r>
    </w:p>
    <w:p w14:paraId="6C4766B9" w14:textId="77777777" w:rsidR="009F511C" w:rsidRDefault="008A6A7C" w:rsidP="00E329A7">
      <w:pPr>
        <w:pStyle w:val="N1-1stBullet"/>
      </w:pPr>
      <w:r>
        <w:t xml:space="preserve">Provide </w:t>
      </w:r>
      <w:r w:rsidR="009F511C">
        <w:t>incremental incentives based on respondents’ reporting behavior to encourage reporting of food acquisition</w:t>
      </w:r>
      <w:r w:rsidR="00206A17">
        <w:t>.</w:t>
      </w:r>
      <w:r w:rsidR="009F511C">
        <w:t xml:space="preserve"> </w:t>
      </w:r>
    </w:p>
    <w:p w14:paraId="0A3CAE63" w14:textId="77777777" w:rsidR="008A6A7C" w:rsidRDefault="008A6A7C" w:rsidP="00E329A7">
      <w:pPr>
        <w:pStyle w:val="N1-1stBullet"/>
      </w:pPr>
      <w:r w:rsidRPr="00876EAA">
        <w:t xml:space="preserve">Make </w:t>
      </w:r>
      <w:r>
        <w:t>multiple</w:t>
      </w:r>
      <w:r w:rsidRPr="00876EAA">
        <w:t xml:space="preserve"> </w:t>
      </w:r>
      <w:r w:rsidR="009F511C">
        <w:t xml:space="preserve">visits to a sampled address </w:t>
      </w:r>
      <w:r w:rsidRPr="00876EAA">
        <w:t xml:space="preserve">without reaching someone before considering whether to treat the case as </w:t>
      </w:r>
      <w:r w:rsidR="000A4805">
        <w:t>“</w:t>
      </w:r>
      <w:r w:rsidRPr="00876EAA">
        <w:t>unable to contact.</w:t>
      </w:r>
      <w:r w:rsidR="000A4805">
        <w:t>”</w:t>
      </w:r>
    </w:p>
    <w:p w14:paraId="54FAC416" w14:textId="77777777" w:rsidR="00206A17" w:rsidRPr="00876EAA" w:rsidRDefault="00206A17" w:rsidP="00E329A7">
      <w:pPr>
        <w:pStyle w:val="N1-1stBullet"/>
      </w:pPr>
      <w:r>
        <w:lastRenderedPageBreak/>
        <w:t xml:space="preserve">Make a refusal conversion attempt to convert households that refuse to participate after the interviewer’s initial visit to complete the Household Screener. </w:t>
      </w:r>
    </w:p>
    <w:p w14:paraId="33415BB5" w14:textId="77777777" w:rsidR="008A6A7C" w:rsidRPr="005B19E9" w:rsidRDefault="008A6A7C" w:rsidP="00E329A7">
      <w:pPr>
        <w:pStyle w:val="N1-1stBullet"/>
      </w:pPr>
      <w:r w:rsidRPr="005B19E9">
        <w:t>Provide a toll-free number for respondents to call to verify the study</w:t>
      </w:r>
      <w:r>
        <w:t>’</w:t>
      </w:r>
      <w:r w:rsidRPr="005B19E9">
        <w:t>s legitimacy or to ask other questions about the study.</w:t>
      </w:r>
    </w:p>
    <w:p w14:paraId="6589AFB6" w14:textId="6A45780B" w:rsidR="004B4930" w:rsidRDefault="004B4930" w:rsidP="00E329A7">
      <w:pPr>
        <w:pStyle w:val="N1-1stBullet"/>
      </w:pPr>
      <w:r>
        <w:t>Allow access to the Food Log through computers or smartphones</w:t>
      </w:r>
      <w:r w:rsidR="00200D10">
        <w:t>.</w:t>
      </w:r>
    </w:p>
    <w:p w14:paraId="25A7649D" w14:textId="5A231297" w:rsidR="004B4930" w:rsidRDefault="004B4930" w:rsidP="00E329A7">
      <w:pPr>
        <w:pStyle w:val="N1-1stBullet"/>
      </w:pPr>
      <w:r>
        <w:t>Smartphone application of the Food Log has the full functionality of scanning, taking pictures, recording text or audio memos, increasing convenience for respondents.</w:t>
      </w:r>
    </w:p>
    <w:p w14:paraId="6D67EED1" w14:textId="77777777" w:rsidR="002120F1" w:rsidRDefault="008A6A7C" w:rsidP="00E329A7">
      <w:pPr>
        <w:pStyle w:val="N1-1stBullet"/>
      </w:pPr>
      <w:r w:rsidRPr="00876EAA">
        <w:t xml:space="preserve">Implement standardized training for </w:t>
      </w:r>
      <w:r w:rsidR="009F511C">
        <w:t>field</w:t>
      </w:r>
      <w:r w:rsidRPr="00876EAA">
        <w:t xml:space="preserve"> data collectors</w:t>
      </w:r>
      <w:r w:rsidR="002120F1">
        <w:t>.</w:t>
      </w:r>
    </w:p>
    <w:p w14:paraId="4741AD61" w14:textId="77777777" w:rsidR="004A7048" w:rsidRDefault="004A7048" w:rsidP="004A7048">
      <w:pPr>
        <w:pStyle w:val="L1-FlLSp12"/>
      </w:pPr>
    </w:p>
    <w:p w14:paraId="5E7CD2AA" w14:textId="77777777" w:rsidR="009A73F3" w:rsidRPr="00876EAA" w:rsidRDefault="009A73F3" w:rsidP="004A7048">
      <w:pPr>
        <w:pStyle w:val="L1-FlLSp12"/>
      </w:pPr>
    </w:p>
    <w:p w14:paraId="3DA539FB" w14:textId="77777777" w:rsidR="008A6A7C" w:rsidRDefault="004A7048" w:rsidP="004A7048">
      <w:pPr>
        <w:pStyle w:val="Heading5"/>
      </w:pPr>
      <w:r>
        <w:tab/>
      </w:r>
      <w:r w:rsidR="008A6A7C" w:rsidRPr="00C77794">
        <w:t>Nonresponse Bias Analysis</w:t>
      </w:r>
    </w:p>
    <w:p w14:paraId="06AE2090" w14:textId="77777777" w:rsidR="008A6A7C" w:rsidRPr="00A6385F" w:rsidRDefault="008A6A7C" w:rsidP="001B265D">
      <w:pPr>
        <w:pStyle w:val="L1-FlLSp12"/>
      </w:pPr>
      <w:r w:rsidRPr="00A6385F">
        <w:t>Although efforts will be made to achieve as hig</w:t>
      </w:r>
      <w:r>
        <w:t>h a response rate as practicable</w:t>
      </w:r>
      <w:r w:rsidRPr="00A6385F">
        <w:t xml:space="preserve"> with the available resources</w:t>
      </w:r>
      <w:r w:rsidRPr="009D46CE">
        <w:t>,</w:t>
      </w:r>
      <w:r w:rsidRPr="00A6385F">
        <w:t xml:space="preserve"> nontrivial nonresponse losses are likely to occur. OMB requires that a nonresponse bias analysis (NRBA) be conducted if the overall response rate falls below 80 percent.</w:t>
      </w:r>
      <w:r w:rsidRPr="00E44E85">
        <w:rPr>
          <w:rStyle w:val="FootnoteReference"/>
          <w:szCs w:val="24"/>
        </w:rPr>
        <w:footnoteReference w:id="4"/>
      </w:r>
      <w:r w:rsidRPr="00A6385F">
        <w:t xml:space="preserve"> In this case, a nonresponse bias analysis will be conducted to assess the impact of nonresponse on the survey estimates and the effectiveness of the weight adjustments to dampen potential nonresponse</w:t>
      </w:r>
      <w:r>
        <w:t xml:space="preserve"> biases. The types of analyses to be conducted to evaluate nonresponse will</w:t>
      </w:r>
      <w:r w:rsidRPr="00A6385F">
        <w:t xml:space="preserve"> include:</w:t>
      </w:r>
    </w:p>
    <w:p w14:paraId="6123E7A3" w14:textId="77777777" w:rsidR="008A6A7C" w:rsidRPr="00A6385F" w:rsidRDefault="008A6A7C" w:rsidP="001B265D">
      <w:pPr>
        <w:pStyle w:val="L1-FlLSp12"/>
      </w:pPr>
    </w:p>
    <w:p w14:paraId="397A4250" w14:textId="77777777" w:rsidR="008A6A7C" w:rsidRDefault="008A6A7C" w:rsidP="004A7048">
      <w:pPr>
        <w:pStyle w:val="N1-1stBullet"/>
      </w:pPr>
      <w:r w:rsidRPr="00A6385F">
        <w:t xml:space="preserve">Comparing characteristics of </w:t>
      </w:r>
      <w:r>
        <w:t>nonrespondents (or the total sample)</w:t>
      </w:r>
      <w:r w:rsidRPr="00A6385F">
        <w:t xml:space="preserve"> to those of respondents using information available for both</w:t>
      </w:r>
      <w:r>
        <w:t xml:space="preserve"> nonrespondents and respondents;</w:t>
      </w:r>
    </w:p>
    <w:p w14:paraId="224ED8B2" w14:textId="77777777" w:rsidR="008A6A7C" w:rsidRDefault="008A6A7C" w:rsidP="004A7048">
      <w:pPr>
        <w:pStyle w:val="N1-1stBullet"/>
      </w:pPr>
      <w:r w:rsidRPr="00A6385F">
        <w:t>Modeling response propens</w:t>
      </w:r>
      <w:r>
        <w:t>ity using multivariate analyses;</w:t>
      </w:r>
    </w:p>
    <w:p w14:paraId="45DBF224" w14:textId="77777777" w:rsidR="008A6A7C" w:rsidRDefault="008A6A7C" w:rsidP="004A7048">
      <w:pPr>
        <w:pStyle w:val="N1-1stBullet"/>
      </w:pPr>
      <w:r w:rsidRPr="00A6385F">
        <w:t>Evaluating differences found in comparisons between survey r</w:t>
      </w:r>
      <w:r>
        <w:t>espondents and comparable data from extant outside sources;</w:t>
      </w:r>
    </w:p>
    <w:p w14:paraId="21E521E0" w14:textId="77777777" w:rsidR="008A6A7C" w:rsidRDefault="008A6A7C" w:rsidP="004A7048">
      <w:pPr>
        <w:pStyle w:val="N1-1stBullet"/>
      </w:pPr>
      <w:r w:rsidRPr="00A6385F">
        <w:t>Comparing cases completed at different l</w:t>
      </w:r>
      <w:r>
        <w:t xml:space="preserve">evels of data collection effort (e.g., cases completed with limited </w:t>
      </w:r>
      <w:r w:rsidRPr="00A6385F">
        <w:t xml:space="preserve">follow-up compared to those </w:t>
      </w:r>
      <w:r>
        <w:t>requiring</w:t>
      </w:r>
      <w:r w:rsidRPr="00A6385F">
        <w:t xml:space="preserve"> </w:t>
      </w:r>
      <w:r>
        <w:t>considerable</w:t>
      </w:r>
      <w:r w:rsidRPr="00A6385F">
        <w:t xml:space="preserve"> follow-up)</w:t>
      </w:r>
      <w:r>
        <w:t>;</w:t>
      </w:r>
    </w:p>
    <w:p w14:paraId="6E515D32" w14:textId="77777777" w:rsidR="008A6A7C" w:rsidRDefault="008A6A7C" w:rsidP="004A7048">
      <w:pPr>
        <w:pStyle w:val="N1-1stBullet"/>
      </w:pPr>
      <w:r w:rsidRPr="00A6385F">
        <w:t>C</w:t>
      </w:r>
      <w:r>
        <w:t>omparing weighted estimates of characteristics available for both respondents and nonrespondents using unadjusted (base) weights versus nonresponse-adjusted weights; and</w:t>
      </w:r>
    </w:p>
    <w:p w14:paraId="42714AAA" w14:textId="77777777" w:rsidR="008A6A7C" w:rsidRDefault="008A6A7C" w:rsidP="004A7048">
      <w:pPr>
        <w:pStyle w:val="N1-1stBullet"/>
      </w:pPr>
      <w:r w:rsidRPr="00A6385F">
        <w:t>C</w:t>
      </w:r>
      <w:r>
        <w:t>omparing weighted survey estimates using unadjusted (base) weights versus nonresponse-adjusted weights.</w:t>
      </w:r>
    </w:p>
    <w:p w14:paraId="56B6CB96" w14:textId="75A00F43" w:rsidR="00745FAB" w:rsidRPr="00054F1D" w:rsidRDefault="00745FAB" w:rsidP="004A7048">
      <w:pPr>
        <w:pStyle w:val="N1-1stBullet"/>
      </w:pPr>
      <w:r>
        <w:lastRenderedPageBreak/>
        <w:t>Performing additional methods</w:t>
      </w:r>
      <w:r w:rsidR="008F53CF">
        <w:t xml:space="preserve">, </w:t>
      </w:r>
      <w:r w:rsidR="008F53CF" w:rsidRPr="008F53CF">
        <w:t xml:space="preserve">such as selection models, </w:t>
      </w:r>
      <w:r>
        <w:t>to assess non-ignorable</w:t>
      </w:r>
      <w:r w:rsidRPr="00745FAB">
        <w:t xml:space="preserve"> nonresponse bias, as appropriate</w:t>
      </w:r>
      <w:r>
        <w:t>.</w:t>
      </w:r>
    </w:p>
    <w:p w14:paraId="0F4A2D35" w14:textId="77777777" w:rsidR="008A6A7C" w:rsidRDefault="008A6A7C" w:rsidP="001B265D">
      <w:pPr>
        <w:pStyle w:val="L1-FlLSp12"/>
      </w:pPr>
    </w:p>
    <w:p w14:paraId="75AAA35D" w14:textId="77777777" w:rsidR="009A73F3" w:rsidRPr="00AD629E" w:rsidRDefault="009A73F3" w:rsidP="001B265D">
      <w:pPr>
        <w:pStyle w:val="L1-FlLSp12"/>
      </w:pPr>
    </w:p>
    <w:p w14:paraId="2BB50EBD" w14:textId="77777777" w:rsidR="008A6A7C" w:rsidRPr="008126AB" w:rsidRDefault="008A6A7C" w:rsidP="00E329A7">
      <w:pPr>
        <w:pStyle w:val="Heading2"/>
      </w:pPr>
      <w:bookmarkStart w:id="49" w:name="_Toc329341130"/>
      <w:bookmarkStart w:id="50" w:name="_Toc400377755"/>
      <w:bookmarkStart w:id="51" w:name="_Toc409090906"/>
      <w:r w:rsidRPr="008126AB">
        <w:t>B.4</w:t>
      </w:r>
      <w:r w:rsidRPr="008126AB">
        <w:tab/>
        <w:t>Test of Procedures or Methods to be Undertaken</w:t>
      </w:r>
      <w:bookmarkEnd w:id="49"/>
      <w:bookmarkEnd w:id="50"/>
      <w:bookmarkEnd w:id="51"/>
    </w:p>
    <w:p w14:paraId="5C03433F" w14:textId="77777777" w:rsidR="008A6A7C" w:rsidRPr="002232F7" w:rsidRDefault="008A6A7C" w:rsidP="001B265D">
      <w:pPr>
        <w:pStyle w:val="L1-FlLSp12"/>
        <w:rPr>
          <w:b/>
        </w:rPr>
      </w:pPr>
      <w:r w:rsidRPr="002232F7">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437B8E2" w14:textId="77777777" w:rsidR="008A6A7C" w:rsidRPr="008126AB" w:rsidRDefault="008A6A7C" w:rsidP="001B265D">
      <w:pPr>
        <w:pStyle w:val="L1-FlLSp12"/>
      </w:pPr>
    </w:p>
    <w:p w14:paraId="68BC6647" w14:textId="77777777" w:rsidR="005620ED" w:rsidRDefault="00DE7305" w:rsidP="001B265D">
      <w:pPr>
        <w:pStyle w:val="L1-FlLSp12"/>
      </w:pPr>
      <w:r>
        <w:t xml:space="preserve">Westat conducted two rounds of lab tests </w:t>
      </w:r>
      <w:r w:rsidR="005620ED">
        <w:t xml:space="preserve">in February 2016 </w:t>
      </w:r>
      <w:r>
        <w:t xml:space="preserve">and </w:t>
      </w:r>
      <w:r w:rsidR="00885E14">
        <w:t xml:space="preserve">an initial </w:t>
      </w:r>
      <w:r>
        <w:t>round of field test</w:t>
      </w:r>
      <w:r w:rsidR="00885E14">
        <w:t>s</w:t>
      </w:r>
      <w:r w:rsidR="005620ED">
        <w:t xml:space="preserve"> in March 2016</w:t>
      </w:r>
      <w:r>
        <w:t xml:space="preserve">. </w:t>
      </w:r>
      <w:r w:rsidR="008C463A">
        <w:t>Field testing will be completed in August 2016.</w:t>
      </w:r>
      <w:r w:rsidR="005620ED">
        <w:t xml:space="preserve"> </w:t>
      </w:r>
      <w:r>
        <w:t xml:space="preserve">The primary </w:t>
      </w:r>
      <w:r w:rsidR="005620ED">
        <w:t xml:space="preserve">goal of the two lab tests </w:t>
      </w:r>
      <w:r w:rsidR="008C463A">
        <w:t>was</w:t>
      </w:r>
      <w:r w:rsidR="005620ED">
        <w:t xml:space="preserve"> to </w:t>
      </w:r>
      <w:r>
        <w:t xml:space="preserve">test the usability of the Purchased and Free Log that can be accessed from personal computers, tablets, and smartphones. </w:t>
      </w:r>
      <w:r w:rsidR="00C94119">
        <w:t xml:space="preserve">The two lab tests found several design issues of the Log including allowing some text fields to only accept numbers and other text fields to accept texts as well as numbers, allowing people to scan multiple barcodes, allowing people to create meal combos, and so on. The Purchased and Free Log was redesigned based on the results from the lab tests. </w:t>
      </w:r>
    </w:p>
    <w:p w14:paraId="1EACAA21" w14:textId="77777777" w:rsidR="005620ED" w:rsidRDefault="005620ED" w:rsidP="001B265D">
      <w:pPr>
        <w:pStyle w:val="L1-FlLSp12"/>
      </w:pPr>
    </w:p>
    <w:p w14:paraId="610782E3" w14:textId="239A3C04" w:rsidR="00DE7305" w:rsidRDefault="00DE7305" w:rsidP="001B265D">
      <w:pPr>
        <w:pStyle w:val="L1-FlLSp12"/>
      </w:pPr>
      <w:r>
        <w:t xml:space="preserve">The </w:t>
      </w:r>
      <w:r w:rsidR="00C94119">
        <w:t>primary purposes</w:t>
      </w:r>
      <w:r>
        <w:t xml:space="preserve"> of the </w:t>
      </w:r>
      <w:r w:rsidR="008C463A">
        <w:t xml:space="preserve">March </w:t>
      </w:r>
      <w:r>
        <w:t xml:space="preserve">field test </w:t>
      </w:r>
      <w:r w:rsidR="00D228E3">
        <w:t xml:space="preserve">were </w:t>
      </w:r>
      <w:r w:rsidR="00C94119">
        <w:t xml:space="preserve">to test the full functionality of the Purchases and Free Food Log in a field setting. Different from the lab tests conducted at Westat, this field test allowed recruited </w:t>
      </w:r>
      <w:r w:rsidR="00C94119" w:rsidRPr="00C94119">
        <w:t>household members to use their own device at a location of their own choice. As a result, th</w:t>
      </w:r>
      <w:r w:rsidR="00C94119">
        <w:t>is</w:t>
      </w:r>
      <w:r w:rsidR="00C94119" w:rsidRPr="00C94119">
        <w:t xml:space="preserve"> pretest test</w:t>
      </w:r>
      <w:r w:rsidR="00C94119">
        <w:t>ed</w:t>
      </w:r>
      <w:r w:rsidR="00C94119" w:rsidRPr="00C94119">
        <w:t xml:space="preserve"> the performance of the </w:t>
      </w:r>
      <w:r w:rsidR="00C94119">
        <w:t>Food Log</w:t>
      </w:r>
      <w:r w:rsidR="00C94119" w:rsidRPr="00C94119">
        <w:t xml:space="preserve"> on different devices.</w:t>
      </w:r>
      <w:r>
        <w:t xml:space="preserve"> </w:t>
      </w:r>
      <w:r w:rsidR="00A02168">
        <w:t>The field test uncovered some minor issues with the Food Log</w:t>
      </w:r>
      <w:r w:rsidR="00D228E3">
        <w:t>,</w:t>
      </w:r>
      <w:r w:rsidR="00A02168">
        <w:t xml:space="preserve"> and Westat has modified the Food Log accordingly. </w:t>
      </w:r>
    </w:p>
    <w:p w14:paraId="78352291" w14:textId="77777777" w:rsidR="00A02168" w:rsidRDefault="00A02168" w:rsidP="001B265D">
      <w:pPr>
        <w:pStyle w:val="L1-FlLSp12"/>
      </w:pPr>
    </w:p>
    <w:p w14:paraId="297C084B" w14:textId="6EFD39E5" w:rsidR="00A02168" w:rsidRDefault="00A02168" w:rsidP="001B265D">
      <w:pPr>
        <w:pStyle w:val="L1-FlLSp12"/>
      </w:pPr>
      <w:r>
        <w:t xml:space="preserve">A second round of field test is planned for </w:t>
      </w:r>
      <w:r w:rsidR="008C463A">
        <w:t xml:space="preserve">August </w:t>
      </w:r>
      <w:r>
        <w:t xml:space="preserve">2016, focusing on testing the full integration of various CAPI instruments (e.g. CAPI Screener, CAPI Initial Interview, </w:t>
      </w:r>
      <w:r w:rsidR="00D228E3">
        <w:t xml:space="preserve">and </w:t>
      </w:r>
      <w:r>
        <w:t>CAPI Final Interview</w:t>
      </w:r>
      <w:r w:rsidR="00D228E3">
        <w:t>)</w:t>
      </w:r>
      <w:r>
        <w:t>, and the Food Log. Westat again will use what is learned to further streamline the integration of the systems.</w:t>
      </w:r>
    </w:p>
    <w:p w14:paraId="1656E337" w14:textId="77777777" w:rsidR="00DE7305" w:rsidRDefault="00DE7305" w:rsidP="001B265D">
      <w:pPr>
        <w:pStyle w:val="L1-FlLSp12"/>
      </w:pPr>
    </w:p>
    <w:p w14:paraId="1E5770C7" w14:textId="1E8CD5C9" w:rsidR="0002671A" w:rsidRDefault="0002671A" w:rsidP="0002671A">
      <w:pPr>
        <w:pStyle w:val="L1-FlLSp12"/>
      </w:pPr>
      <w:r>
        <w:t xml:space="preserve">As part of the </w:t>
      </w:r>
      <w:r w:rsidR="008C463A">
        <w:t>NFS P</w:t>
      </w:r>
      <w:r>
        <w:t xml:space="preserve">ilot, </w:t>
      </w:r>
      <w:r w:rsidRPr="00FF7B6F">
        <w:t xml:space="preserve">Westat will evaluate the potential use of WIC administration files </w:t>
      </w:r>
      <w:r>
        <w:t xml:space="preserve">to oversample WIC participants in future FoodAPS surveys. </w:t>
      </w:r>
      <w:r w:rsidRPr="00FF7B6F">
        <w:t xml:space="preserve">To do so, </w:t>
      </w:r>
      <w:r w:rsidR="00D228E3">
        <w:t>Westat</w:t>
      </w:r>
      <w:r>
        <w:t xml:space="preserve"> will contact </w:t>
      </w:r>
      <w:r w:rsidR="00D228E3">
        <w:t xml:space="preserve">WIC agencies in </w:t>
      </w:r>
      <w:r>
        <w:t xml:space="preserve">the nine sampled states to obtain </w:t>
      </w:r>
      <w:r w:rsidRPr="00FF7B6F">
        <w:t xml:space="preserve">a list of address information for WIC participants </w:t>
      </w:r>
      <w:r w:rsidRPr="00FF7B6F">
        <w:lastRenderedPageBreak/>
        <w:t xml:space="preserve">within the selected PSUs (or for the </w:t>
      </w:r>
      <w:r w:rsidR="00D228E3">
        <w:t xml:space="preserve">entire </w:t>
      </w:r>
      <w:r w:rsidRPr="00FF7B6F">
        <w:t>state, whichever is most straightforward</w:t>
      </w:r>
      <w:r w:rsidR="00D228E3">
        <w:t xml:space="preserve"> for state</w:t>
      </w:r>
      <w:r w:rsidR="00D71D7D">
        <w:t xml:space="preserve"> </w:t>
      </w:r>
      <w:r w:rsidR="00D228E3">
        <w:t>personnel</w:t>
      </w:r>
      <w:r w:rsidRPr="00FF7B6F">
        <w:t xml:space="preserve">). The WIC lists will be used as follows with the goal of evaluating the creation of a sampling frame of WIC addresses in </w:t>
      </w:r>
      <w:r w:rsidR="00FA52E1">
        <w:t xml:space="preserve">the next </w:t>
      </w:r>
      <w:r w:rsidRPr="00FF7B6F">
        <w:t>FoodAPS:</w:t>
      </w:r>
    </w:p>
    <w:p w14:paraId="1B8E33D3" w14:textId="77777777" w:rsidR="0002671A" w:rsidRDefault="0002671A" w:rsidP="0002671A">
      <w:pPr>
        <w:pStyle w:val="L1-FlLSp12"/>
      </w:pPr>
    </w:p>
    <w:p w14:paraId="3966DB9A" w14:textId="77777777" w:rsidR="0002671A" w:rsidRPr="00020E45" w:rsidRDefault="0002671A" w:rsidP="0002671A">
      <w:pPr>
        <w:pStyle w:val="N1-1stBullet"/>
        <w:spacing w:line="276" w:lineRule="auto"/>
      </w:pPr>
      <w:r w:rsidRPr="00020E45">
        <w:t>Determine if WIC lists can be obtained in a timely manner that is conducive for use as a component of a sampling frame</w:t>
      </w:r>
      <w:r w:rsidR="008858CE">
        <w:t>.</w:t>
      </w:r>
    </w:p>
    <w:p w14:paraId="3A037465" w14:textId="77777777" w:rsidR="0002671A" w:rsidRPr="00020E45" w:rsidRDefault="0002671A" w:rsidP="0002671A">
      <w:pPr>
        <w:pStyle w:val="N1-1stBullet"/>
        <w:spacing w:line="276" w:lineRule="auto"/>
      </w:pPr>
      <w:r w:rsidRPr="00020E45">
        <w:t>Match to ABS and SNAP addresses to evaluate the process and completeness of the files</w:t>
      </w:r>
      <w:r w:rsidR="008858CE">
        <w:t>.</w:t>
      </w:r>
    </w:p>
    <w:p w14:paraId="31950B2D" w14:textId="77777777" w:rsidR="0002671A" w:rsidRPr="00020E45" w:rsidRDefault="0002671A" w:rsidP="0002671A">
      <w:pPr>
        <w:pStyle w:val="N1-1stBullet"/>
        <w:spacing w:line="276" w:lineRule="auto"/>
      </w:pPr>
      <w:r w:rsidRPr="00020E45">
        <w:t xml:space="preserve">Review the participation dates to determine </w:t>
      </w:r>
      <w:r w:rsidR="008858CE">
        <w:t xml:space="preserve">the </w:t>
      </w:r>
      <w:r w:rsidRPr="00020E45">
        <w:t>curren</w:t>
      </w:r>
      <w:r w:rsidR="008858CE">
        <w:t>cy of</w:t>
      </w:r>
      <w:r w:rsidRPr="00020E45">
        <w:t xml:space="preserve"> the data</w:t>
      </w:r>
      <w:r w:rsidR="008858CE">
        <w:t>.</w:t>
      </w:r>
    </w:p>
    <w:p w14:paraId="3DDA97F0" w14:textId="77777777" w:rsidR="0002671A" w:rsidRPr="00020E45" w:rsidRDefault="0002671A" w:rsidP="0002671A">
      <w:pPr>
        <w:pStyle w:val="N1-1stBullet"/>
        <w:spacing w:line="276" w:lineRule="auto"/>
      </w:pPr>
      <w:r w:rsidRPr="00020E45">
        <w:t>Compare (match) the screener results to the WIC addresses to determine its’ accuracy</w:t>
      </w:r>
      <w:r w:rsidR="002F60ED">
        <w:t>.</w:t>
      </w:r>
    </w:p>
    <w:p w14:paraId="06039CD2" w14:textId="77777777" w:rsidR="002A3E33" w:rsidRDefault="002A3E33" w:rsidP="001B265D">
      <w:pPr>
        <w:pStyle w:val="L1-FlLSp12"/>
      </w:pPr>
    </w:p>
    <w:p w14:paraId="53A3D478" w14:textId="77777777" w:rsidR="004A7048" w:rsidRDefault="004A7048" w:rsidP="001B265D">
      <w:pPr>
        <w:pStyle w:val="L1-FlLSp12"/>
      </w:pPr>
    </w:p>
    <w:p w14:paraId="4F1AD191" w14:textId="77777777" w:rsidR="008A6A7C" w:rsidRPr="008126AB" w:rsidRDefault="008A6A7C" w:rsidP="00E329A7">
      <w:pPr>
        <w:pStyle w:val="Heading2"/>
      </w:pPr>
      <w:bookmarkStart w:id="52" w:name="_Toc400377756"/>
      <w:bookmarkStart w:id="53" w:name="_Toc409090907"/>
      <w:r w:rsidRPr="008126AB">
        <w:t>B.5</w:t>
      </w:r>
      <w:r w:rsidRPr="008126AB">
        <w:tab/>
        <w:t>Individuals Consulted on Statistical Aspects and Individuals Collecting and/or Analyzing Data</w:t>
      </w:r>
      <w:bookmarkEnd w:id="52"/>
      <w:bookmarkEnd w:id="53"/>
    </w:p>
    <w:p w14:paraId="52E67693" w14:textId="77777777" w:rsidR="008A6A7C" w:rsidRPr="00974E38" w:rsidRDefault="008A6A7C" w:rsidP="001B265D">
      <w:pPr>
        <w:pStyle w:val="L1-FlLSp12"/>
        <w:rPr>
          <w:b/>
        </w:rPr>
      </w:pPr>
      <w:r w:rsidRPr="00974E38">
        <w:rPr>
          <w:b/>
        </w:rPr>
        <w:t>Provide the name and telephone number of individuals consulted on statistical aspects of the design and the name of the agency unit, contractor(s), grantee(s), or other person(s) who will actually collect and/or analyze the information for the agency.</w:t>
      </w:r>
    </w:p>
    <w:p w14:paraId="6E5FC981" w14:textId="77777777" w:rsidR="008A6A7C" w:rsidRDefault="008A6A7C" w:rsidP="001B265D">
      <w:pPr>
        <w:pStyle w:val="L1-FlLSp12"/>
      </w:pPr>
    </w:p>
    <w:p w14:paraId="6BC24D7A" w14:textId="6083BD3E" w:rsidR="008A6A7C" w:rsidRDefault="008A6A7C" w:rsidP="00612516">
      <w:pPr>
        <w:spacing w:line="360" w:lineRule="atLeast"/>
      </w:pPr>
      <w:r>
        <w:t xml:space="preserve">The sampling plans were reviewed by </w:t>
      </w:r>
      <w:r w:rsidR="003A77C4">
        <w:t xml:space="preserve">Wendy </w:t>
      </w:r>
      <w:r w:rsidR="003A77C4" w:rsidRPr="00993AC8">
        <w:t>Van de Kerckhove</w:t>
      </w:r>
      <w:r>
        <w:t xml:space="preserve">, </w:t>
      </w:r>
      <w:r w:rsidR="003A77C4">
        <w:t xml:space="preserve">Tom </w:t>
      </w:r>
      <w:r w:rsidR="003A77C4" w:rsidRPr="00993AC8">
        <w:t>Krenzke</w:t>
      </w:r>
      <w:r w:rsidR="003A77C4">
        <w:t xml:space="preserve">, </w:t>
      </w:r>
      <w:r w:rsidR="00612516">
        <w:t xml:space="preserve">Aaron Maitland, Ting Yan, Erika Bonilla, Janice Machado, </w:t>
      </w:r>
      <w:r>
        <w:t>Laurie May</w:t>
      </w:r>
      <w:r w:rsidR="00612516">
        <w:t xml:space="preserve">, and Roger Tourangeau </w:t>
      </w:r>
      <w:r>
        <w:t>at Westat</w:t>
      </w:r>
      <w:r w:rsidR="002120F1">
        <w:t xml:space="preserve">. </w:t>
      </w:r>
      <w:r>
        <w:t xml:space="preserve">In addition, </w:t>
      </w:r>
      <w:r w:rsidR="00612516">
        <w:t>John Kirlin</w:t>
      </w:r>
      <w:r>
        <w:t xml:space="preserve"> of </w:t>
      </w:r>
      <w:r w:rsidR="00612516">
        <w:t>ERS</w:t>
      </w:r>
      <w:r>
        <w:t xml:space="preserve"> </w:t>
      </w:r>
      <w:r w:rsidR="004354B6">
        <w:t xml:space="preserve">and Brady West </w:t>
      </w:r>
      <w:r w:rsidR="00EE5AE9">
        <w:t xml:space="preserve">from the University of Michigan Survey Research Center (U-M SRC) </w:t>
      </w:r>
      <w:r>
        <w:t>ha</w:t>
      </w:r>
      <w:r w:rsidR="004354B6">
        <w:t>ve</w:t>
      </w:r>
      <w:r>
        <w:t xml:space="preserve"> reviewed this supporting statement</w:t>
      </w:r>
      <w:r w:rsidR="004354B6">
        <w:t>. T</w:t>
      </w:r>
      <w:r>
        <w:t xml:space="preserve">his supporting statement was revised per comments from the </w:t>
      </w:r>
      <w:r w:rsidR="00CB386A">
        <w:t>Westat</w:t>
      </w:r>
      <w:r>
        <w:t xml:space="preserve"> team</w:t>
      </w:r>
      <w:r w:rsidR="00EE5AE9">
        <w:t>,</w:t>
      </w:r>
      <w:r>
        <w:t xml:space="preserve"> </w:t>
      </w:r>
      <w:r w:rsidR="00612516">
        <w:t>ERS</w:t>
      </w:r>
      <w:r w:rsidR="00EE5AE9">
        <w:t>, and U-M SRC</w:t>
      </w:r>
      <w:r>
        <w:t xml:space="preserve">. All data collection and analysis will be conducted by Westat. </w:t>
      </w:r>
    </w:p>
    <w:p w14:paraId="182325A7" w14:textId="77777777" w:rsidR="008A6A7C" w:rsidRDefault="008A6A7C" w:rsidP="001B265D">
      <w:pPr>
        <w:pStyle w:val="L1-FlLSp12"/>
      </w:pPr>
    </w:p>
    <w:tbl>
      <w:tblPr>
        <w:tblW w:w="5000" w:type="pct"/>
        <w:tblBorders>
          <w:top w:val="single" w:sz="4" w:space="0" w:color="auto"/>
          <w:bottom w:val="single" w:sz="4" w:space="0" w:color="auto"/>
        </w:tblBorders>
        <w:tblLook w:val="01E0" w:firstRow="1" w:lastRow="1" w:firstColumn="1" w:lastColumn="1" w:noHBand="0" w:noVBand="0"/>
      </w:tblPr>
      <w:tblGrid>
        <w:gridCol w:w="1479"/>
        <w:gridCol w:w="2384"/>
        <w:gridCol w:w="1879"/>
        <w:gridCol w:w="3618"/>
      </w:tblGrid>
      <w:tr w:rsidR="008A6A7C" w:rsidRPr="004D5308" w14:paraId="7B39A43B" w14:textId="77777777" w:rsidTr="00580C36">
        <w:trPr>
          <w:cantSplit/>
        </w:trPr>
        <w:tc>
          <w:tcPr>
            <w:tcW w:w="805" w:type="pct"/>
            <w:tcBorders>
              <w:top w:val="single" w:sz="4" w:space="0" w:color="auto"/>
              <w:left w:val="nil"/>
              <w:bottom w:val="single" w:sz="4" w:space="0" w:color="auto"/>
              <w:right w:val="nil"/>
            </w:tcBorders>
            <w:shd w:val="clear" w:color="auto" w:fill="AFBED7"/>
            <w:vAlign w:val="bottom"/>
          </w:tcPr>
          <w:p w14:paraId="1768338A" w14:textId="77777777" w:rsidR="008A6A7C" w:rsidRPr="004D5308" w:rsidRDefault="008A6A7C" w:rsidP="00CB386A">
            <w:pPr>
              <w:pStyle w:val="TH-TableHeading"/>
            </w:pPr>
            <w:bookmarkStart w:id="54" w:name="_Toc329675004"/>
            <w:bookmarkStart w:id="55" w:name="_Toc409090908"/>
            <w:r w:rsidRPr="004D5308">
              <w:t>Name</w:t>
            </w:r>
            <w:bookmarkEnd w:id="54"/>
            <w:bookmarkEnd w:id="55"/>
          </w:p>
        </w:tc>
        <w:tc>
          <w:tcPr>
            <w:tcW w:w="1288" w:type="pct"/>
            <w:tcBorders>
              <w:top w:val="single" w:sz="4" w:space="0" w:color="auto"/>
              <w:left w:val="nil"/>
              <w:bottom w:val="single" w:sz="4" w:space="0" w:color="auto"/>
              <w:right w:val="nil"/>
            </w:tcBorders>
            <w:shd w:val="clear" w:color="auto" w:fill="AFBED7"/>
            <w:vAlign w:val="bottom"/>
          </w:tcPr>
          <w:p w14:paraId="138DEDA2" w14:textId="77777777" w:rsidR="008A6A7C" w:rsidRPr="004D5308" w:rsidRDefault="008A6A7C" w:rsidP="00CB386A">
            <w:pPr>
              <w:pStyle w:val="TH-TableHeading"/>
            </w:pPr>
            <w:bookmarkStart w:id="56" w:name="_Toc329675005"/>
            <w:bookmarkStart w:id="57" w:name="_Toc409090909"/>
            <w:r w:rsidRPr="004D5308">
              <w:t>Affiliation</w:t>
            </w:r>
            <w:bookmarkEnd w:id="56"/>
            <w:bookmarkEnd w:id="57"/>
          </w:p>
        </w:tc>
        <w:tc>
          <w:tcPr>
            <w:tcW w:w="1018" w:type="pct"/>
            <w:tcBorders>
              <w:top w:val="single" w:sz="4" w:space="0" w:color="auto"/>
              <w:left w:val="nil"/>
              <w:bottom w:val="single" w:sz="4" w:space="0" w:color="auto"/>
              <w:right w:val="nil"/>
            </w:tcBorders>
            <w:shd w:val="clear" w:color="auto" w:fill="AFBED7"/>
            <w:vAlign w:val="bottom"/>
          </w:tcPr>
          <w:p w14:paraId="46E211AE" w14:textId="77777777" w:rsidR="008A6A7C" w:rsidRPr="004D5308" w:rsidRDefault="008A6A7C" w:rsidP="004A7048">
            <w:pPr>
              <w:pStyle w:val="TH-TableHeading"/>
            </w:pPr>
            <w:bookmarkStart w:id="58" w:name="_Toc329675006"/>
            <w:bookmarkStart w:id="59" w:name="_Toc409090910"/>
            <w:r w:rsidRPr="004D5308">
              <w:t xml:space="preserve">Telephone </w:t>
            </w:r>
            <w:r w:rsidR="004A7048">
              <w:t>n</w:t>
            </w:r>
            <w:r w:rsidRPr="004D5308">
              <w:t>umber</w:t>
            </w:r>
            <w:bookmarkEnd w:id="58"/>
            <w:bookmarkEnd w:id="59"/>
          </w:p>
        </w:tc>
        <w:tc>
          <w:tcPr>
            <w:tcW w:w="1889" w:type="pct"/>
            <w:tcBorders>
              <w:top w:val="single" w:sz="4" w:space="0" w:color="auto"/>
              <w:left w:val="nil"/>
              <w:bottom w:val="single" w:sz="4" w:space="0" w:color="auto"/>
              <w:right w:val="nil"/>
            </w:tcBorders>
            <w:shd w:val="clear" w:color="auto" w:fill="AFBED7"/>
            <w:vAlign w:val="bottom"/>
          </w:tcPr>
          <w:p w14:paraId="69CD1208" w14:textId="77777777" w:rsidR="008A6A7C" w:rsidRPr="004D5308" w:rsidRDefault="008A6A7C" w:rsidP="00CB386A">
            <w:pPr>
              <w:pStyle w:val="TH-TableHeading"/>
            </w:pPr>
            <w:bookmarkStart w:id="60" w:name="_Toc329675007"/>
            <w:bookmarkStart w:id="61" w:name="_Toc409090911"/>
            <w:r w:rsidRPr="004D5308">
              <w:t>e-mail</w:t>
            </w:r>
            <w:bookmarkEnd w:id="60"/>
            <w:bookmarkEnd w:id="61"/>
          </w:p>
        </w:tc>
      </w:tr>
      <w:tr w:rsidR="00580C36" w:rsidRPr="00D04F41" w14:paraId="1F4E0BA5" w14:textId="77777777" w:rsidTr="00580C36">
        <w:trPr>
          <w:cantSplit/>
        </w:trPr>
        <w:tc>
          <w:tcPr>
            <w:tcW w:w="805" w:type="pct"/>
            <w:tcBorders>
              <w:top w:val="single" w:sz="4" w:space="0" w:color="auto"/>
              <w:bottom w:val="single" w:sz="4" w:space="0" w:color="auto"/>
            </w:tcBorders>
          </w:tcPr>
          <w:p w14:paraId="6D5E57C7" w14:textId="77777777" w:rsidR="00580C36" w:rsidRPr="00D04F41" w:rsidRDefault="00580C36" w:rsidP="004C2157">
            <w:pPr>
              <w:pStyle w:val="TX-TableText"/>
              <w:spacing w:before="40" w:after="40" w:line="240" w:lineRule="auto"/>
              <w:rPr>
                <w:rFonts w:ascii="Garamond" w:hAnsi="Garamond"/>
                <w:sz w:val="23"/>
                <w:szCs w:val="23"/>
              </w:rPr>
            </w:pPr>
            <w:r>
              <w:rPr>
                <w:rFonts w:ascii="Garamond" w:hAnsi="Garamond"/>
                <w:sz w:val="23"/>
                <w:szCs w:val="23"/>
              </w:rPr>
              <w:t>John Kirlin</w:t>
            </w:r>
          </w:p>
        </w:tc>
        <w:tc>
          <w:tcPr>
            <w:tcW w:w="1288" w:type="pct"/>
            <w:tcBorders>
              <w:top w:val="single" w:sz="4" w:space="0" w:color="auto"/>
              <w:bottom w:val="single" w:sz="4" w:space="0" w:color="auto"/>
            </w:tcBorders>
          </w:tcPr>
          <w:p w14:paraId="575A604F" w14:textId="77777777" w:rsidR="00580C36" w:rsidRPr="00D04F41" w:rsidRDefault="00B2572A" w:rsidP="004C2157">
            <w:pPr>
              <w:pStyle w:val="TX-TableText"/>
              <w:spacing w:before="40" w:after="40" w:line="240" w:lineRule="auto"/>
              <w:rPr>
                <w:rFonts w:ascii="Garamond" w:hAnsi="Garamond"/>
                <w:sz w:val="23"/>
                <w:szCs w:val="23"/>
              </w:rPr>
            </w:pPr>
            <w:r>
              <w:rPr>
                <w:rFonts w:ascii="Garamond" w:hAnsi="Garamond"/>
                <w:sz w:val="23"/>
                <w:szCs w:val="23"/>
              </w:rPr>
              <w:t>Project Officer</w:t>
            </w:r>
            <w:r w:rsidR="00580C36" w:rsidRPr="00D04F41">
              <w:rPr>
                <w:rFonts w:ascii="Garamond" w:hAnsi="Garamond"/>
                <w:sz w:val="23"/>
                <w:szCs w:val="23"/>
              </w:rPr>
              <w:t>,</w:t>
            </w:r>
          </w:p>
          <w:p w14:paraId="412D89A5" w14:textId="77777777" w:rsidR="00580C36" w:rsidRPr="00D04F41" w:rsidRDefault="00B2572A" w:rsidP="004C2157">
            <w:pPr>
              <w:pStyle w:val="TX-TableText"/>
              <w:spacing w:before="40" w:after="40" w:line="240" w:lineRule="auto"/>
              <w:rPr>
                <w:rFonts w:ascii="Garamond" w:hAnsi="Garamond"/>
                <w:sz w:val="23"/>
                <w:szCs w:val="23"/>
              </w:rPr>
            </w:pPr>
            <w:r>
              <w:rPr>
                <w:rFonts w:ascii="Garamond" w:hAnsi="Garamond"/>
                <w:sz w:val="23"/>
                <w:szCs w:val="23"/>
              </w:rPr>
              <w:t>ERS</w:t>
            </w:r>
          </w:p>
        </w:tc>
        <w:tc>
          <w:tcPr>
            <w:tcW w:w="1018" w:type="pct"/>
            <w:tcBorders>
              <w:top w:val="single" w:sz="4" w:space="0" w:color="auto"/>
              <w:bottom w:val="single" w:sz="4" w:space="0" w:color="auto"/>
            </w:tcBorders>
          </w:tcPr>
          <w:p w14:paraId="0B065BB5" w14:textId="77777777" w:rsidR="00580C36" w:rsidRPr="00D04F41" w:rsidRDefault="00B2572A" w:rsidP="004C2157">
            <w:pPr>
              <w:pStyle w:val="TX-TableText"/>
              <w:spacing w:before="40" w:after="40" w:line="240" w:lineRule="auto"/>
              <w:rPr>
                <w:rFonts w:ascii="Garamond" w:hAnsi="Garamond"/>
                <w:sz w:val="23"/>
                <w:szCs w:val="23"/>
              </w:rPr>
            </w:pPr>
            <w:r>
              <w:rPr>
                <w:rFonts w:ascii="Garamond" w:hAnsi="Garamond"/>
                <w:sz w:val="23"/>
                <w:szCs w:val="23"/>
              </w:rPr>
              <w:t>202-694-5398</w:t>
            </w:r>
          </w:p>
        </w:tc>
        <w:tc>
          <w:tcPr>
            <w:tcW w:w="1889" w:type="pct"/>
            <w:tcBorders>
              <w:top w:val="single" w:sz="4" w:space="0" w:color="auto"/>
              <w:bottom w:val="single" w:sz="4" w:space="0" w:color="auto"/>
            </w:tcBorders>
          </w:tcPr>
          <w:p w14:paraId="0DF8DD4A" w14:textId="77777777" w:rsidR="00580C36" w:rsidRPr="00D04F41" w:rsidRDefault="00B2572A" w:rsidP="004C2157">
            <w:pPr>
              <w:pStyle w:val="TX-TableText"/>
              <w:spacing w:before="40" w:after="40" w:line="240" w:lineRule="auto"/>
              <w:rPr>
                <w:rFonts w:ascii="Garamond" w:hAnsi="Garamond"/>
                <w:sz w:val="23"/>
                <w:szCs w:val="23"/>
              </w:rPr>
            </w:pPr>
            <w:r>
              <w:rPr>
                <w:rFonts w:ascii="Garamond" w:hAnsi="Garamond"/>
                <w:sz w:val="23"/>
                <w:szCs w:val="23"/>
              </w:rPr>
              <w:t>jkirlin@ers.usda.gov</w:t>
            </w:r>
          </w:p>
        </w:tc>
      </w:tr>
      <w:tr w:rsidR="003A57AC" w:rsidRPr="002F60ED" w14:paraId="0A4DD18E" w14:textId="77777777" w:rsidTr="00580C36">
        <w:trPr>
          <w:cantSplit/>
        </w:trPr>
        <w:tc>
          <w:tcPr>
            <w:tcW w:w="805" w:type="pct"/>
            <w:tcBorders>
              <w:top w:val="single" w:sz="4" w:space="0" w:color="auto"/>
              <w:bottom w:val="single" w:sz="4" w:space="0" w:color="auto"/>
            </w:tcBorders>
          </w:tcPr>
          <w:p w14:paraId="5C26729C" w14:textId="666CEAAF" w:rsidR="003A57AC" w:rsidRPr="00A144CC" w:rsidRDefault="003A57AC" w:rsidP="00CB386A">
            <w:pPr>
              <w:pStyle w:val="TX-TableText"/>
              <w:spacing w:before="40" w:after="40" w:line="240" w:lineRule="auto"/>
              <w:rPr>
                <w:rFonts w:ascii="Garamond" w:hAnsi="Garamond"/>
                <w:sz w:val="23"/>
                <w:szCs w:val="23"/>
              </w:rPr>
            </w:pPr>
            <w:r>
              <w:rPr>
                <w:rFonts w:ascii="Garamond" w:hAnsi="Garamond"/>
                <w:sz w:val="23"/>
                <w:szCs w:val="23"/>
              </w:rPr>
              <w:t>Brady West</w:t>
            </w:r>
          </w:p>
        </w:tc>
        <w:tc>
          <w:tcPr>
            <w:tcW w:w="1288" w:type="pct"/>
            <w:tcBorders>
              <w:top w:val="single" w:sz="4" w:space="0" w:color="auto"/>
              <w:bottom w:val="single" w:sz="4" w:space="0" w:color="auto"/>
            </w:tcBorders>
          </w:tcPr>
          <w:p w14:paraId="4A07C4CE" w14:textId="38FFE5A4" w:rsidR="003A57AC" w:rsidRPr="00A144CC" w:rsidRDefault="00EE5AE9" w:rsidP="00CB386A">
            <w:pPr>
              <w:pStyle w:val="TX-TableText"/>
              <w:spacing w:before="40" w:after="40" w:line="240" w:lineRule="auto"/>
              <w:rPr>
                <w:rFonts w:ascii="Garamond" w:hAnsi="Garamond"/>
                <w:sz w:val="23"/>
                <w:szCs w:val="23"/>
              </w:rPr>
            </w:pPr>
            <w:r>
              <w:rPr>
                <w:rFonts w:ascii="Garamond" w:hAnsi="Garamond"/>
                <w:sz w:val="23"/>
                <w:szCs w:val="23"/>
              </w:rPr>
              <w:t>Research Associate Professor, University of Michigan Survey Research Center</w:t>
            </w:r>
          </w:p>
        </w:tc>
        <w:tc>
          <w:tcPr>
            <w:tcW w:w="1018" w:type="pct"/>
            <w:tcBorders>
              <w:top w:val="single" w:sz="4" w:space="0" w:color="auto"/>
              <w:bottom w:val="single" w:sz="4" w:space="0" w:color="auto"/>
            </w:tcBorders>
          </w:tcPr>
          <w:p w14:paraId="2715EF86" w14:textId="793EF3AC" w:rsidR="003A57AC" w:rsidRPr="00A144CC" w:rsidRDefault="003A57AC" w:rsidP="00CB386A">
            <w:pPr>
              <w:pStyle w:val="TX-TableText"/>
              <w:spacing w:before="40" w:after="40" w:line="240" w:lineRule="auto"/>
              <w:rPr>
                <w:rFonts w:ascii="Garamond" w:hAnsi="Garamond"/>
                <w:sz w:val="23"/>
                <w:szCs w:val="23"/>
              </w:rPr>
            </w:pPr>
            <w:r w:rsidRPr="003A57AC">
              <w:rPr>
                <w:rFonts w:ascii="Garamond" w:hAnsi="Garamond"/>
                <w:sz w:val="23"/>
                <w:szCs w:val="23"/>
              </w:rPr>
              <w:t>734-647-4615</w:t>
            </w:r>
          </w:p>
        </w:tc>
        <w:tc>
          <w:tcPr>
            <w:tcW w:w="1889" w:type="pct"/>
            <w:tcBorders>
              <w:top w:val="single" w:sz="4" w:space="0" w:color="auto"/>
              <w:bottom w:val="single" w:sz="4" w:space="0" w:color="auto"/>
            </w:tcBorders>
          </w:tcPr>
          <w:p w14:paraId="0F92B59C" w14:textId="303B0B9C" w:rsidR="003A57AC" w:rsidRPr="00A144CC" w:rsidRDefault="003A57AC" w:rsidP="00CB386A">
            <w:pPr>
              <w:pStyle w:val="TX-TableText"/>
              <w:spacing w:before="40" w:after="40" w:line="240" w:lineRule="auto"/>
              <w:rPr>
                <w:rFonts w:ascii="Garamond" w:hAnsi="Garamond"/>
                <w:sz w:val="23"/>
                <w:szCs w:val="23"/>
              </w:rPr>
            </w:pPr>
            <w:r>
              <w:rPr>
                <w:rFonts w:ascii="Garamond" w:hAnsi="Garamond"/>
                <w:sz w:val="23"/>
                <w:szCs w:val="23"/>
              </w:rPr>
              <w:t>bwest@umich.edu</w:t>
            </w:r>
          </w:p>
        </w:tc>
      </w:tr>
      <w:tr w:rsidR="00612516" w:rsidRPr="002F60ED" w14:paraId="71E6C635" w14:textId="77777777" w:rsidTr="00580C36">
        <w:trPr>
          <w:cantSplit/>
        </w:trPr>
        <w:tc>
          <w:tcPr>
            <w:tcW w:w="805" w:type="pct"/>
            <w:tcBorders>
              <w:top w:val="single" w:sz="4" w:space="0" w:color="auto"/>
              <w:bottom w:val="single" w:sz="4" w:space="0" w:color="auto"/>
            </w:tcBorders>
          </w:tcPr>
          <w:p w14:paraId="10216F6B" w14:textId="77777777" w:rsidR="00612516"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Roger Tourangeau</w:t>
            </w:r>
          </w:p>
        </w:tc>
        <w:tc>
          <w:tcPr>
            <w:tcW w:w="1288" w:type="pct"/>
            <w:tcBorders>
              <w:top w:val="single" w:sz="4" w:space="0" w:color="auto"/>
              <w:bottom w:val="single" w:sz="4" w:space="0" w:color="auto"/>
            </w:tcBorders>
          </w:tcPr>
          <w:p w14:paraId="6DBC115E" w14:textId="77777777" w:rsidR="00612516"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Senior Vice President,</w:t>
            </w:r>
          </w:p>
          <w:p w14:paraId="62F33783" w14:textId="77777777" w:rsidR="00612516"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Westat</w:t>
            </w:r>
          </w:p>
        </w:tc>
        <w:tc>
          <w:tcPr>
            <w:tcW w:w="1018" w:type="pct"/>
            <w:tcBorders>
              <w:top w:val="single" w:sz="4" w:space="0" w:color="auto"/>
              <w:bottom w:val="single" w:sz="4" w:space="0" w:color="auto"/>
            </w:tcBorders>
          </w:tcPr>
          <w:p w14:paraId="27A579E1" w14:textId="77777777" w:rsidR="00612516"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301-294-2828</w:t>
            </w:r>
          </w:p>
        </w:tc>
        <w:tc>
          <w:tcPr>
            <w:tcW w:w="1889" w:type="pct"/>
            <w:tcBorders>
              <w:top w:val="single" w:sz="4" w:space="0" w:color="auto"/>
              <w:bottom w:val="single" w:sz="4" w:space="0" w:color="auto"/>
            </w:tcBorders>
          </w:tcPr>
          <w:p w14:paraId="124165B0" w14:textId="77777777" w:rsidR="00612516"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RogerTourangeau@westat.com</w:t>
            </w:r>
          </w:p>
        </w:tc>
      </w:tr>
      <w:tr w:rsidR="008A6A7C" w:rsidRPr="002F60ED" w14:paraId="0278894D" w14:textId="77777777" w:rsidTr="00580C36">
        <w:trPr>
          <w:cantSplit/>
        </w:trPr>
        <w:tc>
          <w:tcPr>
            <w:tcW w:w="805" w:type="pct"/>
            <w:tcBorders>
              <w:top w:val="single" w:sz="4" w:space="0" w:color="auto"/>
              <w:bottom w:val="single" w:sz="4" w:space="0" w:color="auto"/>
            </w:tcBorders>
          </w:tcPr>
          <w:p w14:paraId="3D4EE514" w14:textId="77777777" w:rsidR="008A6A7C" w:rsidRPr="00A144CC" w:rsidRDefault="008A6A7C" w:rsidP="00CB386A">
            <w:pPr>
              <w:pStyle w:val="TX-TableText"/>
              <w:spacing w:before="40" w:after="40" w:line="240" w:lineRule="auto"/>
              <w:rPr>
                <w:rFonts w:ascii="Garamond" w:hAnsi="Garamond"/>
                <w:sz w:val="23"/>
                <w:szCs w:val="23"/>
              </w:rPr>
            </w:pPr>
            <w:r w:rsidRPr="00A144CC">
              <w:rPr>
                <w:rFonts w:ascii="Garamond" w:hAnsi="Garamond"/>
                <w:sz w:val="23"/>
                <w:szCs w:val="23"/>
              </w:rPr>
              <w:lastRenderedPageBreak/>
              <w:t>Laurie May</w:t>
            </w:r>
          </w:p>
        </w:tc>
        <w:tc>
          <w:tcPr>
            <w:tcW w:w="1288" w:type="pct"/>
            <w:tcBorders>
              <w:top w:val="single" w:sz="4" w:space="0" w:color="auto"/>
              <w:bottom w:val="single" w:sz="4" w:space="0" w:color="auto"/>
            </w:tcBorders>
          </w:tcPr>
          <w:p w14:paraId="16B6F3A1"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 xml:space="preserve">Vice President, </w:t>
            </w:r>
            <w:r w:rsidR="008A6A7C" w:rsidRPr="00A144CC">
              <w:rPr>
                <w:rFonts w:ascii="Garamond" w:hAnsi="Garamond"/>
                <w:sz w:val="23"/>
                <w:szCs w:val="23"/>
              </w:rPr>
              <w:t>Westat</w:t>
            </w:r>
          </w:p>
        </w:tc>
        <w:tc>
          <w:tcPr>
            <w:tcW w:w="1018" w:type="pct"/>
            <w:tcBorders>
              <w:top w:val="single" w:sz="4" w:space="0" w:color="auto"/>
              <w:bottom w:val="single" w:sz="4" w:space="0" w:color="auto"/>
            </w:tcBorders>
          </w:tcPr>
          <w:p w14:paraId="03AD2648" w14:textId="77777777" w:rsidR="008A6A7C" w:rsidRPr="00A144CC" w:rsidRDefault="008A6A7C" w:rsidP="00CB386A">
            <w:pPr>
              <w:pStyle w:val="TX-TableText"/>
              <w:spacing w:before="40" w:after="40" w:line="240" w:lineRule="auto"/>
              <w:rPr>
                <w:rFonts w:ascii="Garamond" w:hAnsi="Garamond"/>
                <w:sz w:val="23"/>
                <w:szCs w:val="23"/>
              </w:rPr>
            </w:pPr>
            <w:r w:rsidRPr="00A144CC">
              <w:rPr>
                <w:rFonts w:ascii="Garamond" w:hAnsi="Garamond"/>
                <w:sz w:val="23"/>
                <w:szCs w:val="23"/>
              </w:rPr>
              <w:t>301-517-4076</w:t>
            </w:r>
          </w:p>
        </w:tc>
        <w:tc>
          <w:tcPr>
            <w:tcW w:w="1889" w:type="pct"/>
            <w:tcBorders>
              <w:top w:val="single" w:sz="4" w:space="0" w:color="auto"/>
              <w:bottom w:val="single" w:sz="4" w:space="0" w:color="auto"/>
            </w:tcBorders>
          </w:tcPr>
          <w:p w14:paraId="24A253E0" w14:textId="77777777" w:rsidR="008A6A7C" w:rsidRPr="00A144CC" w:rsidRDefault="00051C47" w:rsidP="00CB386A">
            <w:pPr>
              <w:pStyle w:val="TX-TableText"/>
              <w:spacing w:before="40" w:after="40" w:line="240" w:lineRule="auto"/>
              <w:rPr>
                <w:rFonts w:ascii="Garamond" w:hAnsi="Garamond"/>
                <w:sz w:val="23"/>
                <w:szCs w:val="23"/>
              </w:rPr>
            </w:pPr>
            <w:hyperlink r:id="rId14" w:history="1">
              <w:r w:rsidR="008A6A7C" w:rsidRPr="00A144CC">
                <w:rPr>
                  <w:rStyle w:val="Hyperlink"/>
                  <w:rFonts w:ascii="Garamond" w:hAnsi="Garamond"/>
                  <w:sz w:val="23"/>
                  <w:szCs w:val="23"/>
                </w:rPr>
                <w:t>LaurieMay@westat.com</w:t>
              </w:r>
            </w:hyperlink>
          </w:p>
        </w:tc>
      </w:tr>
      <w:tr w:rsidR="008A6A7C" w:rsidRPr="002F60ED" w14:paraId="21A5987E" w14:textId="77777777" w:rsidTr="00580C36">
        <w:trPr>
          <w:cantSplit/>
        </w:trPr>
        <w:tc>
          <w:tcPr>
            <w:tcW w:w="805" w:type="pct"/>
            <w:tcBorders>
              <w:top w:val="single" w:sz="4" w:space="0" w:color="auto"/>
              <w:bottom w:val="single" w:sz="4" w:space="0" w:color="auto"/>
            </w:tcBorders>
          </w:tcPr>
          <w:p w14:paraId="6538090A"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Janice Machado</w:t>
            </w:r>
          </w:p>
        </w:tc>
        <w:tc>
          <w:tcPr>
            <w:tcW w:w="1288" w:type="pct"/>
            <w:tcBorders>
              <w:top w:val="single" w:sz="4" w:space="0" w:color="auto"/>
              <w:bottom w:val="single" w:sz="4" w:space="0" w:color="auto"/>
            </w:tcBorders>
          </w:tcPr>
          <w:p w14:paraId="31BFBC12"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Project Director, Westat</w:t>
            </w:r>
          </w:p>
        </w:tc>
        <w:tc>
          <w:tcPr>
            <w:tcW w:w="1018" w:type="pct"/>
            <w:tcBorders>
              <w:top w:val="single" w:sz="4" w:space="0" w:color="auto"/>
              <w:bottom w:val="single" w:sz="4" w:space="0" w:color="auto"/>
            </w:tcBorders>
          </w:tcPr>
          <w:p w14:paraId="239EDD8D"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301-294- 2801</w:t>
            </w:r>
          </w:p>
        </w:tc>
        <w:tc>
          <w:tcPr>
            <w:tcW w:w="1889" w:type="pct"/>
            <w:tcBorders>
              <w:top w:val="single" w:sz="4" w:space="0" w:color="auto"/>
              <w:bottom w:val="single" w:sz="4" w:space="0" w:color="auto"/>
            </w:tcBorders>
          </w:tcPr>
          <w:p w14:paraId="20A629FD"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JaniceMaChado@westat.com</w:t>
            </w:r>
          </w:p>
        </w:tc>
      </w:tr>
      <w:tr w:rsidR="008A6A7C" w:rsidRPr="002F60ED" w14:paraId="3F77780F" w14:textId="77777777" w:rsidTr="00580C36">
        <w:trPr>
          <w:cantSplit/>
        </w:trPr>
        <w:tc>
          <w:tcPr>
            <w:tcW w:w="805" w:type="pct"/>
            <w:tcBorders>
              <w:top w:val="single" w:sz="4" w:space="0" w:color="auto"/>
              <w:bottom w:val="single" w:sz="4" w:space="0" w:color="auto"/>
            </w:tcBorders>
          </w:tcPr>
          <w:p w14:paraId="68D7DB7C"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Erika Bonilla</w:t>
            </w:r>
          </w:p>
        </w:tc>
        <w:tc>
          <w:tcPr>
            <w:tcW w:w="1288" w:type="pct"/>
            <w:tcBorders>
              <w:top w:val="single" w:sz="4" w:space="0" w:color="auto"/>
              <w:bottom w:val="single" w:sz="4" w:space="0" w:color="auto"/>
            </w:tcBorders>
          </w:tcPr>
          <w:p w14:paraId="3C0C095A"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Study Manager, Westat</w:t>
            </w:r>
          </w:p>
        </w:tc>
        <w:tc>
          <w:tcPr>
            <w:tcW w:w="1018" w:type="pct"/>
            <w:tcBorders>
              <w:top w:val="single" w:sz="4" w:space="0" w:color="auto"/>
              <w:bottom w:val="single" w:sz="4" w:space="0" w:color="auto"/>
            </w:tcBorders>
          </w:tcPr>
          <w:p w14:paraId="34CF8B5A"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301-610-4879</w:t>
            </w:r>
          </w:p>
        </w:tc>
        <w:tc>
          <w:tcPr>
            <w:tcW w:w="1889" w:type="pct"/>
            <w:tcBorders>
              <w:top w:val="single" w:sz="4" w:space="0" w:color="auto"/>
              <w:bottom w:val="single" w:sz="4" w:space="0" w:color="auto"/>
            </w:tcBorders>
          </w:tcPr>
          <w:p w14:paraId="1921C461"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ErikaBonilla@westat.com</w:t>
            </w:r>
          </w:p>
        </w:tc>
      </w:tr>
      <w:tr w:rsidR="008A6A7C" w:rsidRPr="002F60ED" w14:paraId="203D4F42" w14:textId="77777777" w:rsidTr="00580C36">
        <w:trPr>
          <w:cantSplit/>
        </w:trPr>
        <w:tc>
          <w:tcPr>
            <w:tcW w:w="805" w:type="pct"/>
            <w:tcBorders>
              <w:top w:val="single" w:sz="4" w:space="0" w:color="auto"/>
              <w:bottom w:val="single" w:sz="4" w:space="0" w:color="auto"/>
            </w:tcBorders>
          </w:tcPr>
          <w:p w14:paraId="6545A17A" w14:textId="77777777" w:rsidR="008A6A7C" w:rsidRPr="00A144CC" w:rsidRDefault="00612516" w:rsidP="00CB386A">
            <w:pPr>
              <w:pStyle w:val="TX-TableText"/>
              <w:rPr>
                <w:rFonts w:ascii="Garamond" w:hAnsi="Garamond"/>
                <w:sz w:val="23"/>
                <w:szCs w:val="23"/>
              </w:rPr>
            </w:pPr>
            <w:r w:rsidRPr="00A144CC">
              <w:rPr>
                <w:rFonts w:ascii="Garamond" w:hAnsi="Garamond"/>
                <w:sz w:val="23"/>
                <w:szCs w:val="23"/>
              </w:rPr>
              <w:t>Tom Krenzke</w:t>
            </w:r>
          </w:p>
        </w:tc>
        <w:tc>
          <w:tcPr>
            <w:tcW w:w="1288" w:type="pct"/>
            <w:tcBorders>
              <w:top w:val="single" w:sz="4" w:space="0" w:color="auto"/>
              <w:bottom w:val="single" w:sz="4" w:space="0" w:color="auto"/>
            </w:tcBorders>
          </w:tcPr>
          <w:p w14:paraId="3B50B0D8" w14:textId="77777777" w:rsidR="008A6A7C" w:rsidRPr="00A144CC" w:rsidRDefault="00612516" w:rsidP="00CB386A">
            <w:pPr>
              <w:pStyle w:val="TX-TableText"/>
              <w:rPr>
                <w:rFonts w:ascii="Garamond" w:hAnsi="Garamond"/>
                <w:sz w:val="23"/>
                <w:szCs w:val="23"/>
              </w:rPr>
            </w:pPr>
            <w:r w:rsidRPr="00A144CC">
              <w:rPr>
                <w:rFonts w:ascii="Garamond" w:hAnsi="Garamond"/>
                <w:sz w:val="23"/>
                <w:szCs w:val="23"/>
              </w:rPr>
              <w:t>Senior Statistician</w:t>
            </w:r>
            <w:r w:rsidR="002F60ED">
              <w:rPr>
                <w:rFonts w:ascii="Garamond" w:hAnsi="Garamond"/>
                <w:sz w:val="23"/>
                <w:szCs w:val="23"/>
              </w:rPr>
              <w:t>, Westat</w:t>
            </w:r>
          </w:p>
        </w:tc>
        <w:tc>
          <w:tcPr>
            <w:tcW w:w="1018" w:type="pct"/>
            <w:tcBorders>
              <w:top w:val="single" w:sz="4" w:space="0" w:color="auto"/>
              <w:bottom w:val="single" w:sz="4" w:space="0" w:color="auto"/>
            </w:tcBorders>
          </w:tcPr>
          <w:p w14:paraId="219D1B0C"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301-251-4203</w:t>
            </w:r>
          </w:p>
        </w:tc>
        <w:tc>
          <w:tcPr>
            <w:tcW w:w="1889" w:type="pct"/>
            <w:tcBorders>
              <w:top w:val="single" w:sz="4" w:space="0" w:color="auto"/>
              <w:bottom w:val="single" w:sz="4" w:space="0" w:color="auto"/>
            </w:tcBorders>
          </w:tcPr>
          <w:p w14:paraId="23236744" w14:textId="77777777" w:rsidR="008A6A7C"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TomKrenzke@westat.com</w:t>
            </w:r>
          </w:p>
        </w:tc>
      </w:tr>
      <w:tr w:rsidR="00612516" w:rsidRPr="002F60ED" w14:paraId="607B2147" w14:textId="77777777" w:rsidTr="00580C36">
        <w:trPr>
          <w:cantSplit/>
        </w:trPr>
        <w:tc>
          <w:tcPr>
            <w:tcW w:w="805" w:type="pct"/>
            <w:tcBorders>
              <w:top w:val="single" w:sz="4" w:space="0" w:color="auto"/>
              <w:bottom w:val="single" w:sz="4" w:space="0" w:color="auto"/>
            </w:tcBorders>
          </w:tcPr>
          <w:p w14:paraId="6B164940" w14:textId="77777777" w:rsidR="00612516" w:rsidRPr="00A144CC" w:rsidRDefault="00612516" w:rsidP="00CB386A">
            <w:pPr>
              <w:pStyle w:val="TX-TableText"/>
              <w:rPr>
                <w:rFonts w:ascii="Garamond" w:hAnsi="Garamond"/>
                <w:sz w:val="23"/>
                <w:szCs w:val="23"/>
              </w:rPr>
            </w:pPr>
            <w:r w:rsidRPr="00A144CC">
              <w:rPr>
                <w:rFonts w:ascii="Garamond" w:hAnsi="Garamond"/>
                <w:sz w:val="23"/>
                <w:szCs w:val="23"/>
              </w:rPr>
              <w:t>Wendy Van de Kerckhove</w:t>
            </w:r>
          </w:p>
        </w:tc>
        <w:tc>
          <w:tcPr>
            <w:tcW w:w="1288" w:type="pct"/>
            <w:tcBorders>
              <w:top w:val="single" w:sz="4" w:space="0" w:color="auto"/>
              <w:bottom w:val="single" w:sz="4" w:space="0" w:color="auto"/>
            </w:tcBorders>
          </w:tcPr>
          <w:p w14:paraId="510517E2" w14:textId="77777777" w:rsidR="00612516" w:rsidRPr="00A144CC" w:rsidRDefault="00612516" w:rsidP="00CB386A">
            <w:pPr>
              <w:pStyle w:val="TX-TableText"/>
              <w:rPr>
                <w:rFonts w:ascii="Garamond" w:hAnsi="Garamond"/>
                <w:sz w:val="23"/>
                <w:szCs w:val="23"/>
              </w:rPr>
            </w:pPr>
            <w:r w:rsidRPr="00A144CC">
              <w:rPr>
                <w:rFonts w:ascii="Garamond" w:hAnsi="Garamond"/>
                <w:sz w:val="23"/>
                <w:szCs w:val="23"/>
              </w:rPr>
              <w:t>Senior Statistician</w:t>
            </w:r>
            <w:r w:rsidR="002F60ED">
              <w:rPr>
                <w:rFonts w:ascii="Garamond" w:hAnsi="Garamond"/>
                <w:sz w:val="23"/>
                <w:szCs w:val="23"/>
              </w:rPr>
              <w:t>, Westat</w:t>
            </w:r>
          </w:p>
        </w:tc>
        <w:tc>
          <w:tcPr>
            <w:tcW w:w="1018" w:type="pct"/>
            <w:tcBorders>
              <w:top w:val="single" w:sz="4" w:space="0" w:color="auto"/>
              <w:bottom w:val="single" w:sz="4" w:space="0" w:color="auto"/>
            </w:tcBorders>
          </w:tcPr>
          <w:p w14:paraId="4B7207DA" w14:textId="77777777" w:rsidR="00612516" w:rsidRPr="00A144CC" w:rsidRDefault="00612516" w:rsidP="00612516">
            <w:pPr>
              <w:pStyle w:val="TX-TableText"/>
              <w:spacing w:before="40" w:after="40" w:line="240" w:lineRule="auto"/>
              <w:rPr>
                <w:rFonts w:ascii="Garamond" w:hAnsi="Garamond"/>
                <w:sz w:val="23"/>
                <w:szCs w:val="23"/>
              </w:rPr>
            </w:pPr>
            <w:r w:rsidRPr="00A144CC">
              <w:rPr>
                <w:rFonts w:ascii="Garamond" w:hAnsi="Garamond"/>
                <w:sz w:val="23"/>
                <w:szCs w:val="23"/>
              </w:rPr>
              <w:t>240-453-2785</w:t>
            </w:r>
          </w:p>
        </w:tc>
        <w:tc>
          <w:tcPr>
            <w:tcW w:w="1889" w:type="pct"/>
            <w:tcBorders>
              <w:top w:val="single" w:sz="4" w:space="0" w:color="auto"/>
              <w:bottom w:val="single" w:sz="4" w:space="0" w:color="auto"/>
            </w:tcBorders>
          </w:tcPr>
          <w:p w14:paraId="70A40C5C" w14:textId="77777777" w:rsidR="00612516" w:rsidRPr="00A144CC" w:rsidRDefault="00612516" w:rsidP="00CB386A">
            <w:pPr>
              <w:pStyle w:val="TX-TableText"/>
              <w:spacing w:before="40" w:after="40" w:line="240" w:lineRule="auto"/>
              <w:rPr>
                <w:rFonts w:ascii="Garamond" w:hAnsi="Garamond"/>
                <w:sz w:val="23"/>
                <w:szCs w:val="23"/>
              </w:rPr>
            </w:pPr>
            <w:r w:rsidRPr="00A144CC">
              <w:rPr>
                <w:rFonts w:ascii="Garamond" w:hAnsi="Garamond"/>
                <w:sz w:val="23"/>
                <w:szCs w:val="23"/>
              </w:rPr>
              <w:t>WendyVandeKerckhove@westat.com</w:t>
            </w:r>
          </w:p>
        </w:tc>
      </w:tr>
      <w:tr w:rsidR="00612516" w:rsidRPr="002F60ED" w14:paraId="7134F8EC" w14:textId="77777777" w:rsidTr="00580C36">
        <w:trPr>
          <w:cantSplit/>
        </w:trPr>
        <w:tc>
          <w:tcPr>
            <w:tcW w:w="805" w:type="pct"/>
            <w:tcBorders>
              <w:top w:val="single" w:sz="4" w:space="0" w:color="auto"/>
              <w:bottom w:val="single" w:sz="4" w:space="0" w:color="auto"/>
            </w:tcBorders>
          </w:tcPr>
          <w:p w14:paraId="6EB8845F" w14:textId="77777777" w:rsidR="00612516" w:rsidRPr="00A144CC" w:rsidRDefault="00A62F91" w:rsidP="00CB386A">
            <w:pPr>
              <w:pStyle w:val="TX-TableText"/>
              <w:rPr>
                <w:rFonts w:ascii="Garamond" w:hAnsi="Garamond"/>
                <w:sz w:val="23"/>
                <w:szCs w:val="23"/>
              </w:rPr>
            </w:pPr>
            <w:r w:rsidRPr="00A144CC">
              <w:rPr>
                <w:rFonts w:ascii="Garamond" w:hAnsi="Garamond"/>
                <w:sz w:val="23"/>
                <w:szCs w:val="23"/>
              </w:rPr>
              <w:t>Aaron Maitland</w:t>
            </w:r>
          </w:p>
        </w:tc>
        <w:tc>
          <w:tcPr>
            <w:tcW w:w="1288" w:type="pct"/>
            <w:tcBorders>
              <w:top w:val="single" w:sz="4" w:space="0" w:color="auto"/>
              <w:bottom w:val="single" w:sz="4" w:space="0" w:color="auto"/>
            </w:tcBorders>
          </w:tcPr>
          <w:p w14:paraId="37BB19B6" w14:textId="77777777" w:rsidR="00612516" w:rsidRPr="00A144CC" w:rsidRDefault="00A62F91" w:rsidP="00CB386A">
            <w:pPr>
              <w:pStyle w:val="TX-TableText"/>
              <w:rPr>
                <w:rFonts w:ascii="Garamond" w:hAnsi="Garamond"/>
                <w:sz w:val="23"/>
                <w:szCs w:val="23"/>
              </w:rPr>
            </w:pPr>
            <w:r w:rsidRPr="00A144CC">
              <w:rPr>
                <w:rFonts w:ascii="Garamond" w:hAnsi="Garamond"/>
                <w:sz w:val="23"/>
                <w:szCs w:val="23"/>
              </w:rPr>
              <w:t>Senior Statistician</w:t>
            </w:r>
            <w:r w:rsidR="002F60ED">
              <w:rPr>
                <w:rFonts w:ascii="Garamond" w:hAnsi="Garamond"/>
                <w:sz w:val="23"/>
                <w:szCs w:val="23"/>
              </w:rPr>
              <w:t>, Westat</w:t>
            </w:r>
          </w:p>
        </w:tc>
        <w:tc>
          <w:tcPr>
            <w:tcW w:w="1018" w:type="pct"/>
            <w:tcBorders>
              <w:top w:val="single" w:sz="4" w:space="0" w:color="auto"/>
              <w:bottom w:val="single" w:sz="4" w:space="0" w:color="auto"/>
            </w:tcBorders>
          </w:tcPr>
          <w:p w14:paraId="1FD635DC" w14:textId="77777777" w:rsidR="00612516" w:rsidRPr="00A144CC" w:rsidRDefault="00A62F91" w:rsidP="00A62F91">
            <w:pPr>
              <w:pStyle w:val="TX-TableText"/>
              <w:spacing w:before="40" w:after="40" w:line="240" w:lineRule="auto"/>
              <w:rPr>
                <w:rFonts w:ascii="Garamond" w:hAnsi="Garamond"/>
                <w:sz w:val="23"/>
                <w:szCs w:val="23"/>
              </w:rPr>
            </w:pPr>
            <w:r w:rsidRPr="00A144CC">
              <w:rPr>
                <w:rFonts w:ascii="Garamond" w:hAnsi="Garamond"/>
                <w:sz w:val="23"/>
                <w:szCs w:val="23"/>
              </w:rPr>
              <w:t>240-314-2595</w:t>
            </w:r>
          </w:p>
        </w:tc>
        <w:tc>
          <w:tcPr>
            <w:tcW w:w="1889" w:type="pct"/>
            <w:tcBorders>
              <w:top w:val="single" w:sz="4" w:space="0" w:color="auto"/>
              <w:bottom w:val="single" w:sz="4" w:space="0" w:color="auto"/>
            </w:tcBorders>
          </w:tcPr>
          <w:p w14:paraId="77DCEB1F" w14:textId="77777777" w:rsidR="00612516" w:rsidRPr="00A144CC" w:rsidRDefault="00A62F91" w:rsidP="00CB386A">
            <w:pPr>
              <w:pStyle w:val="TX-TableText"/>
              <w:spacing w:before="40" w:after="40" w:line="240" w:lineRule="auto"/>
              <w:rPr>
                <w:rFonts w:ascii="Garamond" w:hAnsi="Garamond"/>
                <w:sz w:val="23"/>
                <w:szCs w:val="23"/>
              </w:rPr>
            </w:pPr>
            <w:r w:rsidRPr="00A144CC">
              <w:rPr>
                <w:rFonts w:ascii="Garamond" w:hAnsi="Garamond"/>
                <w:sz w:val="23"/>
                <w:szCs w:val="23"/>
              </w:rPr>
              <w:t>AaronMaitland@westat.com</w:t>
            </w:r>
          </w:p>
        </w:tc>
      </w:tr>
      <w:tr w:rsidR="00612516" w:rsidRPr="002F60ED" w14:paraId="57036327" w14:textId="77777777" w:rsidTr="00580C36">
        <w:trPr>
          <w:cantSplit/>
        </w:trPr>
        <w:tc>
          <w:tcPr>
            <w:tcW w:w="805" w:type="pct"/>
            <w:tcBorders>
              <w:top w:val="single" w:sz="4" w:space="0" w:color="auto"/>
              <w:bottom w:val="single" w:sz="4" w:space="0" w:color="auto"/>
            </w:tcBorders>
          </w:tcPr>
          <w:p w14:paraId="183E6EE5" w14:textId="77777777" w:rsidR="00612516" w:rsidRPr="00A144CC" w:rsidRDefault="00A62F91" w:rsidP="00CB386A">
            <w:pPr>
              <w:pStyle w:val="TX-TableText"/>
              <w:rPr>
                <w:rFonts w:ascii="Garamond" w:hAnsi="Garamond"/>
                <w:sz w:val="23"/>
                <w:szCs w:val="23"/>
              </w:rPr>
            </w:pPr>
            <w:r w:rsidRPr="00A144CC">
              <w:rPr>
                <w:rFonts w:ascii="Garamond" w:hAnsi="Garamond"/>
                <w:sz w:val="23"/>
                <w:szCs w:val="23"/>
              </w:rPr>
              <w:t>Ting Yan</w:t>
            </w:r>
          </w:p>
        </w:tc>
        <w:tc>
          <w:tcPr>
            <w:tcW w:w="1288" w:type="pct"/>
            <w:tcBorders>
              <w:top w:val="single" w:sz="4" w:space="0" w:color="auto"/>
              <w:bottom w:val="single" w:sz="4" w:space="0" w:color="auto"/>
            </w:tcBorders>
          </w:tcPr>
          <w:p w14:paraId="2E311618" w14:textId="77777777" w:rsidR="00612516" w:rsidRPr="00A144CC" w:rsidRDefault="00A62F91" w:rsidP="00CB386A">
            <w:pPr>
              <w:pStyle w:val="TX-TableText"/>
              <w:rPr>
                <w:rFonts w:ascii="Garamond" w:hAnsi="Garamond"/>
                <w:sz w:val="23"/>
                <w:szCs w:val="23"/>
              </w:rPr>
            </w:pPr>
            <w:r w:rsidRPr="00A144CC">
              <w:rPr>
                <w:rFonts w:ascii="Garamond" w:hAnsi="Garamond"/>
                <w:sz w:val="23"/>
                <w:szCs w:val="23"/>
              </w:rPr>
              <w:t>Senior Statistician</w:t>
            </w:r>
            <w:r w:rsidR="002F60ED">
              <w:rPr>
                <w:rFonts w:ascii="Garamond" w:hAnsi="Garamond"/>
                <w:sz w:val="23"/>
                <w:szCs w:val="23"/>
              </w:rPr>
              <w:t>, Westat</w:t>
            </w:r>
          </w:p>
        </w:tc>
        <w:tc>
          <w:tcPr>
            <w:tcW w:w="1018" w:type="pct"/>
            <w:tcBorders>
              <w:top w:val="single" w:sz="4" w:space="0" w:color="auto"/>
              <w:bottom w:val="single" w:sz="4" w:space="0" w:color="auto"/>
            </w:tcBorders>
          </w:tcPr>
          <w:p w14:paraId="2C295476" w14:textId="77777777" w:rsidR="00612516" w:rsidRPr="00A144CC" w:rsidRDefault="00A62F91" w:rsidP="00CB386A">
            <w:pPr>
              <w:pStyle w:val="TX-TableText"/>
              <w:spacing w:before="40" w:after="40" w:line="240" w:lineRule="auto"/>
              <w:rPr>
                <w:rFonts w:ascii="Garamond" w:hAnsi="Garamond"/>
                <w:sz w:val="23"/>
                <w:szCs w:val="23"/>
              </w:rPr>
            </w:pPr>
            <w:r w:rsidRPr="00A144CC">
              <w:rPr>
                <w:rFonts w:ascii="Garamond" w:hAnsi="Garamond"/>
                <w:sz w:val="23"/>
                <w:szCs w:val="23"/>
              </w:rPr>
              <w:t>301-250-3302</w:t>
            </w:r>
          </w:p>
        </w:tc>
        <w:tc>
          <w:tcPr>
            <w:tcW w:w="1889" w:type="pct"/>
            <w:tcBorders>
              <w:top w:val="single" w:sz="4" w:space="0" w:color="auto"/>
              <w:bottom w:val="single" w:sz="4" w:space="0" w:color="auto"/>
            </w:tcBorders>
          </w:tcPr>
          <w:p w14:paraId="489A001E" w14:textId="77777777" w:rsidR="00612516" w:rsidRPr="00A144CC" w:rsidRDefault="00A62F91" w:rsidP="00CB386A">
            <w:pPr>
              <w:pStyle w:val="TX-TableText"/>
              <w:spacing w:before="40" w:after="40" w:line="240" w:lineRule="auto"/>
              <w:rPr>
                <w:rFonts w:ascii="Garamond" w:hAnsi="Garamond"/>
                <w:sz w:val="23"/>
                <w:szCs w:val="23"/>
              </w:rPr>
            </w:pPr>
            <w:r w:rsidRPr="00A144CC">
              <w:rPr>
                <w:rFonts w:ascii="Garamond" w:hAnsi="Garamond"/>
                <w:sz w:val="23"/>
                <w:szCs w:val="23"/>
              </w:rPr>
              <w:t>TingYan@westat.com</w:t>
            </w:r>
          </w:p>
        </w:tc>
      </w:tr>
      <w:bookmarkEnd w:id="0"/>
      <w:bookmarkEnd w:id="1"/>
      <w:bookmarkEnd w:id="2"/>
      <w:bookmarkEnd w:id="3"/>
      <w:bookmarkEnd w:id="4"/>
      <w:bookmarkEnd w:id="5"/>
    </w:tbl>
    <w:p w14:paraId="37FFAA5B" w14:textId="77777777" w:rsidR="008A6A7C" w:rsidRDefault="008A6A7C" w:rsidP="004A7048">
      <w:pPr>
        <w:pStyle w:val="L1-FlLSp12"/>
      </w:pPr>
    </w:p>
    <w:sectPr w:rsidR="008A6A7C" w:rsidSect="008A6A7C">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9B9E8" w14:textId="77777777" w:rsidR="009A20F0" w:rsidRDefault="009A20F0">
      <w:pPr>
        <w:spacing w:line="240" w:lineRule="auto"/>
      </w:pPr>
      <w:r>
        <w:separator/>
      </w:r>
    </w:p>
  </w:endnote>
  <w:endnote w:type="continuationSeparator" w:id="0">
    <w:p w14:paraId="01C33D2A" w14:textId="77777777" w:rsidR="009A20F0" w:rsidRDefault="009A2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59"/>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7FF86" w14:textId="77777777" w:rsidR="009E687C" w:rsidRDefault="009E687C" w:rsidP="00D6308A">
    <w:pPr>
      <w:pStyle w:val="Footer"/>
      <w:jc w:val="center"/>
    </w:pP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FB036" w14:textId="77777777" w:rsidR="009E687C" w:rsidRPr="00E60620" w:rsidRDefault="009E687C" w:rsidP="00E60620">
    <w:pPr>
      <w:pStyle w:val="Footer"/>
      <w:jc w:val="center"/>
    </w:pPr>
    <w:r>
      <w:fldChar w:fldCharType="begin"/>
    </w:r>
    <w:r>
      <w:instrText xml:space="preserve"> PAGE   \* MERGEFORMAT </w:instrText>
    </w:r>
    <w:r>
      <w:fldChar w:fldCharType="separate"/>
    </w:r>
    <w:r w:rsidR="00051C47">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75DF" w14:textId="77777777" w:rsidR="009E687C" w:rsidRPr="00D6415D" w:rsidRDefault="009E687C" w:rsidP="00B55BA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sidR="00051C47">
      <w:rPr>
        <w:noProof/>
      </w:rPr>
      <w:t>1</w:t>
    </w:r>
    <w:r w:rsidRPr="00D641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F14CC" w14:textId="77777777" w:rsidR="009A20F0" w:rsidRDefault="009A20F0">
      <w:pPr>
        <w:spacing w:line="240" w:lineRule="auto"/>
      </w:pPr>
      <w:r>
        <w:separator/>
      </w:r>
    </w:p>
  </w:footnote>
  <w:footnote w:type="continuationSeparator" w:id="0">
    <w:p w14:paraId="6A62AAAE" w14:textId="77777777" w:rsidR="009A20F0" w:rsidRDefault="009A20F0">
      <w:pPr>
        <w:spacing w:line="240" w:lineRule="auto"/>
      </w:pPr>
      <w:r>
        <w:continuationSeparator/>
      </w:r>
    </w:p>
  </w:footnote>
  <w:footnote w:id="1">
    <w:p w14:paraId="2CC30FAF" w14:textId="3B369318" w:rsidR="00190EA7" w:rsidRDefault="00190EA7">
      <w:pPr>
        <w:pStyle w:val="FootnoteText"/>
      </w:pPr>
      <w:r>
        <w:rPr>
          <w:rStyle w:val="FootnoteReference"/>
        </w:rPr>
        <w:footnoteRef/>
      </w:r>
      <w:r>
        <w:t xml:space="preserve"> </w:t>
      </w:r>
      <w:r w:rsidRPr="00190EA7">
        <w:t xml:space="preserve">File, T., and Ryan, C. (2014). </w:t>
      </w:r>
      <w:r w:rsidRPr="00190EA7">
        <w:rPr>
          <w:i/>
        </w:rPr>
        <w:t>Computer and Internet use in the United States: 2013.</w:t>
      </w:r>
      <w:r w:rsidRPr="00190EA7">
        <w:t xml:space="preserve"> American Community Survey Reports. Retrieved from </w:t>
      </w:r>
      <w:hyperlink r:id="rId1" w:history="1">
        <w:r w:rsidRPr="00190EA7">
          <w:rPr>
            <w:rStyle w:val="Hyperlink"/>
          </w:rPr>
          <w:t>http://www.census.gov/history/pdf/2013computeruse.pdf</w:t>
        </w:r>
      </w:hyperlink>
    </w:p>
  </w:footnote>
  <w:footnote w:id="2">
    <w:p w14:paraId="1C5A7C68" w14:textId="77777777" w:rsidR="00363FFF" w:rsidRDefault="00363FFF" w:rsidP="00363FFF">
      <w:pPr>
        <w:pStyle w:val="FootnoteText"/>
      </w:pPr>
      <w:r>
        <w:rPr>
          <w:rStyle w:val="FootnoteReference"/>
        </w:rPr>
        <w:footnoteRef/>
      </w:r>
      <w:r>
        <w:t xml:space="preserve"> </w:t>
      </w:r>
      <w:r w:rsidRPr="0045758F">
        <w:t xml:space="preserve">Pew Research Center. (2015). The smartphone difference. Available at: </w:t>
      </w:r>
      <w:hyperlink r:id="rId2" w:history="1">
        <w:r w:rsidRPr="0045758F">
          <w:rPr>
            <w:rStyle w:val="Hyperlink"/>
          </w:rPr>
          <w:t>http://www.pewinternet.org/2015/04/01/us-smartphone-use-in-2015/</w:t>
        </w:r>
      </w:hyperlink>
    </w:p>
  </w:footnote>
  <w:footnote w:id="3">
    <w:p w14:paraId="3BDB5E5F" w14:textId="77777777" w:rsidR="009E687C" w:rsidRDefault="009E687C">
      <w:pPr>
        <w:pStyle w:val="FootnoteText"/>
      </w:pPr>
      <w:r>
        <w:rPr>
          <w:rStyle w:val="FootnoteReference"/>
        </w:rPr>
        <w:footnoteRef/>
      </w:r>
      <w:r>
        <w:t xml:space="preserve"> </w:t>
      </w:r>
      <w:r w:rsidRPr="00A712CE">
        <w:t>On average there are about 69 block groups per county in the US with about 604 housing units in each.</w:t>
      </w:r>
    </w:p>
  </w:footnote>
  <w:footnote w:id="4">
    <w:p w14:paraId="69C02EF0" w14:textId="77777777" w:rsidR="009E687C" w:rsidRPr="00373420" w:rsidRDefault="009E687C" w:rsidP="00C045FA">
      <w:pPr>
        <w:pStyle w:val="FootnoteText"/>
        <w:tabs>
          <w:tab w:val="clear" w:pos="120"/>
          <w:tab w:val="left" w:pos="180"/>
        </w:tabs>
        <w:ind w:left="180" w:hanging="180"/>
      </w:pPr>
      <w:r w:rsidRPr="007219AE">
        <w:rPr>
          <w:rStyle w:val="FootnoteReference"/>
        </w:rPr>
        <w:footnoteRef/>
      </w:r>
      <w:r>
        <w:tab/>
        <w:t xml:space="preserve">Office of Management and Budget Standards and Guidelines for Statistical Surveys. Retrieved from </w:t>
      </w:r>
      <w:hyperlink r:id="rId3" w:history="1">
        <w:r w:rsidRPr="00373420">
          <w:rPr>
            <w:rStyle w:val="Hyperlink"/>
          </w:rPr>
          <w:t>http://www.whitehouse.gov/sites/default/files/omb/inforeg/statpolicy/standards_stat_surveys.pdf</w:t>
        </w:r>
      </w:hyperlink>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A236B" w14:textId="77777777" w:rsidR="009E687C" w:rsidRDefault="009E687C" w:rsidP="00541C40">
    <w:pPr>
      <w:pStyle w:val="Header"/>
      <w:ind w:right="4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2A33" w14:textId="77777777" w:rsidR="009E687C" w:rsidRDefault="009E68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6249F" w14:textId="77777777" w:rsidR="009E687C" w:rsidRPr="007C2CD6" w:rsidRDefault="009E687C" w:rsidP="007C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5CA0"/>
    <w:multiLevelType w:val="hybridMultilevel"/>
    <w:tmpl w:val="4AF6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769BE"/>
    <w:multiLevelType w:val="hybridMultilevel"/>
    <w:tmpl w:val="B0FE84F6"/>
    <w:lvl w:ilvl="0" w:tplc="3D4A9B9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5B87F8B"/>
    <w:multiLevelType w:val="hybridMultilevel"/>
    <w:tmpl w:val="71B0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01F13"/>
    <w:multiLevelType w:val="hybridMultilevel"/>
    <w:tmpl w:val="9EF2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2" w15:restartNumberingAfterBreak="0">
    <w:nsid w:val="4F274B01"/>
    <w:multiLevelType w:val="hybridMultilevel"/>
    <w:tmpl w:val="DA601CB6"/>
    <w:lvl w:ilvl="0" w:tplc="EB88555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51817"/>
    <w:multiLevelType w:val="hybridMultilevel"/>
    <w:tmpl w:val="3CA28456"/>
    <w:lvl w:ilvl="0" w:tplc="27C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C1760"/>
    <w:multiLevelType w:val="hybridMultilevel"/>
    <w:tmpl w:val="F90ABD26"/>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22442"/>
    <w:multiLevelType w:val="hybridMultilevel"/>
    <w:tmpl w:val="BC00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0317F"/>
    <w:multiLevelType w:val="hybridMultilevel"/>
    <w:tmpl w:val="10A6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6"/>
  </w:num>
  <w:num w:numId="2">
    <w:abstractNumId w:val="2"/>
  </w:num>
  <w:num w:numId="3">
    <w:abstractNumId w:val="3"/>
  </w:num>
  <w:num w:numId="4">
    <w:abstractNumId w:val="10"/>
    <w:lvlOverride w:ilvl="0">
      <w:startOverride w:val="1"/>
    </w:lvlOverride>
  </w:num>
  <w:num w:numId="5">
    <w:abstractNumId w:val="18"/>
  </w:num>
  <w:num w:numId="6">
    <w:abstractNumId w:val="5"/>
  </w:num>
  <w:num w:numId="7">
    <w:abstractNumId w:val="11"/>
  </w:num>
  <w:num w:numId="8">
    <w:abstractNumId w:val="13"/>
  </w:num>
  <w:num w:numId="9">
    <w:abstractNumId w:val="16"/>
  </w:num>
  <w:num w:numId="10">
    <w:abstractNumId w:val="21"/>
  </w:num>
  <w:num w:numId="11">
    <w:abstractNumId w:val="8"/>
  </w:num>
  <w:num w:numId="12">
    <w:abstractNumId w:val="12"/>
  </w:num>
  <w:num w:numId="13">
    <w:abstractNumId w:val="17"/>
  </w:num>
  <w:num w:numId="14">
    <w:abstractNumId w:val="1"/>
  </w:num>
  <w:num w:numId="15">
    <w:abstractNumId w:val="14"/>
  </w:num>
  <w:num w:numId="16">
    <w:abstractNumId w:val="0"/>
  </w:num>
  <w:num w:numId="17">
    <w:abstractNumId w:val="20"/>
  </w:num>
  <w:num w:numId="18">
    <w:abstractNumId w:val="19"/>
  </w:num>
  <w:num w:numId="19">
    <w:abstractNumId w:val="4"/>
  </w:num>
  <w:num w:numId="20">
    <w:abstractNumId w:val="2"/>
  </w:num>
  <w:num w:numId="21">
    <w:abstractNumId w:val="15"/>
  </w:num>
  <w:num w:numId="22">
    <w:abstractNumId w:val="9"/>
  </w:num>
  <w:num w:numId="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89"/>
    <w:rsid w:val="00000B1B"/>
    <w:rsid w:val="00004A85"/>
    <w:rsid w:val="0000677C"/>
    <w:rsid w:val="000210DC"/>
    <w:rsid w:val="00022342"/>
    <w:rsid w:val="0002671A"/>
    <w:rsid w:val="000350E9"/>
    <w:rsid w:val="00035988"/>
    <w:rsid w:val="00036AF4"/>
    <w:rsid w:val="00043871"/>
    <w:rsid w:val="00044705"/>
    <w:rsid w:val="000447C2"/>
    <w:rsid w:val="00047085"/>
    <w:rsid w:val="00051C47"/>
    <w:rsid w:val="00051E4C"/>
    <w:rsid w:val="00051FAB"/>
    <w:rsid w:val="000527C5"/>
    <w:rsid w:val="00057524"/>
    <w:rsid w:val="00057925"/>
    <w:rsid w:val="0006157D"/>
    <w:rsid w:val="0006498E"/>
    <w:rsid w:val="00066207"/>
    <w:rsid w:val="00067184"/>
    <w:rsid w:val="00073632"/>
    <w:rsid w:val="00073F2D"/>
    <w:rsid w:val="00076495"/>
    <w:rsid w:val="000770CB"/>
    <w:rsid w:val="00080929"/>
    <w:rsid w:val="00090CCD"/>
    <w:rsid w:val="00091A23"/>
    <w:rsid w:val="00092F4F"/>
    <w:rsid w:val="00096F11"/>
    <w:rsid w:val="000A055D"/>
    <w:rsid w:val="000A4805"/>
    <w:rsid w:val="000B2F07"/>
    <w:rsid w:val="000B46B4"/>
    <w:rsid w:val="000C33DB"/>
    <w:rsid w:val="000D02CD"/>
    <w:rsid w:val="000D39A9"/>
    <w:rsid w:val="000D51B5"/>
    <w:rsid w:val="000D7532"/>
    <w:rsid w:val="000E07BE"/>
    <w:rsid w:val="000E3226"/>
    <w:rsid w:val="000E32E5"/>
    <w:rsid w:val="000F4CFB"/>
    <w:rsid w:val="000F5C49"/>
    <w:rsid w:val="000F65F3"/>
    <w:rsid w:val="00101C84"/>
    <w:rsid w:val="00114C6E"/>
    <w:rsid w:val="001201F4"/>
    <w:rsid w:val="00120A6B"/>
    <w:rsid w:val="00121A4A"/>
    <w:rsid w:val="00127EE4"/>
    <w:rsid w:val="00134EFB"/>
    <w:rsid w:val="001358D2"/>
    <w:rsid w:val="00145AF1"/>
    <w:rsid w:val="00145F5D"/>
    <w:rsid w:val="00147D20"/>
    <w:rsid w:val="00150369"/>
    <w:rsid w:val="001515A1"/>
    <w:rsid w:val="00152B01"/>
    <w:rsid w:val="00154269"/>
    <w:rsid w:val="00156208"/>
    <w:rsid w:val="00157B91"/>
    <w:rsid w:val="00161A7B"/>
    <w:rsid w:val="00162E28"/>
    <w:rsid w:val="001636C3"/>
    <w:rsid w:val="001659AC"/>
    <w:rsid w:val="0017175D"/>
    <w:rsid w:val="00171F6D"/>
    <w:rsid w:val="001725F1"/>
    <w:rsid w:val="001768BA"/>
    <w:rsid w:val="001829F7"/>
    <w:rsid w:val="00184A10"/>
    <w:rsid w:val="00190EA7"/>
    <w:rsid w:val="0019341C"/>
    <w:rsid w:val="00195DD0"/>
    <w:rsid w:val="001A05FD"/>
    <w:rsid w:val="001A10A2"/>
    <w:rsid w:val="001A1114"/>
    <w:rsid w:val="001B097C"/>
    <w:rsid w:val="001B265D"/>
    <w:rsid w:val="001B58AB"/>
    <w:rsid w:val="001B61FF"/>
    <w:rsid w:val="001B6819"/>
    <w:rsid w:val="001B6AA1"/>
    <w:rsid w:val="001C4A08"/>
    <w:rsid w:val="001C555E"/>
    <w:rsid w:val="001C69DD"/>
    <w:rsid w:val="001C6D8F"/>
    <w:rsid w:val="001D0187"/>
    <w:rsid w:val="001D1F70"/>
    <w:rsid w:val="001E1D72"/>
    <w:rsid w:val="001E22E8"/>
    <w:rsid w:val="001E3800"/>
    <w:rsid w:val="001E5F24"/>
    <w:rsid w:val="001E6079"/>
    <w:rsid w:val="001F2C2D"/>
    <w:rsid w:val="00200D10"/>
    <w:rsid w:val="002024B6"/>
    <w:rsid w:val="00203CA4"/>
    <w:rsid w:val="00203EFB"/>
    <w:rsid w:val="0020415E"/>
    <w:rsid w:val="0020526D"/>
    <w:rsid w:val="00206A17"/>
    <w:rsid w:val="002120F1"/>
    <w:rsid w:val="00212FFB"/>
    <w:rsid w:val="002143C2"/>
    <w:rsid w:val="00214B46"/>
    <w:rsid w:val="0022221F"/>
    <w:rsid w:val="002232F7"/>
    <w:rsid w:val="00241635"/>
    <w:rsid w:val="00246C5D"/>
    <w:rsid w:val="00255CED"/>
    <w:rsid w:val="00265027"/>
    <w:rsid w:val="00266495"/>
    <w:rsid w:val="00267642"/>
    <w:rsid w:val="00267F75"/>
    <w:rsid w:val="00271489"/>
    <w:rsid w:val="002747D9"/>
    <w:rsid w:val="0027493A"/>
    <w:rsid w:val="00277BDF"/>
    <w:rsid w:val="00282312"/>
    <w:rsid w:val="00284AAA"/>
    <w:rsid w:val="002851B1"/>
    <w:rsid w:val="00296961"/>
    <w:rsid w:val="002A0BE7"/>
    <w:rsid w:val="002A1C71"/>
    <w:rsid w:val="002A3E33"/>
    <w:rsid w:val="002A4D1F"/>
    <w:rsid w:val="002A6821"/>
    <w:rsid w:val="002B53BD"/>
    <w:rsid w:val="002B5A06"/>
    <w:rsid w:val="002D1420"/>
    <w:rsid w:val="002D1B31"/>
    <w:rsid w:val="002D3E8C"/>
    <w:rsid w:val="002D408E"/>
    <w:rsid w:val="002D727B"/>
    <w:rsid w:val="002F0F19"/>
    <w:rsid w:val="002F126A"/>
    <w:rsid w:val="002F5259"/>
    <w:rsid w:val="002F60ED"/>
    <w:rsid w:val="00300AB5"/>
    <w:rsid w:val="00302E5C"/>
    <w:rsid w:val="00304009"/>
    <w:rsid w:val="00306197"/>
    <w:rsid w:val="0030691F"/>
    <w:rsid w:val="003078B2"/>
    <w:rsid w:val="0031088D"/>
    <w:rsid w:val="00313902"/>
    <w:rsid w:val="00315646"/>
    <w:rsid w:val="00322842"/>
    <w:rsid w:val="00323FC9"/>
    <w:rsid w:val="003254F9"/>
    <w:rsid w:val="00326D93"/>
    <w:rsid w:val="00327463"/>
    <w:rsid w:val="00360484"/>
    <w:rsid w:val="00363E01"/>
    <w:rsid w:val="00363FFF"/>
    <w:rsid w:val="00382DB9"/>
    <w:rsid w:val="00382EAE"/>
    <w:rsid w:val="00383C29"/>
    <w:rsid w:val="00386786"/>
    <w:rsid w:val="0039123D"/>
    <w:rsid w:val="00392857"/>
    <w:rsid w:val="00395957"/>
    <w:rsid w:val="00396CF5"/>
    <w:rsid w:val="00397B0B"/>
    <w:rsid w:val="003A2A86"/>
    <w:rsid w:val="003A33F2"/>
    <w:rsid w:val="003A4615"/>
    <w:rsid w:val="003A522C"/>
    <w:rsid w:val="003A5336"/>
    <w:rsid w:val="003A57AC"/>
    <w:rsid w:val="003A5B7B"/>
    <w:rsid w:val="003A6AB6"/>
    <w:rsid w:val="003A6B2B"/>
    <w:rsid w:val="003A77C4"/>
    <w:rsid w:val="003B0490"/>
    <w:rsid w:val="003B1A43"/>
    <w:rsid w:val="003B2111"/>
    <w:rsid w:val="003C3199"/>
    <w:rsid w:val="003C35B5"/>
    <w:rsid w:val="003C6AA0"/>
    <w:rsid w:val="003C7936"/>
    <w:rsid w:val="003D3B85"/>
    <w:rsid w:val="003E5471"/>
    <w:rsid w:val="003E5FC5"/>
    <w:rsid w:val="003F3309"/>
    <w:rsid w:val="004144E2"/>
    <w:rsid w:val="00414A7D"/>
    <w:rsid w:val="00414B36"/>
    <w:rsid w:val="004153AF"/>
    <w:rsid w:val="00416248"/>
    <w:rsid w:val="00417366"/>
    <w:rsid w:val="00417779"/>
    <w:rsid w:val="00420416"/>
    <w:rsid w:val="00420DEE"/>
    <w:rsid w:val="004218F3"/>
    <w:rsid w:val="00421E98"/>
    <w:rsid w:val="004273F4"/>
    <w:rsid w:val="004354B6"/>
    <w:rsid w:val="004528FF"/>
    <w:rsid w:val="00454E78"/>
    <w:rsid w:val="0047041E"/>
    <w:rsid w:val="004762B0"/>
    <w:rsid w:val="0047782E"/>
    <w:rsid w:val="00481D46"/>
    <w:rsid w:val="00481DB2"/>
    <w:rsid w:val="00493E51"/>
    <w:rsid w:val="004A7048"/>
    <w:rsid w:val="004B3AEF"/>
    <w:rsid w:val="004B4930"/>
    <w:rsid w:val="004C1FDC"/>
    <w:rsid w:val="004C2157"/>
    <w:rsid w:val="004C282D"/>
    <w:rsid w:val="004C2846"/>
    <w:rsid w:val="004C28DE"/>
    <w:rsid w:val="004D0D4C"/>
    <w:rsid w:val="004D3719"/>
    <w:rsid w:val="004E2BB3"/>
    <w:rsid w:val="004E7AC1"/>
    <w:rsid w:val="004F0DB7"/>
    <w:rsid w:val="004F5D92"/>
    <w:rsid w:val="00501EE6"/>
    <w:rsid w:val="0050640D"/>
    <w:rsid w:val="0051381C"/>
    <w:rsid w:val="00517BD9"/>
    <w:rsid w:val="00521856"/>
    <w:rsid w:val="00523BA6"/>
    <w:rsid w:val="005322DB"/>
    <w:rsid w:val="00533E9B"/>
    <w:rsid w:val="00541C40"/>
    <w:rsid w:val="00542155"/>
    <w:rsid w:val="005444F4"/>
    <w:rsid w:val="005522D3"/>
    <w:rsid w:val="005547B9"/>
    <w:rsid w:val="00557023"/>
    <w:rsid w:val="005620ED"/>
    <w:rsid w:val="00565DC6"/>
    <w:rsid w:val="00575C11"/>
    <w:rsid w:val="00580B23"/>
    <w:rsid w:val="00580C36"/>
    <w:rsid w:val="00584D19"/>
    <w:rsid w:val="00587704"/>
    <w:rsid w:val="00593313"/>
    <w:rsid w:val="00596C37"/>
    <w:rsid w:val="005974CF"/>
    <w:rsid w:val="00597A9C"/>
    <w:rsid w:val="005A31EE"/>
    <w:rsid w:val="005A7798"/>
    <w:rsid w:val="005B1DD6"/>
    <w:rsid w:val="005B7031"/>
    <w:rsid w:val="005C1586"/>
    <w:rsid w:val="005C1BC5"/>
    <w:rsid w:val="005D1174"/>
    <w:rsid w:val="005D46D8"/>
    <w:rsid w:val="005D5BBC"/>
    <w:rsid w:val="005D5CE0"/>
    <w:rsid w:val="005E2D82"/>
    <w:rsid w:val="005E3AA1"/>
    <w:rsid w:val="005E53FF"/>
    <w:rsid w:val="005F33C9"/>
    <w:rsid w:val="005F5509"/>
    <w:rsid w:val="005F6A7A"/>
    <w:rsid w:val="005F7BFC"/>
    <w:rsid w:val="005F7D5D"/>
    <w:rsid w:val="00602535"/>
    <w:rsid w:val="00602999"/>
    <w:rsid w:val="00612516"/>
    <w:rsid w:val="00614494"/>
    <w:rsid w:val="00616257"/>
    <w:rsid w:val="00626DCB"/>
    <w:rsid w:val="00627604"/>
    <w:rsid w:val="006313A0"/>
    <w:rsid w:val="00633A51"/>
    <w:rsid w:val="00644471"/>
    <w:rsid w:val="00644DF8"/>
    <w:rsid w:val="006452FD"/>
    <w:rsid w:val="0064778E"/>
    <w:rsid w:val="00647D6A"/>
    <w:rsid w:val="00650AFB"/>
    <w:rsid w:val="00651022"/>
    <w:rsid w:val="00657599"/>
    <w:rsid w:val="0066643F"/>
    <w:rsid w:val="0067139D"/>
    <w:rsid w:val="00672E8F"/>
    <w:rsid w:val="006756A3"/>
    <w:rsid w:val="0068253C"/>
    <w:rsid w:val="00683296"/>
    <w:rsid w:val="0068381B"/>
    <w:rsid w:val="00683820"/>
    <w:rsid w:val="006849A8"/>
    <w:rsid w:val="006901D7"/>
    <w:rsid w:val="006A0637"/>
    <w:rsid w:val="006A238C"/>
    <w:rsid w:val="006A46F6"/>
    <w:rsid w:val="006A778D"/>
    <w:rsid w:val="006D0B4A"/>
    <w:rsid w:val="006D17D7"/>
    <w:rsid w:val="006D735C"/>
    <w:rsid w:val="006E100E"/>
    <w:rsid w:val="006E775D"/>
    <w:rsid w:val="006F0E7E"/>
    <w:rsid w:val="006F358D"/>
    <w:rsid w:val="0070039E"/>
    <w:rsid w:val="00702301"/>
    <w:rsid w:val="007035CD"/>
    <w:rsid w:val="00705A09"/>
    <w:rsid w:val="00707A44"/>
    <w:rsid w:val="007100C9"/>
    <w:rsid w:val="00711751"/>
    <w:rsid w:val="00721588"/>
    <w:rsid w:val="007223AE"/>
    <w:rsid w:val="0072337A"/>
    <w:rsid w:val="00727565"/>
    <w:rsid w:val="007304BD"/>
    <w:rsid w:val="00731A44"/>
    <w:rsid w:val="00741FAB"/>
    <w:rsid w:val="0074389B"/>
    <w:rsid w:val="00744F53"/>
    <w:rsid w:val="00745FAB"/>
    <w:rsid w:val="0075015F"/>
    <w:rsid w:val="00754B85"/>
    <w:rsid w:val="0076468D"/>
    <w:rsid w:val="00770E81"/>
    <w:rsid w:val="00774268"/>
    <w:rsid w:val="0077775D"/>
    <w:rsid w:val="007822CF"/>
    <w:rsid w:val="00793192"/>
    <w:rsid w:val="00793E62"/>
    <w:rsid w:val="00795760"/>
    <w:rsid w:val="007A4BF5"/>
    <w:rsid w:val="007A5A5F"/>
    <w:rsid w:val="007A5AB5"/>
    <w:rsid w:val="007A76FF"/>
    <w:rsid w:val="007A7CB3"/>
    <w:rsid w:val="007C0946"/>
    <w:rsid w:val="007C28BE"/>
    <w:rsid w:val="007C2CD6"/>
    <w:rsid w:val="007C2D80"/>
    <w:rsid w:val="007C77C0"/>
    <w:rsid w:val="007E136F"/>
    <w:rsid w:val="007E3C8E"/>
    <w:rsid w:val="007E54A4"/>
    <w:rsid w:val="007E5FDD"/>
    <w:rsid w:val="007F252F"/>
    <w:rsid w:val="007F3AD3"/>
    <w:rsid w:val="007F5CDB"/>
    <w:rsid w:val="008021F7"/>
    <w:rsid w:val="00820C97"/>
    <w:rsid w:val="00826A21"/>
    <w:rsid w:val="008478CF"/>
    <w:rsid w:val="00850A8B"/>
    <w:rsid w:val="00853851"/>
    <w:rsid w:val="008562F2"/>
    <w:rsid w:val="0086324B"/>
    <w:rsid w:val="00865B3B"/>
    <w:rsid w:val="00870B07"/>
    <w:rsid w:val="008742BF"/>
    <w:rsid w:val="008743DA"/>
    <w:rsid w:val="008750B5"/>
    <w:rsid w:val="0088021E"/>
    <w:rsid w:val="008858CE"/>
    <w:rsid w:val="00885E14"/>
    <w:rsid w:val="008874B0"/>
    <w:rsid w:val="00887EC8"/>
    <w:rsid w:val="00892178"/>
    <w:rsid w:val="00894610"/>
    <w:rsid w:val="00894729"/>
    <w:rsid w:val="00895E95"/>
    <w:rsid w:val="008A3FB6"/>
    <w:rsid w:val="008A6A7C"/>
    <w:rsid w:val="008A7554"/>
    <w:rsid w:val="008B0617"/>
    <w:rsid w:val="008B577C"/>
    <w:rsid w:val="008C463A"/>
    <w:rsid w:val="008C7516"/>
    <w:rsid w:val="008D45A5"/>
    <w:rsid w:val="008E2452"/>
    <w:rsid w:val="008E6CDD"/>
    <w:rsid w:val="008F3BCB"/>
    <w:rsid w:val="008F53CF"/>
    <w:rsid w:val="008F6388"/>
    <w:rsid w:val="008F6CF7"/>
    <w:rsid w:val="00917829"/>
    <w:rsid w:val="00922361"/>
    <w:rsid w:val="00922CCE"/>
    <w:rsid w:val="00923737"/>
    <w:rsid w:val="00923C66"/>
    <w:rsid w:val="0092551B"/>
    <w:rsid w:val="00934894"/>
    <w:rsid w:val="009355F7"/>
    <w:rsid w:val="00940319"/>
    <w:rsid w:val="00950A60"/>
    <w:rsid w:val="0095362B"/>
    <w:rsid w:val="00956BB1"/>
    <w:rsid w:val="00960083"/>
    <w:rsid w:val="00967F34"/>
    <w:rsid w:val="0097142D"/>
    <w:rsid w:val="00971FDA"/>
    <w:rsid w:val="00974E38"/>
    <w:rsid w:val="009871D3"/>
    <w:rsid w:val="00992616"/>
    <w:rsid w:val="00992641"/>
    <w:rsid w:val="00993672"/>
    <w:rsid w:val="009943A4"/>
    <w:rsid w:val="009A20F0"/>
    <w:rsid w:val="009A23F9"/>
    <w:rsid w:val="009A73F3"/>
    <w:rsid w:val="009B1798"/>
    <w:rsid w:val="009B1DC5"/>
    <w:rsid w:val="009B3659"/>
    <w:rsid w:val="009B4331"/>
    <w:rsid w:val="009B4E79"/>
    <w:rsid w:val="009B57EC"/>
    <w:rsid w:val="009B6BD4"/>
    <w:rsid w:val="009C4246"/>
    <w:rsid w:val="009C675E"/>
    <w:rsid w:val="009D254B"/>
    <w:rsid w:val="009E2BF7"/>
    <w:rsid w:val="009E687C"/>
    <w:rsid w:val="009F1914"/>
    <w:rsid w:val="009F511C"/>
    <w:rsid w:val="009F56C0"/>
    <w:rsid w:val="00A02168"/>
    <w:rsid w:val="00A144CC"/>
    <w:rsid w:val="00A15A6F"/>
    <w:rsid w:val="00A20174"/>
    <w:rsid w:val="00A208AB"/>
    <w:rsid w:val="00A24702"/>
    <w:rsid w:val="00A257BE"/>
    <w:rsid w:val="00A2618E"/>
    <w:rsid w:val="00A26E08"/>
    <w:rsid w:val="00A34B6C"/>
    <w:rsid w:val="00A42AFC"/>
    <w:rsid w:val="00A44935"/>
    <w:rsid w:val="00A45E07"/>
    <w:rsid w:val="00A5064E"/>
    <w:rsid w:val="00A511B0"/>
    <w:rsid w:val="00A5128A"/>
    <w:rsid w:val="00A62F91"/>
    <w:rsid w:val="00A653B4"/>
    <w:rsid w:val="00A668DB"/>
    <w:rsid w:val="00A755BD"/>
    <w:rsid w:val="00A75648"/>
    <w:rsid w:val="00A77D80"/>
    <w:rsid w:val="00A80085"/>
    <w:rsid w:val="00A80C12"/>
    <w:rsid w:val="00A877F4"/>
    <w:rsid w:val="00A9104B"/>
    <w:rsid w:val="00A93B3F"/>
    <w:rsid w:val="00AA01D2"/>
    <w:rsid w:val="00AA4E4E"/>
    <w:rsid w:val="00AB3C39"/>
    <w:rsid w:val="00AC236E"/>
    <w:rsid w:val="00AC314D"/>
    <w:rsid w:val="00AC64BC"/>
    <w:rsid w:val="00AD0971"/>
    <w:rsid w:val="00AD5980"/>
    <w:rsid w:val="00AD6A02"/>
    <w:rsid w:val="00AE3C51"/>
    <w:rsid w:val="00AF1251"/>
    <w:rsid w:val="00AF28AE"/>
    <w:rsid w:val="00AF3094"/>
    <w:rsid w:val="00AF43A7"/>
    <w:rsid w:val="00AF5A9B"/>
    <w:rsid w:val="00B06CAC"/>
    <w:rsid w:val="00B10719"/>
    <w:rsid w:val="00B118D4"/>
    <w:rsid w:val="00B11E90"/>
    <w:rsid w:val="00B2164F"/>
    <w:rsid w:val="00B21A4E"/>
    <w:rsid w:val="00B231D1"/>
    <w:rsid w:val="00B2572A"/>
    <w:rsid w:val="00B27F2F"/>
    <w:rsid w:val="00B35B12"/>
    <w:rsid w:val="00B43AD0"/>
    <w:rsid w:val="00B54406"/>
    <w:rsid w:val="00B54566"/>
    <w:rsid w:val="00B55900"/>
    <w:rsid w:val="00B55B95"/>
    <w:rsid w:val="00B55BAD"/>
    <w:rsid w:val="00B57F6F"/>
    <w:rsid w:val="00B61FC6"/>
    <w:rsid w:val="00B65122"/>
    <w:rsid w:val="00B66484"/>
    <w:rsid w:val="00B6687F"/>
    <w:rsid w:val="00B70876"/>
    <w:rsid w:val="00B755EB"/>
    <w:rsid w:val="00B812E5"/>
    <w:rsid w:val="00B84D69"/>
    <w:rsid w:val="00B84F01"/>
    <w:rsid w:val="00B9677F"/>
    <w:rsid w:val="00BA0C23"/>
    <w:rsid w:val="00BA48D5"/>
    <w:rsid w:val="00BA4999"/>
    <w:rsid w:val="00BA5AD3"/>
    <w:rsid w:val="00BB06E9"/>
    <w:rsid w:val="00BB1664"/>
    <w:rsid w:val="00BB339D"/>
    <w:rsid w:val="00BB3850"/>
    <w:rsid w:val="00BB46EA"/>
    <w:rsid w:val="00BC0930"/>
    <w:rsid w:val="00BC6E81"/>
    <w:rsid w:val="00BD1970"/>
    <w:rsid w:val="00BD4AB9"/>
    <w:rsid w:val="00BE2DB6"/>
    <w:rsid w:val="00BE3B60"/>
    <w:rsid w:val="00BE4CF0"/>
    <w:rsid w:val="00BE6197"/>
    <w:rsid w:val="00BF2625"/>
    <w:rsid w:val="00C02332"/>
    <w:rsid w:val="00C033B2"/>
    <w:rsid w:val="00C045FA"/>
    <w:rsid w:val="00C05B17"/>
    <w:rsid w:val="00C06140"/>
    <w:rsid w:val="00C07120"/>
    <w:rsid w:val="00C14B4C"/>
    <w:rsid w:val="00C15446"/>
    <w:rsid w:val="00C16990"/>
    <w:rsid w:val="00C23317"/>
    <w:rsid w:val="00C274BD"/>
    <w:rsid w:val="00C31396"/>
    <w:rsid w:val="00C41ADD"/>
    <w:rsid w:val="00C44186"/>
    <w:rsid w:val="00C45EEF"/>
    <w:rsid w:val="00C46781"/>
    <w:rsid w:val="00C467A9"/>
    <w:rsid w:val="00C47F02"/>
    <w:rsid w:val="00C50612"/>
    <w:rsid w:val="00C518C9"/>
    <w:rsid w:val="00C57C94"/>
    <w:rsid w:val="00C61ED2"/>
    <w:rsid w:val="00C63ECB"/>
    <w:rsid w:val="00C6414E"/>
    <w:rsid w:val="00C7573B"/>
    <w:rsid w:val="00C8014C"/>
    <w:rsid w:val="00C81152"/>
    <w:rsid w:val="00C90BF4"/>
    <w:rsid w:val="00C91576"/>
    <w:rsid w:val="00C9296E"/>
    <w:rsid w:val="00C94119"/>
    <w:rsid w:val="00C9473F"/>
    <w:rsid w:val="00CA053D"/>
    <w:rsid w:val="00CA1620"/>
    <w:rsid w:val="00CB386A"/>
    <w:rsid w:val="00CB6421"/>
    <w:rsid w:val="00CC0CA5"/>
    <w:rsid w:val="00CC4103"/>
    <w:rsid w:val="00CC784B"/>
    <w:rsid w:val="00CD70C0"/>
    <w:rsid w:val="00CE6820"/>
    <w:rsid w:val="00CF0FF4"/>
    <w:rsid w:val="00CF10E3"/>
    <w:rsid w:val="00CF2F50"/>
    <w:rsid w:val="00CF63C0"/>
    <w:rsid w:val="00D026CE"/>
    <w:rsid w:val="00D105BF"/>
    <w:rsid w:val="00D17069"/>
    <w:rsid w:val="00D228E3"/>
    <w:rsid w:val="00D256B0"/>
    <w:rsid w:val="00D302BC"/>
    <w:rsid w:val="00D358CC"/>
    <w:rsid w:val="00D40CE8"/>
    <w:rsid w:val="00D46B7E"/>
    <w:rsid w:val="00D50A82"/>
    <w:rsid w:val="00D528BE"/>
    <w:rsid w:val="00D564BE"/>
    <w:rsid w:val="00D6308A"/>
    <w:rsid w:val="00D63563"/>
    <w:rsid w:val="00D6415D"/>
    <w:rsid w:val="00D65960"/>
    <w:rsid w:val="00D66E2E"/>
    <w:rsid w:val="00D71D7D"/>
    <w:rsid w:val="00D737EE"/>
    <w:rsid w:val="00D80610"/>
    <w:rsid w:val="00D81429"/>
    <w:rsid w:val="00DA1F21"/>
    <w:rsid w:val="00DB4B6E"/>
    <w:rsid w:val="00DB55C5"/>
    <w:rsid w:val="00DC5575"/>
    <w:rsid w:val="00DD302E"/>
    <w:rsid w:val="00DD4E06"/>
    <w:rsid w:val="00DE14B0"/>
    <w:rsid w:val="00DE24CF"/>
    <w:rsid w:val="00DE375C"/>
    <w:rsid w:val="00DE658E"/>
    <w:rsid w:val="00DE7305"/>
    <w:rsid w:val="00DF435E"/>
    <w:rsid w:val="00E00624"/>
    <w:rsid w:val="00E023B8"/>
    <w:rsid w:val="00E106C9"/>
    <w:rsid w:val="00E11011"/>
    <w:rsid w:val="00E11D52"/>
    <w:rsid w:val="00E1521A"/>
    <w:rsid w:val="00E2353A"/>
    <w:rsid w:val="00E254B3"/>
    <w:rsid w:val="00E265CF"/>
    <w:rsid w:val="00E3012C"/>
    <w:rsid w:val="00E30E6D"/>
    <w:rsid w:val="00E314C7"/>
    <w:rsid w:val="00E329A7"/>
    <w:rsid w:val="00E3309B"/>
    <w:rsid w:val="00E33761"/>
    <w:rsid w:val="00E47194"/>
    <w:rsid w:val="00E50E06"/>
    <w:rsid w:val="00E57E9B"/>
    <w:rsid w:val="00E60620"/>
    <w:rsid w:val="00E6096F"/>
    <w:rsid w:val="00E62BCD"/>
    <w:rsid w:val="00E65595"/>
    <w:rsid w:val="00E70DFB"/>
    <w:rsid w:val="00E80A78"/>
    <w:rsid w:val="00E831CA"/>
    <w:rsid w:val="00E8681F"/>
    <w:rsid w:val="00E90931"/>
    <w:rsid w:val="00E976F7"/>
    <w:rsid w:val="00EA6750"/>
    <w:rsid w:val="00EB2438"/>
    <w:rsid w:val="00EC17B6"/>
    <w:rsid w:val="00EC5256"/>
    <w:rsid w:val="00EC5F71"/>
    <w:rsid w:val="00ED3B35"/>
    <w:rsid w:val="00ED40A4"/>
    <w:rsid w:val="00ED4216"/>
    <w:rsid w:val="00EE593E"/>
    <w:rsid w:val="00EE5AE9"/>
    <w:rsid w:val="00EF4608"/>
    <w:rsid w:val="00EF46DE"/>
    <w:rsid w:val="00EF6A3E"/>
    <w:rsid w:val="00F058E5"/>
    <w:rsid w:val="00F16A7B"/>
    <w:rsid w:val="00F431EE"/>
    <w:rsid w:val="00F4404B"/>
    <w:rsid w:val="00F54A25"/>
    <w:rsid w:val="00F55D25"/>
    <w:rsid w:val="00F72113"/>
    <w:rsid w:val="00F73187"/>
    <w:rsid w:val="00F81E79"/>
    <w:rsid w:val="00F849DF"/>
    <w:rsid w:val="00F94EDD"/>
    <w:rsid w:val="00FA3840"/>
    <w:rsid w:val="00FA52E1"/>
    <w:rsid w:val="00FB2FBC"/>
    <w:rsid w:val="00FD55C2"/>
    <w:rsid w:val="00FD5EEF"/>
    <w:rsid w:val="00FE2B47"/>
    <w:rsid w:val="00FE4559"/>
    <w:rsid w:val="00FE59B2"/>
    <w:rsid w:val="00FF1233"/>
    <w:rsid w:val="00FF1595"/>
    <w:rsid w:val="00FF26BD"/>
    <w:rsid w:val="00FF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573333"/>
  <w15:docId w15:val="{EF71BB16-B794-4707-8A00-521C69A5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rsid w:val="00271489"/>
    <w:pPr>
      <w:tabs>
        <w:tab w:val="left" w:pos="1152"/>
      </w:tabs>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9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71489"/>
    <w:pPr>
      <w:tabs>
        <w:tab w:val="left" w:pos="432"/>
      </w:tabs>
      <w:spacing w:line="240" w:lineRule="auto"/>
      <w:ind w:firstLine="432"/>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777">
      <w:bodyDiv w:val="1"/>
      <w:marLeft w:val="0"/>
      <w:marRight w:val="0"/>
      <w:marTop w:val="0"/>
      <w:marBottom w:val="0"/>
      <w:divBdr>
        <w:top w:val="none" w:sz="0" w:space="0" w:color="auto"/>
        <w:left w:val="none" w:sz="0" w:space="0" w:color="auto"/>
        <w:bottom w:val="none" w:sz="0" w:space="0" w:color="auto"/>
        <w:right w:val="none" w:sz="0" w:space="0" w:color="auto"/>
      </w:divBdr>
    </w:div>
    <w:div w:id="1068576178">
      <w:bodyDiv w:val="1"/>
      <w:marLeft w:val="0"/>
      <w:marRight w:val="0"/>
      <w:marTop w:val="0"/>
      <w:marBottom w:val="0"/>
      <w:divBdr>
        <w:top w:val="none" w:sz="0" w:space="0" w:color="auto"/>
        <w:left w:val="none" w:sz="0" w:space="0" w:color="auto"/>
        <w:bottom w:val="none" w:sz="0" w:space="0" w:color="auto"/>
        <w:right w:val="none" w:sz="0" w:space="0" w:color="auto"/>
      </w:divBdr>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aurieMay@westa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mb/inforeg/statpolicy/standards_stat_surveys.pdf" TargetMode="External"/><Relationship Id="rId2" Type="http://schemas.openxmlformats.org/officeDocument/2006/relationships/hyperlink" Target="http://www.pewinternet.org/2015/04/01/us-smartphone-use-in-2015/" TargetMode="External"/><Relationship Id="rId1" Type="http://schemas.openxmlformats.org/officeDocument/2006/relationships/hyperlink" Target="http://www.census.gov/history/pdf/2013computer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E716-4115-4B61-B7EF-92A5D7A1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5831</Words>
  <Characters>31525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Kirlin, John A. - ERS</cp:lastModifiedBy>
  <cp:revision>3</cp:revision>
  <cp:lastPrinted>2016-06-24T16:02:00Z</cp:lastPrinted>
  <dcterms:created xsi:type="dcterms:W3CDTF">2016-08-15T17:51:00Z</dcterms:created>
  <dcterms:modified xsi:type="dcterms:W3CDTF">2016-08-15T17:53:00Z</dcterms:modified>
</cp:coreProperties>
</file>