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BB0" w:rsidRPr="00BB6916" w:rsidRDefault="00636C07" w:rsidP="0085251B">
      <w:pPr>
        <w:tabs>
          <w:tab w:val="center" w:pos="4680"/>
        </w:tabs>
        <w:suppressAutoHyphens/>
        <w:spacing w:after="240"/>
        <w:jc w:val="center"/>
        <w:rPr>
          <w:rFonts w:ascii="Times New Roman" w:hAnsi="Times New Roman"/>
          <w:b/>
          <w:bCs/>
        </w:rPr>
      </w:pPr>
      <w:r w:rsidRPr="00BB6916">
        <w:rPr>
          <w:rFonts w:ascii="Times New Roman" w:hAnsi="Times New Roman"/>
          <w:b/>
          <w:bCs/>
        </w:rPr>
        <w:t>SUPPORTING STATEMENT</w:t>
      </w:r>
    </w:p>
    <w:p w:rsidR="005D2BB0" w:rsidRPr="00BB6916" w:rsidRDefault="00575604" w:rsidP="0085251B">
      <w:pPr>
        <w:spacing w:after="240"/>
        <w:jc w:val="center"/>
        <w:rPr>
          <w:rFonts w:ascii="Times New Roman" w:hAnsi="Times New Roman"/>
          <w:b/>
        </w:rPr>
      </w:pPr>
      <w:r w:rsidRPr="00BB6916">
        <w:rPr>
          <w:rFonts w:ascii="Times New Roman" w:hAnsi="Times New Roman"/>
          <w:b/>
        </w:rPr>
        <w:t>Establishing the Form and Manner with which Security-Based Swap Data Repositories Must Make Security-Based Swap Data Available to the Commission</w:t>
      </w:r>
    </w:p>
    <w:p w:rsidR="00C129FA" w:rsidRPr="00BB6916" w:rsidRDefault="00C129FA" w:rsidP="00C129FA">
      <w:pPr>
        <w:spacing w:after="240"/>
        <w:ind w:right="72" w:firstLine="720"/>
        <w:rPr>
          <w:rFonts w:ascii="Times New Roman" w:hAnsi="Times New Roman"/>
        </w:rPr>
      </w:pPr>
      <w:r w:rsidRPr="00BB6916">
        <w:rPr>
          <w:rFonts w:ascii="Times New Roman" w:hAnsi="Times New Roman"/>
          <w:spacing w:val="-3"/>
        </w:rPr>
        <w:t>T</w:t>
      </w:r>
      <w:r w:rsidRPr="00BB6916">
        <w:rPr>
          <w:rFonts w:ascii="Times New Roman" w:hAnsi="Times New Roman"/>
          <w:spacing w:val="-2"/>
        </w:rPr>
        <w:t>hi</w:t>
      </w:r>
      <w:r w:rsidRPr="00BB6916">
        <w:rPr>
          <w:rFonts w:ascii="Times New Roman" w:hAnsi="Times New Roman"/>
        </w:rPr>
        <w:t>s</w:t>
      </w:r>
      <w:r w:rsidRPr="00BB6916">
        <w:rPr>
          <w:rFonts w:ascii="Times New Roman" w:hAnsi="Times New Roman"/>
          <w:spacing w:val="-7"/>
        </w:rPr>
        <w:t xml:space="preserve"> </w:t>
      </w:r>
      <w:r w:rsidRPr="00BB6916">
        <w:rPr>
          <w:rFonts w:ascii="Times New Roman" w:hAnsi="Times New Roman"/>
          <w:spacing w:val="-2"/>
        </w:rPr>
        <w:t>su</w:t>
      </w:r>
      <w:r w:rsidRPr="00BB6916">
        <w:rPr>
          <w:rFonts w:ascii="Times New Roman" w:hAnsi="Times New Roman"/>
          <w:spacing w:val="-5"/>
        </w:rPr>
        <w:t>b</w:t>
      </w:r>
      <w:r w:rsidRPr="00BB6916">
        <w:rPr>
          <w:rFonts w:ascii="Times New Roman" w:hAnsi="Times New Roman"/>
          <w:spacing w:val="-2"/>
        </w:rPr>
        <w:t>m</w:t>
      </w:r>
      <w:r w:rsidRPr="00BB6916">
        <w:rPr>
          <w:rFonts w:ascii="Times New Roman" w:hAnsi="Times New Roman"/>
          <w:spacing w:val="-4"/>
        </w:rPr>
        <w:t>i</w:t>
      </w:r>
      <w:r w:rsidRPr="00BB6916">
        <w:rPr>
          <w:rFonts w:ascii="Times New Roman" w:hAnsi="Times New Roman"/>
          <w:spacing w:val="-2"/>
        </w:rPr>
        <w:t>ss</w:t>
      </w:r>
      <w:r w:rsidRPr="00BB6916">
        <w:rPr>
          <w:rFonts w:ascii="Times New Roman" w:hAnsi="Times New Roman"/>
          <w:spacing w:val="-4"/>
        </w:rPr>
        <w:t>i</w:t>
      </w:r>
      <w:r w:rsidRPr="00BB6916">
        <w:rPr>
          <w:rFonts w:ascii="Times New Roman" w:hAnsi="Times New Roman"/>
          <w:spacing w:val="-2"/>
        </w:rPr>
        <w:t>o</w:t>
      </w:r>
      <w:r w:rsidRPr="00BB6916">
        <w:rPr>
          <w:rFonts w:ascii="Times New Roman" w:hAnsi="Times New Roman"/>
        </w:rPr>
        <w:t>n</w:t>
      </w:r>
      <w:r w:rsidRPr="00BB6916">
        <w:rPr>
          <w:rFonts w:ascii="Times New Roman" w:hAnsi="Times New Roman"/>
          <w:spacing w:val="-7"/>
        </w:rPr>
        <w:t xml:space="preserve"> </w:t>
      </w:r>
      <w:r w:rsidRPr="00BB6916">
        <w:rPr>
          <w:rFonts w:ascii="Times New Roman" w:hAnsi="Times New Roman"/>
          <w:spacing w:val="-2"/>
        </w:rPr>
        <w:t>i</w:t>
      </w:r>
      <w:r w:rsidRPr="00BB6916">
        <w:rPr>
          <w:rFonts w:ascii="Times New Roman" w:hAnsi="Times New Roman"/>
        </w:rPr>
        <w:t>s</w:t>
      </w:r>
      <w:r w:rsidRPr="00BB6916">
        <w:rPr>
          <w:rFonts w:ascii="Times New Roman" w:hAnsi="Times New Roman"/>
          <w:spacing w:val="-5"/>
        </w:rPr>
        <w:t xml:space="preserve"> </w:t>
      </w:r>
      <w:r w:rsidRPr="00BB6916">
        <w:rPr>
          <w:rFonts w:ascii="Times New Roman" w:hAnsi="Times New Roman"/>
          <w:spacing w:val="-2"/>
        </w:rPr>
        <w:t>b</w:t>
      </w:r>
      <w:r w:rsidRPr="00BB6916">
        <w:rPr>
          <w:rFonts w:ascii="Times New Roman" w:hAnsi="Times New Roman"/>
          <w:spacing w:val="-6"/>
        </w:rPr>
        <w:t>e</w:t>
      </w:r>
      <w:r w:rsidRPr="00BB6916">
        <w:rPr>
          <w:rFonts w:ascii="Times New Roman" w:hAnsi="Times New Roman"/>
          <w:spacing w:val="-2"/>
        </w:rPr>
        <w:t>in</w:t>
      </w:r>
      <w:r w:rsidRPr="00BB6916">
        <w:rPr>
          <w:rFonts w:ascii="Times New Roman" w:hAnsi="Times New Roman"/>
        </w:rPr>
        <w:t>g</w:t>
      </w:r>
      <w:r w:rsidRPr="00BB6916">
        <w:rPr>
          <w:rFonts w:ascii="Times New Roman" w:hAnsi="Times New Roman"/>
          <w:spacing w:val="-7"/>
        </w:rPr>
        <w:t xml:space="preserve"> </w:t>
      </w:r>
      <w:r w:rsidRPr="00BB6916">
        <w:rPr>
          <w:rFonts w:ascii="Times New Roman" w:hAnsi="Times New Roman"/>
          <w:spacing w:val="-2"/>
        </w:rPr>
        <w:t>m</w:t>
      </w:r>
      <w:r w:rsidRPr="00BB6916">
        <w:rPr>
          <w:rFonts w:ascii="Times New Roman" w:hAnsi="Times New Roman"/>
          <w:spacing w:val="-3"/>
        </w:rPr>
        <w:t>a</w:t>
      </w:r>
      <w:r w:rsidRPr="00BB6916">
        <w:rPr>
          <w:rFonts w:ascii="Times New Roman" w:hAnsi="Times New Roman"/>
          <w:spacing w:val="-2"/>
        </w:rPr>
        <w:t>d</w:t>
      </w:r>
      <w:r w:rsidRPr="00BB6916">
        <w:rPr>
          <w:rFonts w:ascii="Times New Roman" w:hAnsi="Times New Roman"/>
        </w:rPr>
        <w:t>e</w:t>
      </w:r>
      <w:r w:rsidRPr="00BB6916">
        <w:rPr>
          <w:rFonts w:ascii="Times New Roman" w:hAnsi="Times New Roman"/>
          <w:spacing w:val="-6"/>
        </w:rPr>
        <w:t xml:space="preserve"> </w:t>
      </w:r>
      <w:r w:rsidRPr="00BB6916">
        <w:rPr>
          <w:rFonts w:ascii="Times New Roman" w:hAnsi="Times New Roman"/>
          <w:spacing w:val="-2"/>
        </w:rPr>
        <w:t>pu</w:t>
      </w:r>
      <w:r w:rsidRPr="00BB6916">
        <w:rPr>
          <w:rFonts w:ascii="Times New Roman" w:hAnsi="Times New Roman"/>
          <w:spacing w:val="-3"/>
        </w:rPr>
        <w:t>r</w:t>
      </w:r>
      <w:r w:rsidRPr="00BB6916">
        <w:rPr>
          <w:rFonts w:ascii="Times New Roman" w:hAnsi="Times New Roman"/>
          <w:spacing w:val="-5"/>
        </w:rPr>
        <w:t>s</w:t>
      </w:r>
      <w:r w:rsidRPr="00BB6916">
        <w:rPr>
          <w:rFonts w:ascii="Times New Roman" w:hAnsi="Times New Roman"/>
          <w:spacing w:val="-2"/>
        </w:rPr>
        <w:t>u</w:t>
      </w:r>
      <w:r w:rsidRPr="00BB6916">
        <w:rPr>
          <w:rFonts w:ascii="Times New Roman" w:hAnsi="Times New Roman"/>
          <w:spacing w:val="-3"/>
        </w:rPr>
        <w:t>a</w:t>
      </w:r>
      <w:r w:rsidRPr="00BB6916">
        <w:rPr>
          <w:rFonts w:ascii="Times New Roman" w:hAnsi="Times New Roman"/>
          <w:spacing w:val="-2"/>
        </w:rPr>
        <w:t>n</w:t>
      </w:r>
      <w:r w:rsidRPr="00BB6916">
        <w:rPr>
          <w:rFonts w:ascii="Times New Roman" w:hAnsi="Times New Roman"/>
        </w:rPr>
        <w:t>t</w:t>
      </w:r>
      <w:r w:rsidRPr="00BB6916">
        <w:rPr>
          <w:rFonts w:ascii="Times New Roman" w:hAnsi="Times New Roman"/>
          <w:spacing w:val="-7"/>
        </w:rPr>
        <w:t xml:space="preserve"> </w:t>
      </w:r>
      <w:r w:rsidRPr="00BB6916">
        <w:rPr>
          <w:rFonts w:ascii="Times New Roman" w:hAnsi="Times New Roman"/>
          <w:spacing w:val="-2"/>
        </w:rPr>
        <w:t>t</w:t>
      </w:r>
      <w:r w:rsidRPr="00BB6916">
        <w:rPr>
          <w:rFonts w:ascii="Times New Roman" w:hAnsi="Times New Roman"/>
        </w:rPr>
        <w:t>o</w:t>
      </w:r>
      <w:r w:rsidRPr="00BB6916">
        <w:rPr>
          <w:rFonts w:ascii="Times New Roman" w:hAnsi="Times New Roman"/>
          <w:spacing w:val="-7"/>
        </w:rPr>
        <w:t xml:space="preserve"> </w:t>
      </w:r>
      <w:r w:rsidRPr="00BB6916">
        <w:rPr>
          <w:rFonts w:ascii="Times New Roman" w:hAnsi="Times New Roman"/>
          <w:spacing w:val="-2"/>
        </w:rPr>
        <w:t>th</w:t>
      </w:r>
      <w:r w:rsidRPr="00BB6916">
        <w:rPr>
          <w:rFonts w:ascii="Times New Roman" w:hAnsi="Times New Roman"/>
        </w:rPr>
        <w:t>e</w:t>
      </w:r>
      <w:r w:rsidRPr="00BB6916">
        <w:rPr>
          <w:rFonts w:ascii="Times New Roman" w:hAnsi="Times New Roman"/>
          <w:spacing w:val="-8"/>
        </w:rPr>
        <w:t xml:space="preserve"> </w:t>
      </w:r>
      <w:r w:rsidRPr="00BB6916">
        <w:rPr>
          <w:rFonts w:ascii="Times New Roman" w:hAnsi="Times New Roman"/>
          <w:spacing w:val="-1"/>
        </w:rPr>
        <w:t>P</w:t>
      </w:r>
      <w:r w:rsidRPr="00BB6916">
        <w:rPr>
          <w:rFonts w:ascii="Times New Roman" w:hAnsi="Times New Roman"/>
          <w:spacing w:val="-3"/>
        </w:rPr>
        <w:t>a</w:t>
      </w:r>
      <w:r w:rsidRPr="00BB6916">
        <w:rPr>
          <w:rFonts w:ascii="Times New Roman" w:hAnsi="Times New Roman"/>
          <w:spacing w:val="-5"/>
        </w:rPr>
        <w:t>p</w:t>
      </w:r>
      <w:r w:rsidRPr="00BB6916">
        <w:rPr>
          <w:rFonts w:ascii="Times New Roman" w:hAnsi="Times New Roman"/>
          <w:spacing w:val="-3"/>
        </w:rPr>
        <w:t>erw</w:t>
      </w:r>
      <w:r w:rsidRPr="00BB6916">
        <w:rPr>
          <w:rFonts w:ascii="Times New Roman" w:hAnsi="Times New Roman"/>
          <w:spacing w:val="-2"/>
        </w:rPr>
        <w:t>o</w:t>
      </w:r>
      <w:r w:rsidRPr="00BB6916">
        <w:rPr>
          <w:rFonts w:ascii="Times New Roman" w:hAnsi="Times New Roman"/>
          <w:spacing w:val="-3"/>
        </w:rPr>
        <w:t>r</w:t>
      </w:r>
      <w:r w:rsidRPr="00BB6916">
        <w:rPr>
          <w:rFonts w:ascii="Times New Roman" w:hAnsi="Times New Roman"/>
        </w:rPr>
        <w:t>k</w:t>
      </w:r>
      <w:r w:rsidRPr="00BB6916">
        <w:rPr>
          <w:rFonts w:ascii="Times New Roman" w:hAnsi="Times New Roman"/>
          <w:spacing w:val="-5"/>
        </w:rPr>
        <w:t xml:space="preserve"> </w:t>
      </w:r>
      <w:r w:rsidRPr="00BB6916">
        <w:rPr>
          <w:rFonts w:ascii="Times New Roman" w:hAnsi="Times New Roman"/>
          <w:spacing w:val="-2"/>
        </w:rPr>
        <w:t>R</w:t>
      </w:r>
      <w:r w:rsidRPr="00BB6916">
        <w:rPr>
          <w:rFonts w:ascii="Times New Roman" w:hAnsi="Times New Roman"/>
          <w:spacing w:val="-3"/>
        </w:rPr>
        <w:t>e</w:t>
      </w:r>
      <w:r w:rsidRPr="00BB6916">
        <w:rPr>
          <w:rFonts w:ascii="Times New Roman" w:hAnsi="Times New Roman"/>
          <w:spacing w:val="-2"/>
        </w:rPr>
        <w:t>du</w:t>
      </w:r>
      <w:r w:rsidRPr="00BB6916">
        <w:rPr>
          <w:rFonts w:ascii="Times New Roman" w:hAnsi="Times New Roman"/>
          <w:spacing w:val="-6"/>
        </w:rPr>
        <w:t>c</w:t>
      </w:r>
      <w:r w:rsidRPr="00BB6916">
        <w:rPr>
          <w:rFonts w:ascii="Times New Roman" w:hAnsi="Times New Roman"/>
          <w:spacing w:val="-2"/>
        </w:rPr>
        <w:t>ti</w:t>
      </w:r>
      <w:r w:rsidRPr="00BB6916">
        <w:rPr>
          <w:rFonts w:ascii="Times New Roman" w:hAnsi="Times New Roman"/>
          <w:spacing w:val="-5"/>
        </w:rPr>
        <w:t>o</w:t>
      </w:r>
      <w:r w:rsidRPr="00BB6916">
        <w:rPr>
          <w:rFonts w:ascii="Times New Roman" w:hAnsi="Times New Roman"/>
        </w:rPr>
        <w:t>n</w:t>
      </w:r>
      <w:r w:rsidRPr="00BB6916">
        <w:rPr>
          <w:rFonts w:ascii="Times New Roman" w:hAnsi="Times New Roman"/>
          <w:spacing w:val="-5"/>
        </w:rPr>
        <w:t xml:space="preserve"> </w:t>
      </w:r>
      <w:r w:rsidRPr="00BB6916">
        <w:rPr>
          <w:rFonts w:ascii="Times New Roman" w:hAnsi="Times New Roman"/>
          <w:spacing w:val="-3"/>
        </w:rPr>
        <w:t>Ac</w:t>
      </w:r>
      <w:r w:rsidRPr="00BB6916">
        <w:rPr>
          <w:rFonts w:ascii="Times New Roman" w:hAnsi="Times New Roman"/>
        </w:rPr>
        <w:t>t</w:t>
      </w:r>
      <w:r w:rsidRPr="00BB6916">
        <w:rPr>
          <w:rFonts w:ascii="Times New Roman" w:hAnsi="Times New Roman"/>
          <w:spacing w:val="-7"/>
        </w:rPr>
        <w:t xml:space="preserve"> </w:t>
      </w:r>
      <w:r w:rsidRPr="00BB6916">
        <w:rPr>
          <w:rFonts w:ascii="Times New Roman" w:hAnsi="Times New Roman"/>
          <w:spacing w:val="-2"/>
        </w:rPr>
        <w:t>o</w:t>
      </w:r>
      <w:r w:rsidRPr="00BB6916">
        <w:rPr>
          <w:rFonts w:ascii="Times New Roman" w:hAnsi="Times New Roman"/>
        </w:rPr>
        <w:t>f</w:t>
      </w:r>
      <w:r w:rsidRPr="00BB6916">
        <w:rPr>
          <w:rFonts w:ascii="Times New Roman" w:hAnsi="Times New Roman"/>
          <w:spacing w:val="-8"/>
        </w:rPr>
        <w:t xml:space="preserve"> </w:t>
      </w:r>
      <w:r w:rsidRPr="00BB6916">
        <w:rPr>
          <w:rFonts w:ascii="Times New Roman" w:hAnsi="Times New Roman"/>
          <w:spacing w:val="-2"/>
        </w:rPr>
        <w:t>1995</w:t>
      </w:r>
      <w:r w:rsidRPr="00BB6916">
        <w:rPr>
          <w:rFonts w:ascii="Times New Roman" w:hAnsi="Times New Roman"/>
        </w:rPr>
        <w:t>,</w:t>
      </w:r>
      <w:r w:rsidRPr="00BB6916">
        <w:rPr>
          <w:rFonts w:ascii="Times New Roman" w:hAnsi="Times New Roman"/>
          <w:spacing w:val="-7"/>
        </w:rPr>
        <w:t xml:space="preserve"> </w:t>
      </w:r>
      <w:r w:rsidRPr="00BB6916">
        <w:rPr>
          <w:rFonts w:ascii="Times New Roman" w:hAnsi="Times New Roman"/>
          <w:spacing w:val="-2"/>
        </w:rPr>
        <w:t>4</w:t>
      </w:r>
      <w:r w:rsidRPr="00BB6916">
        <w:rPr>
          <w:rFonts w:ascii="Times New Roman" w:hAnsi="Times New Roman"/>
        </w:rPr>
        <w:t>4</w:t>
      </w:r>
      <w:r w:rsidRPr="00BB6916">
        <w:rPr>
          <w:rFonts w:ascii="Times New Roman" w:hAnsi="Times New Roman"/>
          <w:spacing w:val="-5"/>
        </w:rPr>
        <w:t xml:space="preserve"> </w:t>
      </w:r>
      <w:r w:rsidRPr="00BB6916">
        <w:rPr>
          <w:rFonts w:ascii="Times New Roman" w:hAnsi="Times New Roman"/>
          <w:spacing w:val="-3"/>
        </w:rPr>
        <w:t>U</w:t>
      </w:r>
      <w:r w:rsidRPr="00BB6916">
        <w:rPr>
          <w:rFonts w:ascii="Times New Roman" w:hAnsi="Times New Roman"/>
          <w:spacing w:val="-5"/>
        </w:rPr>
        <w:t>.</w:t>
      </w:r>
      <w:r w:rsidRPr="00BB6916">
        <w:rPr>
          <w:rFonts w:ascii="Times New Roman" w:hAnsi="Times New Roman"/>
          <w:spacing w:val="-1"/>
        </w:rPr>
        <w:t>S</w:t>
      </w:r>
      <w:r w:rsidRPr="00BB6916">
        <w:rPr>
          <w:rFonts w:ascii="Times New Roman" w:hAnsi="Times New Roman"/>
          <w:spacing w:val="-5"/>
        </w:rPr>
        <w:t>.</w:t>
      </w:r>
      <w:r w:rsidRPr="00BB6916">
        <w:rPr>
          <w:rFonts w:ascii="Times New Roman" w:hAnsi="Times New Roman"/>
          <w:spacing w:val="-2"/>
        </w:rPr>
        <w:t>C</w:t>
      </w:r>
      <w:r w:rsidRPr="00BB6916">
        <w:rPr>
          <w:rFonts w:ascii="Times New Roman" w:hAnsi="Times New Roman"/>
        </w:rPr>
        <w:t xml:space="preserve">. </w:t>
      </w:r>
      <w:r w:rsidRPr="00BB6916">
        <w:rPr>
          <w:rFonts w:ascii="Times New Roman" w:hAnsi="Times New Roman"/>
          <w:spacing w:val="-1"/>
        </w:rPr>
        <w:t>S</w:t>
      </w:r>
      <w:r w:rsidRPr="00BB6916">
        <w:rPr>
          <w:rFonts w:ascii="Times New Roman" w:hAnsi="Times New Roman"/>
          <w:spacing w:val="-3"/>
        </w:rPr>
        <w:t>ec</w:t>
      </w:r>
      <w:r w:rsidRPr="00BB6916">
        <w:rPr>
          <w:rFonts w:ascii="Times New Roman" w:hAnsi="Times New Roman"/>
          <w:spacing w:val="-2"/>
        </w:rPr>
        <w:t>t</w:t>
      </w:r>
      <w:r w:rsidRPr="00BB6916">
        <w:rPr>
          <w:rFonts w:ascii="Times New Roman" w:hAnsi="Times New Roman"/>
          <w:spacing w:val="-4"/>
        </w:rPr>
        <w:t>i</w:t>
      </w:r>
      <w:r w:rsidRPr="00BB6916">
        <w:rPr>
          <w:rFonts w:ascii="Times New Roman" w:hAnsi="Times New Roman"/>
          <w:spacing w:val="-2"/>
        </w:rPr>
        <w:t>o</w:t>
      </w:r>
      <w:r w:rsidRPr="00BB6916">
        <w:rPr>
          <w:rFonts w:ascii="Times New Roman" w:hAnsi="Times New Roman"/>
        </w:rPr>
        <w:t>n</w:t>
      </w:r>
      <w:r w:rsidRPr="00BB6916">
        <w:rPr>
          <w:rFonts w:ascii="Times New Roman" w:hAnsi="Times New Roman"/>
          <w:spacing w:val="-5"/>
        </w:rPr>
        <w:t xml:space="preserve"> 3</w:t>
      </w:r>
      <w:r w:rsidRPr="00BB6916">
        <w:rPr>
          <w:rFonts w:ascii="Times New Roman" w:hAnsi="Times New Roman"/>
          <w:spacing w:val="-2"/>
        </w:rPr>
        <w:t>50</w:t>
      </w:r>
      <w:r w:rsidRPr="00BB6916">
        <w:rPr>
          <w:rFonts w:ascii="Times New Roman" w:hAnsi="Times New Roman"/>
        </w:rPr>
        <w:t>1</w:t>
      </w:r>
      <w:r w:rsidRPr="00BB6916">
        <w:rPr>
          <w:rFonts w:ascii="Times New Roman" w:hAnsi="Times New Roman"/>
          <w:spacing w:val="-5"/>
        </w:rPr>
        <w:t xml:space="preserve"> </w:t>
      </w:r>
      <w:r w:rsidRPr="00BB6916">
        <w:rPr>
          <w:rFonts w:ascii="Times New Roman" w:hAnsi="Times New Roman"/>
          <w:spacing w:val="-6"/>
        </w:rPr>
        <w:t>e</w:t>
      </w:r>
      <w:r w:rsidRPr="00BB6916">
        <w:rPr>
          <w:rFonts w:ascii="Times New Roman" w:hAnsi="Times New Roman"/>
        </w:rPr>
        <w:t>t</w:t>
      </w:r>
      <w:r w:rsidRPr="00BB6916">
        <w:rPr>
          <w:rFonts w:ascii="Times New Roman" w:hAnsi="Times New Roman"/>
          <w:spacing w:val="-4"/>
        </w:rPr>
        <w:t xml:space="preserve"> </w:t>
      </w:r>
      <w:r w:rsidRPr="00BB6916">
        <w:rPr>
          <w:rFonts w:ascii="Times New Roman" w:hAnsi="Times New Roman"/>
          <w:spacing w:val="-2"/>
        </w:rPr>
        <w:t>s</w:t>
      </w:r>
      <w:r w:rsidRPr="00BB6916">
        <w:rPr>
          <w:rFonts w:ascii="Times New Roman" w:hAnsi="Times New Roman"/>
          <w:spacing w:val="-3"/>
        </w:rPr>
        <w:t>e</w:t>
      </w:r>
      <w:r w:rsidRPr="00BB6916">
        <w:rPr>
          <w:rFonts w:ascii="Times New Roman" w:hAnsi="Times New Roman"/>
          <w:spacing w:val="-5"/>
        </w:rPr>
        <w:t>q</w:t>
      </w:r>
      <w:r w:rsidRPr="00BB6916">
        <w:rPr>
          <w:rFonts w:ascii="Times New Roman" w:hAnsi="Times New Roman"/>
        </w:rPr>
        <w:t>.</w:t>
      </w:r>
    </w:p>
    <w:p w:rsidR="00385046" w:rsidRPr="00BB6916" w:rsidRDefault="00385046" w:rsidP="0085251B">
      <w:pPr>
        <w:pStyle w:val="Heading1"/>
        <w:spacing w:after="240" w:line="240" w:lineRule="auto"/>
        <w:rPr>
          <w:rFonts w:ascii="Times New Roman" w:hAnsi="Times New Roman"/>
        </w:rPr>
      </w:pPr>
      <w:r w:rsidRPr="00BB6916">
        <w:rPr>
          <w:rFonts w:ascii="Times New Roman" w:hAnsi="Times New Roman"/>
        </w:rPr>
        <w:t>A.</w:t>
      </w:r>
      <w:r w:rsidRPr="00BB6916">
        <w:rPr>
          <w:rFonts w:ascii="Times New Roman" w:hAnsi="Times New Roman"/>
        </w:rPr>
        <w:tab/>
        <w:t>JUSTIFICATION</w:t>
      </w:r>
    </w:p>
    <w:p w:rsidR="00385046" w:rsidRPr="00BB6916" w:rsidRDefault="00636C07" w:rsidP="0085251B">
      <w:pPr>
        <w:tabs>
          <w:tab w:val="left" w:pos="-720"/>
          <w:tab w:val="left" w:pos="0"/>
        </w:tabs>
        <w:suppressAutoHyphens/>
        <w:spacing w:after="240"/>
        <w:ind w:left="360"/>
        <w:rPr>
          <w:rFonts w:ascii="Times New Roman" w:hAnsi="Times New Roman"/>
          <w:b/>
          <w:bCs/>
        </w:rPr>
      </w:pPr>
      <w:r w:rsidRPr="00BB6916">
        <w:rPr>
          <w:rFonts w:ascii="Times New Roman" w:hAnsi="Times New Roman"/>
          <w:b/>
          <w:bCs/>
        </w:rPr>
        <w:tab/>
        <w:t>1.</w:t>
      </w:r>
      <w:r w:rsidRPr="00BB6916">
        <w:rPr>
          <w:rFonts w:ascii="Times New Roman" w:hAnsi="Times New Roman"/>
          <w:b/>
          <w:bCs/>
        </w:rPr>
        <w:tab/>
      </w:r>
      <w:r w:rsidR="00385046" w:rsidRPr="00BB6916">
        <w:rPr>
          <w:rFonts w:ascii="Times New Roman" w:hAnsi="Times New Roman"/>
          <w:b/>
          <w:bCs/>
        </w:rPr>
        <w:t>Necessity for the Information Collection</w:t>
      </w:r>
    </w:p>
    <w:p w:rsidR="0097618E" w:rsidRPr="00BB6916" w:rsidRDefault="00D512E3" w:rsidP="0085251B">
      <w:pPr>
        <w:spacing w:after="240"/>
        <w:ind w:firstLine="720"/>
        <w:rPr>
          <w:rFonts w:ascii="Times New Roman" w:hAnsi="Times New Roman"/>
          <w:color w:val="000000"/>
        </w:rPr>
      </w:pPr>
      <w:r w:rsidRPr="00BB6916">
        <w:rPr>
          <w:rFonts w:ascii="Times New Roman" w:hAnsi="Times New Roman"/>
          <w:color w:val="000000"/>
        </w:rPr>
        <w:t xml:space="preserve">On July 21, 2010, the President signed into law the </w:t>
      </w:r>
      <w:r w:rsidR="006E3DE1" w:rsidRPr="00BB6916">
        <w:rPr>
          <w:rFonts w:ascii="Times New Roman" w:hAnsi="Times New Roman"/>
          <w:iCs/>
        </w:rPr>
        <w:t>Dodd-Frank Wall Street Reform and Consumer Protection Act (“Dodd-Frank Act”)</w:t>
      </w:r>
      <w:r w:rsidR="006E3DE1" w:rsidRPr="00BB6916">
        <w:rPr>
          <w:rFonts w:ascii="Times New Roman" w:hAnsi="Times New Roman"/>
          <w:color w:val="000000"/>
        </w:rPr>
        <w:t>.</w:t>
      </w:r>
      <w:r w:rsidRPr="00BB6916">
        <w:rPr>
          <w:rStyle w:val="FootnoteReference"/>
          <w:rFonts w:ascii="Times New Roman" w:hAnsi="Times New Roman"/>
          <w:color w:val="000000"/>
        </w:rPr>
        <w:footnoteReference w:id="1"/>
      </w:r>
      <w:r w:rsidRPr="00BB6916">
        <w:rPr>
          <w:rFonts w:ascii="Times New Roman" w:hAnsi="Times New Roman"/>
          <w:color w:val="000000"/>
        </w:rPr>
        <w:t xml:space="preserve"> </w:t>
      </w:r>
      <w:r w:rsidR="006E3DE1" w:rsidRPr="00BB6916">
        <w:rPr>
          <w:rFonts w:ascii="Times New Roman" w:hAnsi="Times New Roman"/>
          <w:color w:val="000000"/>
        </w:rPr>
        <w:t xml:space="preserve"> </w:t>
      </w:r>
      <w:r w:rsidR="00BD260F" w:rsidRPr="00BB6916">
        <w:rPr>
          <w:rFonts w:ascii="Times New Roman" w:hAnsi="Times New Roman"/>
          <w:color w:val="000000"/>
        </w:rPr>
        <w:t>The Dodd-Frank Act amend</w:t>
      </w:r>
      <w:r w:rsidR="003E6FD0" w:rsidRPr="00BB6916">
        <w:rPr>
          <w:rFonts w:ascii="Times New Roman" w:hAnsi="Times New Roman"/>
          <w:color w:val="000000"/>
        </w:rPr>
        <w:t>ed</w:t>
      </w:r>
      <w:r w:rsidR="00BD260F" w:rsidRPr="00BB6916">
        <w:rPr>
          <w:rFonts w:ascii="Times New Roman" w:hAnsi="Times New Roman"/>
          <w:color w:val="000000"/>
        </w:rPr>
        <w:t xml:space="preserve"> the Exchange Act to require the Commission to adopt rules providing for, among other things</w:t>
      </w:r>
      <w:r w:rsidR="00575604" w:rsidRPr="00BB6916">
        <w:rPr>
          <w:rFonts w:ascii="Times New Roman" w:hAnsi="Times New Roman"/>
          <w:color w:val="000000"/>
        </w:rPr>
        <w:t>, the regulation of security-based swap data repositories (“SDRs”).</w:t>
      </w:r>
      <w:r w:rsidR="00F20F4F" w:rsidRPr="00BB6916">
        <w:rPr>
          <w:rStyle w:val="FootnoteReference"/>
          <w:rFonts w:ascii="Times New Roman" w:hAnsi="Times New Roman"/>
          <w:color w:val="000000"/>
        </w:rPr>
        <w:footnoteReference w:id="2"/>
      </w:r>
      <w:r w:rsidR="00575604" w:rsidRPr="00BB6916">
        <w:rPr>
          <w:rFonts w:ascii="Times New Roman" w:hAnsi="Times New Roman"/>
          <w:color w:val="000000"/>
        </w:rPr>
        <w:t xml:space="preserve">  </w:t>
      </w:r>
      <w:r w:rsidR="00F20F4F" w:rsidRPr="00BB6916">
        <w:rPr>
          <w:rFonts w:ascii="Times New Roman" w:hAnsi="Times New Roman"/>
          <w:color w:val="000000"/>
        </w:rPr>
        <w:t>On February 11, 2015, the Commission adopted Rule 13n-1 to 13n-1</w:t>
      </w:r>
      <w:r w:rsidR="000D715C" w:rsidRPr="00BB6916">
        <w:rPr>
          <w:rFonts w:ascii="Times New Roman" w:hAnsi="Times New Roman"/>
          <w:color w:val="000000"/>
        </w:rPr>
        <w:t>2</w:t>
      </w:r>
      <w:r w:rsidR="00F20F4F" w:rsidRPr="00BB6916">
        <w:rPr>
          <w:rFonts w:ascii="Times New Roman" w:hAnsi="Times New Roman"/>
          <w:color w:val="000000"/>
        </w:rPr>
        <w:t xml:space="preserve"> under the Exchange Act (collectively, the “SDR Rules”),</w:t>
      </w:r>
      <w:r w:rsidR="0097618E" w:rsidRPr="00BB6916">
        <w:rPr>
          <w:rStyle w:val="FootnoteReference"/>
          <w:rFonts w:ascii="Times New Roman" w:hAnsi="Times New Roman"/>
          <w:color w:val="000000"/>
        </w:rPr>
        <w:footnoteReference w:id="3"/>
      </w:r>
      <w:r w:rsidR="00F20F4F" w:rsidRPr="00BB6916">
        <w:rPr>
          <w:rFonts w:ascii="Times New Roman" w:hAnsi="Times New Roman"/>
          <w:color w:val="000000"/>
        </w:rPr>
        <w:t xml:space="preserve"> which govern SDR registration, duties, and core principles.</w:t>
      </w:r>
      <w:r w:rsidR="0097618E" w:rsidRPr="00BB6916">
        <w:rPr>
          <w:rStyle w:val="FootnoteReference"/>
          <w:rFonts w:ascii="Times New Roman" w:hAnsi="Times New Roman"/>
          <w:color w:val="000000"/>
        </w:rPr>
        <w:footnoteReference w:id="4"/>
      </w:r>
      <w:r w:rsidR="0097618E" w:rsidRPr="00BB6916">
        <w:rPr>
          <w:rFonts w:ascii="Times New Roman" w:hAnsi="Times New Roman"/>
          <w:color w:val="000000"/>
        </w:rPr>
        <w:t xml:space="preserve">  On the same day, the Commission adopted Rules 900 to 909 under the Exchange Act (collectively, “Regulation SBSR”),</w:t>
      </w:r>
      <w:r w:rsidR="0097618E" w:rsidRPr="00BB6916">
        <w:rPr>
          <w:rStyle w:val="FootnoteReference"/>
          <w:rFonts w:ascii="Times New Roman" w:hAnsi="Times New Roman"/>
          <w:color w:val="000000"/>
        </w:rPr>
        <w:footnoteReference w:id="5"/>
      </w:r>
      <w:r w:rsidR="0097618E" w:rsidRPr="00BB6916">
        <w:rPr>
          <w:rFonts w:ascii="Times New Roman" w:hAnsi="Times New Roman"/>
          <w:color w:val="000000"/>
        </w:rPr>
        <w:t xml:space="preserve"> which govern the reporting to registered SDRs of SBS data and public dissemination by registered SDRs of a subset of that data.</w:t>
      </w:r>
      <w:r w:rsidR="0097618E" w:rsidRPr="00BB6916">
        <w:rPr>
          <w:rStyle w:val="FootnoteReference"/>
          <w:rFonts w:ascii="Times New Roman" w:hAnsi="Times New Roman"/>
          <w:color w:val="000000"/>
        </w:rPr>
        <w:footnoteReference w:id="6"/>
      </w:r>
      <w:r w:rsidR="0097618E" w:rsidRPr="00BB6916">
        <w:rPr>
          <w:rFonts w:ascii="Times New Roman" w:hAnsi="Times New Roman"/>
          <w:color w:val="000000"/>
        </w:rPr>
        <w:t xml:space="preserve">  In combination, these rules represent a significant step forward in providing a regulatory framework to promote transparency and efficiency in the OTC derivatives markets and assist relevant authorities in performing their market oversight functions.</w:t>
      </w:r>
    </w:p>
    <w:p w:rsidR="00B41B0D" w:rsidRPr="00BB6916" w:rsidRDefault="0097618E" w:rsidP="0085251B">
      <w:pPr>
        <w:spacing w:after="240"/>
        <w:ind w:firstLine="720"/>
        <w:rPr>
          <w:rFonts w:ascii="Times New Roman" w:hAnsi="Times New Roman"/>
        </w:rPr>
      </w:pPr>
      <w:r w:rsidRPr="00BB6916">
        <w:rPr>
          <w:rFonts w:ascii="Times New Roman" w:hAnsi="Times New Roman"/>
          <w:color w:val="000000"/>
        </w:rPr>
        <w:t>On December 11, 2015, the Commission proposed to amend the SDR Rules to specify the form and manner with which SDRs would be required to make SBS data available to the Commission.</w:t>
      </w:r>
      <w:r w:rsidR="004F59B0" w:rsidRPr="00BB6916">
        <w:rPr>
          <w:rStyle w:val="FootnoteReference"/>
          <w:rFonts w:ascii="Times New Roman" w:hAnsi="Times New Roman"/>
          <w:color w:val="000000"/>
        </w:rPr>
        <w:footnoteReference w:id="7"/>
      </w:r>
      <w:r w:rsidRPr="00BB6916">
        <w:rPr>
          <w:rFonts w:ascii="Times New Roman" w:hAnsi="Times New Roman"/>
          <w:color w:val="000000"/>
        </w:rPr>
        <w:t xml:space="preserve">  The proposed rule would require that SBS data made available by SDRs be </w:t>
      </w:r>
      <w:r w:rsidRPr="00BB6916">
        <w:rPr>
          <w:rFonts w:ascii="Times New Roman" w:hAnsi="Times New Roman"/>
          <w:color w:val="000000"/>
        </w:rPr>
        <w:lastRenderedPageBreak/>
        <w:t>formatted and structured</w:t>
      </w:r>
      <w:r w:rsidR="004F59B0" w:rsidRPr="00BB6916">
        <w:rPr>
          <w:rFonts w:ascii="Times New Roman" w:hAnsi="Times New Roman"/>
          <w:color w:val="000000"/>
        </w:rPr>
        <w:t xml:space="preserve"> consistently to allow the Commission to accurately analyze data made available by multiple SDRs.  </w:t>
      </w:r>
      <w:r w:rsidR="004F59B0" w:rsidRPr="00BB6916">
        <w:rPr>
          <w:rFonts w:ascii="Times New Roman" w:hAnsi="Times New Roman"/>
        </w:rPr>
        <w:t>Rule 13n-4(b</w:t>
      </w:r>
      <w:proofErr w:type="gramStart"/>
      <w:r w:rsidR="004F59B0" w:rsidRPr="00BB6916">
        <w:rPr>
          <w:rFonts w:ascii="Times New Roman" w:hAnsi="Times New Roman"/>
        </w:rPr>
        <w:t>)(</w:t>
      </w:r>
      <w:proofErr w:type="gramEnd"/>
      <w:r w:rsidR="004F59B0" w:rsidRPr="00BB6916">
        <w:rPr>
          <w:rFonts w:ascii="Times New Roman" w:hAnsi="Times New Roman"/>
        </w:rPr>
        <w:t>5) under the Exchange Act</w:t>
      </w:r>
      <w:r w:rsidR="004F59B0" w:rsidRPr="00BB6916">
        <w:rPr>
          <w:rStyle w:val="FootnoteReference"/>
          <w:rFonts w:ascii="Times New Roman" w:hAnsi="Times New Roman"/>
        </w:rPr>
        <w:footnoteReference w:id="8"/>
      </w:r>
      <w:r w:rsidR="004F59B0" w:rsidRPr="00BB6916">
        <w:rPr>
          <w:rFonts w:ascii="Times New Roman" w:hAnsi="Times New Roman"/>
        </w:rPr>
        <w:t xml:space="preserve"> requires an SDR to provide direct electronic access to the Commission (or any designee of the Commission, including another registered entity).  Under Rule 13n-4(a)(5),</w:t>
      </w:r>
      <w:r w:rsidR="004F59B0" w:rsidRPr="00BB6916">
        <w:rPr>
          <w:rStyle w:val="FootnoteReference"/>
          <w:rFonts w:ascii="Times New Roman" w:hAnsi="Times New Roman"/>
        </w:rPr>
        <w:footnoteReference w:id="9"/>
      </w:r>
      <w:r w:rsidR="004F59B0" w:rsidRPr="00BB6916">
        <w:rPr>
          <w:rFonts w:ascii="Times New Roman" w:hAnsi="Times New Roman"/>
        </w:rPr>
        <w:t xml:space="preserve"> “direct electronic access” means “access, which shall be</w:t>
      </w:r>
      <w:r w:rsidR="004F59B0" w:rsidRPr="00BB6916">
        <w:rPr>
          <w:rFonts w:ascii="Times New Roman" w:hAnsi="Times New Roman"/>
          <w:i/>
        </w:rPr>
        <w:t xml:space="preserve"> </w:t>
      </w:r>
      <w:r w:rsidR="004F59B0" w:rsidRPr="00BB6916">
        <w:rPr>
          <w:rFonts w:ascii="Times New Roman" w:hAnsi="Times New Roman"/>
          <w:i/>
          <w:u w:val="single"/>
        </w:rPr>
        <w:t>in a form and manner acceptable to the Commission</w:t>
      </w:r>
      <w:r w:rsidR="004F59B0" w:rsidRPr="00BB6916">
        <w:rPr>
          <w:rFonts w:ascii="Times New Roman" w:hAnsi="Times New Roman"/>
        </w:rPr>
        <w:t xml:space="preserve">, to data stored by a security-based swap data repository in an electronic format and updated at the same time as the security-based swap data repository’s data is updated so as to provide the Commission or any of its designees with the ability to query or analyze the data in the same manner that the security-based swap data repository can query or analyze the data” (emphasis added).  The Commission proposes to amend Rule 13n-4(a) to specify the form and manner with which SDRs must provide direct electronic access to the Commission by requiring SDRs to comply with an appropriate schema as will be published on the Commission’s website.  The Commission is currently aware of only two industry standards for representing SBS data:  </w:t>
      </w:r>
      <w:proofErr w:type="spellStart"/>
      <w:r w:rsidR="004F59B0" w:rsidRPr="00BB6916">
        <w:rPr>
          <w:rFonts w:ascii="Times New Roman" w:hAnsi="Times New Roman"/>
        </w:rPr>
        <w:t>FpML</w:t>
      </w:r>
      <w:proofErr w:type="spellEnd"/>
      <w:r w:rsidR="004F59B0" w:rsidRPr="00BB6916">
        <w:rPr>
          <w:rFonts w:ascii="Times New Roman" w:hAnsi="Times New Roman"/>
        </w:rPr>
        <w:t xml:space="preserve"> (Financial products Markup Language) and FIXML (Financial Information </w:t>
      </w:r>
      <w:proofErr w:type="spellStart"/>
      <w:r w:rsidR="004F59B0" w:rsidRPr="00BB6916">
        <w:rPr>
          <w:rFonts w:ascii="Times New Roman" w:hAnsi="Times New Roman"/>
        </w:rPr>
        <w:t>eXchange</w:t>
      </w:r>
      <w:proofErr w:type="spellEnd"/>
      <w:r w:rsidR="004F59B0" w:rsidRPr="00BB6916">
        <w:rPr>
          <w:rFonts w:ascii="Times New Roman" w:hAnsi="Times New Roman"/>
        </w:rPr>
        <w:t xml:space="preserve"> Markup Language).  The Commission is proposing to accommodate both industry standards by specifying that either of two distinct schemas would satisfy the requirements of Rule 13n-4.  </w:t>
      </w:r>
    </w:p>
    <w:p w:rsidR="00385046" w:rsidRPr="00BB6916" w:rsidRDefault="00636C07" w:rsidP="0085251B">
      <w:pPr>
        <w:tabs>
          <w:tab w:val="left" w:pos="-720"/>
          <w:tab w:val="left" w:pos="0"/>
        </w:tabs>
        <w:suppressAutoHyphens/>
        <w:spacing w:after="240"/>
        <w:ind w:left="720"/>
        <w:rPr>
          <w:rFonts w:ascii="Times New Roman" w:hAnsi="Times New Roman"/>
          <w:b/>
          <w:bCs/>
        </w:rPr>
      </w:pPr>
      <w:r w:rsidRPr="00BB6916">
        <w:rPr>
          <w:rFonts w:ascii="Times New Roman" w:hAnsi="Times New Roman"/>
          <w:b/>
          <w:bCs/>
        </w:rPr>
        <w:t>2.</w:t>
      </w:r>
      <w:r w:rsidRPr="00BB6916">
        <w:rPr>
          <w:rFonts w:ascii="Times New Roman" w:hAnsi="Times New Roman"/>
          <w:b/>
          <w:bCs/>
        </w:rPr>
        <w:tab/>
      </w:r>
      <w:r w:rsidR="00385046" w:rsidRPr="00BB6916">
        <w:rPr>
          <w:rFonts w:ascii="Times New Roman" w:hAnsi="Times New Roman"/>
          <w:b/>
          <w:bCs/>
        </w:rPr>
        <w:t>Purpose of the Information Collection</w:t>
      </w:r>
    </w:p>
    <w:p w:rsidR="000D715C" w:rsidRPr="00BB6916" w:rsidRDefault="000D715C" w:rsidP="0085251B">
      <w:pPr>
        <w:spacing w:after="240"/>
        <w:rPr>
          <w:rFonts w:ascii="Times New Roman" w:hAnsi="Times New Roman"/>
        </w:rPr>
      </w:pPr>
      <w:r w:rsidRPr="00BB6916">
        <w:rPr>
          <w:rFonts w:ascii="Times New Roman" w:hAnsi="Times New Roman"/>
        </w:rPr>
        <w:tab/>
        <w:t xml:space="preserve">The SDR Rules are part of the Commission’s overall program of administering the SDR requirements of the Exchange Act.  The Commission will use the information collected </w:t>
      </w:r>
      <w:r w:rsidR="00E90F91" w:rsidRPr="00BB6916">
        <w:rPr>
          <w:rFonts w:ascii="Times New Roman" w:hAnsi="Times New Roman"/>
        </w:rPr>
        <w:t xml:space="preserve">help ensure an orderly and transparent SBS market as well as provide the Commission with tools to help oversee the market.  </w:t>
      </w:r>
    </w:p>
    <w:p w:rsidR="00385046" w:rsidRPr="00BB6916" w:rsidRDefault="00385046" w:rsidP="0085251B">
      <w:pPr>
        <w:pStyle w:val="BodyTextIndent"/>
        <w:spacing w:after="240"/>
        <w:ind w:firstLine="0"/>
        <w:rPr>
          <w:rFonts w:ascii="Times New Roman" w:hAnsi="Times New Roman"/>
        </w:rPr>
      </w:pPr>
      <w:r w:rsidRPr="00BB6916">
        <w:rPr>
          <w:rFonts w:ascii="Times New Roman" w:hAnsi="Times New Roman"/>
        </w:rPr>
        <w:t>3.</w:t>
      </w:r>
      <w:r w:rsidRPr="00BB6916">
        <w:rPr>
          <w:rFonts w:ascii="Times New Roman" w:hAnsi="Times New Roman"/>
        </w:rPr>
        <w:tab/>
        <w:t>Role of Improved Information Technology</w:t>
      </w:r>
    </w:p>
    <w:p w:rsidR="00E90F91" w:rsidRPr="00BB6916" w:rsidRDefault="00385046" w:rsidP="0085251B">
      <w:pPr>
        <w:spacing w:after="240"/>
        <w:rPr>
          <w:rFonts w:ascii="Times New Roman" w:hAnsi="Times New Roman"/>
        </w:rPr>
      </w:pPr>
      <w:r w:rsidRPr="00BB6916">
        <w:rPr>
          <w:rFonts w:ascii="Times New Roman" w:hAnsi="Times New Roman"/>
        </w:rPr>
        <w:tab/>
      </w:r>
      <w:r w:rsidR="000D715C" w:rsidRPr="00BB6916">
        <w:rPr>
          <w:rFonts w:ascii="Times New Roman" w:hAnsi="Times New Roman"/>
        </w:rPr>
        <w:t xml:space="preserve">The SDR Rules are drafted to utilize as much information technology as possible in collecting the information.  </w:t>
      </w:r>
      <w:r w:rsidR="00E90F91" w:rsidRPr="00BB6916">
        <w:rPr>
          <w:rFonts w:ascii="Times New Roman" w:hAnsi="Times New Roman"/>
        </w:rPr>
        <w:t>Specifically, Rule 13n-4(b</w:t>
      </w:r>
      <w:proofErr w:type="gramStart"/>
      <w:r w:rsidR="00E90F91" w:rsidRPr="00BB6916">
        <w:rPr>
          <w:rFonts w:ascii="Times New Roman" w:hAnsi="Times New Roman"/>
        </w:rPr>
        <w:t>)(</w:t>
      </w:r>
      <w:proofErr w:type="gramEnd"/>
      <w:r w:rsidR="00E90F91" w:rsidRPr="00BB6916">
        <w:rPr>
          <w:rFonts w:ascii="Times New Roman" w:hAnsi="Times New Roman"/>
        </w:rPr>
        <w:t>5) requires that an SDR provide the Commission, or any designee of the Commission, with direct electronic access.  By designating the use of the two currently available industry standards for representing SBS data</w:t>
      </w:r>
      <w:r w:rsidR="006B78C5" w:rsidRPr="00BB6916">
        <w:rPr>
          <w:rFonts w:ascii="Times New Roman" w:hAnsi="Times New Roman"/>
        </w:rPr>
        <w:t xml:space="preserve">, </w:t>
      </w:r>
      <w:proofErr w:type="spellStart"/>
      <w:r w:rsidR="00E90F91" w:rsidRPr="00BB6916">
        <w:rPr>
          <w:rFonts w:ascii="Times New Roman" w:hAnsi="Times New Roman"/>
        </w:rPr>
        <w:t>FpML</w:t>
      </w:r>
      <w:proofErr w:type="spellEnd"/>
      <w:r w:rsidR="00E90F91" w:rsidRPr="00BB6916">
        <w:rPr>
          <w:rFonts w:ascii="Times New Roman" w:hAnsi="Times New Roman"/>
        </w:rPr>
        <w:t xml:space="preserve"> and FIXML, the Commission seeks to accommodate both industry standards, either of which would satisfy the requirements of Rule 13n-4.  The Commission preliminarily believes that each schema would facilitate the consistent reporting of SBS transaction characteristics, such as the counterparties, associated other parties, and corresponding terms of payments.</w:t>
      </w:r>
    </w:p>
    <w:p w:rsidR="00385046" w:rsidRPr="00BB6916" w:rsidRDefault="00385046" w:rsidP="0085251B">
      <w:pPr>
        <w:tabs>
          <w:tab w:val="left" w:pos="-720"/>
          <w:tab w:val="left" w:pos="0"/>
        </w:tabs>
        <w:suppressAutoHyphens/>
        <w:spacing w:after="240"/>
        <w:ind w:left="720"/>
        <w:rPr>
          <w:rFonts w:ascii="Times New Roman" w:hAnsi="Times New Roman"/>
          <w:b/>
          <w:bCs/>
        </w:rPr>
      </w:pPr>
      <w:r w:rsidRPr="00BB6916">
        <w:rPr>
          <w:rFonts w:ascii="Times New Roman" w:hAnsi="Times New Roman"/>
          <w:b/>
          <w:bCs/>
        </w:rPr>
        <w:t>4.</w:t>
      </w:r>
      <w:r w:rsidRPr="00BB6916">
        <w:rPr>
          <w:rFonts w:ascii="Times New Roman" w:hAnsi="Times New Roman"/>
          <w:b/>
          <w:bCs/>
        </w:rPr>
        <w:tab/>
        <w:t>Effo</w:t>
      </w:r>
      <w:r w:rsidR="00636C07" w:rsidRPr="00BB6916">
        <w:rPr>
          <w:rFonts w:ascii="Times New Roman" w:hAnsi="Times New Roman"/>
          <w:b/>
          <w:bCs/>
        </w:rPr>
        <w:t>rts to Identify Duplication</w:t>
      </w:r>
    </w:p>
    <w:p w:rsidR="005D2BB0" w:rsidRPr="00BB6916" w:rsidRDefault="00385046" w:rsidP="0085251B">
      <w:pPr>
        <w:tabs>
          <w:tab w:val="left" w:pos="-720"/>
        </w:tabs>
        <w:suppressAutoHyphens/>
        <w:spacing w:after="240"/>
        <w:rPr>
          <w:rFonts w:ascii="Times New Roman" w:hAnsi="Times New Roman"/>
          <w:spacing w:val="-3"/>
        </w:rPr>
      </w:pPr>
      <w:r w:rsidRPr="00BB6916">
        <w:rPr>
          <w:rFonts w:ascii="Times New Roman" w:hAnsi="Times New Roman"/>
        </w:rPr>
        <w:tab/>
      </w:r>
      <w:r w:rsidR="00CB5127" w:rsidRPr="00BB6916">
        <w:rPr>
          <w:rFonts w:ascii="Times New Roman" w:hAnsi="Times New Roman"/>
          <w:spacing w:val="-3"/>
        </w:rPr>
        <w:t xml:space="preserve">Section 712(a)(2) of the Dodd-Frank Act provides that, before commencing any rulemaking regarding, among other things, </w:t>
      </w:r>
      <w:r w:rsidR="0065571E" w:rsidRPr="00BB6916">
        <w:rPr>
          <w:rFonts w:ascii="Times New Roman" w:hAnsi="Times New Roman"/>
          <w:spacing w:val="-3"/>
        </w:rPr>
        <w:t>security-based swap</w:t>
      </w:r>
      <w:r w:rsidR="00CB5127" w:rsidRPr="00BB6916">
        <w:rPr>
          <w:rFonts w:ascii="Times New Roman" w:hAnsi="Times New Roman"/>
          <w:spacing w:val="-3"/>
        </w:rPr>
        <w:t xml:space="preserve">s or </w:t>
      </w:r>
      <w:r w:rsidR="0093697E" w:rsidRPr="00BB6916">
        <w:rPr>
          <w:rFonts w:ascii="Times New Roman" w:hAnsi="Times New Roman"/>
          <w:spacing w:val="-3"/>
        </w:rPr>
        <w:t xml:space="preserve">registered </w:t>
      </w:r>
      <w:r w:rsidR="00CB5127" w:rsidRPr="00BB6916">
        <w:rPr>
          <w:rFonts w:ascii="Times New Roman" w:hAnsi="Times New Roman"/>
          <w:spacing w:val="-3"/>
        </w:rPr>
        <w:t>SDRs, the Commission must consult and coordinate with the Commodity Futures Trading Commission (“CFTC”) and other prudential regulators for the purposes of assuring regulatory consistency and comparability, to the extent possible.</w:t>
      </w:r>
      <w:r w:rsidR="00A54120" w:rsidRPr="00BB6916">
        <w:rPr>
          <w:rFonts w:ascii="Times New Roman" w:hAnsi="Times New Roman"/>
          <w:spacing w:val="-3"/>
        </w:rPr>
        <w:t xml:space="preserve"> </w:t>
      </w:r>
      <w:r w:rsidR="00736A92" w:rsidRPr="00BB6916">
        <w:rPr>
          <w:rFonts w:ascii="Times New Roman" w:hAnsi="Times New Roman"/>
        </w:rPr>
        <w:t xml:space="preserve"> </w:t>
      </w:r>
      <w:r w:rsidR="006B78C5" w:rsidRPr="00BB6916">
        <w:rPr>
          <w:rFonts w:ascii="Times New Roman" w:hAnsi="Times New Roman"/>
        </w:rPr>
        <w:t xml:space="preserve">Any person that is required to be registered as an SDR under Exchange Act </w:t>
      </w:r>
      <w:r w:rsidR="006B78C5" w:rsidRPr="00BB6916">
        <w:rPr>
          <w:rFonts w:ascii="Times New Roman" w:hAnsi="Times New Roman"/>
        </w:rPr>
        <w:lastRenderedPageBreak/>
        <w:t xml:space="preserve">Section 13(n) must register with the Commission (absent an exemption), regardless of whether that person is also registered with the CFTC under the Commodities Exchange Act as a swap data repository.  The Commission believes that a person that registers with the Commission as an SDR is likely to also register with the CFTC as a swap data repository.  </w:t>
      </w:r>
      <w:r w:rsidR="00736A92" w:rsidRPr="00BB6916">
        <w:rPr>
          <w:rFonts w:ascii="Times New Roman" w:hAnsi="Times New Roman"/>
        </w:rPr>
        <w:t xml:space="preserve">As a result, the Commission staff and the CFTC staff have consulted and coordinated with one another regarding their respective Commissions’ rules regarding </w:t>
      </w:r>
      <w:r w:rsidR="006B78C5" w:rsidRPr="00BB6916">
        <w:rPr>
          <w:rFonts w:ascii="Times New Roman" w:hAnsi="Times New Roman"/>
        </w:rPr>
        <w:t>SDRs and swap data repositories</w:t>
      </w:r>
      <w:r w:rsidR="00736A92" w:rsidRPr="00BB6916">
        <w:rPr>
          <w:rFonts w:ascii="Times New Roman" w:hAnsi="Times New Roman"/>
        </w:rPr>
        <w:t>.  The Commission staff has also consulted and coordinated with other prudential regulators.</w:t>
      </w:r>
    </w:p>
    <w:p w:rsidR="00385046" w:rsidRPr="00BB6916" w:rsidRDefault="00385046" w:rsidP="0085251B">
      <w:pPr>
        <w:keepNext/>
        <w:tabs>
          <w:tab w:val="left" w:pos="-720"/>
          <w:tab w:val="left" w:pos="0"/>
        </w:tabs>
        <w:suppressAutoHyphens/>
        <w:spacing w:after="240"/>
        <w:ind w:left="720"/>
        <w:rPr>
          <w:rFonts w:ascii="Times New Roman" w:hAnsi="Times New Roman"/>
        </w:rPr>
      </w:pPr>
      <w:r w:rsidRPr="00BB6916">
        <w:rPr>
          <w:rFonts w:ascii="Times New Roman" w:hAnsi="Times New Roman"/>
          <w:b/>
          <w:bCs/>
        </w:rPr>
        <w:t>5.</w:t>
      </w:r>
      <w:r w:rsidRPr="00BB6916">
        <w:rPr>
          <w:rFonts w:ascii="Times New Roman" w:hAnsi="Times New Roman"/>
          <w:b/>
          <w:bCs/>
        </w:rPr>
        <w:tab/>
        <w:t>Effect on Small Entities</w:t>
      </w:r>
    </w:p>
    <w:p w:rsidR="00385046" w:rsidRPr="00BB6916" w:rsidRDefault="00385046" w:rsidP="0085251B">
      <w:pPr>
        <w:tabs>
          <w:tab w:val="left" w:pos="-720"/>
        </w:tabs>
        <w:suppressAutoHyphens/>
        <w:spacing w:after="240"/>
        <w:rPr>
          <w:rFonts w:ascii="Times New Roman" w:hAnsi="Times New Roman"/>
        </w:rPr>
      </w:pPr>
      <w:r w:rsidRPr="00BB6916">
        <w:rPr>
          <w:rFonts w:ascii="Times New Roman" w:hAnsi="Times New Roman"/>
        </w:rPr>
        <w:tab/>
        <w:t xml:space="preserve">Not applicable. </w:t>
      </w:r>
      <w:r w:rsidR="002C400B" w:rsidRPr="00BB6916">
        <w:rPr>
          <w:rFonts w:ascii="Times New Roman" w:hAnsi="Times New Roman"/>
        </w:rPr>
        <w:t xml:space="preserve"> </w:t>
      </w:r>
      <w:r w:rsidR="00AF7963" w:rsidRPr="00BB6916">
        <w:rPr>
          <w:rFonts w:ascii="Times New Roman" w:hAnsi="Times New Roman"/>
        </w:rPr>
        <w:t xml:space="preserve">The proposed amendments to </w:t>
      </w:r>
      <w:r w:rsidR="004931BF" w:rsidRPr="00BB6916">
        <w:rPr>
          <w:rFonts w:ascii="Times New Roman" w:hAnsi="Times New Roman"/>
        </w:rPr>
        <w:t xml:space="preserve">Rule 13n-4(a) </w:t>
      </w:r>
      <w:r w:rsidR="008919B9" w:rsidRPr="00BB6916">
        <w:rPr>
          <w:rFonts w:ascii="Times New Roman" w:hAnsi="Times New Roman"/>
        </w:rPr>
        <w:t>will</w:t>
      </w:r>
      <w:r w:rsidR="00A07294" w:rsidRPr="00BB6916">
        <w:rPr>
          <w:rFonts w:ascii="Times New Roman" w:hAnsi="Times New Roman"/>
        </w:rPr>
        <w:t xml:space="preserve"> not have a significant economic impact on a substantial number of small entities.</w:t>
      </w:r>
    </w:p>
    <w:p w:rsidR="00385046" w:rsidRPr="00BB6916" w:rsidRDefault="00385046" w:rsidP="0085251B">
      <w:pPr>
        <w:tabs>
          <w:tab w:val="left" w:pos="-720"/>
          <w:tab w:val="left" w:pos="0"/>
        </w:tabs>
        <w:suppressAutoHyphens/>
        <w:spacing w:after="240"/>
        <w:ind w:left="720"/>
        <w:rPr>
          <w:rFonts w:ascii="Times New Roman" w:hAnsi="Times New Roman"/>
        </w:rPr>
      </w:pPr>
      <w:r w:rsidRPr="00BB6916">
        <w:rPr>
          <w:rFonts w:ascii="Times New Roman" w:hAnsi="Times New Roman"/>
          <w:b/>
          <w:bCs/>
        </w:rPr>
        <w:t>6.</w:t>
      </w:r>
      <w:r w:rsidRPr="00BB6916">
        <w:rPr>
          <w:rFonts w:ascii="Times New Roman" w:hAnsi="Times New Roman"/>
          <w:b/>
          <w:bCs/>
        </w:rPr>
        <w:tab/>
        <w:t xml:space="preserve">Consequences of </w:t>
      </w:r>
      <w:r w:rsidR="00636C07" w:rsidRPr="00BB6916">
        <w:rPr>
          <w:rFonts w:ascii="Times New Roman" w:hAnsi="Times New Roman"/>
          <w:b/>
          <w:bCs/>
        </w:rPr>
        <w:t>Less Frequent Collection</w:t>
      </w:r>
    </w:p>
    <w:p w:rsidR="00385046" w:rsidRPr="00BB6916" w:rsidRDefault="00385046" w:rsidP="0085251B">
      <w:pPr>
        <w:tabs>
          <w:tab w:val="left" w:pos="-720"/>
        </w:tabs>
        <w:suppressAutoHyphens/>
        <w:spacing w:after="240"/>
        <w:rPr>
          <w:rFonts w:ascii="Times New Roman" w:hAnsi="Times New Roman"/>
        </w:rPr>
      </w:pPr>
      <w:r w:rsidRPr="00BB6916">
        <w:rPr>
          <w:rFonts w:ascii="Times New Roman" w:hAnsi="Times New Roman"/>
        </w:rPr>
        <w:tab/>
      </w:r>
      <w:r w:rsidR="00BC2531" w:rsidRPr="00BB6916">
        <w:rPr>
          <w:rFonts w:ascii="Times New Roman" w:hAnsi="Times New Roman"/>
        </w:rPr>
        <w:t>C</w:t>
      </w:r>
      <w:r w:rsidRPr="00BB6916">
        <w:rPr>
          <w:rFonts w:ascii="Times New Roman" w:hAnsi="Times New Roman"/>
        </w:rPr>
        <w:t xml:space="preserve">ollecting the information </w:t>
      </w:r>
      <w:r w:rsidR="00BC2531" w:rsidRPr="00BB6916">
        <w:rPr>
          <w:rFonts w:ascii="Times New Roman" w:hAnsi="Times New Roman"/>
        </w:rPr>
        <w:t xml:space="preserve">on a less frequent basis </w:t>
      </w:r>
      <w:r w:rsidRPr="00BB6916">
        <w:rPr>
          <w:rFonts w:ascii="Times New Roman" w:hAnsi="Times New Roman"/>
        </w:rPr>
        <w:t xml:space="preserve">would </w:t>
      </w:r>
      <w:r w:rsidR="00BC2531" w:rsidRPr="00BB6916">
        <w:rPr>
          <w:rFonts w:ascii="Times New Roman" w:hAnsi="Times New Roman"/>
        </w:rPr>
        <w:t xml:space="preserve">frustrate the </w:t>
      </w:r>
      <w:r w:rsidR="004931BF" w:rsidRPr="00BB6916">
        <w:rPr>
          <w:rFonts w:ascii="Times New Roman" w:hAnsi="Times New Roman"/>
        </w:rPr>
        <w:t>ability of the Commission to analyze SBS data and surveil the SBS market.</w:t>
      </w:r>
    </w:p>
    <w:p w:rsidR="005D2BB0" w:rsidRPr="00BB6916" w:rsidRDefault="00385046" w:rsidP="0085251B">
      <w:pPr>
        <w:pStyle w:val="BodyTextIndent"/>
        <w:keepNext w:val="0"/>
        <w:keepLines w:val="0"/>
        <w:spacing w:after="240"/>
        <w:ind w:firstLine="0"/>
        <w:rPr>
          <w:rFonts w:ascii="Times New Roman" w:hAnsi="Times New Roman"/>
        </w:rPr>
      </w:pPr>
      <w:r w:rsidRPr="00BB6916">
        <w:rPr>
          <w:rFonts w:ascii="Times New Roman" w:hAnsi="Times New Roman"/>
        </w:rPr>
        <w:t>7.</w:t>
      </w:r>
      <w:r w:rsidRPr="00BB6916">
        <w:rPr>
          <w:rFonts w:ascii="Times New Roman" w:hAnsi="Times New Roman"/>
        </w:rPr>
        <w:tab/>
        <w:t>Inconsistencies with Guidelines in 5 CFR 1320.5(d</w:t>
      </w:r>
      <w:proofErr w:type="gramStart"/>
      <w:r w:rsidRPr="00BB6916">
        <w:rPr>
          <w:rFonts w:ascii="Times New Roman" w:hAnsi="Times New Roman"/>
        </w:rPr>
        <w:t>)(</w:t>
      </w:r>
      <w:proofErr w:type="gramEnd"/>
      <w:r w:rsidRPr="00BB6916">
        <w:rPr>
          <w:rFonts w:ascii="Times New Roman" w:hAnsi="Times New Roman"/>
        </w:rPr>
        <w:t>2)</w:t>
      </w:r>
    </w:p>
    <w:p w:rsidR="00DD115E" w:rsidRPr="00BB6916" w:rsidRDefault="005A431E" w:rsidP="0085251B">
      <w:pPr>
        <w:tabs>
          <w:tab w:val="left" w:pos="-720"/>
        </w:tabs>
        <w:suppressAutoHyphens/>
        <w:spacing w:after="240"/>
        <w:rPr>
          <w:rFonts w:ascii="Times New Roman" w:hAnsi="Times New Roman"/>
        </w:rPr>
      </w:pPr>
      <w:r w:rsidRPr="00BB6916">
        <w:rPr>
          <w:rFonts w:ascii="Times New Roman" w:hAnsi="Times New Roman"/>
        </w:rPr>
        <w:tab/>
      </w:r>
      <w:r w:rsidR="00FA562D" w:rsidRPr="00BB6916">
        <w:rPr>
          <w:rFonts w:ascii="Times New Roman" w:hAnsi="Times New Roman"/>
        </w:rPr>
        <w:t>5 CFR 1320.5(d</w:t>
      </w:r>
      <w:proofErr w:type="gramStart"/>
      <w:r w:rsidR="00FA562D" w:rsidRPr="00BB6916">
        <w:rPr>
          <w:rFonts w:ascii="Times New Roman" w:hAnsi="Times New Roman"/>
        </w:rPr>
        <w:t>)(</w:t>
      </w:r>
      <w:proofErr w:type="gramEnd"/>
      <w:r w:rsidR="00FA562D" w:rsidRPr="00BB6916">
        <w:rPr>
          <w:rFonts w:ascii="Times New Roman" w:hAnsi="Times New Roman"/>
        </w:rPr>
        <w:t xml:space="preserve">2) requires an agency to demonstrate, in its submission for OMB clearance, that </w:t>
      </w:r>
      <w:r w:rsidR="00EF75B4" w:rsidRPr="00BB6916">
        <w:rPr>
          <w:rFonts w:ascii="Times New Roman" w:hAnsi="Times New Roman"/>
        </w:rPr>
        <w:t xml:space="preserve">the reporting of information more often than quarterly is necessary to satisfy statutory requirements or other substantial need.  </w:t>
      </w:r>
      <w:r w:rsidR="005F3491" w:rsidRPr="00BB6916">
        <w:rPr>
          <w:rFonts w:ascii="Times New Roman" w:hAnsi="Times New Roman"/>
        </w:rPr>
        <w:t xml:space="preserve">Sections 763 and 766 of the </w:t>
      </w:r>
      <w:r w:rsidR="005F3491" w:rsidRPr="00BB6916">
        <w:rPr>
          <w:rFonts w:ascii="Times New Roman" w:hAnsi="Times New Roman"/>
          <w:color w:val="000000"/>
        </w:rPr>
        <w:t xml:space="preserve">Dodd-Frank Act amend the Exchange Act to require the Commission to adopt rules providing for, among other things (i) the reporting of </w:t>
      </w:r>
      <w:r w:rsidR="0065571E" w:rsidRPr="00BB6916">
        <w:rPr>
          <w:rFonts w:ascii="Times New Roman" w:hAnsi="Times New Roman"/>
          <w:color w:val="000000"/>
        </w:rPr>
        <w:t>security-based swap</w:t>
      </w:r>
      <w:r w:rsidR="005F3491" w:rsidRPr="00BB6916">
        <w:rPr>
          <w:rFonts w:ascii="Times New Roman" w:hAnsi="Times New Roman"/>
          <w:color w:val="000000"/>
        </w:rPr>
        <w:t xml:space="preserve">s to an SDR or to the Commission; and (ii) real-time public dissemination of </w:t>
      </w:r>
      <w:r w:rsidR="0065571E" w:rsidRPr="00BB6916">
        <w:rPr>
          <w:rFonts w:ascii="Times New Roman" w:hAnsi="Times New Roman"/>
          <w:color w:val="000000"/>
        </w:rPr>
        <w:t>security-based swap</w:t>
      </w:r>
      <w:r w:rsidR="005F3491" w:rsidRPr="00BB6916">
        <w:rPr>
          <w:rFonts w:ascii="Times New Roman" w:hAnsi="Times New Roman"/>
          <w:color w:val="000000"/>
        </w:rPr>
        <w:t xml:space="preserve"> transaction, volume, and pricing information.  Although the Dodd-Frank Act did not stipulate how often the reporting of </w:t>
      </w:r>
      <w:r w:rsidR="0065571E" w:rsidRPr="00BB6916">
        <w:rPr>
          <w:rFonts w:ascii="Times New Roman" w:hAnsi="Times New Roman"/>
          <w:color w:val="000000"/>
        </w:rPr>
        <w:t>security-based swap</w:t>
      </w:r>
      <w:r w:rsidR="005F3491" w:rsidRPr="00BB6916">
        <w:rPr>
          <w:rFonts w:ascii="Times New Roman" w:hAnsi="Times New Roman"/>
          <w:color w:val="000000"/>
        </w:rPr>
        <w:t>s to an SDR or to the Commission must occur, the Dodd-Frank Act did stipulate that real-time public dissemination must occur “as soon as technologically practicable after the time at which the [SBS] transaction has been executed.”</w:t>
      </w:r>
      <w:r w:rsidR="005F3491" w:rsidRPr="00BB6916">
        <w:rPr>
          <w:rStyle w:val="FootnoteReference"/>
          <w:rFonts w:ascii="Times New Roman" w:hAnsi="Times New Roman"/>
          <w:color w:val="000000"/>
        </w:rPr>
        <w:footnoteReference w:id="10"/>
      </w:r>
      <w:r w:rsidR="005F3491" w:rsidRPr="00BB6916">
        <w:rPr>
          <w:rFonts w:ascii="Times New Roman" w:hAnsi="Times New Roman"/>
          <w:color w:val="000000"/>
        </w:rPr>
        <w:t xml:space="preserve">  </w:t>
      </w:r>
      <w:r w:rsidR="006B78C5" w:rsidRPr="00BB6916">
        <w:rPr>
          <w:rFonts w:ascii="Times New Roman" w:hAnsi="Times New Roman"/>
        </w:rPr>
        <w:t>Rule 13n-4(b</w:t>
      </w:r>
      <w:proofErr w:type="gramStart"/>
      <w:r w:rsidR="006B78C5" w:rsidRPr="00BB6916">
        <w:rPr>
          <w:rFonts w:ascii="Times New Roman" w:hAnsi="Times New Roman"/>
        </w:rPr>
        <w:t>)(</w:t>
      </w:r>
      <w:proofErr w:type="gramEnd"/>
      <w:r w:rsidR="006B78C5" w:rsidRPr="00BB6916">
        <w:rPr>
          <w:rFonts w:ascii="Times New Roman" w:hAnsi="Times New Roman"/>
        </w:rPr>
        <w:t xml:space="preserve">5) requires an SDR to provide direct electronic access to the Commission (or any designee of the Commission, including another registered entity).  The Commission reviewed the time taken to update both </w:t>
      </w:r>
      <w:proofErr w:type="spellStart"/>
      <w:r w:rsidR="006B78C5" w:rsidRPr="00BB6916">
        <w:rPr>
          <w:rFonts w:ascii="Times New Roman" w:hAnsi="Times New Roman"/>
        </w:rPr>
        <w:t>FpML</w:t>
      </w:r>
      <w:proofErr w:type="spellEnd"/>
      <w:r w:rsidR="006B78C5" w:rsidRPr="00BB6916">
        <w:rPr>
          <w:rFonts w:ascii="Times New Roman" w:hAnsi="Times New Roman"/>
        </w:rPr>
        <w:t xml:space="preserve"> and FIXML and estimated that an update requires on average 304 days.  </w:t>
      </w:r>
      <w:r w:rsidR="00D6792C" w:rsidRPr="00BB6916">
        <w:rPr>
          <w:rFonts w:ascii="Times New Roman" w:hAnsi="Times New Roman"/>
        </w:rPr>
        <w:t xml:space="preserve">While SBS reporting will occur more often than quarterly, </w:t>
      </w:r>
      <w:r w:rsidR="006B78C5" w:rsidRPr="00BB6916">
        <w:rPr>
          <w:rFonts w:ascii="Times New Roman" w:hAnsi="Times New Roman"/>
          <w:color w:val="000000"/>
        </w:rPr>
        <w:t xml:space="preserve">the Commission does not believe the amendments </w:t>
      </w:r>
      <w:r w:rsidR="00D6792C" w:rsidRPr="00BB6916">
        <w:rPr>
          <w:rFonts w:ascii="Times New Roman" w:hAnsi="Times New Roman"/>
          <w:color w:val="000000"/>
        </w:rPr>
        <w:t xml:space="preserve">to Rule 13n-4(b)(5), by itself, </w:t>
      </w:r>
      <w:r w:rsidR="006B78C5" w:rsidRPr="00BB6916">
        <w:rPr>
          <w:rFonts w:ascii="Times New Roman" w:hAnsi="Times New Roman"/>
          <w:color w:val="000000"/>
        </w:rPr>
        <w:t>will require reporting more often than quarterly.</w:t>
      </w:r>
    </w:p>
    <w:p w:rsidR="00385046" w:rsidRPr="00BB6916" w:rsidRDefault="00385046" w:rsidP="0085251B">
      <w:pPr>
        <w:tabs>
          <w:tab w:val="left" w:pos="-720"/>
          <w:tab w:val="left" w:pos="0"/>
        </w:tabs>
        <w:suppressAutoHyphens/>
        <w:spacing w:after="240"/>
        <w:ind w:left="720"/>
        <w:rPr>
          <w:rFonts w:ascii="Times New Roman" w:hAnsi="Times New Roman"/>
        </w:rPr>
      </w:pPr>
      <w:r w:rsidRPr="00BB6916">
        <w:rPr>
          <w:rFonts w:ascii="Times New Roman" w:hAnsi="Times New Roman"/>
          <w:b/>
          <w:bCs/>
        </w:rPr>
        <w:t>8.</w:t>
      </w:r>
      <w:r w:rsidRPr="00BB6916">
        <w:rPr>
          <w:rFonts w:ascii="Times New Roman" w:hAnsi="Times New Roman"/>
          <w:b/>
          <w:bCs/>
        </w:rPr>
        <w:tab/>
        <w:t xml:space="preserve">Consultation </w:t>
      </w:r>
      <w:proofErr w:type="gramStart"/>
      <w:r w:rsidRPr="00BB6916">
        <w:rPr>
          <w:rFonts w:ascii="Times New Roman" w:hAnsi="Times New Roman"/>
          <w:b/>
          <w:bCs/>
        </w:rPr>
        <w:t>Outside</w:t>
      </w:r>
      <w:proofErr w:type="gramEnd"/>
      <w:r w:rsidRPr="00BB6916">
        <w:rPr>
          <w:rFonts w:ascii="Times New Roman" w:hAnsi="Times New Roman"/>
          <w:b/>
          <w:bCs/>
        </w:rPr>
        <w:t xml:space="preserve"> the Agency</w:t>
      </w:r>
    </w:p>
    <w:p w:rsidR="00385046" w:rsidRPr="00BB6916" w:rsidRDefault="00385046" w:rsidP="0085251B">
      <w:pPr>
        <w:tabs>
          <w:tab w:val="left" w:pos="-720"/>
        </w:tabs>
        <w:suppressAutoHyphens/>
        <w:spacing w:after="240"/>
        <w:rPr>
          <w:rFonts w:ascii="Times New Roman" w:hAnsi="Times New Roman"/>
        </w:rPr>
      </w:pPr>
      <w:r w:rsidRPr="00BB6916">
        <w:rPr>
          <w:rFonts w:ascii="Times New Roman" w:hAnsi="Times New Roman"/>
        </w:rPr>
        <w:tab/>
        <w:t xml:space="preserve">The Commission </w:t>
      </w:r>
      <w:r w:rsidR="00BC2531" w:rsidRPr="00BB6916">
        <w:rPr>
          <w:rFonts w:ascii="Times New Roman" w:hAnsi="Times New Roman"/>
        </w:rPr>
        <w:t>has coordinat</w:t>
      </w:r>
      <w:r w:rsidR="008B45D8" w:rsidRPr="00BB6916">
        <w:rPr>
          <w:rFonts w:ascii="Times New Roman" w:hAnsi="Times New Roman"/>
        </w:rPr>
        <w:t>ed</w:t>
      </w:r>
      <w:r w:rsidR="00BC2531" w:rsidRPr="00BB6916">
        <w:rPr>
          <w:rFonts w:ascii="Times New Roman" w:hAnsi="Times New Roman"/>
        </w:rPr>
        <w:t xml:space="preserve"> extensively with </w:t>
      </w:r>
      <w:r w:rsidR="005D2BB0" w:rsidRPr="00BB6916">
        <w:rPr>
          <w:rFonts w:ascii="Times New Roman" w:hAnsi="Times New Roman"/>
        </w:rPr>
        <w:t>the CFTC</w:t>
      </w:r>
      <w:r w:rsidR="005872BB" w:rsidRPr="00BB6916">
        <w:rPr>
          <w:rFonts w:ascii="Times New Roman" w:hAnsi="Times New Roman"/>
        </w:rPr>
        <w:t>, other federal financial regulators,</w:t>
      </w:r>
      <w:r w:rsidR="005D2BB0" w:rsidRPr="00BB6916">
        <w:rPr>
          <w:rFonts w:ascii="Times New Roman" w:hAnsi="Times New Roman"/>
        </w:rPr>
        <w:t xml:space="preserve"> as well as various participants in the swaps industry in formulating </w:t>
      </w:r>
      <w:r w:rsidR="00D6792C" w:rsidRPr="00BB6916">
        <w:rPr>
          <w:rFonts w:ascii="Times New Roman" w:hAnsi="Times New Roman"/>
        </w:rPr>
        <w:t>the proposed amendments</w:t>
      </w:r>
      <w:r w:rsidR="004219EE" w:rsidRPr="00BB6916">
        <w:rPr>
          <w:rFonts w:ascii="Times New Roman" w:hAnsi="Times New Roman"/>
        </w:rPr>
        <w:t>.</w:t>
      </w:r>
      <w:r w:rsidR="00A07294" w:rsidRPr="00BB6916">
        <w:rPr>
          <w:rFonts w:ascii="Times New Roman" w:hAnsi="Times New Roman"/>
        </w:rPr>
        <w:t xml:space="preserve">  Further, the Commission has </w:t>
      </w:r>
      <w:r w:rsidR="00D6792C" w:rsidRPr="00BB6916">
        <w:rPr>
          <w:rFonts w:ascii="Times New Roman" w:hAnsi="Times New Roman"/>
        </w:rPr>
        <w:t xml:space="preserve">incorporated the past experiences of the CFTC regarding their swap data collection efforts, and consulted with both the CFTC and U.S. Department of the Treasury’s Office of Financial Research regarding draft technical documentation, including the FIXML and </w:t>
      </w:r>
      <w:proofErr w:type="spellStart"/>
      <w:r w:rsidR="00D6792C" w:rsidRPr="00BB6916">
        <w:rPr>
          <w:rFonts w:ascii="Times New Roman" w:hAnsi="Times New Roman"/>
        </w:rPr>
        <w:t>FpML</w:t>
      </w:r>
      <w:proofErr w:type="spellEnd"/>
      <w:r w:rsidR="00D6792C" w:rsidRPr="00BB6916">
        <w:rPr>
          <w:rFonts w:ascii="Times New Roman" w:hAnsi="Times New Roman"/>
        </w:rPr>
        <w:t xml:space="preserve"> schemas.  More generally, as part of the </w:t>
      </w:r>
      <w:r w:rsidR="00D6792C" w:rsidRPr="00BB6916">
        <w:rPr>
          <w:rFonts w:ascii="Times New Roman" w:hAnsi="Times New Roman"/>
        </w:rPr>
        <w:lastRenderedPageBreak/>
        <w:t xml:space="preserve">Commission’s coordination efforts, Commission </w:t>
      </w:r>
      <w:proofErr w:type="gramStart"/>
      <w:r w:rsidR="00D6792C" w:rsidRPr="00BB6916">
        <w:rPr>
          <w:rFonts w:ascii="Times New Roman" w:hAnsi="Times New Roman"/>
        </w:rPr>
        <w:t>staff continue</w:t>
      </w:r>
      <w:proofErr w:type="gramEnd"/>
      <w:r w:rsidR="00D6792C" w:rsidRPr="00BB6916">
        <w:rPr>
          <w:rFonts w:ascii="Times New Roman" w:hAnsi="Times New Roman"/>
        </w:rPr>
        <w:t xml:space="preserve"> to participate in bilateral and multilateral discussions, task forces, and working groups on data harmonization and the regulation of OTC derivatives.</w:t>
      </w:r>
    </w:p>
    <w:p w:rsidR="00385046" w:rsidRPr="00BB6916" w:rsidRDefault="00385046" w:rsidP="0085251B">
      <w:pPr>
        <w:tabs>
          <w:tab w:val="left" w:pos="-720"/>
          <w:tab w:val="left" w:pos="0"/>
        </w:tabs>
        <w:suppressAutoHyphens/>
        <w:spacing w:after="240"/>
        <w:ind w:left="720"/>
        <w:rPr>
          <w:rFonts w:ascii="Times New Roman" w:hAnsi="Times New Roman"/>
        </w:rPr>
      </w:pPr>
      <w:r w:rsidRPr="00BB6916">
        <w:rPr>
          <w:rFonts w:ascii="Times New Roman" w:hAnsi="Times New Roman"/>
          <w:b/>
          <w:bCs/>
        </w:rPr>
        <w:t>9.</w:t>
      </w:r>
      <w:r w:rsidRPr="00BB6916">
        <w:rPr>
          <w:rFonts w:ascii="Times New Roman" w:hAnsi="Times New Roman"/>
          <w:b/>
          <w:bCs/>
        </w:rPr>
        <w:tab/>
        <w:t>Payment or Gift to Respondents</w:t>
      </w:r>
    </w:p>
    <w:p w:rsidR="00385046" w:rsidRPr="00BB6916" w:rsidRDefault="00385046" w:rsidP="0085251B">
      <w:pPr>
        <w:tabs>
          <w:tab w:val="left" w:pos="-720"/>
        </w:tabs>
        <w:suppressAutoHyphens/>
        <w:spacing w:after="240"/>
        <w:rPr>
          <w:rFonts w:ascii="Times New Roman" w:hAnsi="Times New Roman"/>
        </w:rPr>
      </w:pPr>
      <w:r w:rsidRPr="00BB6916">
        <w:rPr>
          <w:rFonts w:ascii="Times New Roman" w:hAnsi="Times New Roman"/>
        </w:rPr>
        <w:tab/>
        <w:t>Not applicable.</w:t>
      </w:r>
    </w:p>
    <w:p w:rsidR="00385046" w:rsidRPr="00BB6916" w:rsidRDefault="00636C07" w:rsidP="0085251B">
      <w:pPr>
        <w:tabs>
          <w:tab w:val="left" w:pos="-720"/>
          <w:tab w:val="left" w:pos="0"/>
        </w:tabs>
        <w:suppressAutoHyphens/>
        <w:spacing w:after="240"/>
        <w:ind w:left="720"/>
        <w:rPr>
          <w:rFonts w:ascii="Times New Roman" w:hAnsi="Times New Roman"/>
        </w:rPr>
      </w:pPr>
      <w:r w:rsidRPr="00BB6916">
        <w:rPr>
          <w:rFonts w:ascii="Times New Roman" w:hAnsi="Times New Roman"/>
          <w:b/>
          <w:bCs/>
        </w:rPr>
        <w:t>10.</w:t>
      </w:r>
      <w:r w:rsidRPr="00BB6916">
        <w:rPr>
          <w:rFonts w:ascii="Times New Roman" w:hAnsi="Times New Roman"/>
          <w:b/>
          <w:bCs/>
        </w:rPr>
        <w:tab/>
        <w:t>Assurance</w:t>
      </w:r>
      <w:r w:rsidR="00385046" w:rsidRPr="00BB6916">
        <w:rPr>
          <w:rFonts w:ascii="Times New Roman" w:hAnsi="Times New Roman"/>
          <w:b/>
          <w:bCs/>
        </w:rPr>
        <w:t xml:space="preserve"> of Confidentiality</w:t>
      </w:r>
    </w:p>
    <w:p w:rsidR="00385046" w:rsidRPr="00BB6916" w:rsidRDefault="00DE0D47" w:rsidP="0085251B">
      <w:pPr>
        <w:tabs>
          <w:tab w:val="left" w:pos="-720"/>
        </w:tabs>
        <w:suppressAutoHyphens/>
        <w:spacing w:after="240"/>
        <w:rPr>
          <w:rFonts w:ascii="Times New Roman" w:hAnsi="Times New Roman"/>
        </w:rPr>
      </w:pPr>
      <w:r w:rsidRPr="00BB6916">
        <w:rPr>
          <w:rFonts w:ascii="Times New Roman" w:hAnsi="Times New Roman"/>
        </w:rPr>
        <w:tab/>
      </w:r>
      <w:r w:rsidR="00CB5127" w:rsidRPr="00BB6916">
        <w:rPr>
          <w:rFonts w:ascii="Times New Roman" w:hAnsi="Times New Roman"/>
        </w:rPr>
        <w:t xml:space="preserve">Some information collected </w:t>
      </w:r>
      <w:r w:rsidR="00D6792C" w:rsidRPr="00BB6916">
        <w:rPr>
          <w:rFonts w:ascii="Times New Roman" w:hAnsi="Times New Roman"/>
        </w:rPr>
        <w:t xml:space="preserve">by SDRs </w:t>
      </w:r>
      <w:r w:rsidR="00CB5127" w:rsidRPr="00BB6916">
        <w:rPr>
          <w:rFonts w:ascii="Times New Roman" w:hAnsi="Times New Roman"/>
        </w:rPr>
        <w:t xml:space="preserve">pursuant to Regulation SBSR </w:t>
      </w:r>
      <w:r w:rsidR="008919B9" w:rsidRPr="00BB6916">
        <w:rPr>
          <w:rFonts w:ascii="Times New Roman" w:hAnsi="Times New Roman"/>
        </w:rPr>
        <w:t>will</w:t>
      </w:r>
      <w:r w:rsidR="00CB5127" w:rsidRPr="00BB6916">
        <w:rPr>
          <w:rFonts w:ascii="Times New Roman" w:hAnsi="Times New Roman"/>
        </w:rPr>
        <w:t xml:space="preserve"> be widely available to the extent it is information that is required to be publicly disseminated</w:t>
      </w:r>
      <w:r w:rsidR="005872BB" w:rsidRPr="00BB6916">
        <w:rPr>
          <w:rFonts w:ascii="Times New Roman" w:hAnsi="Times New Roman"/>
        </w:rPr>
        <w:t xml:space="preserve"> by a registered SDR</w:t>
      </w:r>
      <w:r w:rsidR="00CB5127" w:rsidRPr="00BB6916">
        <w:rPr>
          <w:rFonts w:ascii="Times New Roman" w:hAnsi="Times New Roman"/>
        </w:rPr>
        <w:t xml:space="preserve">.  However, </w:t>
      </w:r>
      <w:r w:rsidR="0093697E" w:rsidRPr="00BB6916">
        <w:rPr>
          <w:rFonts w:ascii="Times New Roman" w:hAnsi="Times New Roman"/>
        </w:rPr>
        <w:t xml:space="preserve">registered </w:t>
      </w:r>
      <w:r w:rsidR="00CB5127" w:rsidRPr="00BB6916">
        <w:rPr>
          <w:rFonts w:ascii="Times New Roman" w:hAnsi="Times New Roman"/>
        </w:rPr>
        <w:t xml:space="preserve">SDRs are generally under an obligation to maintain the confidentiality of </w:t>
      </w:r>
      <w:r w:rsidR="00711CA3" w:rsidRPr="00BB6916">
        <w:rPr>
          <w:rFonts w:ascii="Times New Roman" w:hAnsi="Times New Roman"/>
        </w:rPr>
        <w:t xml:space="preserve">the other reported </w:t>
      </w:r>
      <w:r w:rsidR="00CB5127" w:rsidRPr="00BB6916">
        <w:rPr>
          <w:rFonts w:ascii="Times New Roman" w:hAnsi="Times New Roman"/>
        </w:rPr>
        <w:t xml:space="preserve">information collected pursuant to </w:t>
      </w:r>
      <w:r w:rsidR="00D6792C" w:rsidRPr="00BB6916">
        <w:rPr>
          <w:rFonts w:ascii="Times New Roman" w:hAnsi="Times New Roman"/>
        </w:rPr>
        <w:t>Regulation SBSR</w:t>
      </w:r>
      <w:r w:rsidR="00CB5127" w:rsidRPr="00BB6916">
        <w:rPr>
          <w:rFonts w:ascii="Times New Roman" w:hAnsi="Times New Roman"/>
        </w:rPr>
        <w:t xml:space="preserve">.  To the extent that the Commission receives </w:t>
      </w:r>
      <w:r w:rsidR="00D6792C" w:rsidRPr="00BB6916">
        <w:rPr>
          <w:rFonts w:ascii="Times New Roman" w:hAnsi="Times New Roman"/>
        </w:rPr>
        <w:t xml:space="preserve">direct electronic access to </w:t>
      </w:r>
      <w:r w:rsidR="00CB5127" w:rsidRPr="00BB6916">
        <w:rPr>
          <w:rFonts w:ascii="Times New Roman" w:hAnsi="Times New Roman"/>
        </w:rPr>
        <w:t>confidential information pursuant to</w:t>
      </w:r>
      <w:r w:rsidR="00E232A4" w:rsidRPr="00BB6916">
        <w:rPr>
          <w:rFonts w:ascii="Times New Roman" w:hAnsi="Times New Roman"/>
        </w:rPr>
        <w:t xml:space="preserve"> </w:t>
      </w:r>
      <w:r w:rsidR="00CB5127" w:rsidRPr="00BB6916">
        <w:rPr>
          <w:rFonts w:ascii="Times New Roman" w:hAnsi="Times New Roman"/>
        </w:rPr>
        <w:t xml:space="preserve">Regulation SBSR, such information </w:t>
      </w:r>
      <w:r w:rsidR="008919B9" w:rsidRPr="00BB6916">
        <w:rPr>
          <w:rFonts w:ascii="Times New Roman" w:hAnsi="Times New Roman"/>
        </w:rPr>
        <w:t>will</w:t>
      </w:r>
      <w:r w:rsidR="00CB5127" w:rsidRPr="00BB6916">
        <w:rPr>
          <w:rFonts w:ascii="Times New Roman" w:hAnsi="Times New Roman"/>
        </w:rPr>
        <w:t xml:space="preserve"> be kept confidential, subject to the provisions of the Freedom of Information Act</w:t>
      </w:r>
      <w:r w:rsidR="00F32EAE" w:rsidRPr="00BB6916">
        <w:rPr>
          <w:rFonts w:ascii="Times New Roman" w:hAnsi="Times New Roman"/>
        </w:rPr>
        <w:t>.</w:t>
      </w:r>
    </w:p>
    <w:p w:rsidR="00385046" w:rsidRPr="00BB6916" w:rsidRDefault="00385046" w:rsidP="0085251B">
      <w:pPr>
        <w:tabs>
          <w:tab w:val="left" w:pos="-720"/>
          <w:tab w:val="left" w:pos="0"/>
        </w:tabs>
        <w:suppressAutoHyphens/>
        <w:spacing w:after="240"/>
        <w:ind w:left="720"/>
        <w:rPr>
          <w:rFonts w:ascii="Times New Roman" w:hAnsi="Times New Roman"/>
          <w:b/>
          <w:bCs/>
        </w:rPr>
      </w:pPr>
      <w:r w:rsidRPr="00BB6916">
        <w:rPr>
          <w:rFonts w:ascii="Times New Roman" w:hAnsi="Times New Roman"/>
          <w:b/>
          <w:bCs/>
        </w:rPr>
        <w:t>11.</w:t>
      </w:r>
      <w:r w:rsidRPr="00BB6916">
        <w:rPr>
          <w:rFonts w:ascii="Times New Roman" w:hAnsi="Times New Roman"/>
          <w:b/>
          <w:bCs/>
        </w:rPr>
        <w:tab/>
        <w:t>Sensitive Questions</w:t>
      </w:r>
    </w:p>
    <w:p w:rsidR="00A40C25" w:rsidRPr="00BB6916" w:rsidRDefault="00385046" w:rsidP="0085251B">
      <w:pPr>
        <w:tabs>
          <w:tab w:val="left" w:pos="-720"/>
        </w:tabs>
        <w:suppressAutoHyphens/>
        <w:spacing w:after="240"/>
        <w:rPr>
          <w:rFonts w:ascii="Times New Roman" w:hAnsi="Times New Roman"/>
        </w:rPr>
      </w:pPr>
      <w:r w:rsidRPr="00BB6916">
        <w:rPr>
          <w:rFonts w:ascii="Times New Roman" w:hAnsi="Times New Roman"/>
        </w:rPr>
        <w:tab/>
      </w:r>
      <w:r w:rsidR="00B45376" w:rsidRPr="00BB6916">
        <w:rPr>
          <w:rFonts w:ascii="Times New Roman" w:hAnsi="Times New Roman"/>
        </w:rPr>
        <w:t>As discussed above in Item 10, the collection of information will not include Personally Identifiable Information (“PII”).</w:t>
      </w:r>
      <w:r w:rsidR="00A40C25" w:rsidRPr="00BB6916">
        <w:rPr>
          <w:rStyle w:val="FootnoteReference"/>
          <w:rFonts w:ascii="Times New Roman" w:hAnsi="Times New Roman"/>
        </w:rPr>
        <w:t xml:space="preserve"> </w:t>
      </w:r>
      <w:r w:rsidR="00A40C25" w:rsidRPr="00BB6916">
        <w:rPr>
          <w:rStyle w:val="FootnoteReference"/>
          <w:rFonts w:ascii="Times New Roman" w:hAnsi="Times New Roman"/>
        </w:rPr>
        <w:footnoteReference w:id="11"/>
      </w:r>
      <w:r w:rsidR="00B45376" w:rsidRPr="00BB6916">
        <w:rPr>
          <w:rFonts w:ascii="Times New Roman" w:hAnsi="Times New Roman"/>
        </w:rPr>
        <w:t xml:space="preserve">  </w:t>
      </w:r>
    </w:p>
    <w:p w:rsidR="00414D16" w:rsidRPr="00BB6916" w:rsidRDefault="00414D16" w:rsidP="0085251B">
      <w:pPr>
        <w:tabs>
          <w:tab w:val="left" w:pos="-720"/>
          <w:tab w:val="left" w:pos="0"/>
        </w:tabs>
        <w:suppressAutoHyphens/>
        <w:spacing w:after="240"/>
        <w:ind w:left="720"/>
        <w:rPr>
          <w:rFonts w:ascii="Times New Roman" w:hAnsi="Times New Roman"/>
        </w:rPr>
      </w:pPr>
      <w:r w:rsidRPr="00BB6916">
        <w:rPr>
          <w:rFonts w:ascii="Times New Roman" w:hAnsi="Times New Roman"/>
          <w:b/>
          <w:bCs/>
        </w:rPr>
        <w:t>12.</w:t>
      </w:r>
      <w:r w:rsidRPr="00BB6916">
        <w:rPr>
          <w:rFonts w:ascii="Times New Roman" w:hAnsi="Times New Roman"/>
          <w:b/>
          <w:bCs/>
        </w:rPr>
        <w:tab/>
        <w:t>Estimate of Reporting Burden</w:t>
      </w:r>
    </w:p>
    <w:p w:rsidR="00793E1A" w:rsidRPr="00BB6916" w:rsidRDefault="00793E1A" w:rsidP="0085251B">
      <w:pPr>
        <w:tabs>
          <w:tab w:val="left" w:pos="-720"/>
        </w:tabs>
        <w:suppressAutoHyphens/>
        <w:spacing w:after="240"/>
        <w:rPr>
          <w:rFonts w:ascii="Times New Roman" w:hAnsi="Times New Roman"/>
        </w:rPr>
      </w:pPr>
      <w:r w:rsidRPr="00BB6916">
        <w:rPr>
          <w:rFonts w:ascii="Times New Roman" w:hAnsi="Times New Roman"/>
        </w:rPr>
        <w:tab/>
        <w:t xml:space="preserve">The total reporting burden for </w:t>
      </w:r>
      <w:r w:rsidR="004931BF" w:rsidRPr="00BB6916">
        <w:rPr>
          <w:rFonts w:ascii="Times New Roman" w:hAnsi="Times New Roman"/>
        </w:rPr>
        <w:t>Rule 13n-4(b)(5)</w:t>
      </w:r>
      <w:r w:rsidR="008F0C76" w:rsidRPr="00BB6916">
        <w:rPr>
          <w:rFonts w:ascii="Times New Roman" w:hAnsi="Times New Roman"/>
        </w:rPr>
        <w:t xml:space="preserve">, as </w:t>
      </w:r>
      <w:r w:rsidR="0091295D" w:rsidRPr="00BB6916">
        <w:rPr>
          <w:rFonts w:ascii="Times New Roman" w:hAnsi="Times New Roman"/>
        </w:rPr>
        <w:t>proposed to be amended</w:t>
      </w:r>
      <w:r w:rsidR="008F0C76" w:rsidRPr="00BB6916">
        <w:rPr>
          <w:rFonts w:ascii="Times New Roman" w:hAnsi="Times New Roman"/>
        </w:rPr>
        <w:t>,</w:t>
      </w:r>
      <w:r w:rsidRPr="00BB6916">
        <w:rPr>
          <w:rFonts w:ascii="Times New Roman" w:hAnsi="Times New Roman"/>
        </w:rPr>
        <w:t xml:space="preserve"> for all </w:t>
      </w:r>
      <w:r w:rsidR="004931BF" w:rsidRPr="00BB6916">
        <w:rPr>
          <w:rFonts w:ascii="Times New Roman" w:hAnsi="Times New Roman"/>
        </w:rPr>
        <w:t>SDRs</w:t>
      </w:r>
      <w:r w:rsidRPr="00BB6916">
        <w:rPr>
          <w:rFonts w:ascii="Times New Roman" w:hAnsi="Times New Roman"/>
        </w:rPr>
        <w:t xml:space="preserve"> is </w:t>
      </w:r>
      <w:r w:rsidR="004931BF" w:rsidRPr="00BB6916">
        <w:rPr>
          <w:rFonts w:ascii="Times New Roman" w:hAnsi="Times New Roman"/>
        </w:rPr>
        <w:t>4725</w:t>
      </w:r>
      <w:r w:rsidR="00CF50BA" w:rsidRPr="00BB6916">
        <w:rPr>
          <w:rFonts w:ascii="Times New Roman" w:hAnsi="Times New Roman"/>
        </w:rPr>
        <w:t xml:space="preserve"> </w:t>
      </w:r>
      <w:r w:rsidRPr="00BB6916">
        <w:rPr>
          <w:rFonts w:ascii="Times New Roman" w:hAnsi="Times New Roman"/>
        </w:rPr>
        <w:t>hours initially</w:t>
      </w:r>
      <w:r w:rsidR="004931BF" w:rsidRPr="00BB6916">
        <w:rPr>
          <w:rFonts w:ascii="Times New Roman" w:hAnsi="Times New Roman"/>
        </w:rPr>
        <w:t xml:space="preserve"> and would not create any new annual burden that has not already been accounted for in the previously approved SDR Rules.</w:t>
      </w:r>
      <w:r w:rsidR="004931BF" w:rsidRPr="00BB6916" w:rsidDel="004931BF">
        <w:rPr>
          <w:rFonts w:ascii="Times New Roman" w:hAnsi="Times New Roman"/>
        </w:rPr>
        <w:t xml:space="preserve"> </w:t>
      </w:r>
      <w:r w:rsidRPr="00BB6916">
        <w:rPr>
          <w:rFonts w:ascii="Times New Roman" w:hAnsi="Times New Roman"/>
        </w:rPr>
        <w:t xml:space="preserve">  This burden is </w:t>
      </w:r>
      <w:r w:rsidR="004931BF" w:rsidRPr="00BB6916">
        <w:rPr>
          <w:rFonts w:ascii="Times New Roman" w:hAnsi="Times New Roman"/>
        </w:rPr>
        <w:t>further detailed</w:t>
      </w:r>
      <w:r w:rsidR="001529EB" w:rsidRPr="00BB6916">
        <w:rPr>
          <w:rFonts w:ascii="Times New Roman" w:hAnsi="Times New Roman"/>
        </w:rPr>
        <w:t xml:space="preserve"> as follows.</w:t>
      </w:r>
    </w:p>
    <w:p w:rsidR="001529EB" w:rsidRPr="00BB6916" w:rsidRDefault="001529EB" w:rsidP="0085251B">
      <w:pPr>
        <w:suppressLineNumbers/>
        <w:suppressAutoHyphens/>
        <w:spacing w:after="240"/>
        <w:ind w:firstLine="720"/>
        <w:rPr>
          <w:rFonts w:ascii="Times New Roman" w:hAnsi="Times New Roman"/>
        </w:rPr>
      </w:pPr>
      <w:r w:rsidRPr="00BB6916">
        <w:rPr>
          <w:rFonts w:ascii="Times New Roman" w:hAnsi="Times New Roman"/>
        </w:rPr>
        <w:t xml:space="preserve">The Commission preliminarily believes that registered SDRs are likely to already accept transaction data from reporting persons who submit trade information using </w:t>
      </w:r>
      <w:proofErr w:type="spellStart"/>
      <w:r w:rsidRPr="00BB6916">
        <w:rPr>
          <w:rFonts w:ascii="Times New Roman" w:hAnsi="Times New Roman"/>
        </w:rPr>
        <w:t>FpML</w:t>
      </w:r>
      <w:proofErr w:type="spellEnd"/>
      <w:r w:rsidRPr="00BB6916">
        <w:rPr>
          <w:rFonts w:ascii="Times New Roman" w:hAnsi="Times New Roman"/>
        </w:rPr>
        <w:t xml:space="preserve"> and FIXML reporting standards.  However, the Commission preliminarily believes that, as a result of the proposed amendment, registered SDRs may incur certain burdens associated with implementing policies, procedures, and information systems to ensure that SBS data made available to the Commission is in a form and manner that satisfies the requirements laid out in the schemas.  The Commission preliminarily believes that these incremental burdens are likely to be related to ensuring that the data elements that constitute the common data model are represented using the appropriate FIXML or </w:t>
      </w:r>
      <w:proofErr w:type="spellStart"/>
      <w:r w:rsidRPr="00BB6916">
        <w:rPr>
          <w:rFonts w:ascii="Times New Roman" w:hAnsi="Times New Roman"/>
        </w:rPr>
        <w:t>FpML</w:t>
      </w:r>
      <w:proofErr w:type="spellEnd"/>
      <w:r w:rsidRPr="00BB6916">
        <w:rPr>
          <w:rFonts w:ascii="Times New Roman" w:hAnsi="Times New Roman"/>
        </w:rPr>
        <w:t xml:space="preserve"> reporting elements and are likely to be smaller for those SDRs that already employ FIXML or </w:t>
      </w:r>
      <w:proofErr w:type="spellStart"/>
      <w:r w:rsidRPr="00BB6916">
        <w:rPr>
          <w:rFonts w:ascii="Times New Roman" w:hAnsi="Times New Roman"/>
        </w:rPr>
        <w:t>FpML</w:t>
      </w:r>
      <w:proofErr w:type="spellEnd"/>
      <w:r w:rsidRPr="00BB6916">
        <w:rPr>
          <w:rFonts w:ascii="Times New Roman" w:hAnsi="Times New Roman"/>
        </w:rPr>
        <w:t xml:space="preserve">.  The Commission preliminarily estimates that each registered </w:t>
      </w:r>
      <w:r w:rsidRPr="00BB6916">
        <w:rPr>
          <w:rFonts w:ascii="Times New Roman" w:hAnsi="Times New Roman"/>
        </w:rPr>
        <w:lastRenderedPageBreak/>
        <w:t>SDR will incur an initial, one-time burden of 472.5 hours,</w:t>
      </w:r>
      <w:r w:rsidRPr="00BB6916">
        <w:rPr>
          <w:rStyle w:val="FootnoteReference"/>
          <w:rFonts w:ascii="Times New Roman" w:hAnsi="Times New Roman"/>
        </w:rPr>
        <w:footnoteReference w:id="12"/>
      </w:r>
      <w:r w:rsidRPr="00BB6916">
        <w:rPr>
          <w:rFonts w:ascii="Times New Roman" w:hAnsi="Times New Roman"/>
        </w:rPr>
        <w:t xml:space="preserve"> for an aggregate one-time burden of 4,725 hour for all registered SDRs.</w:t>
      </w:r>
      <w:r w:rsidRPr="00BB6916">
        <w:rPr>
          <w:rStyle w:val="FootnoteReference"/>
          <w:rFonts w:ascii="Times New Roman" w:hAnsi="Times New Roman"/>
        </w:rPr>
        <w:footnoteReference w:id="13"/>
      </w:r>
      <w:r w:rsidRPr="00BB6916">
        <w:rPr>
          <w:rFonts w:ascii="Times New Roman" w:hAnsi="Times New Roman"/>
        </w:rPr>
        <w:t xml:space="preserve">  The Commission estimated one response per respondent per year, which, including the one-time burden equally allocated over three years, results in a burden of 157.5 hours per response.</w:t>
      </w:r>
      <w:r w:rsidRPr="00BB6916">
        <w:rPr>
          <w:rStyle w:val="FootnoteReference"/>
          <w:rFonts w:ascii="Times New Roman" w:hAnsi="Times New Roman"/>
        </w:rPr>
        <w:footnoteReference w:id="14"/>
      </w:r>
      <w:r w:rsidRPr="00BB6916">
        <w:rPr>
          <w:rFonts w:ascii="Times New Roman" w:hAnsi="Times New Roman"/>
        </w:rPr>
        <w:t xml:space="preserve">  This collection is a third-party disclosure type of collection. </w:t>
      </w:r>
    </w:p>
    <w:p w:rsidR="001529EB" w:rsidRPr="00BB6916" w:rsidRDefault="001529EB" w:rsidP="0085251B">
      <w:pPr>
        <w:spacing w:after="240"/>
        <w:ind w:firstLine="720"/>
        <w:rPr>
          <w:rFonts w:ascii="Times New Roman" w:hAnsi="Times New Roman"/>
        </w:rPr>
      </w:pPr>
      <w:r w:rsidRPr="00BB6916">
        <w:rPr>
          <w:rFonts w:ascii="Times New Roman" w:hAnsi="Times New Roman"/>
        </w:rPr>
        <w:t>O</w:t>
      </w:r>
      <w:r w:rsidRPr="00BB6916">
        <w:rPr>
          <w:rFonts w:ascii="Times New Roman" w:hAnsi="Times New Roman"/>
          <w:color w:val="222222"/>
        </w:rPr>
        <w:t xml:space="preserve">nce the policies, procedures, and information systems required to comply with the proposed amendment are in place, the Commission preliminarily does not believe that there will be any additional paperwork burden placed upon SDRs to make </w:t>
      </w:r>
      <w:r w:rsidRPr="00BB6916">
        <w:rPr>
          <w:rFonts w:ascii="Times New Roman" w:hAnsi="Times New Roman"/>
        </w:rPr>
        <w:t>transaction records accessible in a form and manner that satisfies the requirements of the schemas.  The Commission preliminarily believes that the burdens related to SDRs using their policies, procedures, and information systems they would have already established have been accounted for in the previously adopted SDR Rules.  Furthermore, the Commission preliminarily believes that the annual burdens associated with maintaining the SDRs policies and procedures, as well as the annual burdens associated with modifications of information technology systems have already been accounted for in the previously approved SDR Rules.</w:t>
      </w:r>
    </w:p>
    <w:tbl>
      <w:tblPr>
        <w:tblW w:w="10460" w:type="dxa"/>
        <w:jc w:val="center"/>
        <w:tblInd w:w="93" w:type="dxa"/>
        <w:tblLook w:val="04A0" w:firstRow="1" w:lastRow="0" w:firstColumn="1" w:lastColumn="0" w:noHBand="0" w:noVBand="1"/>
      </w:tblPr>
      <w:tblGrid>
        <w:gridCol w:w="1380"/>
        <w:gridCol w:w="960"/>
        <w:gridCol w:w="865"/>
        <w:gridCol w:w="919"/>
        <w:gridCol w:w="857"/>
        <w:gridCol w:w="1000"/>
        <w:gridCol w:w="900"/>
        <w:gridCol w:w="920"/>
        <w:gridCol w:w="940"/>
        <w:gridCol w:w="1180"/>
        <w:gridCol w:w="803"/>
      </w:tblGrid>
      <w:tr w:rsidR="00821D8A" w:rsidRPr="00BB6916" w:rsidTr="00821D8A">
        <w:trPr>
          <w:trHeight w:val="315"/>
          <w:jc w:val="center"/>
        </w:trPr>
        <w:tc>
          <w:tcPr>
            <w:tcW w:w="10460" w:type="dxa"/>
            <w:gridSpan w:val="11"/>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21D8A" w:rsidRPr="00BB6916" w:rsidRDefault="00821D8A" w:rsidP="00821D8A">
            <w:pPr>
              <w:widowControl/>
              <w:autoSpaceDE/>
              <w:autoSpaceDN/>
              <w:adjustRightInd/>
              <w:jc w:val="center"/>
              <w:rPr>
                <w:rFonts w:ascii="Times New Roman" w:hAnsi="Times New Roman"/>
                <w:b/>
                <w:bCs/>
                <w:color w:val="000000"/>
                <w:sz w:val="16"/>
                <w:szCs w:val="16"/>
              </w:rPr>
            </w:pPr>
            <w:r w:rsidRPr="00BB6916">
              <w:rPr>
                <w:rFonts w:ascii="Times New Roman" w:hAnsi="Times New Roman"/>
                <w:b/>
                <w:bCs/>
                <w:color w:val="000000"/>
                <w:sz w:val="16"/>
                <w:szCs w:val="16"/>
              </w:rPr>
              <w:t>Summary of Hourly Burdens </w:t>
            </w:r>
          </w:p>
        </w:tc>
      </w:tr>
      <w:tr w:rsidR="00821D8A" w:rsidRPr="00BB6916" w:rsidTr="00821D8A">
        <w:trPr>
          <w:trHeight w:val="300"/>
          <w:jc w:val="center"/>
        </w:trPr>
        <w:tc>
          <w:tcPr>
            <w:tcW w:w="1380" w:type="dxa"/>
            <w:tcBorders>
              <w:top w:val="nil"/>
              <w:left w:val="single" w:sz="8" w:space="0" w:color="auto"/>
              <w:bottom w:val="single" w:sz="4" w:space="0" w:color="auto"/>
              <w:right w:val="single" w:sz="4" w:space="0" w:color="auto"/>
            </w:tcBorders>
            <w:shd w:val="clear" w:color="000000" w:fill="D9D9D9"/>
            <w:noWrap/>
            <w:vAlign w:val="center"/>
            <w:hideMark/>
          </w:tcPr>
          <w:p w:rsidR="00821D8A" w:rsidRPr="00BB6916" w:rsidRDefault="00821D8A" w:rsidP="00821D8A">
            <w:pPr>
              <w:widowControl/>
              <w:autoSpaceDE/>
              <w:autoSpaceDN/>
              <w:adjustRightInd/>
              <w:jc w:val="center"/>
              <w:rPr>
                <w:rFonts w:ascii="Times New Roman" w:hAnsi="Times New Roman"/>
                <w:b/>
                <w:bCs/>
                <w:color w:val="000000"/>
                <w:sz w:val="16"/>
                <w:szCs w:val="16"/>
              </w:rPr>
            </w:pPr>
            <w:r w:rsidRPr="00BB6916">
              <w:rPr>
                <w:rFonts w:ascii="Times New Roman" w:hAnsi="Times New Roman"/>
                <w:b/>
                <w:bCs/>
                <w:color w:val="000000"/>
                <w:sz w:val="16"/>
                <w:szCs w:val="16"/>
              </w:rPr>
              <w:t> </w:t>
            </w:r>
          </w:p>
        </w:tc>
        <w:tc>
          <w:tcPr>
            <w:tcW w:w="960" w:type="dxa"/>
            <w:tcBorders>
              <w:top w:val="nil"/>
              <w:left w:val="nil"/>
              <w:bottom w:val="single" w:sz="4" w:space="0" w:color="auto"/>
              <w:right w:val="single" w:sz="4" w:space="0" w:color="auto"/>
            </w:tcBorders>
            <w:shd w:val="clear" w:color="000000" w:fill="D9D9D9"/>
            <w:noWrap/>
            <w:vAlign w:val="bottom"/>
            <w:hideMark/>
          </w:tcPr>
          <w:p w:rsidR="00821D8A" w:rsidRPr="00BB6916" w:rsidRDefault="00821D8A" w:rsidP="00821D8A">
            <w:pPr>
              <w:widowControl/>
              <w:autoSpaceDE/>
              <w:autoSpaceDN/>
              <w:adjustRightInd/>
              <w:jc w:val="center"/>
              <w:rPr>
                <w:rFonts w:ascii="Times New Roman" w:hAnsi="Times New Roman"/>
                <w:b/>
                <w:bCs/>
                <w:color w:val="000000"/>
                <w:sz w:val="16"/>
                <w:szCs w:val="16"/>
              </w:rPr>
            </w:pPr>
            <w:r w:rsidRPr="00BB6916">
              <w:rPr>
                <w:rFonts w:ascii="Times New Roman" w:hAnsi="Times New Roman"/>
                <w:b/>
                <w:bCs/>
                <w:color w:val="000000"/>
                <w:sz w:val="16"/>
                <w:szCs w:val="16"/>
              </w:rPr>
              <w:t> </w:t>
            </w:r>
          </w:p>
        </w:tc>
        <w:tc>
          <w:tcPr>
            <w:tcW w:w="760" w:type="dxa"/>
            <w:tcBorders>
              <w:top w:val="nil"/>
              <w:left w:val="nil"/>
              <w:bottom w:val="single" w:sz="4" w:space="0" w:color="auto"/>
              <w:right w:val="single" w:sz="4" w:space="0" w:color="auto"/>
            </w:tcBorders>
            <w:shd w:val="clear" w:color="000000" w:fill="D9D9D9"/>
            <w:noWrap/>
            <w:vAlign w:val="bottom"/>
            <w:hideMark/>
          </w:tcPr>
          <w:p w:rsidR="00821D8A" w:rsidRPr="00BB6916" w:rsidRDefault="00821D8A" w:rsidP="00821D8A">
            <w:pPr>
              <w:widowControl/>
              <w:autoSpaceDE/>
              <w:autoSpaceDN/>
              <w:adjustRightInd/>
              <w:jc w:val="center"/>
              <w:rPr>
                <w:rFonts w:ascii="Times New Roman" w:hAnsi="Times New Roman"/>
                <w:color w:val="FF0000"/>
                <w:sz w:val="16"/>
                <w:szCs w:val="16"/>
              </w:rPr>
            </w:pPr>
            <w:r w:rsidRPr="00BB6916">
              <w:rPr>
                <w:rFonts w:ascii="Times New Roman" w:hAnsi="Times New Roman"/>
                <w:color w:val="FF0000"/>
                <w:sz w:val="16"/>
                <w:szCs w:val="16"/>
              </w:rPr>
              <w:t>A.</w:t>
            </w:r>
          </w:p>
        </w:tc>
        <w:tc>
          <w:tcPr>
            <w:tcW w:w="820" w:type="dxa"/>
            <w:tcBorders>
              <w:top w:val="nil"/>
              <w:left w:val="nil"/>
              <w:bottom w:val="single" w:sz="4" w:space="0" w:color="auto"/>
              <w:right w:val="single" w:sz="4" w:space="0" w:color="auto"/>
            </w:tcBorders>
            <w:shd w:val="clear" w:color="000000" w:fill="D9D9D9"/>
            <w:noWrap/>
            <w:vAlign w:val="bottom"/>
            <w:hideMark/>
          </w:tcPr>
          <w:p w:rsidR="00821D8A" w:rsidRPr="00BB6916" w:rsidRDefault="00821D8A" w:rsidP="00821D8A">
            <w:pPr>
              <w:widowControl/>
              <w:autoSpaceDE/>
              <w:autoSpaceDN/>
              <w:adjustRightInd/>
              <w:jc w:val="center"/>
              <w:rPr>
                <w:rFonts w:ascii="Times New Roman" w:hAnsi="Times New Roman"/>
                <w:color w:val="FF0000"/>
                <w:sz w:val="16"/>
                <w:szCs w:val="16"/>
              </w:rPr>
            </w:pPr>
            <w:r w:rsidRPr="00BB6916">
              <w:rPr>
                <w:rFonts w:ascii="Times New Roman" w:hAnsi="Times New Roman"/>
                <w:color w:val="FF0000"/>
                <w:sz w:val="16"/>
                <w:szCs w:val="16"/>
              </w:rPr>
              <w:t>B.</w:t>
            </w:r>
          </w:p>
        </w:tc>
        <w:tc>
          <w:tcPr>
            <w:tcW w:w="840" w:type="dxa"/>
            <w:tcBorders>
              <w:top w:val="nil"/>
              <w:left w:val="nil"/>
              <w:bottom w:val="single" w:sz="4" w:space="0" w:color="auto"/>
              <w:right w:val="single" w:sz="4" w:space="0" w:color="auto"/>
            </w:tcBorders>
            <w:shd w:val="clear" w:color="000000" w:fill="D9D9D9"/>
            <w:noWrap/>
            <w:vAlign w:val="bottom"/>
            <w:hideMark/>
          </w:tcPr>
          <w:p w:rsidR="00821D8A" w:rsidRPr="00BB6916" w:rsidRDefault="00821D8A" w:rsidP="00821D8A">
            <w:pPr>
              <w:widowControl/>
              <w:autoSpaceDE/>
              <w:autoSpaceDN/>
              <w:adjustRightInd/>
              <w:jc w:val="center"/>
              <w:rPr>
                <w:rFonts w:ascii="Times New Roman" w:hAnsi="Times New Roman"/>
                <w:color w:val="FF0000"/>
                <w:sz w:val="16"/>
                <w:szCs w:val="16"/>
              </w:rPr>
            </w:pPr>
            <w:r w:rsidRPr="00BB6916">
              <w:rPr>
                <w:rFonts w:ascii="Times New Roman" w:hAnsi="Times New Roman"/>
                <w:color w:val="FF0000"/>
                <w:sz w:val="16"/>
                <w:szCs w:val="16"/>
              </w:rPr>
              <w:t>C.</w:t>
            </w:r>
          </w:p>
        </w:tc>
        <w:tc>
          <w:tcPr>
            <w:tcW w:w="1000" w:type="dxa"/>
            <w:tcBorders>
              <w:top w:val="nil"/>
              <w:left w:val="nil"/>
              <w:bottom w:val="single" w:sz="4" w:space="0" w:color="auto"/>
              <w:right w:val="single" w:sz="4" w:space="0" w:color="auto"/>
            </w:tcBorders>
            <w:shd w:val="clear" w:color="000000" w:fill="D9D9D9"/>
            <w:noWrap/>
            <w:vAlign w:val="bottom"/>
            <w:hideMark/>
          </w:tcPr>
          <w:p w:rsidR="00821D8A" w:rsidRPr="00BB6916" w:rsidRDefault="00821D8A" w:rsidP="00821D8A">
            <w:pPr>
              <w:widowControl/>
              <w:autoSpaceDE/>
              <w:autoSpaceDN/>
              <w:adjustRightInd/>
              <w:jc w:val="center"/>
              <w:rPr>
                <w:rFonts w:ascii="Times New Roman" w:hAnsi="Times New Roman"/>
                <w:color w:val="FF0000"/>
                <w:sz w:val="16"/>
                <w:szCs w:val="16"/>
              </w:rPr>
            </w:pPr>
            <w:r w:rsidRPr="00BB6916">
              <w:rPr>
                <w:rFonts w:ascii="Times New Roman" w:hAnsi="Times New Roman"/>
                <w:color w:val="FF0000"/>
                <w:sz w:val="16"/>
                <w:szCs w:val="16"/>
              </w:rPr>
              <w:t xml:space="preserve">D. </w:t>
            </w:r>
          </w:p>
        </w:tc>
        <w:tc>
          <w:tcPr>
            <w:tcW w:w="900" w:type="dxa"/>
            <w:tcBorders>
              <w:top w:val="nil"/>
              <w:left w:val="nil"/>
              <w:bottom w:val="single" w:sz="4" w:space="0" w:color="auto"/>
              <w:right w:val="single" w:sz="4" w:space="0" w:color="auto"/>
            </w:tcBorders>
            <w:shd w:val="clear" w:color="000000" w:fill="D9D9D9"/>
            <w:noWrap/>
            <w:vAlign w:val="bottom"/>
            <w:hideMark/>
          </w:tcPr>
          <w:p w:rsidR="00821D8A" w:rsidRPr="00BB6916" w:rsidRDefault="00821D8A" w:rsidP="00821D8A">
            <w:pPr>
              <w:widowControl/>
              <w:autoSpaceDE/>
              <w:autoSpaceDN/>
              <w:adjustRightInd/>
              <w:jc w:val="center"/>
              <w:rPr>
                <w:rFonts w:ascii="Times New Roman" w:hAnsi="Times New Roman"/>
                <w:color w:val="FF0000"/>
                <w:sz w:val="16"/>
                <w:szCs w:val="16"/>
              </w:rPr>
            </w:pPr>
            <w:r w:rsidRPr="00BB6916">
              <w:rPr>
                <w:rFonts w:ascii="Times New Roman" w:hAnsi="Times New Roman"/>
                <w:color w:val="FF0000"/>
                <w:sz w:val="16"/>
                <w:szCs w:val="16"/>
              </w:rPr>
              <w:t>E.</w:t>
            </w:r>
          </w:p>
        </w:tc>
        <w:tc>
          <w:tcPr>
            <w:tcW w:w="920" w:type="dxa"/>
            <w:tcBorders>
              <w:top w:val="nil"/>
              <w:left w:val="nil"/>
              <w:bottom w:val="single" w:sz="4" w:space="0" w:color="auto"/>
              <w:right w:val="single" w:sz="4" w:space="0" w:color="auto"/>
            </w:tcBorders>
            <w:shd w:val="clear" w:color="000000" w:fill="D9D9D9"/>
            <w:noWrap/>
            <w:vAlign w:val="bottom"/>
            <w:hideMark/>
          </w:tcPr>
          <w:p w:rsidR="00821D8A" w:rsidRPr="00BB6916" w:rsidRDefault="00821D8A" w:rsidP="00821D8A">
            <w:pPr>
              <w:widowControl/>
              <w:autoSpaceDE/>
              <w:autoSpaceDN/>
              <w:adjustRightInd/>
              <w:jc w:val="center"/>
              <w:rPr>
                <w:rFonts w:ascii="Times New Roman" w:hAnsi="Times New Roman"/>
                <w:color w:val="FF0000"/>
                <w:sz w:val="16"/>
                <w:szCs w:val="16"/>
              </w:rPr>
            </w:pPr>
            <w:r w:rsidRPr="00BB6916">
              <w:rPr>
                <w:rFonts w:ascii="Times New Roman" w:hAnsi="Times New Roman"/>
                <w:color w:val="FF0000"/>
                <w:sz w:val="16"/>
                <w:szCs w:val="16"/>
              </w:rPr>
              <w:t>F.</w:t>
            </w:r>
          </w:p>
        </w:tc>
        <w:tc>
          <w:tcPr>
            <w:tcW w:w="940" w:type="dxa"/>
            <w:tcBorders>
              <w:top w:val="nil"/>
              <w:left w:val="nil"/>
              <w:bottom w:val="single" w:sz="4" w:space="0" w:color="auto"/>
              <w:right w:val="single" w:sz="4" w:space="0" w:color="auto"/>
            </w:tcBorders>
            <w:shd w:val="clear" w:color="000000" w:fill="D9D9D9"/>
            <w:noWrap/>
            <w:vAlign w:val="bottom"/>
            <w:hideMark/>
          </w:tcPr>
          <w:p w:rsidR="00821D8A" w:rsidRPr="00BB6916" w:rsidRDefault="00821D8A" w:rsidP="00821D8A">
            <w:pPr>
              <w:widowControl/>
              <w:autoSpaceDE/>
              <w:autoSpaceDN/>
              <w:adjustRightInd/>
              <w:jc w:val="center"/>
              <w:rPr>
                <w:rFonts w:ascii="Times New Roman" w:hAnsi="Times New Roman"/>
                <w:color w:val="FF0000"/>
                <w:sz w:val="16"/>
                <w:szCs w:val="16"/>
              </w:rPr>
            </w:pPr>
            <w:r w:rsidRPr="00BB6916">
              <w:rPr>
                <w:rFonts w:ascii="Times New Roman" w:hAnsi="Times New Roman"/>
                <w:color w:val="FF0000"/>
                <w:sz w:val="16"/>
                <w:szCs w:val="16"/>
              </w:rPr>
              <w:t>G.</w:t>
            </w:r>
          </w:p>
        </w:tc>
        <w:tc>
          <w:tcPr>
            <w:tcW w:w="1180" w:type="dxa"/>
            <w:tcBorders>
              <w:top w:val="nil"/>
              <w:left w:val="nil"/>
              <w:bottom w:val="single" w:sz="4" w:space="0" w:color="auto"/>
              <w:right w:val="single" w:sz="4" w:space="0" w:color="auto"/>
            </w:tcBorders>
            <w:shd w:val="clear" w:color="000000" w:fill="D9D9D9"/>
            <w:noWrap/>
            <w:vAlign w:val="bottom"/>
            <w:hideMark/>
          </w:tcPr>
          <w:p w:rsidR="00821D8A" w:rsidRPr="00BB6916" w:rsidRDefault="00821D8A" w:rsidP="00821D8A">
            <w:pPr>
              <w:widowControl/>
              <w:autoSpaceDE/>
              <w:autoSpaceDN/>
              <w:adjustRightInd/>
              <w:jc w:val="center"/>
              <w:rPr>
                <w:rFonts w:ascii="Times New Roman" w:hAnsi="Times New Roman"/>
                <w:color w:val="FF0000"/>
                <w:sz w:val="16"/>
                <w:szCs w:val="16"/>
              </w:rPr>
            </w:pPr>
            <w:r w:rsidRPr="00BB6916">
              <w:rPr>
                <w:rFonts w:ascii="Times New Roman" w:hAnsi="Times New Roman"/>
                <w:color w:val="FF0000"/>
                <w:sz w:val="16"/>
                <w:szCs w:val="16"/>
              </w:rPr>
              <w:t> </w:t>
            </w:r>
          </w:p>
        </w:tc>
        <w:tc>
          <w:tcPr>
            <w:tcW w:w="760" w:type="dxa"/>
            <w:tcBorders>
              <w:top w:val="nil"/>
              <w:left w:val="nil"/>
              <w:bottom w:val="single" w:sz="4" w:space="0" w:color="auto"/>
              <w:right w:val="single" w:sz="8" w:space="0" w:color="auto"/>
            </w:tcBorders>
            <w:shd w:val="clear" w:color="000000" w:fill="D9D9D9"/>
            <w:noWrap/>
            <w:vAlign w:val="bottom"/>
            <w:hideMark/>
          </w:tcPr>
          <w:p w:rsidR="00821D8A" w:rsidRPr="00BB6916" w:rsidRDefault="00821D8A" w:rsidP="00821D8A">
            <w:pPr>
              <w:widowControl/>
              <w:autoSpaceDE/>
              <w:autoSpaceDN/>
              <w:adjustRightInd/>
              <w:rPr>
                <w:rFonts w:ascii="Times New Roman" w:hAnsi="Times New Roman"/>
                <w:color w:val="000000"/>
                <w:sz w:val="16"/>
                <w:szCs w:val="16"/>
              </w:rPr>
            </w:pPr>
            <w:r w:rsidRPr="00BB6916">
              <w:rPr>
                <w:rFonts w:ascii="Times New Roman" w:hAnsi="Times New Roman"/>
                <w:color w:val="000000"/>
                <w:sz w:val="16"/>
                <w:szCs w:val="16"/>
              </w:rPr>
              <w:t> </w:t>
            </w:r>
          </w:p>
        </w:tc>
      </w:tr>
      <w:tr w:rsidR="00821D8A" w:rsidRPr="00BB6916" w:rsidTr="00821D8A">
        <w:trPr>
          <w:trHeight w:val="1200"/>
          <w:jc w:val="center"/>
        </w:trPr>
        <w:tc>
          <w:tcPr>
            <w:tcW w:w="1380" w:type="dxa"/>
            <w:tcBorders>
              <w:top w:val="nil"/>
              <w:left w:val="single" w:sz="8" w:space="0" w:color="auto"/>
              <w:bottom w:val="single" w:sz="4" w:space="0" w:color="auto"/>
              <w:right w:val="single" w:sz="4" w:space="0" w:color="auto"/>
            </w:tcBorders>
            <w:shd w:val="clear" w:color="000000" w:fill="D9D9D9"/>
            <w:vAlign w:val="center"/>
            <w:hideMark/>
          </w:tcPr>
          <w:p w:rsidR="00821D8A" w:rsidRPr="00BB6916" w:rsidRDefault="00821D8A" w:rsidP="00821D8A">
            <w:pPr>
              <w:widowControl/>
              <w:autoSpaceDE/>
              <w:autoSpaceDN/>
              <w:adjustRightInd/>
              <w:jc w:val="center"/>
              <w:rPr>
                <w:rFonts w:ascii="Times New Roman" w:hAnsi="Times New Roman"/>
                <w:b/>
                <w:bCs/>
                <w:color w:val="000000"/>
                <w:sz w:val="16"/>
                <w:szCs w:val="16"/>
              </w:rPr>
            </w:pPr>
            <w:r w:rsidRPr="00BB6916">
              <w:rPr>
                <w:rFonts w:ascii="Times New Roman" w:hAnsi="Times New Roman"/>
                <w:b/>
                <w:bCs/>
                <w:color w:val="000000"/>
                <w:sz w:val="16"/>
                <w:szCs w:val="16"/>
              </w:rPr>
              <w:t>Name of Information Collection</w:t>
            </w:r>
          </w:p>
        </w:tc>
        <w:tc>
          <w:tcPr>
            <w:tcW w:w="960" w:type="dxa"/>
            <w:tcBorders>
              <w:top w:val="nil"/>
              <w:left w:val="nil"/>
              <w:bottom w:val="single" w:sz="4" w:space="0" w:color="auto"/>
              <w:right w:val="single" w:sz="4" w:space="0" w:color="auto"/>
            </w:tcBorders>
            <w:shd w:val="clear" w:color="000000" w:fill="D9D9D9"/>
            <w:vAlign w:val="center"/>
            <w:hideMark/>
          </w:tcPr>
          <w:p w:rsidR="00821D8A" w:rsidRPr="00BB6916" w:rsidRDefault="00821D8A" w:rsidP="00821D8A">
            <w:pPr>
              <w:widowControl/>
              <w:autoSpaceDE/>
              <w:autoSpaceDN/>
              <w:adjustRightInd/>
              <w:jc w:val="center"/>
              <w:rPr>
                <w:rFonts w:ascii="Times New Roman" w:hAnsi="Times New Roman"/>
                <w:b/>
                <w:bCs/>
                <w:color w:val="000000"/>
                <w:sz w:val="16"/>
                <w:szCs w:val="16"/>
              </w:rPr>
            </w:pPr>
            <w:r w:rsidRPr="00BB6916">
              <w:rPr>
                <w:rFonts w:ascii="Times New Roman" w:hAnsi="Times New Roman"/>
                <w:b/>
                <w:bCs/>
                <w:color w:val="000000"/>
                <w:sz w:val="16"/>
                <w:szCs w:val="16"/>
              </w:rPr>
              <w:t>Type of Burden</w:t>
            </w:r>
          </w:p>
        </w:tc>
        <w:tc>
          <w:tcPr>
            <w:tcW w:w="760" w:type="dxa"/>
            <w:tcBorders>
              <w:top w:val="nil"/>
              <w:left w:val="nil"/>
              <w:bottom w:val="single" w:sz="4" w:space="0" w:color="auto"/>
              <w:right w:val="single" w:sz="4" w:space="0" w:color="auto"/>
            </w:tcBorders>
            <w:shd w:val="clear" w:color="000000" w:fill="D9D9D9"/>
            <w:vAlign w:val="center"/>
            <w:hideMark/>
          </w:tcPr>
          <w:p w:rsidR="00821D8A" w:rsidRPr="00BB6916" w:rsidRDefault="00821D8A" w:rsidP="00821D8A">
            <w:pPr>
              <w:widowControl/>
              <w:autoSpaceDE/>
              <w:autoSpaceDN/>
              <w:adjustRightInd/>
              <w:jc w:val="center"/>
              <w:rPr>
                <w:rFonts w:ascii="Times New Roman" w:hAnsi="Times New Roman"/>
                <w:b/>
                <w:bCs/>
                <w:color w:val="000000"/>
                <w:sz w:val="16"/>
                <w:szCs w:val="16"/>
              </w:rPr>
            </w:pPr>
            <w:r w:rsidRPr="00BB6916">
              <w:rPr>
                <w:rFonts w:ascii="Times New Roman" w:hAnsi="Times New Roman"/>
                <w:b/>
                <w:bCs/>
                <w:color w:val="000000"/>
                <w:sz w:val="16"/>
                <w:szCs w:val="16"/>
              </w:rPr>
              <w:t>Number of Entities Impacted</w:t>
            </w:r>
          </w:p>
        </w:tc>
        <w:tc>
          <w:tcPr>
            <w:tcW w:w="820" w:type="dxa"/>
            <w:tcBorders>
              <w:top w:val="nil"/>
              <w:left w:val="nil"/>
              <w:bottom w:val="single" w:sz="4" w:space="0" w:color="auto"/>
              <w:right w:val="single" w:sz="4" w:space="0" w:color="auto"/>
            </w:tcBorders>
            <w:shd w:val="clear" w:color="000000" w:fill="D9D9D9"/>
            <w:vAlign w:val="center"/>
            <w:hideMark/>
          </w:tcPr>
          <w:p w:rsidR="00821D8A" w:rsidRPr="00BB6916" w:rsidRDefault="00821D8A" w:rsidP="00821D8A">
            <w:pPr>
              <w:widowControl/>
              <w:autoSpaceDE/>
              <w:autoSpaceDN/>
              <w:adjustRightInd/>
              <w:jc w:val="center"/>
              <w:rPr>
                <w:rFonts w:ascii="Times New Roman" w:hAnsi="Times New Roman"/>
                <w:b/>
                <w:bCs/>
                <w:color w:val="000000"/>
                <w:sz w:val="16"/>
                <w:szCs w:val="16"/>
              </w:rPr>
            </w:pPr>
            <w:r w:rsidRPr="00BB6916">
              <w:rPr>
                <w:rFonts w:ascii="Times New Roman" w:hAnsi="Times New Roman"/>
                <w:b/>
                <w:bCs/>
                <w:color w:val="000000"/>
                <w:sz w:val="16"/>
                <w:szCs w:val="16"/>
              </w:rPr>
              <w:t>Annual Responses per Entity</w:t>
            </w:r>
          </w:p>
        </w:tc>
        <w:tc>
          <w:tcPr>
            <w:tcW w:w="840" w:type="dxa"/>
            <w:tcBorders>
              <w:top w:val="nil"/>
              <w:left w:val="nil"/>
              <w:bottom w:val="single" w:sz="4" w:space="0" w:color="auto"/>
              <w:right w:val="single" w:sz="4" w:space="0" w:color="auto"/>
            </w:tcBorders>
            <w:shd w:val="clear" w:color="000000" w:fill="D9D9D9"/>
            <w:vAlign w:val="center"/>
            <w:hideMark/>
          </w:tcPr>
          <w:p w:rsidR="00821D8A" w:rsidRPr="00BB6916" w:rsidRDefault="00821D8A" w:rsidP="00821D8A">
            <w:pPr>
              <w:widowControl/>
              <w:autoSpaceDE/>
              <w:autoSpaceDN/>
              <w:adjustRightInd/>
              <w:jc w:val="center"/>
              <w:rPr>
                <w:rFonts w:ascii="Times New Roman" w:hAnsi="Times New Roman"/>
                <w:b/>
                <w:bCs/>
                <w:color w:val="000000"/>
                <w:sz w:val="16"/>
                <w:szCs w:val="16"/>
              </w:rPr>
            </w:pPr>
            <w:r w:rsidRPr="00BB6916">
              <w:rPr>
                <w:rFonts w:ascii="Times New Roman" w:hAnsi="Times New Roman"/>
                <w:b/>
                <w:bCs/>
                <w:color w:val="000000"/>
                <w:sz w:val="16"/>
                <w:szCs w:val="16"/>
              </w:rPr>
              <w:t>Initial Burden per Entity per Response</w:t>
            </w:r>
          </w:p>
        </w:tc>
        <w:tc>
          <w:tcPr>
            <w:tcW w:w="1000" w:type="dxa"/>
            <w:tcBorders>
              <w:top w:val="nil"/>
              <w:left w:val="nil"/>
              <w:bottom w:val="single" w:sz="4" w:space="0" w:color="auto"/>
              <w:right w:val="single" w:sz="4" w:space="0" w:color="auto"/>
            </w:tcBorders>
            <w:shd w:val="clear" w:color="000000" w:fill="D9D9D9"/>
            <w:vAlign w:val="center"/>
            <w:hideMark/>
          </w:tcPr>
          <w:p w:rsidR="00821D8A" w:rsidRPr="00BB6916" w:rsidRDefault="00821D8A" w:rsidP="00821D8A">
            <w:pPr>
              <w:widowControl/>
              <w:autoSpaceDE/>
              <w:autoSpaceDN/>
              <w:adjustRightInd/>
              <w:jc w:val="center"/>
              <w:rPr>
                <w:rFonts w:ascii="Times New Roman" w:hAnsi="Times New Roman"/>
                <w:b/>
                <w:bCs/>
                <w:color w:val="000000"/>
                <w:sz w:val="16"/>
                <w:szCs w:val="16"/>
              </w:rPr>
            </w:pPr>
            <w:r w:rsidRPr="00BB6916">
              <w:rPr>
                <w:rFonts w:ascii="Times New Roman" w:hAnsi="Times New Roman"/>
                <w:b/>
                <w:bCs/>
                <w:color w:val="000000"/>
                <w:sz w:val="16"/>
                <w:szCs w:val="16"/>
              </w:rPr>
              <w:t>Initial Burden Annualized per Entity per Response</w:t>
            </w:r>
          </w:p>
        </w:tc>
        <w:tc>
          <w:tcPr>
            <w:tcW w:w="900" w:type="dxa"/>
            <w:tcBorders>
              <w:top w:val="nil"/>
              <w:left w:val="nil"/>
              <w:bottom w:val="single" w:sz="4" w:space="0" w:color="auto"/>
              <w:right w:val="single" w:sz="4" w:space="0" w:color="auto"/>
            </w:tcBorders>
            <w:shd w:val="clear" w:color="000000" w:fill="D9D9D9"/>
            <w:vAlign w:val="center"/>
            <w:hideMark/>
          </w:tcPr>
          <w:p w:rsidR="00821D8A" w:rsidRPr="00BB6916" w:rsidRDefault="00821D8A" w:rsidP="00821D8A">
            <w:pPr>
              <w:widowControl/>
              <w:autoSpaceDE/>
              <w:autoSpaceDN/>
              <w:adjustRightInd/>
              <w:jc w:val="center"/>
              <w:rPr>
                <w:rFonts w:ascii="Times New Roman" w:hAnsi="Times New Roman"/>
                <w:b/>
                <w:bCs/>
                <w:color w:val="000000"/>
                <w:sz w:val="16"/>
                <w:szCs w:val="16"/>
              </w:rPr>
            </w:pPr>
            <w:r w:rsidRPr="00BB6916">
              <w:rPr>
                <w:rFonts w:ascii="Times New Roman" w:hAnsi="Times New Roman"/>
                <w:b/>
                <w:bCs/>
                <w:color w:val="000000"/>
                <w:sz w:val="16"/>
                <w:szCs w:val="16"/>
              </w:rPr>
              <w:t>Ongoing Burden per Entity per Response</w:t>
            </w:r>
          </w:p>
        </w:tc>
        <w:tc>
          <w:tcPr>
            <w:tcW w:w="920" w:type="dxa"/>
            <w:tcBorders>
              <w:top w:val="nil"/>
              <w:left w:val="nil"/>
              <w:bottom w:val="single" w:sz="4" w:space="0" w:color="auto"/>
              <w:right w:val="single" w:sz="4" w:space="0" w:color="auto"/>
            </w:tcBorders>
            <w:shd w:val="clear" w:color="000000" w:fill="D9D9D9"/>
            <w:vAlign w:val="center"/>
            <w:hideMark/>
          </w:tcPr>
          <w:p w:rsidR="00821D8A" w:rsidRPr="00BB6916" w:rsidRDefault="00821D8A" w:rsidP="00821D8A">
            <w:pPr>
              <w:widowControl/>
              <w:autoSpaceDE/>
              <w:autoSpaceDN/>
              <w:adjustRightInd/>
              <w:jc w:val="center"/>
              <w:rPr>
                <w:rFonts w:ascii="Times New Roman" w:hAnsi="Times New Roman"/>
                <w:b/>
                <w:bCs/>
                <w:color w:val="000000"/>
                <w:sz w:val="16"/>
                <w:szCs w:val="16"/>
              </w:rPr>
            </w:pPr>
            <w:r w:rsidRPr="00BB6916">
              <w:rPr>
                <w:rFonts w:ascii="Times New Roman" w:hAnsi="Times New Roman"/>
                <w:b/>
                <w:bCs/>
                <w:color w:val="000000"/>
                <w:sz w:val="16"/>
                <w:szCs w:val="16"/>
              </w:rPr>
              <w:t>Annual Burden Per Entity per Response</w:t>
            </w:r>
          </w:p>
        </w:tc>
        <w:tc>
          <w:tcPr>
            <w:tcW w:w="940" w:type="dxa"/>
            <w:tcBorders>
              <w:top w:val="nil"/>
              <w:left w:val="nil"/>
              <w:bottom w:val="single" w:sz="4" w:space="0" w:color="auto"/>
              <w:right w:val="single" w:sz="4" w:space="0" w:color="auto"/>
            </w:tcBorders>
            <w:shd w:val="clear" w:color="000000" w:fill="D9D9D9"/>
            <w:vAlign w:val="center"/>
            <w:hideMark/>
          </w:tcPr>
          <w:p w:rsidR="00821D8A" w:rsidRPr="00BB6916" w:rsidRDefault="00821D8A" w:rsidP="00821D8A">
            <w:pPr>
              <w:widowControl/>
              <w:autoSpaceDE/>
              <w:autoSpaceDN/>
              <w:adjustRightInd/>
              <w:jc w:val="center"/>
              <w:rPr>
                <w:rFonts w:ascii="Times New Roman" w:hAnsi="Times New Roman"/>
                <w:b/>
                <w:bCs/>
                <w:color w:val="000000"/>
                <w:sz w:val="16"/>
                <w:szCs w:val="16"/>
              </w:rPr>
            </w:pPr>
            <w:r w:rsidRPr="00BB6916">
              <w:rPr>
                <w:rFonts w:ascii="Times New Roman" w:hAnsi="Times New Roman"/>
                <w:b/>
                <w:bCs/>
                <w:color w:val="000000"/>
                <w:sz w:val="16"/>
                <w:szCs w:val="16"/>
              </w:rPr>
              <w:t>Total Annual Burden Per Entity</w:t>
            </w:r>
          </w:p>
        </w:tc>
        <w:tc>
          <w:tcPr>
            <w:tcW w:w="1180" w:type="dxa"/>
            <w:tcBorders>
              <w:top w:val="nil"/>
              <w:left w:val="nil"/>
              <w:bottom w:val="single" w:sz="4" w:space="0" w:color="auto"/>
              <w:right w:val="single" w:sz="4" w:space="0" w:color="auto"/>
            </w:tcBorders>
            <w:shd w:val="clear" w:color="000000" w:fill="D9D9D9"/>
            <w:vAlign w:val="center"/>
            <w:hideMark/>
          </w:tcPr>
          <w:p w:rsidR="00821D8A" w:rsidRPr="00BB6916" w:rsidRDefault="00821D8A" w:rsidP="00821D8A">
            <w:pPr>
              <w:widowControl/>
              <w:autoSpaceDE/>
              <w:autoSpaceDN/>
              <w:adjustRightInd/>
              <w:jc w:val="center"/>
              <w:rPr>
                <w:rFonts w:ascii="Times New Roman" w:hAnsi="Times New Roman"/>
                <w:b/>
                <w:bCs/>
                <w:color w:val="000000"/>
                <w:sz w:val="16"/>
                <w:szCs w:val="16"/>
              </w:rPr>
            </w:pPr>
            <w:r w:rsidRPr="00BB6916">
              <w:rPr>
                <w:rFonts w:ascii="Times New Roman" w:hAnsi="Times New Roman"/>
                <w:b/>
                <w:bCs/>
                <w:color w:val="000000"/>
                <w:sz w:val="16"/>
                <w:szCs w:val="16"/>
              </w:rPr>
              <w:t xml:space="preserve">Total Industry Burden                  </w:t>
            </w:r>
          </w:p>
        </w:tc>
        <w:tc>
          <w:tcPr>
            <w:tcW w:w="760" w:type="dxa"/>
            <w:tcBorders>
              <w:top w:val="nil"/>
              <w:left w:val="nil"/>
              <w:bottom w:val="single" w:sz="4" w:space="0" w:color="auto"/>
              <w:right w:val="single" w:sz="8" w:space="0" w:color="auto"/>
            </w:tcBorders>
            <w:shd w:val="clear" w:color="000000" w:fill="D9D9D9"/>
            <w:vAlign w:val="center"/>
            <w:hideMark/>
          </w:tcPr>
          <w:p w:rsidR="00821D8A" w:rsidRPr="00BB6916" w:rsidRDefault="00821D8A" w:rsidP="00821D8A">
            <w:pPr>
              <w:widowControl/>
              <w:autoSpaceDE/>
              <w:autoSpaceDN/>
              <w:adjustRightInd/>
              <w:jc w:val="center"/>
              <w:rPr>
                <w:rFonts w:ascii="Times New Roman" w:hAnsi="Times New Roman"/>
                <w:b/>
                <w:bCs/>
                <w:color w:val="000000"/>
                <w:sz w:val="16"/>
                <w:szCs w:val="16"/>
              </w:rPr>
            </w:pPr>
            <w:r w:rsidRPr="00BB6916">
              <w:rPr>
                <w:rFonts w:ascii="Times New Roman" w:hAnsi="Times New Roman"/>
                <w:b/>
                <w:bCs/>
                <w:color w:val="000000"/>
                <w:sz w:val="16"/>
                <w:szCs w:val="16"/>
              </w:rPr>
              <w:t xml:space="preserve"> Small Business Entities Affected</w:t>
            </w:r>
          </w:p>
        </w:tc>
      </w:tr>
      <w:tr w:rsidR="00821D8A" w:rsidRPr="00BB6916" w:rsidTr="00821D8A">
        <w:trPr>
          <w:trHeight w:val="510"/>
          <w:jc w:val="center"/>
        </w:trPr>
        <w:tc>
          <w:tcPr>
            <w:tcW w:w="1380" w:type="dxa"/>
            <w:tcBorders>
              <w:top w:val="nil"/>
              <w:left w:val="single" w:sz="8" w:space="0" w:color="auto"/>
              <w:bottom w:val="single" w:sz="4" w:space="0" w:color="auto"/>
              <w:right w:val="single" w:sz="4" w:space="0" w:color="auto"/>
            </w:tcBorders>
            <w:shd w:val="clear" w:color="000000" w:fill="D9D9D9"/>
            <w:vAlign w:val="center"/>
            <w:hideMark/>
          </w:tcPr>
          <w:p w:rsidR="00821D8A" w:rsidRPr="00BB6916" w:rsidRDefault="00821D8A" w:rsidP="00821D8A">
            <w:pPr>
              <w:widowControl/>
              <w:autoSpaceDE/>
              <w:autoSpaceDN/>
              <w:adjustRightInd/>
              <w:jc w:val="center"/>
              <w:rPr>
                <w:rFonts w:ascii="Times New Roman" w:hAnsi="Times New Roman"/>
                <w:color w:val="FF0000"/>
                <w:sz w:val="16"/>
                <w:szCs w:val="16"/>
              </w:rPr>
            </w:pPr>
            <w:r w:rsidRPr="00BB6916">
              <w:rPr>
                <w:rFonts w:ascii="Times New Roman" w:hAnsi="Times New Roman"/>
                <w:color w:val="FF0000"/>
                <w:sz w:val="16"/>
                <w:szCs w:val="16"/>
              </w:rPr>
              <w:t> </w:t>
            </w:r>
          </w:p>
        </w:tc>
        <w:tc>
          <w:tcPr>
            <w:tcW w:w="960" w:type="dxa"/>
            <w:tcBorders>
              <w:top w:val="nil"/>
              <w:left w:val="nil"/>
              <w:bottom w:val="single" w:sz="4" w:space="0" w:color="auto"/>
              <w:right w:val="single" w:sz="4" w:space="0" w:color="auto"/>
            </w:tcBorders>
            <w:shd w:val="clear" w:color="000000" w:fill="D9D9D9"/>
            <w:vAlign w:val="center"/>
            <w:hideMark/>
          </w:tcPr>
          <w:p w:rsidR="00821D8A" w:rsidRPr="00BB6916" w:rsidRDefault="00821D8A" w:rsidP="00821D8A">
            <w:pPr>
              <w:widowControl/>
              <w:autoSpaceDE/>
              <w:autoSpaceDN/>
              <w:adjustRightInd/>
              <w:jc w:val="center"/>
              <w:rPr>
                <w:rFonts w:ascii="Times New Roman" w:hAnsi="Times New Roman"/>
                <w:color w:val="FF0000"/>
                <w:sz w:val="16"/>
                <w:szCs w:val="16"/>
              </w:rPr>
            </w:pPr>
            <w:r w:rsidRPr="00BB6916">
              <w:rPr>
                <w:rFonts w:ascii="Times New Roman" w:hAnsi="Times New Roman"/>
                <w:color w:val="FF0000"/>
                <w:sz w:val="16"/>
                <w:szCs w:val="16"/>
              </w:rPr>
              <w:t> </w:t>
            </w:r>
          </w:p>
        </w:tc>
        <w:tc>
          <w:tcPr>
            <w:tcW w:w="760" w:type="dxa"/>
            <w:tcBorders>
              <w:top w:val="nil"/>
              <w:left w:val="nil"/>
              <w:bottom w:val="single" w:sz="4" w:space="0" w:color="auto"/>
              <w:right w:val="single" w:sz="4" w:space="0" w:color="auto"/>
            </w:tcBorders>
            <w:shd w:val="clear" w:color="000000" w:fill="D9D9D9"/>
            <w:vAlign w:val="center"/>
            <w:hideMark/>
          </w:tcPr>
          <w:p w:rsidR="00821D8A" w:rsidRPr="00BB6916" w:rsidRDefault="00821D8A" w:rsidP="00821D8A">
            <w:pPr>
              <w:widowControl/>
              <w:autoSpaceDE/>
              <w:autoSpaceDN/>
              <w:adjustRightInd/>
              <w:jc w:val="center"/>
              <w:rPr>
                <w:rFonts w:ascii="Times New Roman" w:hAnsi="Times New Roman"/>
                <w:color w:val="FF0000"/>
                <w:sz w:val="16"/>
                <w:szCs w:val="16"/>
              </w:rPr>
            </w:pPr>
            <w:r w:rsidRPr="00BB6916">
              <w:rPr>
                <w:rFonts w:ascii="Times New Roman" w:hAnsi="Times New Roman"/>
                <w:color w:val="FF0000"/>
                <w:sz w:val="16"/>
                <w:szCs w:val="16"/>
              </w:rPr>
              <w:t> </w:t>
            </w:r>
          </w:p>
        </w:tc>
        <w:tc>
          <w:tcPr>
            <w:tcW w:w="820" w:type="dxa"/>
            <w:tcBorders>
              <w:top w:val="nil"/>
              <w:left w:val="nil"/>
              <w:bottom w:val="single" w:sz="4" w:space="0" w:color="auto"/>
              <w:right w:val="single" w:sz="4" w:space="0" w:color="auto"/>
            </w:tcBorders>
            <w:shd w:val="clear" w:color="000000" w:fill="D9D9D9"/>
            <w:vAlign w:val="center"/>
            <w:hideMark/>
          </w:tcPr>
          <w:p w:rsidR="00821D8A" w:rsidRPr="00BB6916" w:rsidRDefault="00821D8A" w:rsidP="00821D8A">
            <w:pPr>
              <w:widowControl/>
              <w:autoSpaceDE/>
              <w:autoSpaceDN/>
              <w:adjustRightInd/>
              <w:jc w:val="center"/>
              <w:rPr>
                <w:rFonts w:ascii="Times New Roman" w:hAnsi="Times New Roman"/>
                <w:color w:val="FF0000"/>
                <w:sz w:val="16"/>
                <w:szCs w:val="16"/>
              </w:rPr>
            </w:pPr>
            <w:r w:rsidRPr="00BB6916">
              <w:rPr>
                <w:rFonts w:ascii="Times New Roman" w:hAnsi="Times New Roman"/>
                <w:color w:val="FF0000"/>
                <w:sz w:val="16"/>
                <w:szCs w:val="16"/>
              </w:rPr>
              <w:t> </w:t>
            </w:r>
          </w:p>
        </w:tc>
        <w:tc>
          <w:tcPr>
            <w:tcW w:w="840" w:type="dxa"/>
            <w:tcBorders>
              <w:top w:val="nil"/>
              <w:left w:val="nil"/>
              <w:bottom w:val="single" w:sz="4" w:space="0" w:color="auto"/>
              <w:right w:val="single" w:sz="4" w:space="0" w:color="auto"/>
            </w:tcBorders>
            <w:shd w:val="clear" w:color="000000" w:fill="D9D9D9"/>
            <w:vAlign w:val="center"/>
            <w:hideMark/>
          </w:tcPr>
          <w:p w:rsidR="00821D8A" w:rsidRPr="00BB6916" w:rsidRDefault="00821D8A" w:rsidP="00821D8A">
            <w:pPr>
              <w:widowControl/>
              <w:autoSpaceDE/>
              <w:autoSpaceDN/>
              <w:adjustRightInd/>
              <w:jc w:val="center"/>
              <w:rPr>
                <w:rFonts w:ascii="Times New Roman" w:hAnsi="Times New Roman"/>
                <w:color w:val="FF0000"/>
                <w:sz w:val="16"/>
                <w:szCs w:val="16"/>
              </w:rPr>
            </w:pPr>
            <w:r w:rsidRPr="00BB6916">
              <w:rPr>
                <w:rFonts w:ascii="Times New Roman" w:hAnsi="Times New Roman"/>
                <w:color w:val="FF0000"/>
                <w:sz w:val="16"/>
                <w:szCs w:val="16"/>
              </w:rPr>
              <w:t> </w:t>
            </w:r>
          </w:p>
        </w:tc>
        <w:tc>
          <w:tcPr>
            <w:tcW w:w="1000" w:type="dxa"/>
            <w:tcBorders>
              <w:top w:val="nil"/>
              <w:left w:val="nil"/>
              <w:bottom w:val="single" w:sz="4" w:space="0" w:color="auto"/>
              <w:right w:val="single" w:sz="4" w:space="0" w:color="auto"/>
            </w:tcBorders>
            <w:shd w:val="clear" w:color="000000" w:fill="D9D9D9"/>
            <w:vAlign w:val="center"/>
            <w:hideMark/>
          </w:tcPr>
          <w:p w:rsidR="00821D8A" w:rsidRPr="00BB6916" w:rsidRDefault="00821D8A" w:rsidP="00821D8A">
            <w:pPr>
              <w:widowControl/>
              <w:autoSpaceDE/>
              <w:autoSpaceDN/>
              <w:adjustRightInd/>
              <w:jc w:val="center"/>
              <w:rPr>
                <w:rFonts w:ascii="Times New Roman" w:hAnsi="Times New Roman"/>
                <w:color w:val="FF0000"/>
                <w:sz w:val="16"/>
                <w:szCs w:val="16"/>
              </w:rPr>
            </w:pPr>
            <w:r w:rsidRPr="00BB6916">
              <w:rPr>
                <w:rFonts w:ascii="Times New Roman" w:hAnsi="Times New Roman"/>
                <w:color w:val="FF0000"/>
                <w:sz w:val="16"/>
                <w:szCs w:val="16"/>
              </w:rPr>
              <w:t>[C ÷ 3 years]</w:t>
            </w:r>
          </w:p>
        </w:tc>
        <w:tc>
          <w:tcPr>
            <w:tcW w:w="900" w:type="dxa"/>
            <w:tcBorders>
              <w:top w:val="nil"/>
              <w:left w:val="nil"/>
              <w:bottom w:val="single" w:sz="4" w:space="0" w:color="auto"/>
              <w:right w:val="single" w:sz="4" w:space="0" w:color="auto"/>
            </w:tcBorders>
            <w:shd w:val="clear" w:color="000000" w:fill="D9D9D9"/>
            <w:vAlign w:val="center"/>
            <w:hideMark/>
          </w:tcPr>
          <w:p w:rsidR="00821D8A" w:rsidRPr="00BB6916" w:rsidRDefault="00821D8A" w:rsidP="00821D8A">
            <w:pPr>
              <w:widowControl/>
              <w:autoSpaceDE/>
              <w:autoSpaceDN/>
              <w:adjustRightInd/>
              <w:jc w:val="center"/>
              <w:rPr>
                <w:rFonts w:ascii="Times New Roman" w:hAnsi="Times New Roman"/>
                <w:color w:val="FF0000"/>
                <w:sz w:val="16"/>
                <w:szCs w:val="16"/>
              </w:rPr>
            </w:pPr>
            <w:r w:rsidRPr="00BB6916">
              <w:rPr>
                <w:rFonts w:ascii="Times New Roman" w:hAnsi="Times New Roman"/>
                <w:color w:val="FF0000"/>
                <w:sz w:val="16"/>
                <w:szCs w:val="16"/>
              </w:rPr>
              <w:t> </w:t>
            </w:r>
          </w:p>
        </w:tc>
        <w:tc>
          <w:tcPr>
            <w:tcW w:w="920" w:type="dxa"/>
            <w:tcBorders>
              <w:top w:val="nil"/>
              <w:left w:val="nil"/>
              <w:bottom w:val="single" w:sz="4" w:space="0" w:color="auto"/>
              <w:right w:val="single" w:sz="4" w:space="0" w:color="auto"/>
            </w:tcBorders>
            <w:shd w:val="clear" w:color="000000" w:fill="D9D9D9"/>
            <w:vAlign w:val="center"/>
            <w:hideMark/>
          </w:tcPr>
          <w:p w:rsidR="00821D8A" w:rsidRPr="00BB6916" w:rsidRDefault="00821D8A" w:rsidP="00821D8A">
            <w:pPr>
              <w:widowControl/>
              <w:autoSpaceDE/>
              <w:autoSpaceDN/>
              <w:adjustRightInd/>
              <w:jc w:val="center"/>
              <w:rPr>
                <w:rFonts w:ascii="Times New Roman" w:hAnsi="Times New Roman"/>
                <w:color w:val="FF0000"/>
                <w:sz w:val="16"/>
                <w:szCs w:val="16"/>
              </w:rPr>
            </w:pPr>
            <w:r w:rsidRPr="00BB6916">
              <w:rPr>
                <w:rFonts w:ascii="Times New Roman" w:hAnsi="Times New Roman"/>
                <w:color w:val="FF0000"/>
                <w:sz w:val="16"/>
                <w:szCs w:val="16"/>
              </w:rPr>
              <w:t>[ D + E]</w:t>
            </w:r>
          </w:p>
        </w:tc>
        <w:tc>
          <w:tcPr>
            <w:tcW w:w="940" w:type="dxa"/>
            <w:tcBorders>
              <w:top w:val="nil"/>
              <w:left w:val="nil"/>
              <w:bottom w:val="single" w:sz="4" w:space="0" w:color="auto"/>
              <w:right w:val="single" w:sz="4" w:space="0" w:color="auto"/>
            </w:tcBorders>
            <w:shd w:val="clear" w:color="000000" w:fill="D9D9D9"/>
            <w:vAlign w:val="center"/>
            <w:hideMark/>
          </w:tcPr>
          <w:p w:rsidR="00821D8A" w:rsidRPr="00BB6916" w:rsidRDefault="00821D8A" w:rsidP="00821D8A">
            <w:pPr>
              <w:widowControl/>
              <w:autoSpaceDE/>
              <w:autoSpaceDN/>
              <w:adjustRightInd/>
              <w:jc w:val="center"/>
              <w:rPr>
                <w:rFonts w:ascii="Times New Roman" w:hAnsi="Times New Roman"/>
                <w:color w:val="FF0000"/>
                <w:sz w:val="16"/>
                <w:szCs w:val="16"/>
              </w:rPr>
            </w:pPr>
            <w:r w:rsidRPr="00BB6916">
              <w:rPr>
                <w:rFonts w:ascii="Times New Roman" w:hAnsi="Times New Roman"/>
                <w:color w:val="FF0000"/>
                <w:sz w:val="16"/>
                <w:szCs w:val="16"/>
              </w:rPr>
              <w:t>[F * B]</w:t>
            </w:r>
          </w:p>
        </w:tc>
        <w:tc>
          <w:tcPr>
            <w:tcW w:w="1180" w:type="dxa"/>
            <w:tcBorders>
              <w:top w:val="nil"/>
              <w:left w:val="nil"/>
              <w:bottom w:val="single" w:sz="4" w:space="0" w:color="auto"/>
              <w:right w:val="single" w:sz="4" w:space="0" w:color="auto"/>
            </w:tcBorders>
            <w:shd w:val="clear" w:color="000000" w:fill="D9D9D9"/>
            <w:vAlign w:val="center"/>
            <w:hideMark/>
          </w:tcPr>
          <w:p w:rsidR="00821D8A" w:rsidRPr="00BB6916" w:rsidRDefault="00821D8A" w:rsidP="00821D8A">
            <w:pPr>
              <w:widowControl/>
              <w:autoSpaceDE/>
              <w:autoSpaceDN/>
              <w:adjustRightInd/>
              <w:jc w:val="center"/>
              <w:rPr>
                <w:rFonts w:ascii="Times New Roman" w:hAnsi="Times New Roman"/>
                <w:color w:val="FF0000"/>
                <w:sz w:val="16"/>
                <w:szCs w:val="16"/>
              </w:rPr>
            </w:pPr>
            <w:r w:rsidRPr="00BB6916">
              <w:rPr>
                <w:rFonts w:ascii="Times New Roman" w:hAnsi="Times New Roman"/>
                <w:color w:val="FF0000"/>
                <w:sz w:val="16"/>
                <w:szCs w:val="16"/>
              </w:rPr>
              <w:t xml:space="preserve">[G * A]  </w:t>
            </w:r>
          </w:p>
        </w:tc>
        <w:tc>
          <w:tcPr>
            <w:tcW w:w="760" w:type="dxa"/>
            <w:tcBorders>
              <w:top w:val="nil"/>
              <w:left w:val="nil"/>
              <w:bottom w:val="single" w:sz="4" w:space="0" w:color="auto"/>
              <w:right w:val="single" w:sz="8" w:space="0" w:color="auto"/>
            </w:tcBorders>
            <w:shd w:val="clear" w:color="000000" w:fill="D9D9D9"/>
            <w:vAlign w:val="center"/>
            <w:hideMark/>
          </w:tcPr>
          <w:p w:rsidR="00821D8A" w:rsidRPr="00BB6916" w:rsidRDefault="00821D8A" w:rsidP="00821D8A">
            <w:pPr>
              <w:widowControl/>
              <w:autoSpaceDE/>
              <w:autoSpaceDN/>
              <w:adjustRightInd/>
              <w:jc w:val="center"/>
              <w:rPr>
                <w:rFonts w:ascii="Times New Roman" w:hAnsi="Times New Roman"/>
                <w:color w:val="FF0000"/>
                <w:sz w:val="16"/>
                <w:szCs w:val="16"/>
              </w:rPr>
            </w:pPr>
            <w:r w:rsidRPr="00BB6916">
              <w:rPr>
                <w:rFonts w:ascii="Times New Roman" w:hAnsi="Times New Roman"/>
                <w:color w:val="FF0000"/>
                <w:sz w:val="16"/>
                <w:szCs w:val="16"/>
              </w:rPr>
              <w:t>[A * 0%]</w:t>
            </w:r>
          </w:p>
        </w:tc>
      </w:tr>
      <w:tr w:rsidR="00821D8A" w:rsidRPr="00BB6916" w:rsidTr="00821D8A">
        <w:trPr>
          <w:trHeight w:val="300"/>
          <w:jc w:val="center"/>
        </w:trPr>
        <w:tc>
          <w:tcPr>
            <w:tcW w:w="1380" w:type="dxa"/>
            <w:tcBorders>
              <w:top w:val="nil"/>
              <w:left w:val="single" w:sz="8" w:space="0" w:color="auto"/>
              <w:bottom w:val="single" w:sz="4" w:space="0" w:color="auto"/>
              <w:right w:val="single" w:sz="4" w:space="0" w:color="auto"/>
            </w:tcBorders>
            <w:shd w:val="clear" w:color="auto" w:fill="auto"/>
            <w:vAlign w:val="center"/>
            <w:hideMark/>
          </w:tcPr>
          <w:p w:rsidR="00821D8A" w:rsidRPr="00BB6916" w:rsidRDefault="00A0398B" w:rsidP="00821D8A">
            <w:pPr>
              <w:widowControl/>
              <w:autoSpaceDE/>
              <w:autoSpaceDN/>
              <w:adjustRightInd/>
              <w:jc w:val="center"/>
              <w:rPr>
                <w:rFonts w:ascii="Times New Roman" w:hAnsi="Times New Roman"/>
                <w:color w:val="000000"/>
                <w:sz w:val="16"/>
                <w:szCs w:val="16"/>
              </w:rPr>
            </w:pPr>
            <w:r w:rsidRPr="00BB6916">
              <w:rPr>
                <w:rFonts w:ascii="Times New Roman" w:hAnsi="Times New Roman"/>
                <w:color w:val="000000"/>
                <w:sz w:val="16"/>
                <w:szCs w:val="16"/>
              </w:rPr>
              <w:t>Policies and Procedures: 13n-4(b)(5)</w:t>
            </w:r>
          </w:p>
        </w:tc>
        <w:tc>
          <w:tcPr>
            <w:tcW w:w="960" w:type="dxa"/>
            <w:tcBorders>
              <w:top w:val="nil"/>
              <w:left w:val="nil"/>
              <w:bottom w:val="single" w:sz="4" w:space="0" w:color="auto"/>
              <w:right w:val="single" w:sz="4" w:space="0" w:color="auto"/>
            </w:tcBorders>
            <w:shd w:val="clear" w:color="auto" w:fill="auto"/>
            <w:vAlign w:val="center"/>
            <w:hideMark/>
          </w:tcPr>
          <w:p w:rsidR="00821D8A" w:rsidRPr="00BB6916" w:rsidRDefault="00821D8A" w:rsidP="00821D8A">
            <w:pPr>
              <w:widowControl/>
              <w:autoSpaceDE/>
              <w:autoSpaceDN/>
              <w:adjustRightInd/>
              <w:jc w:val="center"/>
              <w:rPr>
                <w:rFonts w:ascii="Times New Roman" w:hAnsi="Times New Roman"/>
                <w:color w:val="000000"/>
                <w:sz w:val="16"/>
                <w:szCs w:val="16"/>
              </w:rPr>
            </w:pPr>
            <w:r w:rsidRPr="00BB6916">
              <w:rPr>
                <w:rFonts w:ascii="Times New Roman" w:hAnsi="Times New Roman"/>
                <w:color w:val="000000"/>
                <w:sz w:val="16"/>
                <w:szCs w:val="16"/>
              </w:rPr>
              <w:t>Third-Party</w:t>
            </w:r>
          </w:p>
        </w:tc>
        <w:tc>
          <w:tcPr>
            <w:tcW w:w="760" w:type="dxa"/>
            <w:tcBorders>
              <w:top w:val="nil"/>
              <w:left w:val="nil"/>
              <w:bottom w:val="single" w:sz="4" w:space="0" w:color="auto"/>
              <w:right w:val="single" w:sz="4" w:space="0" w:color="auto"/>
            </w:tcBorders>
            <w:shd w:val="clear" w:color="auto" w:fill="auto"/>
            <w:vAlign w:val="center"/>
            <w:hideMark/>
          </w:tcPr>
          <w:p w:rsidR="00821D8A" w:rsidRPr="00BB6916" w:rsidRDefault="00821D8A" w:rsidP="00821D8A">
            <w:pPr>
              <w:widowControl/>
              <w:autoSpaceDE/>
              <w:autoSpaceDN/>
              <w:adjustRightInd/>
              <w:jc w:val="center"/>
              <w:rPr>
                <w:rFonts w:ascii="Times New Roman" w:hAnsi="Times New Roman"/>
                <w:color w:val="000000"/>
                <w:sz w:val="16"/>
                <w:szCs w:val="16"/>
              </w:rPr>
            </w:pPr>
            <w:r w:rsidRPr="00BB6916">
              <w:rPr>
                <w:rFonts w:ascii="Times New Roman" w:hAnsi="Times New Roman"/>
                <w:color w:val="000000"/>
                <w:sz w:val="16"/>
                <w:szCs w:val="16"/>
              </w:rPr>
              <w:t>10</w:t>
            </w:r>
          </w:p>
        </w:tc>
        <w:tc>
          <w:tcPr>
            <w:tcW w:w="820" w:type="dxa"/>
            <w:tcBorders>
              <w:top w:val="nil"/>
              <w:left w:val="nil"/>
              <w:bottom w:val="single" w:sz="4" w:space="0" w:color="auto"/>
              <w:right w:val="single" w:sz="4" w:space="0" w:color="auto"/>
            </w:tcBorders>
            <w:shd w:val="clear" w:color="auto" w:fill="auto"/>
            <w:vAlign w:val="center"/>
            <w:hideMark/>
          </w:tcPr>
          <w:p w:rsidR="00821D8A" w:rsidRPr="00BB6916" w:rsidRDefault="00821D8A" w:rsidP="00821D8A">
            <w:pPr>
              <w:widowControl/>
              <w:autoSpaceDE/>
              <w:autoSpaceDN/>
              <w:adjustRightInd/>
              <w:jc w:val="center"/>
              <w:rPr>
                <w:rFonts w:ascii="Times New Roman" w:hAnsi="Times New Roman"/>
                <w:color w:val="000000"/>
                <w:sz w:val="16"/>
                <w:szCs w:val="16"/>
              </w:rPr>
            </w:pPr>
            <w:r w:rsidRPr="00BB6916">
              <w:rPr>
                <w:rFonts w:ascii="Times New Roman" w:hAnsi="Times New Roman"/>
                <w:color w:val="000000"/>
                <w:sz w:val="16"/>
                <w:szCs w:val="16"/>
              </w:rPr>
              <w:t>1</w:t>
            </w:r>
          </w:p>
        </w:tc>
        <w:tc>
          <w:tcPr>
            <w:tcW w:w="840" w:type="dxa"/>
            <w:tcBorders>
              <w:top w:val="nil"/>
              <w:left w:val="nil"/>
              <w:bottom w:val="single" w:sz="4" w:space="0" w:color="auto"/>
              <w:right w:val="single" w:sz="4" w:space="0" w:color="auto"/>
            </w:tcBorders>
            <w:shd w:val="clear" w:color="auto" w:fill="auto"/>
            <w:vAlign w:val="center"/>
            <w:hideMark/>
          </w:tcPr>
          <w:p w:rsidR="00821D8A" w:rsidRPr="00BB6916" w:rsidRDefault="00821D8A" w:rsidP="00821D8A">
            <w:pPr>
              <w:widowControl/>
              <w:autoSpaceDE/>
              <w:autoSpaceDN/>
              <w:adjustRightInd/>
              <w:jc w:val="right"/>
              <w:rPr>
                <w:rFonts w:ascii="Times New Roman" w:hAnsi="Times New Roman"/>
                <w:color w:val="000000"/>
                <w:sz w:val="16"/>
                <w:szCs w:val="16"/>
              </w:rPr>
            </w:pPr>
            <w:r w:rsidRPr="00BB6916">
              <w:rPr>
                <w:rFonts w:ascii="Times New Roman" w:hAnsi="Times New Roman"/>
                <w:color w:val="000000"/>
                <w:sz w:val="16"/>
                <w:szCs w:val="16"/>
              </w:rPr>
              <w:t>472.50</w:t>
            </w:r>
          </w:p>
        </w:tc>
        <w:tc>
          <w:tcPr>
            <w:tcW w:w="1000" w:type="dxa"/>
            <w:tcBorders>
              <w:top w:val="nil"/>
              <w:left w:val="nil"/>
              <w:bottom w:val="single" w:sz="4" w:space="0" w:color="auto"/>
              <w:right w:val="single" w:sz="4" w:space="0" w:color="auto"/>
            </w:tcBorders>
            <w:shd w:val="clear" w:color="auto" w:fill="auto"/>
            <w:vAlign w:val="center"/>
            <w:hideMark/>
          </w:tcPr>
          <w:p w:rsidR="00821D8A" w:rsidRPr="00BB6916" w:rsidRDefault="00821D8A" w:rsidP="00821D8A">
            <w:pPr>
              <w:widowControl/>
              <w:autoSpaceDE/>
              <w:autoSpaceDN/>
              <w:adjustRightInd/>
              <w:jc w:val="right"/>
              <w:rPr>
                <w:rFonts w:ascii="Times New Roman" w:hAnsi="Times New Roman"/>
                <w:color w:val="000000"/>
                <w:sz w:val="16"/>
                <w:szCs w:val="16"/>
              </w:rPr>
            </w:pPr>
            <w:r w:rsidRPr="00BB6916">
              <w:rPr>
                <w:rFonts w:ascii="Times New Roman" w:hAnsi="Times New Roman"/>
                <w:color w:val="000000"/>
                <w:sz w:val="16"/>
                <w:szCs w:val="16"/>
              </w:rPr>
              <w:t>157.50</w:t>
            </w:r>
          </w:p>
        </w:tc>
        <w:tc>
          <w:tcPr>
            <w:tcW w:w="900" w:type="dxa"/>
            <w:tcBorders>
              <w:top w:val="nil"/>
              <w:left w:val="nil"/>
              <w:bottom w:val="single" w:sz="4" w:space="0" w:color="auto"/>
              <w:right w:val="single" w:sz="4" w:space="0" w:color="auto"/>
            </w:tcBorders>
            <w:shd w:val="clear" w:color="auto" w:fill="auto"/>
            <w:vAlign w:val="center"/>
            <w:hideMark/>
          </w:tcPr>
          <w:p w:rsidR="00821D8A" w:rsidRPr="00BB6916" w:rsidRDefault="00821D8A" w:rsidP="00821D8A">
            <w:pPr>
              <w:widowControl/>
              <w:autoSpaceDE/>
              <w:autoSpaceDN/>
              <w:adjustRightInd/>
              <w:jc w:val="right"/>
              <w:rPr>
                <w:rFonts w:ascii="Times New Roman" w:hAnsi="Times New Roman"/>
                <w:color w:val="000000"/>
                <w:sz w:val="16"/>
                <w:szCs w:val="16"/>
              </w:rPr>
            </w:pPr>
            <w:r w:rsidRPr="00BB6916">
              <w:rPr>
                <w:rFonts w:ascii="Times New Roman" w:hAnsi="Times New Roman"/>
                <w:color w:val="000000"/>
                <w:sz w:val="16"/>
                <w:szCs w:val="16"/>
              </w:rPr>
              <w:t>0.00</w:t>
            </w:r>
          </w:p>
        </w:tc>
        <w:tc>
          <w:tcPr>
            <w:tcW w:w="920" w:type="dxa"/>
            <w:tcBorders>
              <w:top w:val="nil"/>
              <w:left w:val="nil"/>
              <w:bottom w:val="single" w:sz="4" w:space="0" w:color="auto"/>
              <w:right w:val="single" w:sz="4" w:space="0" w:color="auto"/>
            </w:tcBorders>
            <w:shd w:val="clear" w:color="auto" w:fill="auto"/>
            <w:vAlign w:val="center"/>
            <w:hideMark/>
          </w:tcPr>
          <w:p w:rsidR="00821D8A" w:rsidRPr="00BB6916" w:rsidRDefault="00821D8A" w:rsidP="00821D8A">
            <w:pPr>
              <w:widowControl/>
              <w:autoSpaceDE/>
              <w:autoSpaceDN/>
              <w:adjustRightInd/>
              <w:jc w:val="right"/>
              <w:rPr>
                <w:rFonts w:ascii="Times New Roman" w:hAnsi="Times New Roman"/>
                <w:color w:val="000000"/>
                <w:sz w:val="16"/>
                <w:szCs w:val="16"/>
              </w:rPr>
            </w:pPr>
            <w:r w:rsidRPr="00BB6916">
              <w:rPr>
                <w:rFonts w:ascii="Times New Roman" w:hAnsi="Times New Roman"/>
                <w:color w:val="000000"/>
                <w:sz w:val="16"/>
                <w:szCs w:val="16"/>
              </w:rPr>
              <w:t>157.50</w:t>
            </w:r>
          </w:p>
        </w:tc>
        <w:tc>
          <w:tcPr>
            <w:tcW w:w="940" w:type="dxa"/>
            <w:tcBorders>
              <w:top w:val="nil"/>
              <w:left w:val="nil"/>
              <w:bottom w:val="single" w:sz="4" w:space="0" w:color="auto"/>
              <w:right w:val="single" w:sz="4" w:space="0" w:color="auto"/>
            </w:tcBorders>
            <w:shd w:val="clear" w:color="auto" w:fill="auto"/>
            <w:vAlign w:val="center"/>
            <w:hideMark/>
          </w:tcPr>
          <w:p w:rsidR="00821D8A" w:rsidRPr="00BB6916" w:rsidRDefault="00821D8A" w:rsidP="00821D8A">
            <w:pPr>
              <w:widowControl/>
              <w:autoSpaceDE/>
              <w:autoSpaceDN/>
              <w:adjustRightInd/>
              <w:jc w:val="right"/>
              <w:rPr>
                <w:rFonts w:ascii="Times New Roman" w:hAnsi="Times New Roman"/>
                <w:color w:val="000000"/>
                <w:sz w:val="16"/>
                <w:szCs w:val="16"/>
              </w:rPr>
            </w:pPr>
            <w:r w:rsidRPr="00BB6916">
              <w:rPr>
                <w:rFonts w:ascii="Times New Roman" w:hAnsi="Times New Roman"/>
                <w:color w:val="000000"/>
                <w:sz w:val="16"/>
                <w:szCs w:val="16"/>
              </w:rPr>
              <w:t>157.50</w:t>
            </w:r>
          </w:p>
        </w:tc>
        <w:tc>
          <w:tcPr>
            <w:tcW w:w="1180" w:type="dxa"/>
            <w:tcBorders>
              <w:top w:val="nil"/>
              <w:left w:val="nil"/>
              <w:bottom w:val="single" w:sz="4" w:space="0" w:color="auto"/>
              <w:right w:val="single" w:sz="4" w:space="0" w:color="auto"/>
            </w:tcBorders>
            <w:shd w:val="clear" w:color="auto" w:fill="auto"/>
            <w:vAlign w:val="center"/>
            <w:hideMark/>
          </w:tcPr>
          <w:p w:rsidR="00821D8A" w:rsidRPr="00BB6916" w:rsidRDefault="00821D8A" w:rsidP="00821D8A">
            <w:pPr>
              <w:widowControl/>
              <w:autoSpaceDE/>
              <w:autoSpaceDN/>
              <w:adjustRightInd/>
              <w:jc w:val="right"/>
              <w:rPr>
                <w:rFonts w:ascii="Times New Roman" w:hAnsi="Times New Roman"/>
                <w:color w:val="000000"/>
                <w:sz w:val="16"/>
                <w:szCs w:val="16"/>
              </w:rPr>
            </w:pPr>
            <w:r w:rsidRPr="00BB6916">
              <w:rPr>
                <w:rFonts w:ascii="Times New Roman" w:hAnsi="Times New Roman"/>
                <w:color w:val="000000"/>
                <w:sz w:val="16"/>
                <w:szCs w:val="16"/>
              </w:rPr>
              <w:t>1,575.00</w:t>
            </w:r>
          </w:p>
        </w:tc>
        <w:tc>
          <w:tcPr>
            <w:tcW w:w="760" w:type="dxa"/>
            <w:tcBorders>
              <w:top w:val="nil"/>
              <w:left w:val="nil"/>
              <w:bottom w:val="single" w:sz="4" w:space="0" w:color="auto"/>
              <w:right w:val="single" w:sz="8" w:space="0" w:color="auto"/>
            </w:tcBorders>
            <w:shd w:val="clear" w:color="auto" w:fill="auto"/>
            <w:noWrap/>
            <w:vAlign w:val="center"/>
            <w:hideMark/>
          </w:tcPr>
          <w:p w:rsidR="00821D8A" w:rsidRPr="00BB6916" w:rsidRDefault="00821D8A" w:rsidP="00821D8A">
            <w:pPr>
              <w:widowControl/>
              <w:autoSpaceDE/>
              <w:autoSpaceDN/>
              <w:adjustRightInd/>
              <w:jc w:val="right"/>
              <w:rPr>
                <w:rFonts w:ascii="Times New Roman" w:hAnsi="Times New Roman"/>
                <w:color w:val="000000"/>
                <w:sz w:val="16"/>
                <w:szCs w:val="16"/>
              </w:rPr>
            </w:pPr>
            <w:r w:rsidRPr="00BB6916">
              <w:rPr>
                <w:rFonts w:ascii="Times New Roman" w:hAnsi="Times New Roman"/>
                <w:color w:val="000000"/>
                <w:sz w:val="16"/>
                <w:szCs w:val="16"/>
              </w:rPr>
              <w:t>0.00</w:t>
            </w:r>
          </w:p>
        </w:tc>
      </w:tr>
      <w:tr w:rsidR="00821D8A" w:rsidRPr="00BB6916" w:rsidTr="00821D8A">
        <w:trPr>
          <w:trHeight w:val="315"/>
          <w:jc w:val="center"/>
        </w:trPr>
        <w:tc>
          <w:tcPr>
            <w:tcW w:w="8520" w:type="dxa"/>
            <w:gridSpan w:val="9"/>
            <w:tcBorders>
              <w:top w:val="single" w:sz="4" w:space="0" w:color="auto"/>
              <w:left w:val="single" w:sz="8" w:space="0" w:color="auto"/>
              <w:bottom w:val="single" w:sz="8" w:space="0" w:color="auto"/>
              <w:right w:val="single" w:sz="4" w:space="0" w:color="auto"/>
            </w:tcBorders>
            <w:shd w:val="clear" w:color="auto" w:fill="auto"/>
            <w:vAlign w:val="center"/>
            <w:hideMark/>
          </w:tcPr>
          <w:p w:rsidR="00821D8A" w:rsidRPr="00BB6916" w:rsidRDefault="00821D8A" w:rsidP="00821D8A">
            <w:pPr>
              <w:widowControl/>
              <w:autoSpaceDE/>
              <w:autoSpaceDN/>
              <w:adjustRightInd/>
              <w:jc w:val="right"/>
              <w:rPr>
                <w:rFonts w:ascii="Times New Roman" w:hAnsi="Times New Roman"/>
                <w:b/>
                <w:bCs/>
                <w:color w:val="000000"/>
                <w:sz w:val="16"/>
                <w:szCs w:val="16"/>
              </w:rPr>
            </w:pPr>
            <w:r w:rsidRPr="00BB6916">
              <w:rPr>
                <w:rFonts w:ascii="Times New Roman" w:hAnsi="Times New Roman"/>
                <w:b/>
                <w:bCs/>
                <w:color w:val="000000"/>
                <w:sz w:val="16"/>
                <w:szCs w:val="16"/>
              </w:rPr>
              <w:t xml:space="preserve">TOTAL HOURLY BURDEN FOR ALL RESPONDENTS </w:t>
            </w:r>
          </w:p>
        </w:tc>
        <w:tc>
          <w:tcPr>
            <w:tcW w:w="1180" w:type="dxa"/>
            <w:tcBorders>
              <w:top w:val="nil"/>
              <w:left w:val="nil"/>
              <w:bottom w:val="single" w:sz="8" w:space="0" w:color="auto"/>
              <w:right w:val="single" w:sz="4" w:space="0" w:color="auto"/>
            </w:tcBorders>
            <w:shd w:val="clear" w:color="auto" w:fill="auto"/>
            <w:vAlign w:val="center"/>
            <w:hideMark/>
          </w:tcPr>
          <w:p w:rsidR="00821D8A" w:rsidRPr="00BB6916" w:rsidRDefault="00821D8A" w:rsidP="00821D8A">
            <w:pPr>
              <w:widowControl/>
              <w:autoSpaceDE/>
              <w:autoSpaceDN/>
              <w:adjustRightInd/>
              <w:jc w:val="right"/>
              <w:rPr>
                <w:rFonts w:ascii="Times New Roman" w:hAnsi="Times New Roman"/>
                <w:b/>
                <w:bCs/>
                <w:color w:val="000000"/>
                <w:sz w:val="16"/>
                <w:szCs w:val="16"/>
              </w:rPr>
            </w:pPr>
            <w:r w:rsidRPr="00BB6916">
              <w:rPr>
                <w:rFonts w:ascii="Times New Roman" w:hAnsi="Times New Roman"/>
                <w:b/>
                <w:bCs/>
                <w:color w:val="000000"/>
                <w:sz w:val="16"/>
                <w:szCs w:val="16"/>
              </w:rPr>
              <w:t>1,575.00</w:t>
            </w:r>
          </w:p>
        </w:tc>
        <w:tc>
          <w:tcPr>
            <w:tcW w:w="760" w:type="dxa"/>
            <w:tcBorders>
              <w:top w:val="nil"/>
              <w:left w:val="nil"/>
              <w:bottom w:val="single" w:sz="8" w:space="0" w:color="auto"/>
              <w:right w:val="single" w:sz="8" w:space="0" w:color="auto"/>
            </w:tcBorders>
            <w:shd w:val="clear" w:color="auto" w:fill="auto"/>
            <w:vAlign w:val="center"/>
            <w:hideMark/>
          </w:tcPr>
          <w:p w:rsidR="00821D8A" w:rsidRPr="00BB6916" w:rsidRDefault="00821D8A" w:rsidP="00821D8A">
            <w:pPr>
              <w:widowControl/>
              <w:autoSpaceDE/>
              <w:autoSpaceDN/>
              <w:adjustRightInd/>
              <w:jc w:val="right"/>
              <w:rPr>
                <w:rFonts w:ascii="Times New Roman" w:hAnsi="Times New Roman"/>
                <w:b/>
                <w:bCs/>
                <w:color w:val="000000"/>
                <w:sz w:val="16"/>
                <w:szCs w:val="16"/>
              </w:rPr>
            </w:pPr>
            <w:r w:rsidRPr="00BB6916">
              <w:rPr>
                <w:rFonts w:ascii="Times New Roman" w:hAnsi="Times New Roman"/>
                <w:b/>
                <w:bCs/>
                <w:color w:val="000000"/>
                <w:sz w:val="16"/>
                <w:szCs w:val="16"/>
              </w:rPr>
              <w:t> </w:t>
            </w:r>
          </w:p>
        </w:tc>
      </w:tr>
    </w:tbl>
    <w:p w:rsidR="00821D8A" w:rsidRPr="00BB6916" w:rsidRDefault="00821D8A" w:rsidP="0085251B">
      <w:pPr>
        <w:spacing w:after="240"/>
        <w:ind w:firstLine="720"/>
        <w:rPr>
          <w:rFonts w:ascii="Times New Roman" w:hAnsi="Times New Roman"/>
        </w:rPr>
      </w:pPr>
    </w:p>
    <w:p w:rsidR="00385046" w:rsidRPr="00BB6916" w:rsidRDefault="00385046" w:rsidP="0085251B">
      <w:pPr>
        <w:tabs>
          <w:tab w:val="left" w:pos="-720"/>
          <w:tab w:val="left" w:pos="0"/>
        </w:tabs>
        <w:suppressAutoHyphens/>
        <w:spacing w:after="240"/>
        <w:ind w:left="720"/>
        <w:rPr>
          <w:rFonts w:ascii="Times New Roman" w:hAnsi="Times New Roman"/>
        </w:rPr>
      </w:pPr>
      <w:r w:rsidRPr="00BB6916">
        <w:rPr>
          <w:rFonts w:ascii="Times New Roman" w:hAnsi="Times New Roman"/>
          <w:b/>
          <w:bCs/>
        </w:rPr>
        <w:t>13.</w:t>
      </w:r>
      <w:r w:rsidRPr="00BB6916">
        <w:rPr>
          <w:rFonts w:ascii="Times New Roman" w:hAnsi="Times New Roman"/>
          <w:b/>
          <w:bCs/>
        </w:rPr>
        <w:tab/>
        <w:t>Estimate of Total Annual Cost Burden</w:t>
      </w:r>
      <w:r w:rsidR="0047713E" w:rsidRPr="00BB6916">
        <w:rPr>
          <w:rFonts w:ascii="Times New Roman" w:hAnsi="Times New Roman"/>
          <w:b/>
          <w:bCs/>
        </w:rPr>
        <w:t xml:space="preserve"> </w:t>
      </w:r>
    </w:p>
    <w:p w:rsidR="000E4E9A" w:rsidRPr="00BB6916" w:rsidRDefault="000E4E9A" w:rsidP="0085251B">
      <w:pPr>
        <w:tabs>
          <w:tab w:val="left" w:pos="-720"/>
        </w:tabs>
        <w:suppressAutoHyphens/>
        <w:spacing w:after="240"/>
        <w:rPr>
          <w:rFonts w:ascii="Times New Roman" w:hAnsi="Times New Roman"/>
        </w:rPr>
      </w:pPr>
      <w:r w:rsidRPr="00BB6916">
        <w:rPr>
          <w:rFonts w:ascii="Times New Roman" w:hAnsi="Times New Roman"/>
        </w:rPr>
        <w:tab/>
      </w:r>
      <w:r w:rsidR="0078511C" w:rsidRPr="00BB6916">
        <w:rPr>
          <w:rFonts w:ascii="Times New Roman" w:hAnsi="Times New Roman"/>
        </w:rPr>
        <w:t>The Commission preliminarily believes that the proposed amendment will result in a one-time cost of approximately $2.8 million to update both standards and an annual cost of approximately $560,000 to update both standards.</w:t>
      </w:r>
    </w:p>
    <w:p w:rsidR="0078511C" w:rsidRPr="00BB6916" w:rsidRDefault="0078511C" w:rsidP="0085251B">
      <w:pPr>
        <w:spacing w:after="240"/>
        <w:ind w:firstLine="720"/>
        <w:rPr>
          <w:rFonts w:ascii="Times New Roman" w:hAnsi="Times New Roman"/>
        </w:rPr>
      </w:pPr>
      <w:r w:rsidRPr="00BB6916">
        <w:rPr>
          <w:rFonts w:ascii="Times New Roman" w:hAnsi="Times New Roman"/>
        </w:rPr>
        <w:t xml:space="preserve">At present, </w:t>
      </w:r>
      <w:proofErr w:type="spellStart"/>
      <w:r w:rsidRPr="00BB6916">
        <w:rPr>
          <w:rFonts w:ascii="Times New Roman" w:hAnsi="Times New Roman"/>
        </w:rPr>
        <w:t>FpML</w:t>
      </w:r>
      <w:proofErr w:type="spellEnd"/>
      <w:r w:rsidRPr="00BB6916">
        <w:rPr>
          <w:rFonts w:ascii="Times New Roman" w:hAnsi="Times New Roman"/>
        </w:rPr>
        <w:t xml:space="preserve"> and FIXML do not have a complete set of defined reporting elements that address all Regulation SBSR reporting requirements.  Market participants may choose to extend these standards to fully reflect Regulation SBSR reporting requirements through the industry bodies that maintain </w:t>
      </w:r>
      <w:proofErr w:type="spellStart"/>
      <w:r w:rsidRPr="00BB6916">
        <w:rPr>
          <w:rFonts w:ascii="Times New Roman" w:hAnsi="Times New Roman"/>
        </w:rPr>
        <w:t>FpML</w:t>
      </w:r>
      <w:proofErr w:type="spellEnd"/>
      <w:r w:rsidRPr="00BB6916">
        <w:rPr>
          <w:rFonts w:ascii="Times New Roman" w:hAnsi="Times New Roman"/>
        </w:rPr>
        <w:t xml:space="preserve"> and FIXML.</w:t>
      </w:r>
    </w:p>
    <w:p w:rsidR="0078511C" w:rsidRPr="00BB6916" w:rsidRDefault="0078511C" w:rsidP="0085251B">
      <w:pPr>
        <w:spacing w:after="240"/>
        <w:ind w:firstLine="720"/>
        <w:rPr>
          <w:rFonts w:ascii="Times New Roman" w:hAnsi="Times New Roman"/>
        </w:rPr>
      </w:pPr>
      <w:r w:rsidRPr="00BB6916">
        <w:rPr>
          <w:rFonts w:ascii="Times New Roman" w:hAnsi="Times New Roman"/>
        </w:rPr>
        <w:t xml:space="preserve">While the Commission acknowledges the costs of extending and updating these standards, these are indirect costs, in that they are not costs required to be incurred by the proposed amendment, but costs that may be incurred voluntarily by industry bodies.  Further, the Commission preliminarily believes that extension costs would be modest.  An analysis undertaken by Commission staff suggests that each standard currently has the defined reporting elements required to capture almost all of the data elements contemplated by Regulation SBSR.  The Commission also preliminarily believes that the update costs would be limited because any update needed to support possible future changes in Regulation SBSR reporting requirements would likely be implemented as part of the routine updates undertaken by the working groups.  To gauge the cost of revising a standard, the Commission reviewed the time taken to update both </w:t>
      </w:r>
      <w:proofErr w:type="spellStart"/>
      <w:r w:rsidRPr="00BB6916">
        <w:rPr>
          <w:rFonts w:ascii="Times New Roman" w:hAnsi="Times New Roman"/>
        </w:rPr>
        <w:t>FpML</w:t>
      </w:r>
      <w:proofErr w:type="spellEnd"/>
      <w:r w:rsidRPr="00BB6916">
        <w:rPr>
          <w:rFonts w:ascii="Times New Roman" w:hAnsi="Times New Roman"/>
        </w:rPr>
        <w:t xml:space="preserve"> and FIXML and estimated that an update requires on average 304 days.  A working group is estimated to be 29-member strong based on the size of the working group charged with updating </w:t>
      </w:r>
      <w:proofErr w:type="spellStart"/>
      <w:r w:rsidRPr="00BB6916">
        <w:rPr>
          <w:rFonts w:ascii="Times New Roman" w:hAnsi="Times New Roman"/>
        </w:rPr>
        <w:t>FpML</w:t>
      </w:r>
      <w:proofErr w:type="spellEnd"/>
      <w:r w:rsidRPr="00BB6916">
        <w:rPr>
          <w:rFonts w:ascii="Times New Roman" w:hAnsi="Times New Roman"/>
        </w:rPr>
        <w:t xml:space="preserve"> to define data elements to be used for reporting OTC derivative positions between market participants and to regulators.  We estimate the one-time cost of extending each standard to be $1,410,560 for a total cost of $2,821,120 for both standards, while the cost of a periodic update to one standard is estimated to be $282,112 for a total cost of $564,224 for both standards.</w:t>
      </w:r>
      <w:r w:rsidRPr="00BB6916">
        <w:rPr>
          <w:rStyle w:val="FootnoteReference"/>
          <w:rFonts w:ascii="Times New Roman" w:hAnsi="Times New Roman"/>
        </w:rPr>
        <w:footnoteReference w:id="15"/>
      </w:r>
      <w:r w:rsidRPr="00BB6916">
        <w:rPr>
          <w:rFonts w:ascii="Times New Roman" w:hAnsi="Times New Roman"/>
        </w:rPr>
        <w:t xml:space="preserve">  </w:t>
      </w:r>
      <w:r w:rsidR="009C061F" w:rsidRPr="00BB6916">
        <w:rPr>
          <w:rFonts w:ascii="Times New Roman" w:hAnsi="Times New Roman"/>
        </w:rPr>
        <w:t>The Commission estimated that the cost per respondent, including the one-time burden equally allocated over three years plus the ongoing burden, results in a cost of $</w:t>
      </w:r>
      <w:r w:rsidR="00821D8A" w:rsidRPr="00BB6916">
        <w:rPr>
          <w:rFonts w:ascii="Times New Roman" w:hAnsi="Times New Roman"/>
        </w:rPr>
        <w:t>1,504,597.33</w:t>
      </w:r>
      <w:r w:rsidR="009C061F" w:rsidRPr="00BB6916">
        <w:rPr>
          <w:rFonts w:ascii="Times New Roman" w:hAnsi="Times New Roman"/>
        </w:rPr>
        <w:t>.</w:t>
      </w:r>
      <w:r w:rsidR="009C061F" w:rsidRPr="00BB6916">
        <w:rPr>
          <w:rStyle w:val="FootnoteReference"/>
          <w:rFonts w:ascii="Times New Roman" w:hAnsi="Times New Roman"/>
        </w:rPr>
        <w:footnoteReference w:id="16"/>
      </w:r>
      <w:r w:rsidR="009C061F" w:rsidRPr="00BB6916">
        <w:rPr>
          <w:rFonts w:ascii="Times New Roman" w:hAnsi="Times New Roman"/>
        </w:rPr>
        <w:t xml:space="preserve">  This collection is a third-party disclosure type of collection. </w:t>
      </w:r>
      <w:r w:rsidRPr="00BB6916">
        <w:rPr>
          <w:rFonts w:ascii="Times New Roman" w:hAnsi="Times New Roman"/>
        </w:rPr>
        <w:t xml:space="preserve">The Commission </w:t>
      </w:r>
      <w:r w:rsidRPr="00BB6916">
        <w:rPr>
          <w:rFonts w:ascii="Times New Roman" w:hAnsi="Times New Roman"/>
        </w:rPr>
        <w:lastRenderedPageBreak/>
        <w:t xml:space="preserve">preliminarily believes that, while these costs would be directly incurred by working group members, they would likely be passed through to market participants, potentially in the form of higher transactions costs. </w:t>
      </w:r>
    </w:p>
    <w:tbl>
      <w:tblPr>
        <w:tblW w:w="11415" w:type="dxa"/>
        <w:jc w:val="center"/>
        <w:tblInd w:w="93" w:type="dxa"/>
        <w:tblLook w:val="04A0" w:firstRow="1" w:lastRow="0" w:firstColumn="1" w:lastColumn="0" w:noHBand="0" w:noVBand="1"/>
      </w:tblPr>
      <w:tblGrid>
        <w:gridCol w:w="1351"/>
        <w:gridCol w:w="941"/>
        <w:gridCol w:w="865"/>
        <w:gridCol w:w="919"/>
        <w:gridCol w:w="1136"/>
        <w:gridCol w:w="1016"/>
        <w:gridCol w:w="1016"/>
        <w:gridCol w:w="1136"/>
        <w:gridCol w:w="1136"/>
        <w:gridCol w:w="1216"/>
        <w:gridCol w:w="803"/>
      </w:tblGrid>
      <w:tr w:rsidR="00821D8A" w:rsidRPr="00BB6916" w:rsidTr="00DE7B3D">
        <w:trPr>
          <w:trHeight w:val="299"/>
          <w:jc w:val="center"/>
        </w:trPr>
        <w:tc>
          <w:tcPr>
            <w:tcW w:w="11415" w:type="dxa"/>
            <w:gridSpan w:val="11"/>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21D8A" w:rsidRPr="00BB6916" w:rsidRDefault="00821D8A" w:rsidP="00821D8A">
            <w:pPr>
              <w:widowControl/>
              <w:autoSpaceDE/>
              <w:autoSpaceDN/>
              <w:adjustRightInd/>
              <w:jc w:val="center"/>
              <w:rPr>
                <w:rFonts w:ascii="Times New Roman" w:hAnsi="Times New Roman"/>
                <w:b/>
                <w:bCs/>
                <w:color w:val="000000"/>
                <w:sz w:val="16"/>
                <w:szCs w:val="16"/>
              </w:rPr>
            </w:pPr>
            <w:r w:rsidRPr="00BB6916">
              <w:rPr>
                <w:rFonts w:ascii="Times New Roman" w:hAnsi="Times New Roman"/>
                <w:b/>
                <w:bCs/>
                <w:color w:val="000000"/>
                <w:sz w:val="16"/>
                <w:szCs w:val="16"/>
              </w:rPr>
              <w:t>Summary of Dollar Costs</w:t>
            </w:r>
          </w:p>
        </w:tc>
      </w:tr>
      <w:tr w:rsidR="00DE7B3D" w:rsidRPr="00BB6916" w:rsidTr="00DE7B3D">
        <w:trPr>
          <w:trHeight w:val="285"/>
          <w:jc w:val="center"/>
        </w:trPr>
        <w:tc>
          <w:tcPr>
            <w:tcW w:w="1351" w:type="dxa"/>
            <w:tcBorders>
              <w:top w:val="nil"/>
              <w:left w:val="single" w:sz="8" w:space="0" w:color="auto"/>
              <w:bottom w:val="single" w:sz="4" w:space="0" w:color="auto"/>
              <w:right w:val="single" w:sz="4" w:space="0" w:color="auto"/>
            </w:tcBorders>
            <w:shd w:val="clear" w:color="000000" w:fill="D9D9D9"/>
            <w:noWrap/>
            <w:vAlign w:val="center"/>
            <w:hideMark/>
          </w:tcPr>
          <w:p w:rsidR="00821D8A" w:rsidRPr="00BB6916" w:rsidRDefault="00821D8A" w:rsidP="00821D8A">
            <w:pPr>
              <w:widowControl/>
              <w:autoSpaceDE/>
              <w:autoSpaceDN/>
              <w:adjustRightInd/>
              <w:jc w:val="center"/>
              <w:rPr>
                <w:rFonts w:ascii="Times New Roman" w:hAnsi="Times New Roman"/>
                <w:b/>
                <w:bCs/>
                <w:color w:val="000000"/>
                <w:sz w:val="16"/>
                <w:szCs w:val="16"/>
              </w:rPr>
            </w:pPr>
            <w:r w:rsidRPr="00BB6916">
              <w:rPr>
                <w:rFonts w:ascii="Times New Roman" w:hAnsi="Times New Roman"/>
                <w:b/>
                <w:bCs/>
                <w:color w:val="000000"/>
                <w:sz w:val="16"/>
                <w:szCs w:val="16"/>
              </w:rPr>
              <w:t> </w:t>
            </w:r>
          </w:p>
        </w:tc>
        <w:tc>
          <w:tcPr>
            <w:tcW w:w="941" w:type="dxa"/>
            <w:tcBorders>
              <w:top w:val="nil"/>
              <w:left w:val="nil"/>
              <w:bottom w:val="single" w:sz="4" w:space="0" w:color="auto"/>
              <w:right w:val="single" w:sz="4" w:space="0" w:color="auto"/>
            </w:tcBorders>
            <w:shd w:val="clear" w:color="000000" w:fill="D9D9D9"/>
            <w:noWrap/>
            <w:vAlign w:val="bottom"/>
            <w:hideMark/>
          </w:tcPr>
          <w:p w:rsidR="00821D8A" w:rsidRPr="00BB6916" w:rsidRDefault="00821D8A" w:rsidP="00821D8A">
            <w:pPr>
              <w:widowControl/>
              <w:autoSpaceDE/>
              <w:autoSpaceDN/>
              <w:adjustRightInd/>
              <w:jc w:val="center"/>
              <w:rPr>
                <w:rFonts w:ascii="Times New Roman" w:hAnsi="Times New Roman"/>
                <w:b/>
                <w:bCs/>
                <w:color w:val="000000"/>
                <w:sz w:val="16"/>
                <w:szCs w:val="16"/>
              </w:rPr>
            </w:pPr>
            <w:r w:rsidRPr="00BB6916">
              <w:rPr>
                <w:rFonts w:ascii="Times New Roman" w:hAnsi="Times New Roman"/>
                <w:b/>
                <w:bCs/>
                <w:color w:val="000000"/>
                <w:sz w:val="16"/>
                <w:szCs w:val="16"/>
              </w:rPr>
              <w:t> </w:t>
            </w:r>
          </w:p>
        </w:tc>
        <w:tc>
          <w:tcPr>
            <w:tcW w:w="854" w:type="dxa"/>
            <w:tcBorders>
              <w:top w:val="nil"/>
              <w:left w:val="nil"/>
              <w:bottom w:val="single" w:sz="4" w:space="0" w:color="auto"/>
              <w:right w:val="single" w:sz="4" w:space="0" w:color="auto"/>
            </w:tcBorders>
            <w:shd w:val="clear" w:color="000000" w:fill="D9D9D9"/>
            <w:noWrap/>
            <w:vAlign w:val="bottom"/>
            <w:hideMark/>
          </w:tcPr>
          <w:p w:rsidR="00821D8A" w:rsidRPr="00BB6916" w:rsidRDefault="00821D8A" w:rsidP="00821D8A">
            <w:pPr>
              <w:widowControl/>
              <w:autoSpaceDE/>
              <w:autoSpaceDN/>
              <w:adjustRightInd/>
              <w:jc w:val="center"/>
              <w:rPr>
                <w:rFonts w:ascii="Times New Roman" w:hAnsi="Times New Roman"/>
                <w:color w:val="FF0000"/>
                <w:sz w:val="16"/>
                <w:szCs w:val="16"/>
              </w:rPr>
            </w:pPr>
            <w:r w:rsidRPr="00BB6916">
              <w:rPr>
                <w:rFonts w:ascii="Times New Roman" w:hAnsi="Times New Roman"/>
                <w:color w:val="FF0000"/>
                <w:sz w:val="16"/>
                <w:szCs w:val="16"/>
              </w:rPr>
              <w:t>A.</w:t>
            </w:r>
          </w:p>
        </w:tc>
        <w:tc>
          <w:tcPr>
            <w:tcW w:w="907" w:type="dxa"/>
            <w:tcBorders>
              <w:top w:val="nil"/>
              <w:left w:val="nil"/>
              <w:bottom w:val="single" w:sz="4" w:space="0" w:color="auto"/>
              <w:right w:val="single" w:sz="4" w:space="0" w:color="auto"/>
            </w:tcBorders>
            <w:shd w:val="clear" w:color="000000" w:fill="D9D9D9"/>
            <w:noWrap/>
            <w:vAlign w:val="bottom"/>
            <w:hideMark/>
          </w:tcPr>
          <w:p w:rsidR="00821D8A" w:rsidRPr="00BB6916" w:rsidRDefault="00821D8A" w:rsidP="00821D8A">
            <w:pPr>
              <w:widowControl/>
              <w:autoSpaceDE/>
              <w:autoSpaceDN/>
              <w:adjustRightInd/>
              <w:jc w:val="center"/>
              <w:rPr>
                <w:rFonts w:ascii="Times New Roman" w:hAnsi="Times New Roman"/>
                <w:color w:val="FF0000"/>
                <w:sz w:val="16"/>
                <w:szCs w:val="16"/>
              </w:rPr>
            </w:pPr>
            <w:r w:rsidRPr="00BB6916">
              <w:rPr>
                <w:rFonts w:ascii="Times New Roman" w:hAnsi="Times New Roman"/>
                <w:color w:val="FF0000"/>
                <w:sz w:val="16"/>
                <w:szCs w:val="16"/>
              </w:rPr>
              <w:t>B.</w:t>
            </w:r>
          </w:p>
        </w:tc>
        <w:tc>
          <w:tcPr>
            <w:tcW w:w="1121" w:type="dxa"/>
            <w:tcBorders>
              <w:top w:val="nil"/>
              <w:left w:val="nil"/>
              <w:bottom w:val="single" w:sz="4" w:space="0" w:color="auto"/>
              <w:right w:val="single" w:sz="4" w:space="0" w:color="auto"/>
            </w:tcBorders>
            <w:shd w:val="clear" w:color="000000" w:fill="D9D9D9"/>
            <w:noWrap/>
            <w:vAlign w:val="bottom"/>
            <w:hideMark/>
          </w:tcPr>
          <w:p w:rsidR="00821D8A" w:rsidRPr="00BB6916" w:rsidRDefault="00821D8A" w:rsidP="00821D8A">
            <w:pPr>
              <w:widowControl/>
              <w:autoSpaceDE/>
              <w:autoSpaceDN/>
              <w:adjustRightInd/>
              <w:jc w:val="center"/>
              <w:rPr>
                <w:rFonts w:ascii="Times New Roman" w:hAnsi="Times New Roman"/>
                <w:color w:val="FF0000"/>
                <w:sz w:val="16"/>
                <w:szCs w:val="16"/>
              </w:rPr>
            </w:pPr>
            <w:r w:rsidRPr="00BB6916">
              <w:rPr>
                <w:rFonts w:ascii="Times New Roman" w:hAnsi="Times New Roman"/>
                <w:color w:val="FF0000"/>
                <w:sz w:val="16"/>
                <w:szCs w:val="16"/>
              </w:rPr>
              <w:t>C.</w:t>
            </w:r>
          </w:p>
        </w:tc>
        <w:tc>
          <w:tcPr>
            <w:tcW w:w="1003" w:type="dxa"/>
            <w:tcBorders>
              <w:top w:val="nil"/>
              <w:left w:val="nil"/>
              <w:bottom w:val="single" w:sz="4" w:space="0" w:color="auto"/>
              <w:right w:val="single" w:sz="4" w:space="0" w:color="auto"/>
            </w:tcBorders>
            <w:shd w:val="clear" w:color="000000" w:fill="D9D9D9"/>
            <w:noWrap/>
            <w:vAlign w:val="bottom"/>
            <w:hideMark/>
          </w:tcPr>
          <w:p w:rsidR="00821D8A" w:rsidRPr="00BB6916" w:rsidRDefault="00821D8A" w:rsidP="00821D8A">
            <w:pPr>
              <w:widowControl/>
              <w:autoSpaceDE/>
              <w:autoSpaceDN/>
              <w:adjustRightInd/>
              <w:jc w:val="center"/>
              <w:rPr>
                <w:rFonts w:ascii="Times New Roman" w:hAnsi="Times New Roman"/>
                <w:color w:val="FF0000"/>
                <w:sz w:val="16"/>
                <w:szCs w:val="16"/>
              </w:rPr>
            </w:pPr>
            <w:r w:rsidRPr="00BB6916">
              <w:rPr>
                <w:rFonts w:ascii="Times New Roman" w:hAnsi="Times New Roman"/>
                <w:color w:val="FF0000"/>
                <w:sz w:val="16"/>
                <w:szCs w:val="16"/>
              </w:rPr>
              <w:t xml:space="preserve">D. </w:t>
            </w:r>
          </w:p>
        </w:tc>
        <w:tc>
          <w:tcPr>
            <w:tcW w:w="1003" w:type="dxa"/>
            <w:tcBorders>
              <w:top w:val="nil"/>
              <w:left w:val="nil"/>
              <w:bottom w:val="single" w:sz="4" w:space="0" w:color="auto"/>
              <w:right w:val="single" w:sz="4" w:space="0" w:color="auto"/>
            </w:tcBorders>
            <w:shd w:val="clear" w:color="000000" w:fill="D9D9D9"/>
            <w:noWrap/>
            <w:vAlign w:val="bottom"/>
            <w:hideMark/>
          </w:tcPr>
          <w:p w:rsidR="00821D8A" w:rsidRPr="00BB6916" w:rsidRDefault="00821D8A" w:rsidP="00821D8A">
            <w:pPr>
              <w:widowControl/>
              <w:autoSpaceDE/>
              <w:autoSpaceDN/>
              <w:adjustRightInd/>
              <w:jc w:val="center"/>
              <w:rPr>
                <w:rFonts w:ascii="Times New Roman" w:hAnsi="Times New Roman"/>
                <w:color w:val="FF0000"/>
                <w:sz w:val="16"/>
                <w:szCs w:val="16"/>
              </w:rPr>
            </w:pPr>
            <w:r w:rsidRPr="00BB6916">
              <w:rPr>
                <w:rFonts w:ascii="Times New Roman" w:hAnsi="Times New Roman"/>
                <w:color w:val="FF0000"/>
                <w:sz w:val="16"/>
                <w:szCs w:val="16"/>
              </w:rPr>
              <w:t>E.</w:t>
            </w:r>
          </w:p>
        </w:tc>
        <w:tc>
          <w:tcPr>
            <w:tcW w:w="1121" w:type="dxa"/>
            <w:tcBorders>
              <w:top w:val="nil"/>
              <w:left w:val="nil"/>
              <w:bottom w:val="single" w:sz="4" w:space="0" w:color="auto"/>
              <w:right w:val="single" w:sz="4" w:space="0" w:color="auto"/>
            </w:tcBorders>
            <w:shd w:val="clear" w:color="000000" w:fill="D9D9D9"/>
            <w:noWrap/>
            <w:vAlign w:val="bottom"/>
            <w:hideMark/>
          </w:tcPr>
          <w:p w:rsidR="00821D8A" w:rsidRPr="00BB6916" w:rsidRDefault="00821D8A" w:rsidP="00821D8A">
            <w:pPr>
              <w:widowControl/>
              <w:autoSpaceDE/>
              <w:autoSpaceDN/>
              <w:adjustRightInd/>
              <w:jc w:val="center"/>
              <w:rPr>
                <w:rFonts w:ascii="Times New Roman" w:hAnsi="Times New Roman"/>
                <w:color w:val="FF0000"/>
                <w:sz w:val="16"/>
                <w:szCs w:val="16"/>
              </w:rPr>
            </w:pPr>
            <w:r w:rsidRPr="00BB6916">
              <w:rPr>
                <w:rFonts w:ascii="Times New Roman" w:hAnsi="Times New Roman"/>
                <w:color w:val="FF0000"/>
                <w:sz w:val="16"/>
                <w:szCs w:val="16"/>
              </w:rPr>
              <w:t>F.</w:t>
            </w:r>
          </w:p>
        </w:tc>
        <w:tc>
          <w:tcPr>
            <w:tcW w:w="1121" w:type="dxa"/>
            <w:tcBorders>
              <w:top w:val="nil"/>
              <w:left w:val="nil"/>
              <w:bottom w:val="single" w:sz="4" w:space="0" w:color="auto"/>
              <w:right w:val="single" w:sz="4" w:space="0" w:color="auto"/>
            </w:tcBorders>
            <w:shd w:val="clear" w:color="000000" w:fill="D9D9D9"/>
            <w:noWrap/>
            <w:vAlign w:val="bottom"/>
            <w:hideMark/>
          </w:tcPr>
          <w:p w:rsidR="00821D8A" w:rsidRPr="00BB6916" w:rsidRDefault="00821D8A" w:rsidP="00821D8A">
            <w:pPr>
              <w:widowControl/>
              <w:autoSpaceDE/>
              <w:autoSpaceDN/>
              <w:adjustRightInd/>
              <w:jc w:val="center"/>
              <w:rPr>
                <w:rFonts w:ascii="Times New Roman" w:hAnsi="Times New Roman"/>
                <w:color w:val="FF0000"/>
                <w:sz w:val="16"/>
                <w:szCs w:val="16"/>
              </w:rPr>
            </w:pPr>
            <w:r w:rsidRPr="00BB6916">
              <w:rPr>
                <w:rFonts w:ascii="Times New Roman" w:hAnsi="Times New Roman"/>
                <w:color w:val="FF0000"/>
                <w:sz w:val="16"/>
                <w:szCs w:val="16"/>
              </w:rPr>
              <w:t>G.</w:t>
            </w:r>
          </w:p>
        </w:tc>
        <w:tc>
          <w:tcPr>
            <w:tcW w:w="1200" w:type="dxa"/>
            <w:tcBorders>
              <w:top w:val="nil"/>
              <w:left w:val="nil"/>
              <w:bottom w:val="single" w:sz="4" w:space="0" w:color="auto"/>
              <w:right w:val="single" w:sz="4" w:space="0" w:color="auto"/>
            </w:tcBorders>
            <w:shd w:val="clear" w:color="000000" w:fill="D9D9D9"/>
            <w:noWrap/>
            <w:vAlign w:val="bottom"/>
            <w:hideMark/>
          </w:tcPr>
          <w:p w:rsidR="00821D8A" w:rsidRPr="00BB6916" w:rsidRDefault="00821D8A" w:rsidP="00821D8A">
            <w:pPr>
              <w:widowControl/>
              <w:autoSpaceDE/>
              <w:autoSpaceDN/>
              <w:adjustRightInd/>
              <w:jc w:val="center"/>
              <w:rPr>
                <w:rFonts w:ascii="Times New Roman" w:hAnsi="Times New Roman"/>
                <w:color w:val="FF0000"/>
                <w:sz w:val="16"/>
                <w:szCs w:val="16"/>
              </w:rPr>
            </w:pPr>
            <w:r w:rsidRPr="00BB6916">
              <w:rPr>
                <w:rFonts w:ascii="Times New Roman" w:hAnsi="Times New Roman"/>
                <w:color w:val="FF0000"/>
                <w:sz w:val="16"/>
                <w:szCs w:val="16"/>
              </w:rPr>
              <w:t> </w:t>
            </w:r>
          </w:p>
        </w:tc>
        <w:tc>
          <w:tcPr>
            <w:tcW w:w="793" w:type="dxa"/>
            <w:tcBorders>
              <w:top w:val="nil"/>
              <w:left w:val="nil"/>
              <w:bottom w:val="single" w:sz="4" w:space="0" w:color="auto"/>
              <w:right w:val="single" w:sz="8" w:space="0" w:color="auto"/>
            </w:tcBorders>
            <w:shd w:val="clear" w:color="000000" w:fill="D9D9D9"/>
            <w:noWrap/>
            <w:vAlign w:val="bottom"/>
            <w:hideMark/>
          </w:tcPr>
          <w:p w:rsidR="00821D8A" w:rsidRPr="00BB6916" w:rsidRDefault="00821D8A" w:rsidP="00821D8A">
            <w:pPr>
              <w:widowControl/>
              <w:autoSpaceDE/>
              <w:autoSpaceDN/>
              <w:adjustRightInd/>
              <w:rPr>
                <w:rFonts w:ascii="Times New Roman" w:hAnsi="Times New Roman"/>
                <w:color w:val="000000"/>
                <w:sz w:val="16"/>
                <w:szCs w:val="16"/>
              </w:rPr>
            </w:pPr>
            <w:r w:rsidRPr="00BB6916">
              <w:rPr>
                <w:rFonts w:ascii="Times New Roman" w:hAnsi="Times New Roman"/>
                <w:color w:val="000000"/>
                <w:sz w:val="16"/>
                <w:szCs w:val="16"/>
              </w:rPr>
              <w:t> </w:t>
            </w:r>
          </w:p>
        </w:tc>
      </w:tr>
      <w:tr w:rsidR="00DE7B3D" w:rsidRPr="00BB6916" w:rsidTr="00DE7B3D">
        <w:trPr>
          <w:trHeight w:val="1140"/>
          <w:jc w:val="center"/>
        </w:trPr>
        <w:tc>
          <w:tcPr>
            <w:tcW w:w="1351" w:type="dxa"/>
            <w:tcBorders>
              <w:top w:val="nil"/>
              <w:left w:val="single" w:sz="8" w:space="0" w:color="auto"/>
              <w:bottom w:val="single" w:sz="4" w:space="0" w:color="auto"/>
              <w:right w:val="single" w:sz="4" w:space="0" w:color="auto"/>
            </w:tcBorders>
            <w:shd w:val="clear" w:color="000000" w:fill="D9D9D9"/>
            <w:vAlign w:val="center"/>
            <w:hideMark/>
          </w:tcPr>
          <w:p w:rsidR="00821D8A" w:rsidRPr="00BB6916" w:rsidRDefault="00821D8A" w:rsidP="00821D8A">
            <w:pPr>
              <w:widowControl/>
              <w:autoSpaceDE/>
              <w:autoSpaceDN/>
              <w:adjustRightInd/>
              <w:jc w:val="center"/>
              <w:rPr>
                <w:rFonts w:ascii="Times New Roman" w:hAnsi="Times New Roman"/>
                <w:b/>
                <w:bCs/>
                <w:color w:val="000000"/>
                <w:sz w:val="16"/>
                <w:szCs w:val="16"/>
              </w:rPr>
            </w:pPr>
            <w:r w:rsidRPr="00BB6916">
              <w:rPr>
                <w:rFonts w:ascii="Times New Roman" w:hAnsi="Times New Roman"/>
                <w:b/>
                <w:bCs/>
                <w:color w:val="000000"/>
                <w:sz w:val="16"/>
                <w:szCs w:val="16"/>
              </w:rPr>
              <w:t>Name of Information Collection</w:t>
            </w:r>
          </w:p>
        </w:tc>
        <w:tc>
          <w:tcPr>
            <w:tcW w:w="941" w:type="dxa"/>
            <w:tcBorders>
              <w:top w:val="nil"/>
              <w:left w:val="nil"/>
              <w:bottom w:val="single" w:sz="4" w:space="0" w:color="auto"/>
              <w:right w:val="single" w:sz="4" w:space="0" w:color="auto"/>
            </w:tcBorders>
            <w:shd w:val="clear" w:color="000000" w:fill="D9D9D9"/>
            <w:vAlign w:val="center"/>
            <w:hideMark/>
          </w:tcPr>
          <w:p w:rsidR="00821D8A" w:rsidRPr="00BB6916" w:rsidRDefault="00821D8A" w:rsidP="00821D8A">
            <w:pPr>
              <w:widowControl/>
              <w:autoSpaceDE/>
              <w:autoSpaceDN/>
              <w:adjustRightInd/>
              <w:jc w:val="center"/>
              <w:rPr>
                <w:rFonts w:ascii="Times New Roman" w:hAnsi="Times New Roman"/>
                <w:b/>
                <w:bCs/>
                <w:color w:val="000000"/>
                <w:sz w:val="16"/>
                <w:szCs w:val="16"/>
              </w:rPr>
            </w:pPr>
            <w:r w:rsidRPr="00BB6916">
              <w:rPr>
                <w:rFonts w:ascii="Times New Roman" w:hAnsi="Times New Roman"/>
                <w:b/>
                <w:bCs/>
                <w:color w:val="000000"/>
                <w:sz w:val="16"/>
                <w:szCs w:val="16"/>
              </w:rPr>
              <w:t>Type of Burden</w:t>
            </w:r>
          </w:p>
        </w:tc>
        <w:tc>
          <w:tcPr>
            <w:tcW w:w="854" w:type="dxa"/>
            <w:tcBorders>
              <w:top w:val="nil"/>
              <w:left w:val="nil"/>
              <w:bottom w:val="single" w:sz="4" w:space="0" w:color="auto"/>
              <w:right w:val="single" w:sz="4" w:space="0" w:color="auto"/>
            </w:tcBorders>
            <w:shd w:val="clear" w:color="000000" w:fill="D9D9D9"/>
            <w:vAlign w:val="center"/>
            <w:hideMark/>
          </w:tcPr>
          <w:p w:rsidR="00821D8A" w:rsidRPr="00BB6916" w:rsidRDefault="00821D8A" w:rsidP="00821D8A">
            <w:pPr>
              <w:widowControl/>
              <w:autoSpaceDE/>
              <w:autoSpaceDN/>
              <w:adjustRightInd/>
              <w:jc w:val="center"/>
              <w:rPr>
                <w:rFonts w:ascii="Times New Roman" w:hAnsi="Times New Roman"/>
                <w:b/>
                <w:bCs/>
                <w:color w:val="000000"/>
                <w:sz w:val="16"/>
                <w:szCs w:val="16"/>
              </w:rPr>
            </w:pPr>
            <w:r w:rsidRPr="00BB6916">
              <w:rPr>
                <w:rFonts w:ascii="Times New Roman" w:hAnsi="Times New Roman"/>
                <w:b/>
                <w:bCs/>
                <w:color w:val="000000"/>
                <w:sz w:val="16"/>
                <w:szCs w:val="16"/>
              </w:rPr>
              <w:t>Number of Entities Impacted</w:t>
            </w:r>
          </w:p>
        </w:tc>
        <w:tc>
          <w:tcPr>
            <w:tcW w:w="907" w:type="dxa"/>
            <w:tcBorders>
              <w:top w:val="nil"/>
              <w:left w:val="nil"/>
              <w:bottom w:val="single" w:sz="4" w:space="0" w:color="auto"/>
              <w:right w:val="single" w:sz="4" w:space="0" w:color="auto"/>
            </w:tcBorders>
            <w:shd w:val="clear" w:color="000000" w:fill="D9D9D9"/>
            <w:vAlign w:val="center"/>
            <w:hideMark/>
          </w:tcPr>
          <w:p w:rsidR="00821D8A" w:rsidRPr="00BB6916" w:rsidRDefault="00821D8A" w:rsidP="00821D8A">
            <w:pPr>
              <w:widowControl/>
              <w:autoSpaceDE/>
              <w:autoSpaceDN/>
              <w:adjustRightInd/>
              <w:jc w:val="center"/>
              <w:rPr>
                <w:rFonts w:ascii="Times New Roman" w:hAnsi="Times New Roman"/>
                <w:b/>
                <w:bCs/>
                <w:color w:val="000000"/>
                <w:sz w:val="16"/>
                <w:szCs w:val="16"/>
              </w:rPr>
            </w:pPr>
            <w:r w:rsidRPr="00BB6916">
              <w:rPr>
                <w:rFonts w:ascii="Times New Roman" w:hAnsi="Times New Roman"/>
                <w:b/>
                <w:bCs/>
                <w:color w:val="000000"/>
                <w:sz w:val="16"/>
                <w:szCs w:val="16"/>
              </w:rPr>
              <w:t>Annual Responses per Entity</w:t>
            </w:r>
          </w:p>
        </w:tc>
        <w:tc>
          <w:tcPr>
            <w:tcW w:w="1121" w:type="dxa"/>
            <w:tcBorders>
              <w:top w:val="nil"/>
              <w:left w:val="nil"/>
              <w:bottom w:val="single" w:sz="4" w:space="0" w:color="auto"/>
              <w:right w:val="single" w:sz="4" w:space="0" w:color="auto"/>
            </w:tcBorders>
            <w:shd w:val="clear" w:color="000000" w:fill="D9D9D9"/>
            <w:vAlign w:val="center"/>
            <w:hideMark/>
          </w:tcPr>
          <w:p w:rsidR="00821D8A" w:rsidRPr="00BB6916" w:rsidRDefault="00821D8A" w:rsidP="00821D8A">
            <w:pPr>
              <w:widowControl/>
              <w:autoSpaceDE/>
              <w:autoSpaceDN/>
              <w:adjustRightInd/>
              <w:jc w:val="center"/>
              <w:rPr>
                <w:rFonts w:ascii="Times New Roman" w:hAnsi="Times New Roman"/>
                <w:b/>
                <w:bCs/>
                <w:color w:val="000000"/>
                <w:sz w:val="16"/>
                <w:szCs w:val="16"/>
              </w:rPr>
            </w:pPr>
            <w:r w:rsidRPr="00BB6916">
              <w:rPr>
                <w:rFonts w:ascii="Times New Roman" w:hAnsi="Times New Roman"/>
                <w:b/>
                <w:bCs/>
                <w:color w:val="000000"/>
                <w:sz w:val="16"/>
                <w:szCs w:val="16"/>
              </w:rPr>
              <w:t>Initial Cost per Entity per Response</w:t>
            </w:r>
          </w:p>
        </w:tc>
        <w:tc>
          <w:tcPr>
            <w:tcW w:w="1003" w:type="dxa"/>
            <w:tcBorders>
              <w:top w:val="nil"/>
              <w:left w:val="nil"/>
              <w:bottom w:val="single" w:sz="4" w:space="0" w:color="auto"/>
              <w:right w:val="single" w:sz="4" w:space="0" w:color="auto"/>
            </w:tcBorders>
            <w:shd w:val="clear" w:color="000000" w:fill="D9D9D9"/>
            <w:vAlign w:val="center"/>
            <w:hideMark/>
          </w:tcPr>
          <w:p w:rsidR="00821D8A" w:rsidRPr="00BB6916" w:rsidRDefault="00821D8A" w:rsidP="00821D8A">
            <w:pPr>
              <w:widowControl/>
              <w:autoSpaceDE/>
              <w:autoSpaceDN/>
              <w:adjustRightInd/>
              <w:jc w:val="center"/>
              <w:rPr>
                <w:rFonts w:ascii="Times New Roman" w:hAnsi="Times New Roman"/>
                <w:b/>
                <w:bCs/>
                <w:color w:val="000000"/>
                <w:sz w:val="16"/>
                <w:szCs w:val="16"/>
              </w:rPr>
            </w:pPr>
            <w:r w:rsidRPr="00BB6916">
              <w:rPr>
                <w:rFonts w:ascii="Times New Roman" w:hAnsi="Times New Roman"/>
                <w:b/>
                <w:bCs/>
                <w:color w:val="000000"/>
                <w:sz w:val="16"/>
                <w:szCs w:val="16"/>
              </w:rPr>
              <w:t>Initial Cost Annualized per Entity per Response</w:t>
            </w:r>
          </w:p>
        </w:tc>
        <w:tc>
          <w:tcPr>
            <w:tcW w:w="1003" w:type="dxa"/>
            <w:tcBorders>
              <w:top w:val="nil"/>
              <w:left w:val="nil"/>
              <w:bottom w:val="single" w:sz="4" w:space="0" w:color="auto"/>
              <w:right w:val="single" w:sz="4" w:space="0" w:color="auto"/>
            </w:tcBorders>
            <w:shd w:val="clear" w:color="000000" w:fill="D9D9D9"/>
            <w:vAlign w:val="center"/>
            <w:hideMark/>
          </w:tcPr>
          <w:p w:rsidR="00821D8A" w:rsidRPr="00BB6916" w:rsidRDefault="00821D8A" w:rsidP="00821D8A">
            <w:pPr>
              <w:widowControl/>
              <w:autoSpaceDE/>
              <w:autoSpaceDN/>
              <w:adjustRightInd/>
              <w:jc w:val="center"/>
              <w:rPr>
                <w:rFonts w:ascii="Times New Roman" w:hAnsi="Times New Roman"/>
                <w:b/>
                <w:bCs/>
                <w:color w:val="000000"/>
                <w:sz w:val="16"/>
                <w:szCs w:val="16"/>
              </w:rPr>
            </w:pPr>
            <w:r w:rsidRPr="00BB6916">
              <w:rPr>
                <w:rFonts w:ascii="Times New Roman" w:hAnsi="Times New Roman"/>
                <w:b/>
                <w:bCs/>
                <w:color w:val="000000"/>
                <w:sz w:val="16"/>
                <w:szCs w:val="16"/>
              </w:rPr>
              <w:t>Ongoing Cost per Entity per Response</w:t>
            </w:r>
          </w:p>
        </w:tc>
        <w:tc>
          <w:tcPr>
            <w:tcW w:w="1121" w:type="dxa"/>
            <w:tcBorders>
              <w:top w:val="nil"/>
              <w:left w:val="nil"/>
              <w:bottom w:val="single" w:sz="4" w:space="0" w:color="auto"/>
              <w:right w:val="single" w:sz="4" w:space="0" w:color="auto"/>
            </w:tcBorders>
            <w:shd w:val="clear" w:color="000000" w:fill="D9D9D9"/>
            <w:vAlign w:val="center"/>
            <w:hideMark/>
          </w:tcPr>
          <w:p w:rsidR="00821D8A" w:rsidRPr="00BB6916" w:rsidRDefault="00821D8A" w:rsidP="00821D8A">
            <w:pPr>
              <w:widowControl/>
              <w:autoSpaceDE/>
              <w:autoSpaceDN/>
              <w:adjustRightInd/>
              <w:jc w:val="center"/>
              <w:rPr>
                <w:rFonts w:ascii="Times New Roman" w:hAnsi="Times New Roman"/>
                <w:b/>
                <w:bCs/>
                <w:color w:val="000000"/>
                <w:sz w:val="16"/>
                <w:szCs w:val="16"/>
              </w:rPr>
            </w:pPr>
            <w:r w:rsidRPr="00BB6916">
              <w:rPr>
                <w:rFonts w:ascii="Times New Roman" w:hAnsi="Times New Roman"/>
                <w:b/>
                <w:bCs/>
                <w:color w:val="000000"/>
                <w:sz w:val="16"/>
                <w:szCs w:val="16"/>
              </w:rPr>
              <w:t>Annual Cost Per Entity per Response</w:t>
            </w:r>
          </w:p>
        </w:tc>
        <w:tc>
          <w:tcPr>
            <w:tcW w:w="1121" w:type="dxa"/>
            <w:tcBorders>
              <w:top w:val="nil"/>
              <w:left w:val="nil"/>
              <w:bottom w:val="single" w:sz="4" w:space="0" w:color="auto"/>
              <w:right w:val="single" w:sz="4" w:space="0" w:color="auto"/>
            </w:tcBorders>
            <w:shd w:val="clear" w:color="000000" w:fill="D9D9D9"/>
            <w:vAlign w:val="center"/>
            <w:hideMark/>
          </w:tcPr>
          <w:p w:rsidR="00821D8A" w:rsidRPr="00BB6916" w:rsidRDefault="00821D8A" w:rsidP="00821D8A">
            <w:pPr>
              <w:widowControl/>
              <w:autoSpaceDE/>
              <w:autoSpaceDN/>
              <w:adjustRightInd/>
              <w:jc w:val="center"/>
              <w:rPr>
                <w:rFonts w:ascii="Times New Roman" w:hAnsi="Times New Roman"/>
                <w:b/>
                <w:bCs/>
                <w:color w:val="000000"/>
                <w:sz w:val="16"/>
                <w:szCs w:val="16"/>
              </w:rPr>
            </w:pPr>
            <w:r w:rsidRPr="00BB6916">
              <w:rPr>
                <w:rFonts w:ascii="Times New Roman" w:hAnsi="Times New Roman"/>
                <w:b/>
                <w:bCs/>
                <w:color w:val="000000"/>
                <w:sz w:val="16"/>
                <w:szCs w:val="16"/>
              </w:rPr>
              <w:t>Total Annual Cost Per Entity</w:t>
            </w:r>
          </w:p>
        </w:tc>
        <w:tc>
          <w:tcPr>
            <w:tcW w:w="1200" w:type="dxa"/>
            <w:tcBorders>
              <w:top w:val="nil"/>
              <w:left w:val="nil"/>
              <w:bottom w:val="single" w:sz="4" w:space="0" w:color="auto"/>
              <w:right w:val="single" w:sz="4" w:space="0" w:color="auto"/>
            </w:tcBorders>
            <w:shd w:val="clear" w:color="000000" w:fill="D9D9D9"/>
            <w:vAlign w:val="center"/>
            <w:hideMark/>
          </w:tcPr>
          <w:p w:rsidR="00821D8A" w:rsidRPr="00BB6916" w:rsidRDefault="00821D8A" w:rsidP="00821D8A">
            <w:pPr>
              <w:widowControl/>
              <w:autoSpaceDE/>
              <w:autoSpaceDN/>
              <w:adjustRightInd/>
              <w:jc w:val="center"/>
              <w:rPr>
                <w:rFonts w:ascii="Times New Roman" w:hAnsi="Times New Roman"/>
                <w:b/>
                <w:bCs/>
                <w:color w:val="000000"/>
                <w:sz w:val="16"/>
                <w:szCs w:val="16"/>
              </w:rPr>
            </w:pPr>
            <w:r w:rsidRPr="00BB6916">
              <w:rPr>
                <w:rFonts w:ascii="Times New Roman" w:hAnsi="Times New Roman"/>
                <w:b/>
                <w:bCs/>
                <w:color w:val="000000"/>
                <w:sz w:val="16"/>
                <w:szCs w:val="16"/>
              </w:rPr>
              <w:t xml:space="preserve">Total Industry Cost               </w:t>
            </w:r>
          </w:p>
        </w:tc>
        <w:tc>
          <w:tcPr>
            <w:tcW w:w="793" w:type="dxa"/>
            <w:tcBorders>
              <w:top w:val="nil"/>
              <w:left w:val="nil"/>
              <w:bottom w:val="single" w:sz="4" w:space="0" w:color="auto"/>
              <w:right w:val="single" w:sz="8" w:space="0" w:color="auto"/>
            </w:tcBorders>
            <w:shd w:val="clear" w:color="000000" w:fill="D9D9D9"/>
            <w:vAlign w:val="center"/>
            <w:hideMark/>
          </w:tcPr>
          <w:p w:rsidR="00821D8A" w:rsidRPr="00BB6916" w:rsidRDefault="00821D8A" w:rsidP="00821D8A">
            <w:pPr>
              <w:widowControl/>
              <w:autoSpaceDE/>
              <w:autoSpaceDN/>
              <w:adjustRightInd/>
              <w:jc w:val="center"/>
              <w:rPr>
                <w:rFonts w:ascii="Times New Roman" w:hAnsi="Times New Roman"/>
                <w:b/>
                <w:bCs/>
                <w:color w:val="000000"/>
                <w:sz w:val="16"/>
                <w:szCs w:val="16"/>
              </w:rPr>
            </w:pPr>
            <w:r w:rsidRPr="00BB6916">
              <w:rPr>
                <w:rFonts w:ascii="Times New Roman" w:hAnsi="Times New Roman"/>
                <w:b/>
                <w:bCs/>
                <w:color w:val="000000"/>
                <w:sz w:val="16"/>
                <w:szCs w:val="16"/>
              </w:rPr>
              <w:t xml:space="preserve"> Small Business Entities Affected</w:t>
            </w:r>
          </w:p>
        </w:tc>
      </w:tr>
      <w:tr w:rsidR="00DE7B3D" w:rsidRPr="00BB6916" w:rsidTr="00DE7B3D">
        <w:trPr>
          <w:trHeight w:val="484"/>
          <w:jc w:val="center"/>
        </w:trPr>
        <w:tc>
          <w:tcPr>
            <w:tcW w:w="1351" w:type="dxa"/>
            <w:tcBorders>
              <w:top w:val="nil"/>
              <w:left w:val="single" w:sz="8" w:space="0" w:color="auto"/>
              <w:bottom w:val="single" w:sz="4" w:space="0" w:color="auto"/>
              <w:right w:val="single" w:sz="4" w:space="0" w:color="auto"/>
            </w:tcBorders>
            <w:shd w:val="clear" w:color="000000" w:fill="D9D9D9"/>
            <w:vAlign w:val="center"/>
            <w:hideMark/>
          </w:tcPr>
          <w:p w:rsidR="00821D8A" w:rsidRPr="00BB6916" w:rsidRDefault="00821D8A" w:rsidP="00821D8A">
            <w:pPr>
              <w:widowControl/>
              <w:autoSpaceDE/>
              <w:autoSpaceDN/>
              <w:adjustRightInd/>
              <w:jc w:val="center"/>
              <w:rPr>
                <w:rFonts w:ascii="Times New Roman" w:hAnsi="Times New Roman"/>
                <w:color w:val="FF0000"/>
                <w:sz w:val="16"/>
                <w:szCs w:val="16"/>
              </w:rPr>
            </w:pPr>
            <w:r w:rsidRPr="00BB6916">
              <w:rPr>
                <w:rFonts w:ascii="Times New Roman" w:hAnsi="Times New Roman"/>
                <w:color w:val="FF0000"/>
                <w:sz w:val="16"/>
                <w:szCs w:val="16"/>
              </w:rPr>
              <w:t> </w:t>
            </w:r>
          </w:p>
        </w:tc>
        <w:tc>
          <w:tcPr>
            <w:tcW w:w="941" w:type="dxa"/>
            <w:tcBorders>
              <w:top w:val="nil"/>
              <w:left w:val="nil"/>
              <w:bottom w:val="single" w:sz="4" w:space="0" w:color="auto"/>
              <w:right w:val="single" w:sz="4" w:space="0" w:color="auto"/>
            </w:tcBorders>
            <w:shd w:val="clear" w:color="000000" w:fill="D9D9D9"/>
            <w:vAlign w:val="center"/>
            <w:hideMark/>
          </w:tcPr>
          <w:p w:rsidR="00821D8A" w:rsidRPr="00BB6916" w:rsidRDefault="00821D8A" w:rsidP="00821D8A">
            <w:pPr>
              <w:widowControl/>
              <w:autoSpaceDE/>
              <w:autoSpaceDN/>
              <w:adjustRightInd/>
              <w:jc w:val="center"/>
              <w:rPr>
                <w:rFonts w:ascii="Times New Roman" w:hAnsi="Times New Roman"/>
                <w:color w:val="FF0000"/>
                <w:sz w:val="16"/>
                <w:szCs w:val="16"/>
              </w:rPr>
            </w:pPr>
            <w:r w:rsidRPr="00BB6916">
              <w:rPr>
                <w:rFonts w:ascii="Times New Roman" w:hAnsi="Times New Roman"/>
                <w:color w:val="FF0000"/>
                <w:sz w:val="16"/>
                <w:szCs w:val="16"/>
              </w:rPr>
              <w:t> </w:t>
            </w:r>
          </w:p>
        </w:tc>
        <w:tc>
          <w:tcPr>
            <w:tcW w:w="854" w:type="dxa"/>
            <w:tcBorders>
              <w:top w:val="nil"/>
              <w:left w:val="nil"/>
              <w:bottom w:val="single" w:sz="4" w:space="0" w:color="auto"/>
              <w:right w:val="single" w:sz="4" w:space="0" w:color="auto"/>
            </w:tcBorders>
            <w:shd w:val="clear" w:color="000000" w:fill="D9D9D9"/>
            <w:vAlign w:val="center"/>
            <w:hideMark/>
          </w:tcPr>
          <w:p w:rsidR="00821D8A" w:rsidRPr="00BB6916" w:rsidRDefault="00821D8A" w:rsidP="00821D8A">
            <w:pPr>
              <w:widowControl/>
              <w:autoSpaceDE/>
              <w:autoSpaceDN/>
              <w:adjustRightInd/>
              <w:jc w:val="center"/>
              <w:rPr>
                <w:rFonts w:ascii="Times New Roman" w:hAnsi="Times New Roman"/>
                <w:color w:val="FF0000"/>
                <w:sz w:val="16"/>
                <w:szCs w:val="16"/>
              </w:rPr>
            </w:pPr>
            <w:r w:rsidRPr="00BB6916">
              <w:rPr>
                <w:rFonts w:ascii="Times New Roman" w:hAnsi="Times New Roman"/>
                <w:color w:val="FF0000"/>
                <w:sz w:val="16"/>
                <w:szCs w:val="16"/>
              </w:rPr>
              <w:t> </w:t>
            </w:r>
          </w:p>
        </w:tc>
        <w:tc>
          <w:tcPr>
            <w:tcW w:w="907" w:type="dxa"/>
            <w:tcBorders>
              <w:top w:val="nil"/>
              <w:left w:val="nil"/>
              <w:bottom w:val="single" w:sz="4" w:space="0" w:color="auto"/>
              <w:right w:val="single" w:sz="4" w:space="0" w:color="auto"/>
            </w:tcBorders>
            <w:shd w:val="clear" w:color="000000" w:fill="D9D9D9"/>
            <w:vAlign w:val="center"/>
            <w:hideMark/>
          </w:tcPr>
          <w:p w:rsidR="00821D8A" w:rsidRPr="00BB6916" w:rsidRDefault="00821D8A" w:rsidP="00821D8A">
            <w:pPr>
              <w:widowControl/>
              <w:autoSpaceDE/>
              <w:autoSpaceDN/>
              <w:adjustRightInd/>
              <w:jc w:val="center"/>
              <w:rPr>
                <w:rFonts w:ascii="Times New Roman" w:hAnsi="Times New Roman"/>
                <w:color w:val="FF0000"/>
                <w:sz w:val="16"/>
                <w:szCs w:val="16"/>
              </w:rPr>
            </w:pPr>
            <w:r w:rsidRPr="00BB6916">
              <w:rPr>
                <w:rFonts w:ascii="Times New Roman" w:hAnsi="Times New Roman"/>
                <w:color w:val="FF0000"/>
                <w:sz w:val="16"/>
                <w:szCs w:val="16"/>
              </w:rPr>
              <w:t> </w:t>
            </w:r>
          </w:p>
        </w:tc>
        <w:tc>
          <w:tcPr>
            <w:tcW w:w="1121" w:type="dxa"/>
            <w:tcBorders>
              <w:top w:val="nil"/>
              <w:left w:val="nil"/>
              <w:bottom w:val="single" w:sz="4" w:space="0" w:color="auto"/>
              <w:right w:val="single" w:sz="4" w:space="0" w:color="auto"/>
            </w:tcBorders>
            <w:shd w:val="clear" w:color="000000" w:fill="D9D9D9"/>
            <w:vAlign w:val="center"/>
            <w:hideMark/>
          </w:tcPr>
          <w:p w:rsidR="00821D8A" w:rsidRPr="00BB6916" w:rsidRDefault="00821D8A" w:rsidP="00821D8A">
            <w:pPr>
              <w:widowControl/>
              <w:autoSpaceDE/>
              <w:autoSpaceDN/>
              <w:adjustRightInd/>
              <w:jc w:val="center"/>
              <w:rPr>
                <w:rFonts w:ascii="Times New Roman" w:hAnsi="Times New Roman"/>
                <w:color w:val="FF0000"/>
                <w:sz w:val="16"/>
                <w:szCs w:val="16"/>
              </w:rPr>
            </w:pPr>
            <w:r w:rsidRPr="00BB6916">
              <w:rPr>
                <w:rFonts w:ascii="Times New Roman" w:hAnsi="Times New Roman"/>
                <w:color w:val="FF0000"/>
                <w:sz w:val="16"/>
                <w:szCs w:val="16"/>
              </w:rPr>
              <w:t> </w:t>
            </w:r>
          </w:p>
        </w:tc>
        <w:tc>
          <w:tcPr>
            <w:tcW w:w="1003" w:type="dxa"/>
            <w:tcBorders>
              <w:top w:val="nil"/>
              <w:left w:val="nil"/>
              <w:bottom w:val="single" w:sz="4" w:space="0" w:color="auto"/>
              <w:right w:val="single" w:sz="4" w:space="0" w:color="auto"/>
            </w:tcBorders>
            <w:shd w:val="clear" w:color="000000" w:fill="D9D9D9"/>
            <w:vAlign w:val="center"/>
            <w:hideMark/>
          </w:tcPr>
          <w:p w:rsidR="00821D8A" w:rsidRPr="00BB6916" w:rsidRDefault="00821D8A" w:rsidP="00821D8A">
            <w:pPr>
              <w:widowControl/>
              <w:autoSpaceDE/>
              <w:autoSpaceDN/>
              <w:adjustRightInd/>
              <w:jc w:val="center"/>
              <w:rPr>
                <w:rFonts w:ascii="Times New Roman" w:hAnsi="Times New Roman"/>
                <w:color w:val="FF0000"/>
                <w:sz w:val="16"/>
                <w:szCs w:val="16"/>
              </w:rPr>
            </w:pPr>
            <w:r w:rsidRPr="00BB6916">
              <w:rPr>
                <w:rFonts w:ascii="Times New Roman" w:hAnsi="Times New Roman"/>
                <w:color w:val="FF0000"/>
                <w:sz w:val="16"/>
                <w:szCs w:val="16"/>
              </w:rPr>
              <w:t>[C ÷ 3 years]</w:t>
            </w:r>
          </w:p>
        </w:tc>
        <w:tc>
          <w:tcPr>
            <w:tcW w:w="1003" w:type="dxa"/>
            <w:tcBorders>
              <w:top w:val="nil"/>
              <w:left w:val="nil"/>
              <w:bottom w:val="single" w:sz="4" w:space="0" w:color="auto"/>
              <w:right w:val="single" w:sz="4" w:space="0" w:color="auto"/>
            </w:tcBorders>
            <w:shd w:val="clear" w:color="000000" w:fill="D9D9D9"/>
            <w:vAlign w:val="center"/>
            <w:hideMark/>
          </w:tcPr>
          <w:p w:rsidR="00821D8A" w:rsidRPr="00BB6916" w:rsidRDefault="00821D8A" w:rsidP="00821D8A">
            <w:pPr>
              <w:widowControl/>
              <w:autoSpaceDE/>
              <w:autoSpaceDN/>
              <w:adjustRightInd/>
              <w:jc w:val="center"/>
              <w:rPr>
                <w:rFonts w:ascii="Times New Roman" w:hAnsi="Times New Roman"/>
                <w:color w:val="FF0000"/>
                <w:sz w:val="16"/>
                <w:szCs w:val="16"/>
              </w:rPr>
            </w:pPr>
            <w:r w:rsidRPr="00BB6916">
              <w:rPr>
                <w:rFonts w:ascii="Times New Roman" w:hAnsi="Times New Roman"/>
                <w:color w:val="FF0000"/>
                <w:sz w:val="16"/>
                <w:szCs w:val="16"/>
              </w:rPr>
              <w:t> </w:t>
            </w:r>
          </w:p>
        </w:tc>
        <w:tc>
          <w:tcPr>
            <w:tcW w:w="1121" w:type="dxa"/>
            <w:tcBorders>
              <w:top w:val="nil"/>
              <w:left w:val="nil"/>
              <w:bottom w:val="single" w:sz="4" w:space="0" w:color="auto"/>
              <w:right w:val="single" w:sz="4" w:space="0" w:color="auto"/>
            </w:tcBorders>
            <w:shd w:val="clear" w:color="000000" w:fill="D9D9D9"/>
            <w:vAlign w:val="center"/>
            <w:hideMark/>
          </w:tcPr>
          <w:p w:rsidR="00821D8A" w:rsidRPr="00BB6916" w:rsidRDefault="00821D8A" w:rsidP="00821D8A">
            <w:pPr>
              <w:widowControl/>
              <w:autoSpaceDE/>
              <w:autoSpaceDN/>
              <w:adjustRightInd/>
              <w:jc w:val="center"/>
              <w:rPr>
                <w:rFonts w:ascii="Times New Roman" w:hAnsi="Times New Roman"/>
                <w:color w:val="FF0000"/>
                <w:sz w:val="16"/>
                <w:szCs w:val="16"/>
              </w:rPr>
            </w:pPr>
            <w:r w:rsidRPr="00BB6916">
              <w:rPr>
                <w:rFonts w:ascii="Times New Roman" w:hAnsi="Times New Roman"/>
                <w:color w:val="FF0000"/>
                <w:sz w:val="16"/>
                <w:szCs w:val="16"/>
              </w:rPr>
              <w:t>[ D + E]</w:t>
            </w:r>
          </w:p>
        </w:tc>
        <w:tc>
          <w:tcPr>
            <w:tcW w:w="1121" w:type="dxa"/>
            <w:tcBorders>
              <w:top w:val="nil"/>
              <w:left w:val="nil"/>
              <w:bottom w:val="single" w:sz="4" w:space="0" w:color="auto"/>
              <w:right w:val="single" w:sz="4" w:space="0" w:color="auto"/>
            </w:tcBorders>
            <w:shd w:val="clear" w:color="000000" w:fill="D9D9D9"/>
            <w:vAlign w:val="center"/>
            <w:hideMark/>
          </w:tcPr>
          <w:p w:rsidR="00821D8A" w:rsidRPr="00BB6916" w:rsidRDefault="00821D8A" w:rsidP="00821D8A">
            <w:pPr>
              <w:widowControl/>
              <w:autoSpaceDE/>
              <w:autoSpaceDN/>
              <w:adjustRightInd/>
              <w:jc w:val="center"/>
              <w:rPr>
                <w:rFonts w:ascii="Times New Roman" w:hAnsi="Times New Roman"/>
                <w:color w:val="FF0000"/>
                <w:sz w:val="16"/>
                <w:szCs w:val="16"/>
              </w:rPr>
            </w:pPr>
            <w:r w:rsidRPr="00BB6916">
              <w:rPr>
                <w:rFonts w:ascii="Times New Roman" w:hAnsi="Times New Roman"/>
                <w:color w:val="FF0000"/>
                <w:sz w:val="16"/>
                <w:szCs w:val="16"/>
              </w:rPr>
              <w:t>[F * B]</w:t>
            </w:r>
          </w:p>
        </w:tc>
        <w:tc>
          <w:tcPr>
            <w:tcW w:w="1200" w:type="dxa"/>
            <w:tcBorders>
              <w:top w:val="nil"/>
              <w:left w:val="nil"/>
              <w:bottom w:val="single" w:sz="4" w:space="0" w:color="auto"/>
              <w:right w:val="single" w:sz="4" w:space="0" w:color="auto"/>
            </w:tcBorders>
            <w:shd w:val="clear" w:color="000000" w:fill="D9D9D9"/>
            <w:vAlign w:val="center"/>
            <w:hideMark/>
          </w:tcPr>
          <w:p w:rsidR="00821D8A" w:rsidRPr="00BB6916" w:rsidRDefault="00821D8A" w:rsidP="00821D8A">
            <w:pPr>
              <w:widowControl/>
              <w:autoSpaceDE/>
              <w:autoSpaceDN/>
              <w:adjustRightInd/>
              <w:jc w:val="center"/>
              <w:rPr>
                <w:rFonts w:ascii="Times New Roman" w:hAnsi="Times New Roman"/>
                <w:color w:val="FF0000"/>
                <w:sz w:val="16"/>
                <w:szCs w:val="16"/>
              </w:rPr>
            </w:pPr>
            <w:r w:rsidRPr="00BB6916">
              <w:rPr>
                <w:rFonts w:ascii="Times New Roman" w:hAnsi="Times New Roman"/>
                <w:color w:val="FF0000"/>
                <w:sz w:val="16"/>
                <w:szCs w:val="16"/>
              </w:rPr>
              <w:t xml:space="preserve">[G * A]  </w:t>
            </w:r>
          </w:p>
        </w:tc>
        <w:tc>
          <w:tcPr>
            <w:tcW w:w="793" w:type="dxa"/>
            <w:tcBorders>
              <w:top w:val="nil"/>
              <w:left w:val="nil"/>
              <w:bottom w:val="single" w:sz="4" w:space="0" w:color="auto"/>
              <w:right w:val="single" w:sz="8" w:space="0" w:color="auto"/>
            </w:tcBorders>
            <w:shd w:val="clear" w:color="000000" w:fill="D9D9D9"/>
            <w:vAlign w:val="center"/>
            <w:hideMark/>
          </w:tcPr>
          <w:p w:rsidR="00821D8A" w:rsidRPr="00BB6916" w:rsidRDefault="00821D8A" w:rsidP="00821D8A">
            <w:pPr>
              <w:widowControl/>
              <w:autoSpaceDE/>
              <w:autoSpaceDN/>
              <w:adjustRightInd/>
              <w:jc w:val="center"/>
              <w:rPr>
                <w:rFonts w:ascii="Times New Roman" w:hAnsi="Times New Roman"/>
                <w:color w:val="FF0000"/>
                <w:sz w:val="16"/>
                <w:szCs w:val="16"/>
              </w:rPr>
            </w:pPr>
            <w:r w:rsidRPr="00BB6916">
              <w:rPr>
                <w:rFonts w:ascii="Times New Roman" w:hAnsi="Times New Roman"/>
                <w:color w:val="FF0000"/>
                <w:sz w:val="16"/>
                <w:szCs w:val="16"/>
              </w:rPr>
              <w:t>[A * 0%]</w:t>
            </w:r>
          </w:p>
        </w:tc>
      </w:tr>
      <w:tr w:rsidR="00DE7B3D" w:rsidRPr="00BB6916" w:rsidTr="00DE7B3D">
        <w:trPr>
          <w:trHeight w:val="285"/>
          <w:jc w:val="center"/>
        </w:trPr>
        <w:tc>
          <w:tcPr>
            <w:tcW w:w="1351" w:type="dxa"/>
            <w:tcBorders>
              <w:top w:val="nil"/>
              <w:left w:val="single" w:sz="8" w:space="0" w:color="auto"/>
              <w:bottom w:val="single" w:sz="4" w:space="0" w:color="auto"/>
              <w:right w:val="single" w:sz="4" w:space="0" w:color="auto"/>
            </w:tcBorders>
            <w:shd w:val="clear" w:color="auto" w:fill="auto"/>
            <w:vAlign w:val="center"/>
            <w:hideMark/>
          </w:tcPr>
          <w:p w:rsidR="00821D8A" w:rsidRPr="00BB6916" w:rsidRDefault="00A0398B" w:rsidP="00821D8A">
            <w:pPr>
              <w:widowControl/>
              <w:autoSpaceDE/>
              <w:autoSpaceDN/>
              <w:adjustRightInd/>
              <w:jc w:val="center"/>
              <w:rPr>
                <w:rFonts w:ascii="Times New Roman" w:hAnsi="Times New Roman"/>
                <w:color w:val="000000"/>
                <w:sz w:val="16"/>
                <w:szCs w:val="16"/>
              </w:rPr>
            </w:pPr>
            <w:r w:rsidRPr="00BB6916">
              <w:rPr>
                <w:rFonts w:ascii="Times New Roman" w:hAnsi="Times New Roman"/>
                <w:color w:val="000000"/>
                <w:sz w:val="16"/>
                <w:szCs w:val="16"/>
              </w:rPr>
              <w:t xml:space="preserve">Policies and Procedures: </w:t>
            </w:r>
            <w:r w:rsidR="00821D8A" w:rsidRPr="00BB6916">
              <w:rPr>
                <w:rFonts w:ascii="Times New Roman" w:hAnsi="Times New Roman"/>
                <w:color w:val="000000"/>
                <w:sz w:val="16"/>
                <w:szCs w:val="16"/>
              </w:rPr>
              <w:t>13n-4(b)(5)</w:t>
            </w:r>
          </w:p>
        </w:tc>
        <w:tc>
          <w:tcPr>
            <w:tcW w:w="941" w:type="dxa"/>
            <w:tcBorders>
              <w:top w:val="nil"/>
              <w:left w:val="nil"/>
              <w:bottom w:val="single" w:sz="4" w:space="0" w:color="auto"/>
              <w:right w:val="single" w:sz="4" w:space="0" w:color="auto"/>
            </w:tcBorders>
            <w:shd w:val="clear" w:color="auto" w:fill="auto"/>
            <w:vAlign w:val="center"/>
            <w:hideMark/>
          </w:tcPr>
          <w:p w:rsidR="00821D8A" w:rsidRPr="00BB6916" w:rsidRDefault="00821D8A" w:rsidP="00821D8A">
            <w:pPr>
              <w:widowControl/>
              <w:autoSpaceDE/>
              <w:autoSpaceDN/>
              <w:adjustRightInd/>
              <w:jc w:val="center"/>
              <w:rPr>
                <w:rFonts w:ascii="Times New Roman" w:hAnsi="Times New Roman"/>
                <w:color w:val="000000"/>
                <w:sz w:val="16"/>
                <w:szCs w:val="16"/>
              </w:rPr>
            </w:pPr>
            <w:r w:rsidRPr="00BB6916">
              <w:rPr>
                <w:rFonts w:ascii="Times New Roman" w:hAnsi="Times New Roman"/>
                <w:color w:val="000000"/>
                <w:sz w:val="16"/>
                <w:szCs w:val="16"/>
              </w:rPr>
              <w:t>Third-Party</w:t>
            </w:r>
          </w:p>
        </w:tc>
        <w:tc>
          <w:tcPr>
            <w:tcW w:w="854" w:type="dxa"/>
            <w:tcBorders>
              <w:top w:val="nil"/>
              <w:left w:val="nil"/>
              <w:bottom w:val="single" w:sz="4" w:space="0" w:color="auto"/>
              <w:right w:val="single" w:sz="4" w:space="0" w:color="auto"/>
            </w:tcBorders>
            <w:shd w:val="clear" w:color="auto" w:fill="auto"/>
            <w:vAlign w:val="center"/>
            <w:hideMark/>
          </w:tcPr>
          <w:p w:rsidR="00821D8A" w:rsidRPr="00BB6916" w:rsidRDefault="00821D8A" w:rsidP="00821D8A">
            <w:pPr>
              <w:widowControl/>
              <w:autoSpaceDE/>
              <w:autoSpaceDN/>
              <w:adjustRightInd/>
              <w:jc w:val="center"/>
              <w:rPr>
                <w:rFonts w:ascii="Times New Roman" w:hAnsi="Times New Roman"/>
                <w:color w:val="000000"/>
                <w:sz w:val="16"/>
                <w:szCs w:val="16"/>
              </w:rPr>
            </w:pPr>
            <w:r w:rsidRPr="00BB6916">
              <w:rPr>
                <w:rFonts w:ascii="Times New Roman" w:hAnsi="Times New Roman"/>
                <w:color w:val="000000"/>
                <w:sz w:val="16"/>
                <w:szCs w:val="16"/>
              </w:rPr>
              <w:t>10</w:t>
            </w:r>
          </w:p>
        </w:tc>
        <w:tc>
          <w:tcPr>
            <w:tcW w:w="907" w:type="dxa"/>
            <w:tcBorders>
              <w:top w:val="nil"/>
              <w:left w:val="nil"/>
              <w:bottom w:val="single" w:sz="4" w:space="0" w:color="auto"/>
              <w:right w:val="single" w:sz="4" w:space="0" w:color="auto"/>
            </w:tcBorders>
            <w:shd w:val="clear" w:color="auto" w:fill="auto"/>
            <w:vAlign w:val="center"/>
            <w:hideMark/>
          </w:tcPr>
          <w:p w:rsidR="00821D8A" w:rsidRPr="00BB6916" w:rsidRDefault="00821D8A" w:rsidP="00821D8A">
            <w:pPr>
              <w:widowControl/>
              <w:autoSpaceDE/>
              <w:autoSpaceDN/>
              <w:adjustRightInd/>
              <w:jc w:val="center"/>
              <w:rPr>
                <w:rFonts w:ascii="Times New Roman" w:hAnsi="Times New Roman"/>
                <w:color w:val="000000"/>
                <w:sz w:val="16"/>
                <w:szCs w:val="16"/>
              </w:rPr>
            </w:pPr>
            <w:r w:rsidRPr="00BB6916">
              <w:rPr>
                <w:rFonts w:ascii="Times New Roman" w:hAnsi="Times New Roman"/>
                <w:color w:val="000000"/>
                <w:sz w:val="16"/>
                <w:szCs w:val="16"/>
              </w:rPr>
              <w:t>1</w:t>
            </w:r>
          </w:p>
        </w:tc>
        <w:tc>
          <w:tcPr>
            <w:tcW w:w="1121" w:type="dxa"/>
            <w:tcBorders>
              <w:top w:val="nil"/>
              <w:left w:val="nil"/>
              <w:bottom w:val="single" w:sz="4" w:space="0" w:color="auto"/>
              <w:right w:val="single" w:sz="4" w:space="0" w:color="auto"/>
            </w:tcBorders>
            <w:shd w:val="clear" w:color="auto" w:fill="auto"/>
            <w:vAlign w:val="center"/>
            <w:hideMark/>
          </w:tcPr>
          <w:p w:rsidR="00821D8A" w:rsidRPr="00BB6916" w:rsidRDefault="00821D8A" w:rsidP="00821D8A">
            <w:pPr>
              <w:widowControl/>
              <w:autoSpaceDE/>
              <w:autoSpaceDN/>
              <w:adjustRightInd/>
              <w:jc w:val="right"/>
              <w:rPr>
                <w:rFonts w:ascii="Times New Roman" w:hAnsi="Times New Roman"/>
                <w:color w:val="000000"/>
                <w:sz w:val="16"/>
                <w:szCs w:val="16"/>
              </w:rPr>
            </w:pPr>
            <w:r w:rsidRPr="00BB6916">
              <w:rPr>
                <w:rFonts w:ascii="Times New Roman" w:hAnsi="Times New Roman"/>
                <w:color w:val="000000"/>
                <w:sz w:val="16"/>
                <w:szCs w:val="16"/>
              </w:rPr>
              <w:t>$2,821,120.00</w:t>
            </w:r>
          </w:p>
        </w:tc>
        <w:tc>
          <w:tcPr>
            <w:tcW w:w="1003" w:type="dxa"/>
            <w:tcBorders>
              <w:top w:val="nil"/>
              <w:left w:val="nil"/>
              <w:bottom w:val="single" w:sz="4" w:space="0" w:color="auto"/>
              <w:right w:val="single" w:sz="4" w:space="0" w:color="auto"/>
            </w:tcBorders>
            <w:shd w:val="clear" w:color="auto" w:fill="auto"/>
            <w:vAlign w:val="center"/>
            <w:hideMark/>
          </w:tcPr>
          <w:p w:rsidR="00821D8A" w:rsidRPr="00BB6916" w:rsidRDefault="00821D8A" w:rsidP="00821D8A">
            <w:pPr>
              <w:widowControl/>
              <w:autoSpaceDE/>
              <w:autoSpaceDN/>
              <w:adjustRightInd/>
              <w:jc w:val="right"/>
              <w:rPr>
                <w:rFonts w:ascii="Times New Roman" w:hAnsi="Times New Roman"/>
                <w:color w:val="000000"/>
                <w:sz w:val="16"/>
                <w:szCs w:val="16"/>
              </w:rPr>
            </w:pPr>
            <w:r w:rsidRPr="00BB6916">
              <w:rPr>
                <w:rFonts w:ascii="Times New Roman" w:hAnsi="Times New Roman"/>
                <w:color w:val="000000"/>
                <w:sz w:val="16"/>
                <w:szCs w:val="16"/>
              </w:rPr>
              <w:t>$940,373.33</w:t>
            </w:r>
          </w:p>
        </w:tc>
        <w:tc>
          <w:tcPr>
            <w:tcW w:w="1003" w:type="dxa"/>
            <w:tcBorders>
              <w:top w:val="nil"/>
              <w:left w:val="nil"/>
              <w:bottom w:val="single" w:sz="4" w:space="0" w:color="auto"/>
              <w:right w:val="single" w:sz="4" w:space="0" w:color="auto"/>
            </w:tcBorders>
            <w:shd w:val="clear" w:color="auto" w:fill="auto"/>
            <w:vAlign w:val="center"/>
            <w:hideMark/>
          </w:tcPr>
          <w:p w:rsidR="00821D8A" w:rsidRPr="00BB6916" w:rsidRDefault="00821D8A" w:rsidP="00821D8A">
            <w:pPr>
              <w:widowControl/>
              <w:autoSpaceDE/>
              <w:autoSpaceDN/>
              <w:adjustRightInd/>
              <w:jc w:val="right"/>
              <w:rPr>
                <w:rFonts w:ascii="Times New Roman" w:hAnsi="Times New Roman"/>
                <w:color w:val="000000"/>
                <w:sz w:val="16"/>
                <w:szCs w:val="16"/>
              </w:rPr>
            </w:pPr>
            <w:r w:rsidRPr="00BB6916">
              <w:rPr>
                <w:rFonts w:ascii="Times New Roman" w:hAnsi="Times New Roman"/>
                <w:color w:val="000000"/>
                <w:sz w:val="16"/>
                <w:szCs w:val="16"/>
              </w:rPr>
              <w:t>$564,224.00</w:t>
            </w:r>
          </w:p>
        </w:tc>
        <w:tc>
          <w:tcPr>
            <w:tcW w:w="1121" w:type="dxa"/>
            <w:tcBorders>
              <w:top w:val="nil"/>
              <w:left w:val="nil"/>
              <w:bottom w:val="single" w:sz="4" w:space="0" w:color="auto"/>
              <w:right w:val="single" w:sz="4" w:space="0" w:color="auto"/>
            </w:tcBorders>
            <w:shd w:val="clear" w:color="auto" w:fill="auto"/>
            <w:vAlign w:val="center"/>
            <w:hideMark/>
          </w:tcPr>
          <w:p w:rsidR="00821D8A" w:rsidRPr="00BB6916" w:rsidRDefault="00821D8A" w:rsidP="00821D8A">
            <w:pPr>
              <w:widowControl/>
              <w:autoSpaceDE/>
              <w:autoSpaceDN/>
              <w:adjustRightInd/>
              <w:jc w:val="right"/>
              <w:rPr>
                <w:rFonts w:ascii="Times New Roman" w:hAnsi="Times New Roman"/>
                <w:color w:val="000000"/>
                <w:sz w:val="16"/>
                <w:szCs w:val="16"/>
              </w:rPr>
            </w:pPr>
            <w:r w:rsidRPr="00BB6916">
              <w:rPr>
                <w:rFonts w:ascii="Times New Roman" w:hAnsi="Times New Roman"/>
                <w:color w:val="000000"/>
                <w:sz w:val="16"/>
                <w:szCs w:val="16"/>
              </w:rPr>
              <w:t>$1,504,597.33</w:t>
            </w:r>
          </w:p>
        </w:tc>
        <w:tc>
          <w:tcPr>
            <w:tcW w:w="1121" w:type="dxa"/>
            <w:tcBorders>
              <w:top w:val="nil"/>
              <w:left w:val="nil"/>
              <w:bottom w:val="single" w:sz="4" w:space="0" w:color="auto"/>
              <w:right w:val="single" w:sz="4" w:space="0" w:color="auto"/>
            </w:tcBorders>
            <w:shd w:val="clear" w:color="auto" w:fill="auto"/>
            <w:vAlign w:val="center"/>
            <w:hideMark/>
          </w:tcPr>
          <w:p w:rsidR="00821D8A" w:rsidRPr="00BB6916" w:rsidRDefault="00821D8A" w:rsidP="00821D8A">
            <w:pPr>
              <w:widowControl/>
              <w:autoSpaceDE/>
              <w:autoSpaceDN/>
              <w:adjustRightInd/>
              <w:jc w:val="right"/>
              <w:rPr>
                <w:rFonts w:ascii="Times New Roman" w:hAnsi="Times New Roman"/>
                <w:color w:val="000000"/>
                <w:sz w:val="16"/>
                <w:szCs w:val="16"/>
              </w:rPr>
            </w:pPr>
            <w:r w:rsidRPr="00BB6916">
              <w:rPr>
                <w:rFonts w:ascii="Times New Roman" w:hAnsi="Times New Roman"/>
                <w:color w:val="000000"/>
                <w:sz w:val="16"/>
                <w:szCs w:val="16"/>
              </w:rPr>
              <w:t>$1,504,597.33</w:t>
            </w:r>
          </w:p>
        </w:tc>
        <w:tc>
          <w:tcPr>
            <w:tcW w:w="1200" w:type="dxa"/>
            <w:tcBorders>
              <w:top w:val="nil"/>
              <w:left w:val="nil"/>
              <w:bottom w:val="single" w:sz="4" w:space="0" w:color="auto"/>
              <w:right w:val="single" w:sz="4" w:space="0" w:color="auto"/>
            </w:tcBorders>
            <w:shd w:val="clear" w:color="auto" w:fill="auto"/>
            <w:vAlign w:val="center"/>
            <w:hideMark/>
          </w:tcPr>
          <w:p w:rsidR="00821D8A" w:rsidRPr="00BB6916" w:rsidRDefault="00821D8A" w:rsidP="00821D8A">
            <w:pPr>
              <w:widowControl/>
              <w:autoSpaceDE/>
              <w:autoSpaceDN/>
              <w:adjustRightInd/>
              <w:jc w:val="right"/>
              <w:rPr>
                <w:rFonts w:ascii="Times New Roman" w:hAnsi="Times New Roman"/>
                <w:color w:val="000000"/>
                <w:sz w:val="16"/>
                <w:szCs w:val="16"/>
              </w:rPr>
            </w:pPr>
            <w:r w:rsidRPr="00BB6916">
              <w:rPr>
                <w:rFonts w:ascii="Times New Roman" w:hAnsi="Times New Roman"/>
                <w:color w:val="000000"/>
                <w:sz w:val="16"/>
                <w:szCs w:val="16"/>
              </w:rPr>
              <w:t>$15,045,973.33</w:t>
            </w:r>
          </w:p>
        </w:tc>
        <w:tc>
          <w:tcPr>
            <w:tcW w:w="793" w:type="dxa"/>
            <w:tcBorders>
              <w:top w:val="nil"/>
              <w:left w:val="nil"/>
              <w:bottom w:val="single" w:sz="4" w:space="0" w:color="auto"/>
              <w:right w:val="single" w:sz="8" w:space="0" w:color="auto"/>
            </w:tcBorders>
            <w:shd w:val="clear" w:color="auto" w:fill="auto"/>
            <w:noWrap/>
            <w:vAlign w:val="center"/>
            <w:hideMark/>
          </w:tcPr>
          <w:p w:rsidR="00821D8A" w:rsidRPr="00BB6916" w:rsidRDefault="00821D8A" w:rsidP="00821D8A">
            <w:pPr>
              <w:widowControl/>
              <w:autoSpaceDE/>
              <w:autoSpaceDN/>
              <w:adjustRightInd/>
              <w:jc w:val="right"/>
              <w:rPr>
                <w:rFonts w:ascii="Times New Roman" w:hAnsi="Times New Roman"/>
                <w:color w:val="000000"/>
                <w:sz w:val="16"/>
                <w:szCs w:val="16"/>
              </w:rPr>
            </w:pPr>
            <w:r w:rsidRPr="00BB6916">
              <w:rPr>
                <w:rFonts w:ascii="Times New Roman" w:hAnsi="Times New Roman"/>
                <w:color w:val="000000"/>
                <w:sz w:val="16"/>
                <w:szCs w:val="16"/>
              </w:rPr>
              <w:t>0.00</w:t>
            </w:r>
          </w:p>
        </w:tc>
      </w:tr>
      <w:tr w:rsidR="00821D8A" w:rsidRPr="00BB6916" w:rsidTr="00DE7B3D">
        <w:trPr>
          <w:trHeight w:val="299"/>
          <w:jc w:val="center"/>
        </w:trPr>
        <w:tc>
          <w:tcPr>
            <w:tcW w:w="9422" w:type="dxa"/>
            <w:gridSpan w:val="9"/>
            <w:tcBorders>
              <w:top w:val="single" w:sz="4" w:space="0" w:color="auto"/>
              <w:left w:val="single" w:sz="8" w:space="0" w:color="auto"/>
              <w:bottom w:val="single" w:sz="8" w:space="0" w:color="auto"/>
              <w:right w:val="single" w:sz="4" w:space="0" w:color="auto"/>
            </w:tcBorders>
            <w:shd w:val="clear" w:color="auto" w:fill="auto"/>
            <w:vAlign w:val="center"/>
            <w:hideMark/>
          </w:tcPr>
          <w:p w:rsidR="00821D8A" w:rsidRPr="00BB6916" w:rsidRDefault="00821D8A" w:rsidP="00821D8A">
            <w:pPr>
              <w:widowControl/>
              <w:autoSpaceDE/>
              <w:autoSpaceDN/>
              <w:adjustRightInd/>
              <w:jc w:val="right"/>
              <w:rPr>
                <w:rFonts w:ascii="Times New Roman" w:hAnsi="Times New Roman"/>
                <w:b/>
                <w:bCs/>
                <w:color w:val="000000"/>
                <w:sz w:val="16"/>
                <w:szCs w:val="16"/>
              </w:rPr>
            </w:pPr>
            <w:r w:rsidRPr="00BB6916">
              <w:rPr>
                <w:rFonts w:ascii="Times New Roman" w:hAnsi="Times New Roman"/>
                <w:b/>
                <w:bCs/>
                <w:color w:val="000000"/>
                <w:sz w:val="16"/>
                <w:szCs w:val="16"/>
              </w:rPr>
              <w:t xml:space="preserve">TOTAL COST FOR ALL RESPONDENTS </w:t>
            </w:r>
          </w:p>
        </w:tc>
        <w:tc>
          <w:tcPr>
            <w:tcW w:w="1200" w:type="dxa"/>
            <w:tcBorders>
              <w:top w:val="nil"/>
              <w:left w:val="nil"/>
              <w:bottom w:val="single" w:sz="8" w:space="0" w:color="auto"/>
              <w:right w:val="single" w:sz="4" w:space="0" w:color="auto"/>
            </w:tcBorders>
            <w:shd w:val="clear" w:color="auto" w:fill="auto"/>
            <w:vAlign w:val="center"/>
            <w:hideMark/>
          </w:tcPr>
          <w:p w:rsidR="00821D8A" w:rsidRPr="00BB6916" w:rsidRDefault="00821D8A" w:rsidP="00821D8A">
            <w:pPr>
              <w:widowControl/>
              <w:autoSpaceDE/>
              <w:autoSpaceDN/>
              <w:adjustRightInd/>
              <w:jc w:val="right"/>
              <w:rPr>
                <w:rFonts w:ascii="Times New Roman" w:hAnsi="Times New Roman"/>
                <w:b/>
                <w:bCs/>
                <w:color w:val="000000"/>
                <w:sz w:val="16"/>
                <w:szCs w:val="16"/>
              </w:rPr>
            </w:pPr>
            <w:r w:rsidRPr="00BB6916">
              <w:rPr>
                <w:rFonts w:ascii="Times New Roman" w:hAnsi="Times New Roman"/>
                <w:b/>
                <w:bCs/>
                <w:color w:val="000000"/>
                <w:sz w:val="16"/>
                <w:szCs w:val="16"/>
              </w:rPr>
              <w:t>$15,045,973.33</w:t>
            </w:r>
          </w:p>
        </w:tc>
        <w:tc>
          <w:tcPr>
            <w:tcW w:w="793" w:type="dxa"/>
            <w:tcBorders>
              <w:top w:val="nil"/>
              <w:left w:val="nil"/>
              <w:bottom w:val="single" w:sz="8" w:space="0" w:color="auto"/>
              <w:right w:val="single" w:sz="8" w:space="0" w:color="auto"/>
            </w:tcBorders>
            <w:shd w:val="clear" w:color="auto" w:fill="auto"/>
            <w:vAlign w:val="center"/>
            <w:hideMark/>
          </w:tcPr>
          <w:p w:rsidR="00821D8A" w:rsidRPr="00BB6916" w:rsidRDefault="00821D8A" w:rsidP="00821D8A">
            <w:pPr>
              <w:widowControl/>
              <w:autoSpaceDE/>
              <w:autoSpaceDN/>
              <w:adjustRightInd/>
              <w:jc w:val="right"/>
              <w:rPr>
                <w:rFonts w:ascii="Times New Roman" w:hAnsi="Times New Roman"/>
                <w:b/>
                <w:bCs/>
                <w:color w:val="000000"/>
                <w:sz w:val="16"/>
                <w:szCs w:val="16"/>
              </w:rPr>
            </w:pPr>
            <w:r w:rsidRPr="00BB6916">
              <w:rPr>
                <w:rFonts w:ascii="Times New Roman" w:hAnsi="Times New Roman"/>
                <w:b/>
                <w:bCs/>
                <w:color w:val="000000"/>
                <w:sz w:val="16"/>
                <w:szCs w:val="16"/>
              </w:rPr>
              <w:t> </w:t>
            </w:r>
          </w:p>
        </w:tc>
      </w:tr>
    </w:tbl>
    <w:p w:rsidR="00821D8A" w:rsidRPr="00BB6916" w:rsidRDefault="00821D8A" w:rsidP="0085251B">
      <w:pPr>
        <w:spacing w:after="240"/>
        <w:ind w:firstLine="720"/>
        <w:rPr>
          <w:rFonts w:ascii="Times New Roman" w:hAnsi="Times New Roman"/>
          <w:highlight w:val="yellow"/>
        </w:rPr>
      </w:pPr>
    </w:p>
    <w:p w:rsidR="00385046" w:rsidRPr="00BB6916" w:rsidRDefault="00385046" w:rsidP="0085251B">
      <w:pPr>
        <w:tabs>
          <w:tab w:val="left" w:pos="-720"/>
        </w:tabs>
        <w:suppressAutoHyphens/>
        <w:spacing w:after="240"/>
        <w:ind w:left="720"/>
        <w:rPr>
          <w:rFonts w:ascii="Times New Roman" w:hAnsi="Times New Roman"/>
        </w:rPr>
      </w:pPr>
      <w:r w:rsidRPr="00BB6916">
        <w:rPr>
          <w:rFonts w:ascii="Times New Roman" w:hAnsi="Times New Roman"/>
          <w:b/>
          <w:bCs/>
        </w:rPr>
        <w:t xml:space="preserve">14.  </w:t>
      </w:r>
      <w:r w:rsidR="0042775C" w:rsidRPr="00BB6916">
        <w:rPr>
          <w:rFonts w:ascii="Times New Roman" w:hAnsi="Times New Roman"/>
          <w:b/>
          <w:bCs/>
        </w:rPr>
        <w:tab/>
      </w:r>
      <w:r w:rsidRPr="00BB6916">
        <w:rPr>
          <w:rFonts w:ascii="Times New Roman" w:hAnsi="Times New Roman"/>
          <w:b/>
          <w:bCs/>
        </w:rPr>
        <w:t>Estimate of Cost to the Federal Government</w:t>
      </w:r>
    </w:p>
    <w:p w:rsidR="00E40C58" w:rsidRPr="00BB6916" w:rsidRDefault="00E40C58" w:rsidP="0085251B">
      <w:pPr>
        <w:pStyle w:val="Document1"/>
        <w:keepNext w:val="0"/>
        <w:keepLines w:val="0"/>
        <w:spacing w:after="240" w:line="240" w:lineRule="auto"/>
        <w:rPr>
          <w:rFonts w:ascii="Times New Roman" w:hAnsi="Times New Roman"/>
        </w:rPr>
      </w:pPr>
      <w:r w:rsidRPr="00BB6916">
        <w:rPr>
          <w:rFonts w:ascii="Times New Roman" w:hAnsi="Times New Roman"/>
        </w:rPr>
        <w:tab/>
      </w:r>
      <w:r w:rsidR="00A07294" w:rsidRPr="00BB6916">
        <w:rPr>
          <w:rFonts w:ascii="Times New Roman" w:hAnsi="Times New Roman"/>
        </w:rPr>
        <w:t>T</w:t>
      </w:r>
      <w:r w:rsidR="005D2BB0" w:rsidRPr="00BB6916">
        <w:rPr>
          <w:rFonts w:ascii="Times New Roman" w:hAnsi="Times New Roman"/>
        </w:rPr>
        <w:t xml:space="preserve">he Commission may incur costs related to the </w:t>
      </w:r>
      <w:r w:rsidR="00497E0F" w:rsidRPr="00BB6916">
        <w:rPr>
          <w:rFonts w:ascii="Times New Roman" w:hAnsi="Times New Roman"/>
        </w:rPr>
        <w:t xml:space="preserve">request, </w:t>
      </w:r>
      <w:r w:rsidR="005D2BB0" w:rsidRPr="00BB6916">
        <w:rPr>
          <w:rFonts w:ascii="Times New Roman" w:hAnsi="Times New Roman"/>
        </w:rPr>
        <w:t>receipt</w:t>
      </w:r>
      <w:r w:rsidR="00E065D6" w:rsidRPr="00BB6916">
        <w:rPr>
          <w:rFonts w:ascii="Times New Roman" w:hAnsi="Times New Roman"/>
        </w:rPr>
        <w:t>,</w:t>
      </w:r>
      <w:r w:rsidR="005D2BB0" w:rsidRPr="00BB6916">
        <w:rPr>
          <w:rFonts w:ascii="Times New Roman" w:hAnsi="Times New Roman"/>
        </w:rPr>
        <w:t xml:space="preserve"> and storage of </w:t>
      </w:r>
      <w:r w:rsidR="000B4340" w:rsidRPr="00BB6916">
        <w:rPr>
          <w:rFonts w:ascii="Times New Roman" w:hAnsi="Times New Roman"/>
        </w:rPr>
        <w:t xml:space="preserve">security-based swap </w:t>
      </w:r>
      <w:r w:rsidR="00A07294" w:rsidRPr="00BB6916">
        <w:rPr>
          <w:rFonts w:ascii="Times New Roman" w:hAnsi="Times New Roman"/>
        </w:rPr>
        <w:t>transaction</w:t>
      </w:r>
      <w:r w:rsidR="005D2BB0" w:rsidRPr="00BB6916">
        <w:rPr>
          <w:rFonts w:ascii="Times New Roman" w:hAnsi="Times New Roman"/>
        </w:rPr>
        <w:t xml:space="preserve"> data</w:t>
      </w:r>
      <w:r w:rsidRPr="00BB6916">
        <w:rPr>
          <w:rFonts w:ascii="Times New Roman" w:hAnsi="Times New Roman"/>
        </w:rPr>
        <w:t>.</w:t>
      </w:r>
      <w:r w:rsidR="00A07294" w:rsidRPr="00BB6916">
        <w:rPr>
          <w:rFonts w:ascii="Times New Roman" w:hAnsi="Times New Roman"/>
        </w:rPr>
        <w:t xml:space="preserve"> </w:t>
      </w:r>
      <w:r w:rsidR="000C6658" w:rsidRPr="00BB6916">
        <w:rPr>
          <w:rFonts w:ascii="Times New Roman" w:hAnsi="Times New Roman"/>
        </w:rPr>
        <w:t xml:space="preserve"> The Commission could potentially incur significant costs in analyzing the data.  </w:t>
      </w:r>
      <w:r w:rsidR="00B51E0F" w:rsidRPr="00BB6916">
        <w:rPr>
          <w:rFonts w:ascii="Times New Roman" w:hAnsi="Times New Roman"/>
        </w:rPr>
        <w:t xml:space="preserve">The Commission believes that the proposed amendments could reduce the </w:t>
      </w:r>
      <w:bookmarkStart w:id="0" w:name="_GoBack"/>
      <w:bookmarkEnd w:id="0"/>
      <w:r w:rsidR="00B51E0F" w:rsidRPr="00BB6916">
        <w:rPr>
          <w:rFonts w:ascii="Times New Roman" w:hAnsi="Times New Roman"/>
        </w:rPr>
        <w:t xml:space="preserve">potential cost to the government by facilitating the Commission’s ability to analyze the data.  </w:t>
      </w:r>
      <w:r w:rsidR="000C6658" w:rsidRPr="00BB6916">
        <w:rPr>
          <w:rFonts w:ascii="Times New Roman" w:hAnsi="Times New Roman"/>
        </w:rPr>
        <w:t>However, at this time, the Commission is unable to quantify these costs.</w:t>
      </w:r>
    </w:p>
    <w:p w:rsidR="00385046" w:rsidRPr="00BB6916" w:rsidRDefault="00385046" w:rsidP="0085251B">
      <w:pPr>
        <w:keepNext/>
        <w:tabs>
          <w:tab w:val="left" w:pos="-720"/>
        </w:tabs>
        <w:suppressAutoHyphens/>
        <w:spacing w:after="240"/>
        <w:ind w:left="720"/>
        <w:rPr>
          <w:rFonts w:ascii="Times New Roman" w:hAnsi="Times New Roman"/>
        </w:rPr>
      </w:pPr>
      <w:r w:rsidRPr="00BB6916">
        <w:rPr>
          <w:rFonts w:ascii="Times New Roman" w:hAnsi="Times New Roman"/>
          <w:b/>
          <w:bCs/>
        </w:rPr>
        <w:t xml:space="preserve">15.  </w:t>
      </w:r>
      <w:r w:rsidR="0042775C" w:rsidRPr="00BB6916">
        <w:rPr>
          <w:rFonts w:ascii="Times New Roman" w:hAnsi="Times New Roman"/>
          <w:b/>
          <w:bCs/>
        </w:rPr>
        <w:tab/>
      </w:r>
      <w:r w:rsidRPr="00BB6916">
        <w:rPr>
          <w:rFonts w:ascii="Times New Roman" w:hAnsi="Times New Roman"/>
          <w:b/>
          <w:bCs/>
        </w:rPr>
        <w:t>Explanation of Changes in Burden</w:t>
      </w:r>
    </w:p>
    <w:p w:rsidR="00624069" w:rsidRPr="00BB6916" w:rsidRDefault="00C1121C" w:rsidP="0085251B">
      <w:pPr>
        <w:tabs>
          <w:tab w:val="left" w:pos="-720"/>
        </w:tabs>
        <w:suppressAutoHyphens/>
        <w:spacing w:after="240"/>
        <w:rPr>
          <w:rFonts w:ascii="Times New Roman" w:hAnsi="Times New Roman"/>
          <w:b/>
        </w:rPr>
      </w:pPr>
      <w:r w:rsidRPr="00BB6916">
        <w:rPr>
          <w:rFonts w:ascii="Times New Roman" w:hAnsi="Times New Roman"/>
        </w:rPr>
        <w:tab/>
      </w:r>
      <w:r w:rsidR="00B51E0F" w:rsidRPr="00BB6916">
        <w:rPr>
          <w:rFonts w:ascii="Times New Roman" w:hAnsi="Times New Roman"/>
        </w:rPr>
        <w:t xml:space="preserve">SDR Rules were </w:t>
      </w:r>
      <w:r w:rsidR="00624069" w:rsidRPr="00BB6916">
        <w:rPr>
          <w:rFonts w:ascii="Times New Roman" w:hAnsi="Times New Roman"/>
        </w:rPr>
        <w:t xml:space="preserve">adopted in the Regulation </w:t>
      </w:r>
      <w:r w:rsidR="00B51E0F" w:rsidRPr="00BB6916">
        <w:rPr>
          <w:rFonts w:ascii="Times New Roman" w:hAnsi="Times New Roman"/>
        </w:rPr>
        <w:t>SDR</w:t>
      </w:r>
      <w:r w:rsidR="00624069" w:rsidRPr="00BB6916">
        <w:rPr>
          <w:rFonts w:ascii="Times New Roman" w:hAnsi="Times New Roman"/>
        </w:rPr>
        <w:t xml:space="preserve"> Adopting Release.  </w:t>
      </w:r>
      <w:r w:rsidR="00B51E0F" w:rsidRPr="00BB6916">
        <w:rPr>
          <w:rFonts w:ascii="Times New Roman" w:hAnsi="Times New Roman"/>
        </w:rPr>
        <w:t>The proposed amendment would increase the burdens previously described in the Regulation SDR Adopting Release</w:t>
      </w:r>
      <w:r w:rsidR="00624069" w:rsidRPr="00BB6916">
        <w:rPr>
          <w:rFonts w:ascii="Times New Roman" w:hAnsi="Times New Roman"/>
        </w:rPr>
        <w:t>.</w:t>
      </w:r>
    </w:p>
    <w:p w:rsidR="00385046" w:rsidRPr="00BB6916" w:rsidRDefault="00385046" w:rsidP="0085251B">
      <w:pPr>
        <w:tabs>
          <w:tab w:val="left" w:pos="-720"/>
          <w:tab w:val="left" w:pos="0"/>
        </w:tabs>
        <w:suppressAutoHyphens/>
        <w:spacing w:after="240"/>
        <w:ind w:left="720"/>
        <w:rPr>
          <w:rFonts w:ascii="Times New Roman" w:hAnsi="Times New Roman"/>
        </w:rPr>
      </w:pPr>
      <w:r w:rsidRPr="00BB6916">
        <w:rPr>
          <w:rFonts w:ascii="Times New Roman" w:hAnsi="Times New Roman"/>
          <w:b/>
          <w:bCs/>
        </w:rPr>
        <w:t>16.</w:t>
      </w:r>
      <w:r w:rsidRPr="00BB6916">
        <w:rPr>
          <w:rFonts w:ascii="Times New Roman" w:hAnsi="Times New Roman"/>
          <w:b/>
          <w:bCs/>
        </w:rPr>
        <w:tab/>
        <w:t>Information Collection Planned for Statistical Purposes</w:t>
      </w:r>
    </w:p>
    <w:p w:rsidR="00A40C25" w:rsidRPr="00BB6916" w:rsidRDefault="00385046" w:rsidP="0085251B">
      <w:pPr>
        <w:tabs>
          <w:tab w:val="left" w:pos="-720"/>
        </w:tabs>
        <w:suppressAutoHyphens/>
        <w:spacing w:after="240"/>
        <w:rPr>
          <w:rFonts w:ascii="Times New Roman" w:hAnsi="Times New Roman"/>
        </w:rPr>
      </w:pPr>
      <w:r w:rsidRPr="00BB6916">
        <w:rPr>
          <w:rFonts w:ascii="Times New Roman" w:hAnsi="Times New Roman"/>
        </w:rPr>
        <w:tab/>
        <w:t>Not applicable.</w:t>
      </w:r>
    </w:p>
    <w:p w:rsidR="00385046" w:rsidRPr="00BB6916" w:rsidRDefault="00385046" w:rsidP="0085251B">
      <w:pPr>
        <w:tabs>
          <w:tab w:val="left" w:pos="-720"/>
          <w:tab w:val="left" w:pos="0"/>
        </w:tabs>
        <w:suppressAutoHyphens/>
        <w:spacing w:after="240"/>
        <w:ind w:left="720"/>
        <w:rPr>
          <w:rFonts w:ascii="Times New Roman" w:hAnsi="Times New Roman"/>
        </w:rPr>
      </w:pPr>
      <w:r w:rsidRPr="00BB6916">
        <w:rPr>
          <w:rFonts w:ascii="Times New Roman" w:hAnsi="Times New Roman"/>
          <w:b/>
          <w:bCs/>
        </w:rPr>
        <w:t>17.</w:t>
      </w:r>
      <w:r w:rsidRPr="00BB6916">
        <w:rPr>
          <w:rFonts w:ascii="Times New Roman" w:hAnsi="Times New Roman"/>
          <w:b/>
          <w:bCs/>
        </w:rPr>
        <w:tab/>
      </w:r>
      <w:r w:rsidR="00D32D88" w:rsidRPr="00BB6916">
        <w:rPr>
          <w:rFonts w:ascii="Times New Roman" w:hAnsi="Times New Roman"/>
          <w:b/>
          <w:bCs/>
        </w:rPr>
        <w:t>Approval to not Display Expiration Date</w:t>
      </w:r>
    </w:p>
    <w:p w:rsidR="00385046" w:rsidRPr="00BB6916" w:rsidRDefault="00385046" w:rsidP="0085251B">
      <w:pPr>
        <w:tabs>
          <w:tab w:val="left" w:pos="-720"/>
        </w:tabs>
        <w:suppressAutoHyphens/>
        <w:spacing w:after="240"/>
        <w:rPr>
          <w:rFonts w:ascii="Times New Roman" w:hAnsi="Times New Roman"/>
        </w:rPr>
      </w:pPr>
      <w:r w:rsidRPr="00BB6916">
        <w:rPr>
          <w:rFonts w:ascii="Times New Roman" w:hAnsi="Times New Roman"/>
        </w:rPr>
        <w:tab/>
        <w:t>Not applicable.</w:t>
      </w:r>
    </w:p>
    <w:p w:rsidR="00385046" w:rsidRPr="00BB6916" w:rsidRDefault="00385046" w:rsidP="0085251B">
      <w:pPr>
        <w:keepNext/>
        <w:keepLines/>
        <w:tabs>
          <w:tab w:val="left" w:pos="-720"/>
          <w:tab w:val="left" w:pos="0"/>
        </w:tabs>
        <w:suppressAutoHyphens/>
        <w:spacing w:after="240"/>
        <w:ind w:left="720"/>
        <w:rPr>
          <w:rFonts w:ascii="Times New Roman" w:hAnsi="Times New Roman"/>
        </w:rPr>
      </w:pPr>
      <w:r w:rsidRPr="00BB6916">
        <w:rPr>
          <w:rFonts w:ascii="Times New Roman" w:hAnsi="Times New Roman"/>
          <w:b/>
          <w:bCs/>
        </w:rPr>
        <w:t>18.</w:t>
      </w:r>
      <w:r w:rsidRPr="00BB6916">
        <w:rPr>
          <w:rFonts w:ascii="Times New Roman" w:hAnsi="Times New Roman"/>
          <w:b/>
          <w:bCs/>
        </w:rPr>
        <w:tab/>
        <w:t>Exception</w:t>
      </w:r>
      <w:r w:rsidR="00D32D88" w:rsidRPr="00BB6916">
        <w:rPr>
          <w:rFonts w:ascii="Times New Roman" w:hAnsi="Times New Roman"/>
          <w:b/>
          <w:bCs/>
        </w:rPr>
        <w:t>s</w:t>
      </w:r>
      <w:r w:rsidRPr="00BB6916">
        <w:rPr>
          <w:rFonts w:ascii="Times New Roman" w:hAnsi="Times New Roman"/>
          <w:b/>
          <w:bCs/>
        </w:rPr>
        <w:t xml:space="preserve"> to Certification</w:t>
      </w:r>
      <w:r w:rsidR="00D32D88" w:rsidRPr="00BB6916">
        <w:rPr>
          <w:rFonts w:ascii="Times New Roman" w:hAnsi="Times New Roman"/>
          <w:b/>
          <w:bCs/>
        </w:rPr>
        <w:t xml:space="preserve"> Statement</w:t>
      </w:r>
    </w:p>
    <w:p w:rsidR="00385046" w:rsidRPr="00BB6916" w:rsidRDefault="00385046" w:rsidP="0085251B">
      <w:pPr>
        <w:keepLines/>
        <w:tabs>
          <w:tab w:val="left" w:pos="-720"/>
        </w:tabs>
        <w:suppressAutoHyphens/>
        <w:spacing w:after="240"/>
        <w:rPr>
          <w:rFonts w:ascii="Times New Roman" w:hAnsi="Times New Roman"/>
        </w:rPr>
      </w:pPr>
      <w:r w:rsidRPr="00BB6916">
        <w:rPr>
          <w:rFonts w:ascii="Times New Roman" w:hAnsi="Times New Roman"/>
        </w:rPr>
        <w:tab/>
        <w:t>Not applicable.</w:t>
      </w:r>
    </w:p>
    <w:p w:rsidR="00385046" w:rsidRPr="00BB6916" w:rsidRDefault="00385046" w:rsidP="0085251B">
      <w:pPr>
        <w:tabs>
          <w:tab w:val="left" w:pos="-720"/>
        </w:tabs>
        <w:suppressAutoHyphens/>
        <w:spacing w:after="240"/>
        <w:rPr>
          <w:rFonts w:ascii="Times New Roman" w:hAnsi="Times New Roman"/>
        </w:rPr>
      </w:pPr>
      <w:r w:rsidRPr="00BB6916">
        <w:rPr>
          <w:rFonts w:ascii="Times New Roman" w:hAnsi="Times New Roman"/>
          <w:b/>
          <w:bCs/>
        </w:rPr>
        <w:t>B.</w:t>
      </w:r>
      <w:r w:rsidRPr="00BB6916">
        <w:rPr>
          <w:rFonts w:ascii="Times New Roman" w:hAnsi="Times New Roman"/>
          <w:b/>
          <w:bCs/>
        </w:rPr>
        <w:tab/>
        <w:t>COLLECTIONS OF INFORMATION EMPLOYING STATISTICAL METHODS</w:t>
      </w:r>
    </w:p>
    <w:p w:rsidR="00D54CFD" w:rsidRPr="00BB6916" w:rsidRDefault="00385046" w:rsidP="00BB6916">
      <w:pPr>
        <w:tabs>
          <w:tab w:val="left" w:pos="-720"/>
        </w:tabs>
        <w:suppressAutoHyphens/>
        <w:spacing w:after="240"/>
        <w:rPr>
          <w:rFonts w:ascii="Times New Roman" w:hAnsi="Times New Roman"/>
        </w:rPr>
      </w:pPr>
      <w:r w:rsidRPr="00BB6916">
        <w:rPr>
          <w:rFonts w:ascii="Times New Roman" w:hAnsi="Times New Roman"/>
        </w:rPr>
        <w:tab/>
      </w:r>
      <w:r w:rsidR="009308E8" w:rsidRPr="00BB6916">
        <w:rPr>
          <w:rFonts w:ascii="Times New Roman" w:hAnsi="Times New Roman"/>
        </w:rPr>
        <w:t>This collection does not involve statistical methods</w:t>
      </w:r>
      <w:r w:rsidRPr="00BB6916">
        <w:rPr>
          <w:rFonts w:ascii="Times New Roman" w:hAnsi="Times New Roman"/>
        </w:rPr>
        <w:t>.</w:t>
      </w:r>
    </w:p>
    <w:sectPr w:rsidR="00D54CFD" w:rsidRPr="00BB6916" w:rsidSect="000D715C">
      <w:headerReference w:type="default" r:id="rId12"/>
      <w:footerReference w:type="even" r:id="rId13"/>
      <w:footerReference w:type="default" r:id="rId14"/>
      <w:endnotePr>
        <w:numFmt w:val="decimal"/>
      </w:endnotePr>
      <w:pgSz w:w="12240" w:h="15840" w:code="1"/>
      <w:pgMar w:top="1440" w:right="1440" w:bottom="1440" w:left="1440" w:header="1440" w:footer="108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41A" w:rsidRDefault="0070741A">
      <w:pPr>
        <w:widowControl/>
        <w:spacing w:line="20" w:lineRule="exact"/>
        <w:rPr>
          <w:sz w:val="20"/>
        </w:rPr>
      </w:pPr>
    </w:p>
  </w:endnote>
  <w:endnote w:type="continuationSeparator" w:id="0">
    <w:p w:rsidR="0070741A" w:rsidRDefault="0070741A">
      <w:r>
        <w:rPr>
          <w:sz w:val="20"/>
        </w:rPr>
        <w:t xml:space="preserve"> </w:t>
      </w:r>
    </w:p>
  </w:endnote>
  <w:endnote w:type="continuationNotice" w:id="1">
    <w:p w:rsidR="0070741A" w:rsidRDefault="0070741A">
      <w:r>
        <w:rPr>
          <w:sz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Kino MT">
    <w:charset w:val="00"/>
    <w:family w:val="auto"/>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Footlight MT Light">
    <w:panose1 w:val="0204060206030A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1BF" w:rsidRDefault="004931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931BF" w:rsidRDefault="004931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1BF" w:rsidRPr="004814E4" w:rsidRDefault="004931BF">
    <w:pPr>
      <w:pStyle w:val="Footer"/>
      <w:framePr w:wrap="around" w:vAnchor="text" w:hAnchor="margin" w:xAlign="center" w:y="1"/>
      <w:rPr>
        <w:rStyle w:val="PageNumber"/>
        <w:rFonts w:ascii="Times New Roman" w:hAnsi="Times New Roman"/>
      </w:rPr>
    </w:pPr>
    <w:r w:rsidRPr="004814E4">
      <w:rPr>
        <w:rStyle w:val="PageNumber"/>
        <w:rFonts w:ascii="Times New Roman" w:hAnsi="Times New Roman"/>
      </w:rPr>
      <w:fldChar w:fldCharType="begin"/>
    </w:r>
    <w:r w:rsidRPr="004814E4">
      <w:rPr>
        <w:rStyle w:val="PageNumber"/>
        <w:rFonts w:ascii="Times New Roman" w:hAnsi="Times New Roman"/>
      </w:rPr>
      <w:instrText xml:space="preserve">PAGE  </w:instrText>
    </w:r>
    <w:r w:rsidRPr="004814E4">
      <w:rPr>
        <w:rStyle w:val="PageNumber"/>
        <w:rFonts w:ascii="Times New Roman" w:hAnsi="Times New Roman"/>
      </w:rPr>
      <w:fldChar w:fldCharType="separate"/>
    </w:r>
    <w:r w:rsidR="00DE7B3D">
      <w:rPr>
        <w:rStyle w:val="PageNumber"/>
        <w:rFonts w:ascii="Times New Roman" w:hAnsi="Times New Roman"/>
        <w:noProof/>
      </w:rPr>
      <w:t>7</w:t>
    </w:r>
    <w:r w:rsidRPr="004814E4">
      <w:rPr>
        <w:rStyle w:val="PageNumber"/>
        <w:rFonts w:ascii="Times New Roman" w:hAnsi="Times New Roman"/>
      </w:rPr>
      <w:fldChar w:fldCharType="end"/>
    </w:r>
  </w:p>
  <w:p w:rsidR="004931BF" w:rsidRDefault="004931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41A" w:rsidRDefault="0070741A">
      <w:r>
        <w:rPr>
          <w:sz w:val="20"/>
        </w:rPr>
        <w:separator/>
      </w:r>
    </w:p>
  </w:footnote>
  <w:footnote w:type="continuationSeparator" w:id="0">
    <w:p w:rsidR="0070741A" w:rsidRDefault="0070741A">
      <w:r>
        <w:continuationSeparator/>
      </w:r>
    </w:p>
  </w:footnote>
  <w:footnote w:id="1">
    <w:p w:rsidR="004931BF" w:rsidRPr="000D715C" w:rsidRDefault="004931BF" w:rsidP="000D715C">
      <w:pPr>
        <w:pStyle w:val="FootnoteText"/>
        <w:spacing w:after="120" w:line="240" w:lineRule="auto"/>
        <w:ind w:left="720" w:hanging="720"/>
        <w:rPr>
          <w:szCs w:val="24"/>
        </w:rPr>
      </w:pPr>
      <w:r w:rsidRPr="000D715C">
        <w:rPr>
          <w:rStyle w:val="FootnoteReference"/>
          <w:rFonts w:ascii="Times New Roman" w:hAnsi="Times New Roman"/>
        </w:rPr>
        <w:footnoteRef/>
      </w:r>
      <w:r w:rsidRPr="000D715C">
        <w:rPr>
          <w:szCs w:val="24"/>
        </w:rPr>
        <w:t xml:space="preserve"> </w:t>
      </w:r>
      <w:r w:rsidRPr="000D715C">
        <w:rPr>
          <w:szCs w:val="24"/>
        </w:rPr>
        <w:tab/>
        <w:t>The Dodd-Frank Wall Street Reform and Consumer Protection Act (Pub. L. No. 11-203, H.R. 4173).</w:t>
      </w:r>
    </w:p>
  </w:footnote>
  <w:footnote w:id="2">
    <w:p w:rsidR="004931BF" w:rsidRPr="000D715C" w:rsidRDefault="004931BF" w:rsidP="000D715C">
      <w:pPr>
        <w:pStyle w:val="FootnoteText"/>
        <w:spacing w:after="120"/>
        <w:ind w:left="720" w:hanging="720"/>
        <w:rPr>
          <w:szCs w:val="24"/>
        </w:rPr>
      </w:pPr>
      <w:r w:rsidRPr="000D715C">
        <w:rPr>
          <w:rStyle w:val="FootnoteReference"/>
          <w:rFonts w:ascii="Times New Roman" w:hAnsi="Times New Roman"/>
        </w:rPr>
        <w:footnoteRef/>
      </w:r>
      <w:r w:rsidRPr="000D715C">
        <w:rPr>
          <w:szCs w:val="24"/>
        </w:rPr>
        <w:t xml:space="preserve"> </w:t>
      </w:r>
      <w:r w:rsidRPr="000D715C">
        <w:rPr>
          <w:szCs w:val="24"/>
        </w:rPr>
        <w:tab/>
      </w:r>
      <w:r w:rsidRPr="000D715C">
        <w:rPr>
          <w:szCs w:val="24"/>
          <w:u w:val="single"/>
        </w:rPr>
        <w:t>See</w:t>
      </w:r>
      <w:r w:rsidRPr="000D715C">
        <w:rPr>
          <w:szCs w:val="24"/>
        </w:rPr>
        <w:t xml:space="preserve"> 15 U.S.C. </w:t>
      </w:r>
      <w:proofErr w:type="gramStart"/>
      <w:r w:rsidRPr="000D715C">
        <w:rPr>
          <w:szCs w:val="24"/>
        </w:rPr>
        <w:t>78m(</w:t>
      </w:r>
      <w:proofErr w:type="gramEnd"/>
      <w:r w:rsidRPr="000D715C">
        <w:rPr>
          <w:szCs w:val="24"/>
        </w:rPr>
        <w:t xml:space="preserve">n)(9). </w:t>
      </w:r>
    </w:p>
  </w:footnote>
  <w:footnote w:id="3">
    <w:p w:rsidR="004931BF" w:rsidRPr="000D715C" w:rsidRDefault="004931BF" w:rsidP="000D715C">
      <w:pPr>
        <w:pStyle w:val="FootnoteText"/>
        <w:spacing w:after="120"/>
        <w:ind w:left="720" w:hanging="720"/>
        <w:rPr>
          <w:szCs w:val="24"/>
        </w:rPr>
      </w:pPr>
      <w:r w:rsidRPr="000D715C">
        <w:rPr>
          <w:rStyle w:val="FootnoteReference"/>
          <w:rFonts w:ascii="Times New Roman" w:hAnsi="Times New Roman"/>
        </w:rPr>
        <w:footnoteRef/>
      </w:r>
      <w:r w:rsidRPr="000D715C">
        <w:rPr>
          <w:szCs w:val="24"/>
        </w:rPr>
        <w:t xml:space="preserve"> </w:t>
      </w:r>
      <w:r w:rsidRPr="000D715C">
        <w:rPr>
          <w:szCs w:val="24"/>
        </w:rPr>
        <w:tab/>
      </w:r>
      <w:proofErr w:type="gramStart"/>
      <w:r w:rsidRPr="000D715C">
        <w:rPr>
          <w:szCs w:val="24"/>
        </w:rPr>
        <w:t>17 CFR 240.13n-1 to 240.13n-11.</w:t>
      </w:r>
      <w:proofErr w:type="gramEnd"/>
    </w:p>
  </w:footnote>
  <w:footnote w:id="4">
    <w:p w:rsidR="004931BF" w:rsidRPr="000D715C" w:rsidRDefault="004931BF" w:rsidP="000D715C">
      <w:pPr>
        <w:pStyle w:val="FootnoteText"/>
        <w:spacing w:after="120"/>
        <w:ind w:left="720" w:hanging="720"/>
        <w:rPr>
          <w:szCs w:val="24"/>
        </w:rPr>
      </w:pPr>
      <w:r w:rsidRPr="000D715C">
        <w:rPr>
          <w:rStyle w:val="FootnoteReference"/>
          <w:rFonts w:ascii="Times New Roman" w:hAnsi="Times New Roman"/>
        </w:rPr>
        <w:footnoteRef/>
      </w:r>
      <w:r w:rsidRPr="000D715C">
        <w:rPr>
          <w:szCs w:val="24"/>
        </w:rPr>
        <w:t xml:space="preserve"> </w:t>
      </w:r>
      <w:r w:rsidRPr="000D715C">
        <w:rPr>
          <w:szCs w:val="24"/>
        </w:rPr>
        <w:tab/>
      </w:r>
      <w:r w:rsidRPr="000D715C">
        <w:rPr>
          <w:szCs w:val="24"/>
          <w:u w:val="single"/>
        </w:rPr>
        <w:t>See</w:t>
      </w:r>
      <w:r w:rsidRPr="000D715C">
        <w:rPr>
          <w:szCs w:val="24"/>
        </w:rPr>
        <w:t xml:space="preserve"> Securities Exchange Act Release No. 74246 (February 11, 2015), 80 FR 14437 (March 19, 2015) (“SDR Adopting Release”).</w:t>
      </w:r>
    </w:p>
  </w:footnote>
  <w:footnote w:id="5">
    <w:p w:rsidR="004931BF" w:rsidRPr="000D715C" w:rsidRDefault="004931BF" w:rsidP="000D715C">
      <w:pPr>
        <w:pStyle w:val="FootnoteText"/>
        <w:spacing w:after="120"/>
        <w:ind w:left="720" w:hanging="720"/>
        <w:rPr>
          <w:szCs w:val="24"/>
        </w:rPr>
      </w:pPr>
      <w:r w:rsidRPr="000D715C">
        <w:rPr>
          <w:rStyle w:val="FootnoteReference"/>
          <w:rFonts w:ascii="Times New Roman" w:hAnsi="Times New Roman"/>
        </w:rPr>
        <w:footnoteRef/>
      </w:r>
      <w:r w:rsidRPr="000D715C">
        <w:rPr>
          <w:szCs w:val="24"/>
        </w:rPr>
        <w:t xml:space="preserve"> </w:t>
      </w:r>
      <w:r w:rsidRPr="000D715C">
        <w:rPr>
          <w:szCs w:val="24"/>
        </w:rPr>
        <w:tab/>
        <w:t>17 CFR 240.900 to 240.909.</w:t>
      </w:r>
    </w:p>
  </w:footnote>
  <w:footnote w:id="6">
    <w:p w:rsidR="004931BF" w:rsidRPr="000D715C" w:rsidRDefault="004931BF" w:rsidP="000D715C">
      <w:pPr>
        <w:pStyle w:val="FootnoteText"/>
        <w:spacing w:after="120"/>
        <w:ind w:left="720" w:hanging="720"/>
        <w:rPr>
          <w:szCs w:val="24"/>
        </w:rPr>
      </w:pPr>
      <w:r w:rsidRPr="000D715C">
        <w:rPr>
          <w:rStyle w:val="FootnoteReference"/>
          <w:rFonts w:ascii="Times New Roman" w:hAnsi="Times New Roman"/>
        </w:rPr>
        <w:footnoteRef/>
      </w:r>
      <w:r w:rsidRPr="000D715C">
        <w:rPr>
          <w:szCs w:val="24"/>
        </w:rPr>
        <w:t xml:space="preserve"> </w:t>
      </w:r>
      <w:r w:rsidRPr="000D715C">
        <w:rPr>
          <w:szCs w:val="24"/>
        </w:rPr>
        <w:tab/>
      </w:r>
      <w:r w:rsidRPr="000D715C">
        <w:rPr>
          <w:szCs w:val="24"/>
          <w:u w:val="single"/>
        </w:rPr>
        <w:t>See</w:t>
      </w:r>
      <w:r w:rsidRPr="000D715C">
        <w:rPr>
          <w:szCs w:val="24"/>
        </w:rPr>
        <w:t xml:space="preserve"> Securities Exchange Act Release No. 74244 (February 11, 2015), 80 FR 14563 (March 19, 2015) (“Regulation SBSR Adopting Release”).</w:t>
      </w:r>
    </w:p>
  </w:footnote>
  <w:footnote w:id="7">
    <w:p w:rsidR="004931BF" w:rsidRPr="00BA2FF4" w:rsidRDefault="004931BF" w:rsidP="000D715C">
      <w:pPr>
        <w:pStyle w:val="FootnoteText"/>
        <w:spacing w:after="120" w:line="240" w:lineRule="auto"/>
        <w:ind w:left="720" w:hanging="720"/>
      </w:pPr>
      <w:r w:rsidRPr="00BA2FF4">
        <w:rPr>
          <w:rStyle w:val="FootnoteReference"/>
          <w:rFonts w:ascii="Times New Roman" w:hAnsi="Times New Roman"/>
        </w:rPr>
        <w:footnoteRef/>
      </w:r>
      <w:r w:rsidRPr="000D715C">
        <w:t xml:space="preserve"> </w:t>
      </w:r>
      <w:r w:rsidRPr="000D715C">
        <w:tab/>
      </w:r>
      <w:r w:rsidRPr="000D715C">
        <w:rPr>
          <w:szCs w:val="24"/>
          <w:u w:val="single"/>
        </w:rPr>
        <w:t>See</w:t>
      </w:r>
      <w:r w:rsidRPr="000D715C">
        <w:rPr>
          <w:szCs w:val="24"/>
        </w:rPr>
        <w:t xml:space="preserve"> Securities Exchange Act Release No. 7</w:t>
      </w:r>
      <w:r w:rsidRPr="00E90F91">
        <w:rPr>
          <w:szCs w:val="24"/>
        </w:rPr>
        <w:t>6624 (December 11, 2015), 80 FR 79757 (December 23</w:t>
      </w:r>
      <w:r w:rsidRPr="0078511C">
        <w:rPr>
          <w:szCs w:val="24"/>
        </w:rPr>
        <w:t>, 2015) (“</w:t>
      </w:r>
      <w:r w:rsidRPr="00B51E0F">
        <w:rPr>
          <w:szCs w:val="24"/>
        </w:rPr>
        <w:t>SDR Amendments</w:t>
      </w:r>
      <w:r w:rsidRPr="00BA2FF4">
        <w:rPr>
          <w:szCs w:val="24"/>
        </w:rPr>
        <w:t xml:space="preserve"> Release”).</w:t>
      </w:r>
      <w:r w:rsidR="00BB6916">
        <w:rPr>
          <w:szCs w:val="24"/>
        </w:rPr>
        <w:t xml:space="preserve">  The proposed amendments will be submitted under OMB number 3235-0719 which relates to the regulation of </w:t>
      </w:r>
      <w:r w:rsidR="00BB6916" w:rsidRPr="00BB6916">
        <w:rPr>
          <w:color w:val="000000"/>
          <w:szCs w:val="24"/>
        </w:rPr>
        <w:t>security-based swap data repositories (“SDRs”)</w:t>
      </w:r>
      <w:r w:rsidR="00BB6916">
        <w:rPr>
          <w:color w:val="000000"/>
          <w:szCs w:val="24"/>
        </w:rPr>
        <w:t xml:space="preserve">.  Because these proposed amendments are in addition to the existing SDR rules and do not seek to change the burdens associated with the existing SDR rules as submitted to OMB </w:t>
      </w:r>
      <w:r w:rsidR="00BB6916">
        <w:rPr>
          <w:color w:val="000000"/>
          <w:szCs w:val="24"/>
        </w:rPr>
        <w:t xml:space="preserve">on March 19, 2015 and </w:t>
      </w:r>
      <w:r w:rsidR="00BB6916">
        <w:rPr>
          <w:color w:val="000000"/>
          <w:szCs w:val="24"/>
        </w:rPr>
        <w:t xml:space="preserve">approved by OMB on May 14, 2015, the original supporting statement submitted for the regulation of SDRs (3235-0719) </w:t>
      </w:r>
      <w:r w:rsidR="00274E9A">
        <w:rPr>
          <w:color w:val="000000"/>
          <w:szCs w:val="24"/>
        </w:rPr>
        <w:t xml:space="preserve">will be </w:t>
      </w:r>
      <w:r w:rsidR="00BB6916">
        <w:rPr>
          <w:color w:val="000000"/>
          <w:szCs w:val="24"/>
        </w:rPr>
        <w:t xml:space="preserve">submitted to OMB along with this supporting statement. </w:t>
      </w:r>
    </w:p>
  </w:footnote>
  <w:footnote w:id="8">
    <w:p w:rsidR="004931BF" w:rsidRPr="000D715C" w:rsidRDefault="004931BF" w:rsidP="00BA2FF4">
      <w:pPr>
        <w:pStyle w:val="FootnoteText"/>
        <w:spacing w:after="120"/>
        <w:ind w:left="720" w:hanging="720"/>
      </w:pPr>
      <w:r w:rsidRPr="00BA2FF4">
        <w:rPr>
          <w:rStyle w:val="FootnoteReference"/>
          <w:rFonts w:ascii="Times New Roman" w:hAnsi="Times New Roman"/>
        </w:rPr>
        <w:footnoteRef/>
      </w:r>
      <w:r w:rsidRPr="000D715C">
        <w:t xml:space="preserve"> </w:t>
      </w:r>
      <w:r w:rsidRPr="000D715C">
        <w:tab/>
        <w:t>17 CFR 240.13n-4(b</w:t>
      </w:r>
      <w:proofErr w:type="gramStart"/>
      <w:r w:rsidRPr="000D715C">
        <w:t>)(</w:t>
      </w:r>
      <w:proofErr w:type="gramEnd"/>
      <w:r w:rsidRPr="000D715C">
        <w:t>5).</w:t>
      </w:r>
    </w:p>
  </w:footnote>
  <w:footnote w:id="9">
    <w:p w:rsidR="004931BF" w:rsidRPr="000D715C" w:rsidRDefault="004931BF" w:rsidP="00BA2FF4">
      <w:pPr>
        <w:pStyle w:val="FootnoteText"/>
        <w:spacing w:after="120"/>
        <w:ind w:left="720" w:hanging="720"/>
      </w:pPr>
      <w:r w:rsidRPr="00BA2FF4">
        <w:rPr>
          <w:rStyle w:val="FootnoteReference"/>
          <w:rFonts w:ascii="Times New Roman" w:hAnsi="Times New Roman"/>
        </w:rPr>
        <w:footnoteRef/>
      </w:r>
      <w:r w:rsidRPr="000D715C">
        <w:t xml:space="preserve"> </w:t>
      </w:r>
      <w:r w:rsidRPr="000D715C">
        <w:tab/>
        <w:t>17 CFR 240.13n-4(a</w:t>
      </w:r>
      <w:proofErr w:type="gramStart"/>
      <w:r w:rsidRPr="000D715C">
        <w:t>)(</w:t>
      </w:r>
      <w:proofErr w:type="gramEnd"/>
      <w:r w:rsidRPr="000D715C">
        <w:t>5).</w:t>
      </w:r>
    </w:p>
  </w:footnote>
  <w:footnote w:id="10">
    <w:p w:rsidR="004931BF" w:rsidRPr="000D715C" w:rsidRDefault="004931BF" w:rsidP="000D715C">
      <w:pPr>
        <w:pStyle w:val="FootnoteText"/>
        <w:spacing w:after="120" w:line="240" w:lineRule="auto"/>
        <w:ind w:left="720" w:hanging="720"/>
        <w:rPr>
          <w:szCs w:val="24"/>
        </w:rPr>
      </w:pPr>
      <w:r w:rsidRPr="000D715C">
        <w:rPr>
          <w:rStyle w:val="FootnoteReference"/>
          <w:rFonts w:ascii="Times New Roman" w:hAnsi="Times New Roman"/>
        </w:rPr>
        <w:footnoteRef/>
      </w:r>
      <w:r w:rsidRPr="000D715C">
        <w:rPr>
          <w:szCs w:val="24"/>
        </w:rPr>
        <w:t xml:space="preserve"> </w:t>
      </w:r>
      <w:r w:rsidRPr="000D715C">
        <w:rPr>
          <w:szCs w:val="24"/>
        </w:rPr>
        <w:tab/>
      </w:r>
      <w:r w:rsidRPr="000D715C">
        <w:rPr>
          <w:szCs w:val="24"/>
          <w:u w:val="single"/>
        </w:rPr>
        <w:t>See</w:t>
      </w:r>
      <w:r w:rsidRPr="000D715C">
        <w:rPr>
          <w:szCs w:val="24"/>
        </w:rPr>
        <w:t xml:space="preserve"> Section 763(i) of the Dodd-Frank Act.</w:t>
      </w:r>
    </w:p>
  </w:footnote>
  <w:footnote w:id="11">
    <w:p w:rsidR="004931BF" w:rsidRPr="0078511C" w:rsidRDefault="004931BF" w:rsidP="000D715C">
      <w:pPr>
        <w:pStyle w:val="Default"/>
        <w:spacing w:after="120"/>
        <w:ind w:left="720" w:hanging="720"/>
      </w:pPr>
      <w:r w:rsidRPr="000D715C">
        <w:rPr>
          <w:rStyle w:val="FootnoteReference"/>
          <w:rFonts w:ascii="Times New Roman" w:hAnsi="Times New Roman"/>
        </w:rPr>
        <w:footnoteRef/>
      </w:r>
      <w:r w:rsidRPr="000D715C">
        <w:t xml:space="preserve"> </w:t>
      </w:r>
      <w:r w:rsidRPr="000D715C">
        <w:tab/>
        <w:t>The term “Personally Identifiable Information” refers to information which can be used to distinguish or trace an individual’s identity, such as their name, social security number, biometric records, etc. alone, or when combined with other personal or identifying inf</w:t>
      </w:r>
      <w:r w:rsidRPr="00E90F91">
        <w:t>ormation which is linked or linkable to a specific individual, such as date and place of birth, mother’s maiden name</w:t>
      </w:r>
      <w:r w:rsidRPr="0078511C">
        <w:t xml:space="preserve">, etc.  </w:t>
      </w:r>
    </w:p>
  </w:footnote>
  <w:footnote w:id="12">
    <w:p w:rsidR="001529EB" w:rsidRPr="00BA2FF4" w:rsidRDefault="001529EB" w:rsidP="00BA2FF4">
      <w:pPr>
        <w:pStyle w:val="FootnoteText"/>
        <w:spacing w:after="120"/>
        <w:ind w:left="720" w:hanging="720"/>
      </w:pPr>
      <w:r w:rsidRPr="00BA2FF4">
        <w:rPr>
          <w:rStyle w:val="FootnoteReference"/>
          <w:rFonts w:ascii="Times New Roman" w:hAnsi="Times New Roman"/>
        </w:rPr>
        <w:footnoteRef/>
      </w:r>
      <w:r w:rsidRPr="000D715C">
        <w:t xml:space="preserve"> </w:t>
      </w:r>
      <w:r w:rsidRPr="000D715C">
        <w:tab/>
        <w:t>The Commission preliminarily estimates that an SDR will assign responsibilities for modifications of information technology systems to an Attorney, a Compliance Manager, a Programmer Analyst and a Senior Business Analyst and responsibilities for policies and procedures to an Attorney, a Compliance Manager, a Senior Systems Analyst and an Operations Specialist.  The Commission estimates the burden of modifying info</w:t>
      </w:r>
      <w:r w:rsidRPr="00E90F91">
        <w:t>rmation technology systems to be as follows: 70 hours (Attorney) + 80 hours (Compliance Manager + 200 hours (Programmer Analyst) + 70 hours (Senior Business Analyst) = 420 burden hours.  The Commission estimates the burden of modifying policies and procedu</w:t>
      </w:r>
      <w:r w:rsidRPr="0078511C">
        <w:t>res to be as follows: 21.75 hours (Attorney) + 19.25 (Compliance Manager) + 5.75 hours (Senior Systems Analyst) + 5.75 hours (Operations Specialist) = 52.5 burden hours.</w:t>
      </w:r>
    </w:p>
  </w:footnote>
  <w:footnote w:id="13">
    <w:p w:rsidR="001529EB" w:rsidRPr="00E90F91" w:rsidRDefault="001529EB" w:rsidP="00BA2FF4">
      <w:pPr>
        <w:pStyle w:val="FootnoteText"/>
        <w:spacing w:after="120"/>
        <w:ind w:left="720" w:hanging="720"/>
      </w:pPr>
      <w:r w:rsidRPr="00BA2FF4">
        <w:rPr>
          <w:rStyle w:val="FootnoteReference"/>
          <w:rFonts w:ascii="Times New Roman" w:hAnsi="Times New Roman"/>
        </w:rPr>
        <w:footnoteRef/>
      </w:r>
      <w:r w:rsidRPr="000D715C">
        <w:t xml:space="preserve"> </w:t>
      </w:r>
      <w:r w:rsidRPr="000D715C">
        <w:tab/>
        <w:t>The aggregate burden is calculated as follows:  (420 hours + 52.5 hours) x 10 registered SDRs = 4,725 burden hours</w:t>
      </w:r>
    </w:p>
  </w:footnote>
  <w:footnote w:id="14">
    <w:p w:rsidR="001529EB" w:rsidRPr="000D715C" w:rsidRDefault="001529EB" w:rsidP="000D715C">
      <w:pPr>
        <w:pStyle w:val="FootnoteText"/>
        <w:spacing w:after="120" w:line="240" w:lineRule="auto"/>
        <w:ind w:left="720" w:hanging="720"/>
        <w:rPr>
          <w:szCs w:val="24"/>
        </w:rPr>
      </w:pPr>
      <w:r w:rsidRPr="000D715C">
        <w:rPr>
          <w:rStyle w:val="FootnoteReference"/>
          <w:rFonts w:ascii="Times New Roman" w:hAnsi="Times New Roman"/>
        </w:rPr>
        <w:footnoteRef/>
      </w:r>
      <w:r w:rsidRPr="000D715C">
        <w:rPr>
          <w:szCs w:val="24"/>
        </w:rPr>
        <w:t xml:space="preserve"> </w:t>
      </w:r>
      <w:r w:rsidRPr="000D715C">
        <w:rPr>
          <w:szCs w:val="24"/>
        </w:rPr>
        <w:tab/>
        <w:t>This figure is based on the following: [((</w:t>
      </w:r>
      <w:r w:rsidR="0085251B">
        <w:rPr>
          <w:szCs w:val="24"/>
        </w:rPr>
        <w:t>472.5</w:t>
      </w:r>
      <w:r w:rsidRPr="000D715C">
        <w:rPr>
          <w:szCs w:val="24"/>
        </w:rPr>
        <w:t xml:space="preserve"> hours/3 years) + (</w:t>
      </w:r>
      <w:r w:rsidR="0085251B">
        <w:rPr>
          <w:szCs w:val="24"/>
        </w:rPr>
        <w:t>0</w:t>
      </w:r>
      <w:r w:rsidRPr="000D715C">
        <w:rPr>
          <w:szCs w:val="24"/>
        </w:rPr>
        <w:t xml:space="preserve"> hours))/ (1 response per year)] = </w:t>
      </w:r>
      <w:r w:rsidR="0085251B">
        <w:rPr>
          <w:szCs w:val="24"/>
        </w:rPr>
        <w:t>157.5</w:t>
      </w:r>
      <w:r w:rsidRPr="000D715C">
        <w:rPr>
          <w:szCs w:val="24"/>
        </w:rPr>
        <w:t xml:space="preserve"> hours.</w:t>
      </w:r>
    </w:p>
  </w:footnote>
  <w:footnote w:id="15">
    <w:p w:rsidR="0078511C" w:rsidRPr="0085251B" w:rsidRDefault="0078511C" w:rsidP="0085251B">
      <w:pPr>
        <w:pStyle w:val="FootnoteText"/>
        <w:spacing w:after="120" w:line="240" w:lineRule="auto"/>
        <w:ind w:left="720" w:hanging="720"/>
      </w:pPr>
      <w:r w:rsidRPr="0085251B">
        <w:rPr>
          <w:rStyle w:val="FootnoteReference"/>
          <w:rFonts w:ascii="Times New Roman" w:hAnsi="Times New Roman"/>
        </w:rPr>
        <w:footnoteRef/>
      </w:r>
      <w:r w:rsidRPr="0085251B">
        <w:t xml:space="preserve"> </w:t>
      </w:r>
      <w:r w:rsidRPr="0085251B">
        <w:tab/>
        <w:t>Because members of a working group are professionals from various organizations, we treat each member as an outside professional for this analysis and use a $400 per hour cost.  We assume an eight hour work day for each member of the working group.  For the one-time extension of a standard, we assume a workload of 5% of each working group member’s work day.  Given these assumptions, the cost of extending one standard = 304 x 29 x 8 x 400 x 0.05 = $1,410,560.  The cost of extending both standards is = 1,410,560 x 2 = $2,821,120.  For the periodic update of a standard, we assume a workload of 1% of each working group member’s work day due to the incremental and limited nature of a periodic update.  Thus, the cost of a periodic update to one standard = 304 x 29 x 8 x 400 x 0.01 = $282,112, and the cost for both standards is = 282,112 x 2 = $564,224.</w:t>
      </w:r>
    </w:p>
  </w:footnote>
  <w:footnote w:id="16">
    <w:p w:rsidR="009C061F" w:rsidRPr="000D715C" w:rsidRDefault="009C061F" w:rsidP="009C061F">
      <w:pPr>
        <w:pStyle w:val="FootnoteText"/>
        <w:spacing w:after="120" w:line="240" w:lineRule="auto"/>
        <w:ind w:left="720" w:hanging="720"/>
        <w:rPr>
          <w:szCs w:val="24"/>
        </w:rPr>
      </w:pPr>
      <w:r w:rsidRPr="000D715C">
        <w:rPr>
          <w:rStyle w:val="FootnoteReference"/>
          <w:rFonts w:ascii="Times New Roman" w:hAnsi="Times New Roman"/>
        </w:rPr>
        <w:footnoteRef/>
      </w:r>
      <w:r w:rsidRPr="000D715C">
        <w:rPr>
          <w:szCs w:val="24"/>
        </w:rPr>
        <w:t xml:space="preserve"> </w:t>
      </w:r>
      <w:r w:rsidRPr="000D715C">
        <w:rPr>
          <w:szCs w:val="24"/>
        </w:rPr>
        <w:tab/>
        <w:t>This figure is based on the following: [((</w:t>
      </w:r>
      <w:r>
        <w:rPr>
          <w:szCs w:val="24"/>
        </w:rPr>
        <w:t>$</w:t>
      </w:r>
      <w:r w:rsidR="00821D8A">
        <w:rPr>
          <w:szCs w:val="24"/>
        </w:rPr>
        <w:t>2,821,120</w:t>
      </w:r>
      <w:r w:rsidRPr="000D715C">
        <w:rPr>
          <w:szCs w:val="24"/>
        </w:rPr>
        <w:t>/3 years) + (</w:t>
      </w:r>
      <w:r>
        <w:rPr>
          <w:szCs w:val="24"/>
        </w:rPr>
        <w:t>$</w:t>
      </w:r>
      <w:r w:rsidR="00821D8A">
        <w:rPr>
          <w:szCs w:val="24"/>
        </w:rPr>
        <w:t>564,224</w:t>
      </w:r>
      <w:r w:rsidRPr="000D715C">
        <w:rPr>
          <w:szCs w:val="24"/>
        </w:rPr>
        <w:t xml:space="preserve">)) = </w:t>
      </w:r>
      <w:r>
        <w:rPr>
          <w:szCs w:val="24"/>
        </w:rPr>
        <w:t>$</w:t>
      </w:r>
      <w:r w:rsidR="00821D8A">
        <w:rPr>
          <w:szCs w:val="24"/>
        </w:rPr>
        <w:t>1,504,597.33</w:t>
      </w:r>
      <w:r>
        <w:rPr>
          <w:szCs w:val="24"/>
        </w:rPr>
        <w:t xml:space="preserve"> per response</w:t>
      </w:r>
      <w:r w:rsidRPr="000D715C">
        <w:rPr>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1BF" w:rsidRDefault="004931BF">
    <w:pPr>
      <w:suppressAutoHyphens/>
      <w:spacing w:after="140" w:line="100" w:lineRule="exact"/>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17774"/>
    <w:multiLevelType w:val="hybridMultilevel"/>
    <w:tmpl w:val="5CCEDC2C"/>
    <w:lvl w:ilvl="0" w:tplc="38709E6E">
      <w:start w:val="1"/>
      <w:numFmt w:val="low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5C11E0"/>
    <w:multiLevelType w:val="hybridMultilevel"/>
    <w:tmpl w:val="D52E0654"/>
    <w:lvl w:ilvl="0" w:tplc="AFFAB6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7F0CEA"/>
    <w:multiLevelType w:val="hybridMultilevel"/>
    <w:tmpl w:val="89F277F4"/>
    <w:lvl w:ilvl="0" w:tplc="E3F605F8">
      <w:start w:val="1"/>
      <w:numFmt w:val="upperLetter"/>
      <w:lvlText w:val="%1."/>
      <w:lvlJc w:val="left"/>
      <w:pPr>
        <w:tabs>
          <w:tab w:val="num" w:pos="1305"/>
        </w:tabs>
        <w:ind w:left="1305" w:hanging="570"/>
      </w:pPr>
      <w:rPr>
        <w:rFonts w:hint="default"/>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3">
    <w:nsid w:val="149A0AAE"/>
    <w:multiLevelType w:val="hybridMultilevel"/>
    <w:tmpl w:val="B3160AB0"/>
    <w:lvl w:ilvl="0" w:tplc="BA060590">
      <w:start w:val="1"/>
      <w:numFmt w:val="lowerLetter"/>
      <w:lvlText w:val="%1."/>
      <w:lvlJc w:val="left"/>
      <w:pPr>
        <w:ind w:left="2880" w:hanging="720"/>
      </w:pPr>
      <w:rPr>
        <w:strike w:val="0"/>
        <w:dstrike w:val="0"/>
        <w:u w:val="none"/>
        <w:effect w:val="none"/>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
    <w:nsid w:val="1748589E"/>
    <w:multiLevelType w:val="hybridMultilevel"/>
    <w:tmpl w:val="E3024ACE"/>
    <w:lvl w:ilvl="0" w:tplc="ED0ED99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79D1668"/>
    <w:multiLevelType w:val="hybridMultilevel"/>
    <w:tmpl w:val="D3D89A2A"/>
    <w:lvl w:ilvl="0" w:tplc="BB3A4440">
      <w:start w:val="1"/>
      <w:numFmt w:val="lowerRoman"/>
      <w:lvlText w:val="%1."/>
      <w:lvlJc w:val="left"/>
      <w:pPr>
        <w:ind w:left="2880" w:hanging="72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1F1F2288"/>
    <w:multiLevelType w:val="hybridMultilevel"/>
    <w:tmpl w:val="5A8035C4"/>
    <w:lvl w:ilvl="0" w:tplc="80944138">
      <w:start w:val="1"/>
      <w:numFmt w:val="lowerRoman"/>
      <w:lvlText w:val="%1."/>
      <w:lvlJc w:val="left"/>
      <w:pPr>
        <w:ind w:left="2880" w:hanging="72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284800A2"/>
    <w:multiLevelType w:val="hybridMultilevel"/>
    <w:tmpl w:val="5CCEDC2C"/>
    <w:lvl w:ilvl="0" w:tplc="38709E6E">
      <w:start w:val="1"/>
      <w:numFmt w:val="low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1C76141"/>
    <w:multiLevelType w:val="hybridMultilevel"/>
    <w:tmpl w:val="5BCADC9A"/>
    <w:lvl w:ilvl="0" w:tplc="38709E6E">
      <w:start w:val="1"/>
      <w:numFmt w:val="low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54262C4"/>
    <w:multiLevelType w:val="hybridMultilevel"/>
    <w:tmpl w:val="C504D330"/>
    <w:lvl w:ilvl="0" w:tplc="38709E6E">
      <w:start w:val="1"/>
      <w:numFmt w:val="lowerLetter"/>
      <w:lvlText w:val="%1."/>
      <w:lvlJc w:val="left"/>
      <w:pPr>
        <w:ind w:left="1440" w:hanging="720"/>
      </w:pPr>
      <w:rPr>
        <w:rFonts w:hint="default"/>
        <w:u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F544DA1"/>
    <w:multiLevelType w:val="hybridMultilevel"/>
    <w:tmpl w:val="8826A766"/>
    <w:lvl w:ilvl="0" w:tplc="0DB06830">
      <w:start w:val="1"/>
      <w:numFmt w:val="lowerRoman"/>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2B31FC0"/>
    <w:multiLevelType w:val="hybridMultilevel"/>
    <w:tmpl w:val="95D6B29C"/>
    <w:lvl w:ilvl="0" w:tplc="968873B0">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nsid w:val="4C91135B"/>
    <w:multiLevelType w:val="hybridMultilevel"/>
    <w:tmpl w:val="651AF5EC"/>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3">
    <w:nsid w:val="4FC27AAC"/>
    <w:multiLevelType w:val="hybridMultilevel"/>
    <w:tmpl w:val="FE2C7008"/>
    <w:lvl w:ilvl="0" w:tplc="BAB07DF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52A43781"/>
    <w:multiLevelType w:val="hybridMultilevel"/>
    <w:tmpl w:val="325662E4"/>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5">
    <w:nsid w:val="5548776C"/>
    <w:multiLevelType w:val="hybridMultilevel"/>
    <w:tmpl w:val="55D2E7FC"/>
    <w:lvl w:ilvl="0" w:tplc="9D7C08D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57F33FD"/>
    <w:multiLevelType w:val="hybridMultilevel"/>
    <w:tmpl w:val="2C96E108"/>
    <w:lvl w:ilvl="0" w:tplc="D00AA04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645B5312"/>
    <w:multiLevelType w:val="hybridMultilevel"/>
    <w:tmpl w:val="EF984B72"/>
    <w:lvl w:ilvl="0" w:tplc="4D10F6C0">
      <w:start w:val="2"/>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698C6CDD"/>
    <w:multiLevelType w:val="hybridMultilevel"/>
    <w:tmpl w:val="6BE23BF6"/>
    <w:lvl w:ilvl="0" w:tplc="38709E6E">
      <w:start w:val="1"/>
      <w:numFmt w:val="lowerLetter"/>
      <w:lvlText w:val="%1."/>
      <w:lvlJc w:val="left"/>
      <w:pPr>
        <w:ind w:left="1440" w:hanging="720"/>
      </w:pPr>
      <w:rPr>
        <w:rFonts w:hint="default"/>
        <w:u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E8E1514"/>
    <w:multiLevelType w:val="hybridMultilevel"/>
    <w:tmpl w:val="B44E85E2"/>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nsid w:val="749C6596"/>
    <w:multiLevelType w:val="hybridMultilevel"/>
    <w:tmpl w:val="0EBCB37E"/>
    <w:lvl w:ilvl="0" w:tplc="0409001B">
      <w:start w:val="1"/>
      <w:numFmt w:val="lowerRoman"/>
      <w:lvlText w:val="%1."/>
      <w:lvlJc w:val="righ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1">
    <w:nsid w:val="75A17B9B"/>
    <w:multiLevelType w:val="hybridMultilevel"/>
    <w:tmpl w:val="28EE9D98"/>
    <w:lvl w:ilvl="0" w:tplc="56985CE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5"/>
  </w:num>
  <w:num w:numId="2">
    <w:abstractNumId w:val="2"/>
  </w:num>
  <w:num w:numId="3">
    <w:abstractNumId w:val="1"/>
  </w:num>
  <w:num w:numId="4">
    <w:abstractNumId w:val="9"/>
  </w:num>
  <w:num w:numId="5">
    <w:abstractNumId w:val="7"/>
  </w:num>
  <w:num w:numId="6">
    <w:abstractNumId w:val="10"/>
  </w:num>
  <w:num w:numId="7">
    <w:abstractNumId w:val="8"/>
  </w:num>
  <w:num w:numId="8">
    <w:abstractNumId w:val="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9"/>
  </w:num>
  <w:num w:numId="12">
    <w:abstractNumId w:val="5"/>
  </w:num>
  <w:num w:numId="13">
    <w:abstractNumId w:val="14"/>
  </w:num>
  <w:num w:numId="14">
    <w:abstractNumId w:val="13"/>
  </w:num>
  <w:num w:numId="15">
    <w:abstractNumId w:val="16"/>
  </w:num>
  <w:num w:numId="16">
    <w:abstractNumId w:val="4"/>
  </w:num>
  <w:num w:numId="17">
    <w:abstractNumId w:val="12"/>
  </w:num>
  <w:num w:numId="18">
    <w:abstractNumId w:val="11"/>
  </w:num>
  <w:num w:numId="19">
    <w:abstractNumId w:val="20"/>
  </w:num>
  <w:num w:numId="20">
    <w:abstractNumId w:val="21"/>
  </w:num>
  <w:num w:numId="21">
    <w:abstractNumId w:val="6"/>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C07"/>
    <w:rsid w:val="00000682"/>
    <w:rsid w:val="00002252"/>
    <w:rsid w:val="00003342"/>
    <w:rsid w:val="00004895"/>
    <w:rsid w:val="00007C53"/>
    <w:rsid w:val="000107C4"/>
    <w:rsid w:val="000179A0"/>
    <w:rsid w:val="00027B58"/>
    <w:rsid w:val="000310EB"/>
    <w:rsid w:val="000327D6"/>
    <w:rsid w:val="00032A3F"/>
    <w:rsid w:val="00044E71"/>
    <w:rsid w:val="00047106"/>
    <w:rsid w:val="00050A8F"/>
    <w:rsid w:val="00055DEE"/>
    <w:rsid w:val="00057D30"/>
    <w:rsid w:val="000615E1"/>
    <w:rsid w:val="000637CE"/>
    <w:rsid w:val="00071585"/>
    <w:rsid w:val="0007760D"/>
    <w:rsid w:val="000A047A"/>
    <w:rsid w:val="000A4A94"/>
    <w:rsid w:val="000A523F"/>
    <w:rsid w:val="000A6E97"/>
    <w:rsid w:val="000B217E"/>
    <w:rsid w:val="000B4340"/>
    <w:rsid w:val="000B5D45"/>
    <w:rsid w:val="000C33FB"/>
    <w:rsid w:val="000C6658"/>
    <w:rsid w:val="000C697C"/>
    <w:rsid w:val="000D1560"/>
    <w:rsid w:val="000D715C"/>
    <w:rsid w:val="000E065D"/>
    <w:rsid w:val="000E20B9"/>
    <w:rsid w:val="000E4781"/>
    <w:rsid w:val="000E4E9A"/>
    <w:rsid w:val="000E7989"/>
    <w:rsid w:val="000F0DF1"/>
    <w:rsid w:val="000F6DB4"/>
    <w:rsid w:val="00103027"/>
    <w:rsid w:val="001042D8"/>
    <w:rsid w:val="00104B26"/>
    <w:rsid w:val="00106E3C"/>
    <w:rsid w:val="0011284E"/>
    <w:rsid w:val="00116DAA"/>
    <w:rsid w:val="001172A2"/>
    <w:rsid w:val="00120642"/>
    <w:rsid w:val="001267E6"/>
    <w:rsid w:val="00127756"/>
    <w:rsid w:val="001323DD"/>
    <w:rsid w:val="0013351B"/>
    <w:rsid w:val="00133B34"/>
    <w:rsid w:val="0014001C"/>
    <w:rsid w:val="00140234"/>
    <w:rsid w:val="0014041E"/>
    <w:rsid w:val="001500A9"/>
    <w:rsid w:val="001529EB"/>
    <w:rsid w:val="00153180"/>
    <w:rsid w:val="001535EE"/>
    <w:rsid w:val="00157E9E"/>
    <w:rsid w:val="0016284C"/>
    <w:rsid w:val="00167C65"/>
    <w:rsid w:val="00170465"/>
    <w:rsid w:val="00173468"/>
    <w:rsid w:val="00177163"/>
    <w:rsid w:val="00177C60"/>
    <w:rsid w:val="00183CDC"/>
    <w:rsid w:val="00190B59"/>
    <w:rsid w:val="00191ECA"/>
    <w:rsid w:val="001B67A3"/>
    <w:rsid w:val="001C0BD8"/>
    <w:rsid w:val="001C37EE"/>
    <w:rsid w:val="001D1E1D"/>
    <w:rsid w:val="001D3938"/>
    <w:rsid w:val="001E4690"/>
    <w:rsid w:val="001F0666"/>
    <w:rsid w:val="001F17BF"/>
    <w:rsid w:val="001F203C"/>
    <w:rsid w:val="001F27B8"/>
    <w:rsid w:val="001F2F83"/>
    <w:rsid w:val="001F33AC"/>
    <w:rsid w:val="001F42B9"/>
    <w:rsid w:val="001F7BFB"/>
    <w:rsid w:val="00204E0C"/>
    <w:rsid w:val="00205469"/>
    <w:rsid w:val="0023521D"/>
    <w:rsid w:val="002369F5"/>
    <w:rsid w:val="0024202D"/>
    <w:rsid w:val="0024237A"/>
    <w:rsid w:val="002429CE"/>
    <w:rsid w:val="002511DF"/>
    <w:rsid w:val="00252F01"/>
    <w:rsid w:val="00257A83"/>
    <w:rsid w:val="00257BA2"/>
    <w:rsid w:val="002601DF"/>
    <w:rsid w:val="002603F8"/>
    <w:rsid w:val="00262F6F"/>
    <w:rsid w:val="00264025"/>
    <w:rsid w:val="00264924"/>
    <w:rsid w:val="00264A69"/>
    <w:rsid w:val="0026558D"/>
    <w:rsid w:val="00267EF4"/>
    <w:rsid w:val="0027159D"/>
    <w:rsid w:val="00271F26"/>
    <w:rsid w:val="00274E9A"/>
    <w:rsid w:val="00275C72"/>
    <w:rsid w:val="002862FC"/>
    <w:rsid w:val="00286B62"/>
    <w:rsid w:val="00290391"/>
    <w:rsid w:val="00293988"/>
    <w:rsid w:val="00296BA9"/>
    <w:rsid w:val="002A4DA7"/>
    <w:rsid w:val="002A5127"/>
    <w:rsid w:val="002A5EB5"/>
    <w:rsid w:val="002B6105"/>
    <w:rsid w:val="002B6857"/>
    <w:rsid w:val="002C400B"/>
    <w:rsid w:val="002D0156"/>
    <w:rsid w:val="002D02A5"/>
    <w:rsid w:val="002D21BD"/>
    <w:rsid w:val="002D2A2D"/>
    <w:rsid w:val="002D30DD"/>
    <w:rsid w:val="002D5108"/>
    <w:rsid w:val="002D6D44"/>
    <w:rsid w:val="002E3E85"/>
    <w:rsid w:val="002E4A5A"/>
    <w:rsid w:val="002E63CA"/>
    <w:rsid w:val="002F2732"/>
    <w:rsid w:val="002F4651"/>
    <w:rsid w:val="002F77F9"/>
    <w:rsid w:val="00300165"/>
    <w:rsid w:val="0030276D"/>
    <w:rsid w:val="0030750A"/>
    <w:rsid w:val="0031174C"/>
    <w:rsid w:val="00312F06"/>
    <w:rsid w:val="00316848"/>
    <w:rsid w:val="0032599E"/>
    <w:rsid w:val="00325A9E"/>
    <w:rsid w:val="00331EE3"/>
    <w:rsid w:val="00344553"/>
    <w:rsid w:val="003512B3"/>
    <w:rsid w:val="00360EEE"/>
    <w:rsid w:val="00361762"/>
    <w:rsid w:val="003625C3"/>
    <w:rsid w:val="00363A9B"/>
    <w:rsid w:val="003803DA"/>
    <w:rsid w:val="00385046"/>
    <w:rsid w:val="0039001A"/>
    <w:rsid w:val="00392B6F"/>
    <w:rsid w:val="003932C8"/>
    <w:rsid w:val="00393A01"/>
    <w:rsid w:val="00395794"/>
    <w:rsid w:val="003A0623"/>
    <w:rsid w:val="003A2252"/>
    <w:rsid w:val="003A2726"/>
    <w:rsid w:val="003A5254"/>
    <w:rsid w:val="003B3373"/>
    <w:rsid w:val="003C1A47"/>
    <w:rsid w:val="003C5DC6"/>
    <w:rsid w:val="003D3B1D"/>
    <w:rsid w:val="003E1B7C"/>
    <w:rsid w:val="003E5AD0"/>
    <w:rsid w:val="003E6FD0"/>
    <w:rsid w:val="00414D16"/>
    <w:rsid w:val="0041582C"/>
    <w:rsid w:val="004219EE"/>
    <w:rsid w:val="00424051"/>
    <w:rsid w:val="0042775C"/>
    <w:rsid w:val="00436151"/>
    <w:rsid w:val="00440448"/>
    <w:rsid w:val="00441A91"/>
    <w:rsid w:val="004451F5"/>
    <w:rsid w:val="0044575A"/>
    <w:rsid w:val="0045187C"/>
    <w:rsid w:val="00453E59"/>
    <w:rsid w:val="00460189"/>
    <w:rsid w:val="00460BA2"/>
    <w:rsid w:val="004713FA"/>
    <w:rsid w:val="004759D6"/>
    <w:rsid w:val="0047713E"/>
    <w:rsid w:val="004814E4"/>
    <w:rsid w:val="004857C6"/>
    <w:rsid w:val="00485E65"/>
    <w:rsid w:val="004869CB"/>
    <w:rsid w:val="00491DC5"/>
    <w:rsid w:val="004931BF"/>
    <w:rsid w:val="00493855"/>
    <w:rsid w:val="00494830"/>
    <w:rsid w:val="00497E0F"/>
    <w:rsid w:val="004A066F"/>
    <w:rsid w:val="004A1C5A"/>
    <w:rsid w:val="004A5CC2"/>
    <w:rsid w:val="004A6BAB"/>
    <w:rsid w:val="004B149C"/>
    <w:rsid w:val="004B3B8B"/>
    <w:rsid w:val="004B468F"/>
    <w:rsid w:val="004C739D"/>
    <w:rsid w:val="004D2130"/>
    <w:rsid w:val="004D645C"/>
    <w:rsid w:val="004D792B"/>
    <w:rsid w:val="004D7AB5"/>
    <w:rsid w:val="004E4186"/>
    <w:rsid w:val="004F171A"/>
    <w:rsid w:val="004F575B"/>
    <w:rsid w:val="004F59B0"/>
    <w:rsid w:val="00501DBA"/>
    <w:rsid w:val="005118C0"/>
    <w:rsid w:val="0051468E"/>
    <w:rsid w:val="00515960"/>
    <w:rsid w:val="00517F86"/>
    <w:rsid w:val="0052196F"/>
    <w:rsid w:val="00525476"/>
    <w:rsid w:val="0053069D"/>
    <w:rsid w:val="00536B2F"/>
    <w:rsid w:val="00536CBA"/>
    <w:rsid w:val="005437B3"/>
    <w:rsid w:val="00543EC7"/>
    <w:rsid w:val="00544C1D"/>
    <w:rsid w:val="005452EF"/>
    <w:rsid w:val="00546251"/>
    <w:rsid w:val="00551BAD"/>
    <w:rsid w:val="005579B8"/>
    <w:rsid w:val="00562A44"/>
    <w:rsid w:val="00566BAA"/>
    <w:rsid w:val="00567024"/>
    <w:rsid w:val="00572811"/>
    <w:rsid w:val="0057316C"/>
    <w:rsid w:val="005742FD"/>
    <w:rsid w:val="00575604"/>
    <w:rsid w:val="00577EB8"/>
    <w:rsid w:val="00584E74"/>
    <w:rsid w:val="005872BB"/>
    <w:rsid w:val="00594888"/>
    <w:rsid w:val="005A093D"/>
    <w:rsid w:val="005A1133"/>
    <w:rsid w:val="005A431E"/>
    <w:rsid w:val="005B4568"/>
    <w:rsid w:val="005B75B3"/>
    <w:rsid w:val="005B7A9B"/>
    <w:rsid w:val="005C028E"/>
    <w:rsid w:val="005C0866"/>
    <w:rsid w:val="005C2C82"/>
    <w:rsid w:val="005D0B37"/>
    <w:rsid w:val="005D2BB0"/>
    <w:rsid w:val="005D718D"/>
    <w:rsid w:val="005F0F00"/>
    <w:rsid w:val="005F19D6"/>
    <w:rsid w:val="005F3491"/>
    <w:rsid w:val="005F7224"/>
    <w:rsid w:val="00603439"/>
    <w:rsid w:val="0060504E"/>
    <w:rsid w:val="006107FC"/>
    <w:rsid w:val="00611879"/>
    <w:rsid w:val="0061277D"/>
    <w:rsid w:val="00612D3E"/>
    <w:rsid w:val="00624069"/>
    <w:rsid w:val="006259E1"/>
    <w:rsid w:val="00632B29"/>
    <w:rsid w:val="00633CFD"/>
    <w:rsid w:val="006369CD"/>
    <w:rsid w:val="00636C07"/>
    <w:rsid w:val="00637F44"/>
    <w:rsid w:val="0064323F"/>
    <w:rsid w:val="006466C8"/>
    <w:rsid w:val="00653C11"/>
    <w:rsid w:val="0065571E"/>
    <w:rsid w:val="00660064"/>
    <w:rsid w:val="00661135"/>
    <w:rsid w:val="006612BF"/>
    <w:rsid w:val="00665F0B"/>
    <w:rsid w:val="006712AC"/>
    <w:rsid w:val="006715BD"/>
    <w:rsid w:val="00672F39"/>
    <w:rsid w:val="0068225C"/>
    <w:rsid w:val="0068308F"/>
    <w:rsid w:val="00684BDE"/>
    <w:rsid w:val="00695FCA"/>
    <w:rsid w:val="00697609"/>
    <w:rsid w:val="006A4FE1"/>
    <w:rsid w:val="006B12D8"/>
    <w:rsid w:val="006B40B4"/>
    <w:rsid w:val="006B6683"/>
    <w:rsid w:val="006B71C7"/>
    <w:rsid w:val="006B78C5"/>
    <w:rsid w:val="006C14F9"/>
    <w:rsid w:val="006C3237"/>
    <w:rsid w:val="006D03C6"/>
    <w:rsid w:val="006D26FF"/>
    <w:rsid w:val="006D2FDF"/>
    <w:rsid w:val="006D3A9A"/>
    <w:rsid w:val="006D45E5"/>
    <w:rsid w:val="006D4D6B"/>
    <w:rsid w:val="006D58F8"/>
    <w:rsid w:val="006D5C85"/>
    <w:rsid w:val="006D74FA"/>
    <w:rsid w:val="006E2895"/>
    <w:rsid w:val="006E3DE1"/>
    <w:rsid w:val="006F2E1B"/>
    <w:rsid w:val="00706C4E"/>
    <w:rsid w:val="0070741A"/>
    <w:rsid w:val="00711CA3"/>
    <w:rsid w:val="0071517F"/>
    <w:rsid w:val="00727AC5"/>
    <w:rsid w:val="007355FB"/>
    <w:rsid w:val="0073567A"/>
    <w:rsid w:val="00736A92"/>
    <w:rsid w:val="007440EB"/>
    <w:rsid w:val="0074427D"/>
    <w:rsid w:val="007451E0"/>
    <w:rsid w:val="007459AA"/>
    <w:rsid w:val="00750CC2"/>
    <w:rsid w:val="00752248"/>
    <w:rsid w:val="00756D27"/>
    <w:rsid w:val="00760452"/>
    <w:rsid w:val="007619BD"/>
    <w:rsid w:val="00767CB0"/>
    <w:rsid w:val="00773A7E"/>
    <w:rsid w:val="00776BA9"/>
    <w:rsid w:val="0078511C"/>
    <w:rsid w:val="00791E45"/>
    <w:rsid w:val="00792E9A"/>
    <w:rsid w:val="007933AC"/>
    <w:rsid w:val="00793E1A"/>
    <w:rsid w:val="007967CC"/>
    <w:rsid w:val="00797FDE"/>
    <w:rsid w:val="007A1C30"/>
    <w:rsid w:val="007A3960"/>
    <w:rsid w:val="007B0A52"/>
    <w:rsid w:val="007B262F"/>
    <w:rsid w:val="007B4A0D"/>
    <w:rsid w:val="007C139E"/>
    <w:rsid w:val="007C4DDF"/>
    <w:rsid w:val="007C5164"/>
    <w:rsid w:val="007D0D84"/>
    <w:rsid w:val="007D561B"/>
    <w:rsid w:val="007D5B78"/>
    <w:rsid w:val="007D6C62"/>
    <w:rsid w:val="007D7B1D"/>
    <w:rsid w:val="007E6956"/>
    <w:rsid w:val="007F1CF5"/>
    <w:rsid w:val="007F2C35"/>
    <w:rsid w:val="007F6099"/>
    <w:rsid w:val="007F6DD0"/>
    <w:rsid w:val="00800040"/>
    <w:rsid w:val="00814592"/>
    <w:rsid w:val="00821190"/>
    <w:rsid w:val="00821D8A"/>
    <w:rsid w:val="00822045"/>
    <w:rsid w:val="00833603"/>
    <w:rsid w:val="00840449"/>
    <w:rsid w:val="00843880"/>
    <w:rsid w:val="0085154A"/>
    <w:rsid w:val="0085251B"/>
    <w:rsid w:val="00853284"/>
    <w:rsid w:val="00853FF6"/>
    <w:rsid w:val="00860ABE"/>
    <w:rsid w:val="00860BF5"/>
    <w:rsid w:val="0086538A"/>
    <w:rsid w:val="00865FEB"/>
    <w:rsid w:val="00870E9F"/>
    <w:rsid w:val="00871206"/>
    <w:rsid w:val="00876348"/>
    <w:rsid w:val="00885369"/>
    <w:rsid w:val="00886D93"/>
    <w:rsid w:val="008919B9"/>
    <w:rsid w:val="008924AE"/>
    <w:rsid w:val="008A0571"/>
    <w:rsid w:val="008A081B"/>
    <w:rsid w:val="008A2EAA"/>
    <w:rsid w:val="008A4AD4"/>
    <w:rsid w:val="008A4F78"/>
    <w:rsid w:val="008A6837"/>
    <w:rsid w:val="008A73B4"/>
    <w:rsid w:val="008B2A75"/>
    <w:rsid w:val="008B45D8"/>
    <w:rsid w:val="008B6868"/>
    <w:rsid w:val="008C1C61"/>
    <w:rsid w:val="008C2677"/>
    <w:rsid w:val="008C7CC2"/>
    <w:rsid w:val="008D0618"/>
    <w:rsid w:val="008D1152"/>
    <w:rsid w:val="008D6442"/>
    <w:rsid w:val="008E26BF"/>
    <w:rsid w:val="008F06E6"/>
    <w:rsid w:val="008F0C76"/>
    <w:rsid w:val="008F0EFF"/>
    <w:rsid w:val="008F2266"/>
    <w:rsid w:val="00900CC3"/>
    <w:rsid w:val="00900E39"/>
    <w:rsid w:val="00902A85"/>
    <w:rsid w:val="009072C0"/>
    <w:rsid w:val="0091295D"/>
    <w:rsid w:val="00913C80"/>
    <w:rsid w:val="00917A4C"/>
    <w:rsid w:val="0092170B"/>
    <w:rsid w:val="00921B06"/>
    <w:rsid w:val="00923D38"/>
    <w:rsid w:val="0092508B"/>
    <w:rsid w:val="009308E8"/>
    <w:rsid w:val="00930959"/>
    <w:rsid w:val="00931498"/>
    <w:rsid w:val="00931657"/>
    <w:rsid w:val="009326E4"/>
    <w:rsid w:val="00932F2D"/>
    <w:rsid w:val="009361F5"/>
    <w:rsid w:val="0093697E"/>
    <w:rsid w:val="00945867"/>
    <w:rsid w:val="00947499"/>
    <w:rsid w:val="00956B69"/>
    <w:rsid w:val="009602EC"/>
    <w:rsid w:val="00962591"/>
    <w:rsid w:val="00964299"/>
    <w:rsid w:val="00965BAB"/>
    <w:rsid w:val="00966444"/>
    <w:rsid w:val="00971138"/>
    <w:rsid w:val="00972EB8"/>
    <w:rsid w:val="00973407"/>
    <w:rsid w:val="0097376E"/>
    <w:rsid w:val="00974289"/>
    <w:rsid w:val="0097618E"/>
    <w:rsid w:val="009769D8"/>
    <w:rsid w:val="009855EA"/>
    <w:rsid w:val="00994E20"/>
    <w:rsid w:val="009A0804"/>
    <w:rsid w:val="009A0B84"/>
    <w:rsid w:val="009A7EA0"/>
    <w:rsid w:val="009B1BFE"/>
    <w:rsid w:val="009B6E8A"/>
    <w:rsid w:val="009C061F"/>
    <w:rsid w:val="009D6986"/>
    <w:rsid w:val="009F18ED"/>
    <w:rsid w:val="009F410B"/>
    <w:rsid w:val="009F632C"/>
    <w:rsid w:val="00A0398B"/>
    <w:rsid w:val="00A07294"/>
    <w:rsid w:val="00A10746"/>
    <w:rsid w:val="00A136E4"/>
    <w:rsid w:val="00A15313"/>
    <w:rsid w:val="00A2145C"/>
    <w:rsid w:val="00A21FF6"/>
    <w:rsid w:val="00A259C9"/>
    <w:rsid w:val="00A31619"/>
    <w:rsid w:val="00A316D0"/>
    <w:rsid w:val="00A34BFD"/>
    <w:rsid w:val="00A3519A"/>
    <w:rsid w:val="00A37842"/>
    <w:rsid w:val="00A378FF"/>
    <w:rsid w:val="00A37D38"/>
    <w:rsid w:val="00A40C25"/>
    <w:rsid w:val="00A410E2"/>
    <w:rsid w:val="00A45A34"/>
    <w:rsid w:val="00A479EE"/>
    <w:rsid w:val="00A54120"/>
    <w:rsid w:val="00A70173"/>
    <w:rsid w:val="00A73674"/>
    <w:rsid w:val="00A73B71"/>
    <w:rsid w:val="00A80C32"/>
    <w:rsid w:val="00A82202"/>
    <w:rsid w:val="00A86AE0"/>
    <w:rsid w:val="00A9059C"/>
    <w:rsid w:val="00A919FC"/>
    <w:rsid w:val="00A94643"/>
    <w:rsid w:val="00AA1A2B"/>
    <w:rsid w:val="00AA3EF2"/>
    <w:rsid w:val="00AA6049"/>
    <w:rsid w:val="00AB1917"/>
    <w:rsid w:val="00AB3EBF"/>
    <w:rsid w:val="00AC7F0D"/>
    <w:rsid w:val="00AD159C"/>
    <w:rsid w:val="00AE16E9"/>
    <w:rsid w:val="00AE465F"/>
    <w:rsid w:val="00AE7E0C"/>
    <w:rsid w:val="00AE7FB9"/>
    <w:rsid w:val="00AF63D5"/>
    <w:rsid w:val="00AF7963"/>
    <w:rsid w:val="00B066F5"/>
    <w:rsid w:val="00B06D73"/>
    <w:rsid w:val="00B07C2D"/>
    <w:rsid w:val="00B14B37"/>
    <w:rsid w:val="00B2786F"/>
    <w:rsid w:val="00B3104B"/>
    <w:rsid w:val="00B33D3E"/>
    <w:rsid w:val="00B3432B"/>
    <w:rsid w:val="00B364D8"/>
    <w:rsid w:val="00B36A00"/>
    <w:rsid w:val="00B41891"/>
    <w:rsid w:val="00B41B0D"/>
    <w:rsid w:val="00B45376"/>
    <w:rsid w:val="00B5197F"/>
    <w:rsid w:val="00B51E0F"/>
    <w:rsid w:val="00B53E0A"/>
    <w:rsid w:val="00B551BD"/>
    <w:rsid w:val="00B62035"/>
    <w:rsid w:val="00B67B58"/>
    <w:rsid w:val="00B7051E"/>
    <w:rsid w:val="00B72572"/>
    <w:rsid w:val="00B73AD5"/>
    <w:rsid w:val="00B82BD7"/>
    <w:rsid w:val="00B90134"/>
    <w:rsid w:val="00B91332"/>
    <w:rsid w:val="00B9320E"/>
    <w:rsid w:val="00B96A65"/>
    <w:rsid w:val="00B97CDE"/>
    <w:rsid w:val="00BA0B49"/>
    <w:rsid w:val="00BA105C"/>
    <w:rsid w:val="00BA1524"/>
    <w:rsid w:val="00BA2FF4"/>
    <w:rsid w:val="00BB1145"/>
    <w:rsid w:val="00BB5A04"/>
    <w:rsid w:val="00BB6916"/>
    <w:rsid w:val="00BB7B0C"/>
    <w:rsid w:val="00BC0B8C"/>
    <w:rsid w:val="00BC1BC3"/>
    <w:rsid w:val="00BC2531"/>
    <w:rsid w:val="00BD260F"/>
    <w:rsid w:val="00BD31E7"/>
    <w:rsid w:val="00BE4729"/>
    <w:rsid w:val="00BE51F0"/>
    <w:rsid w:val="00BE7B85"/>
    <w:rsid w:val="00BF018D"/>
    <w:rsid w:val="00BF0F37"/>
    <w:rsid w:val="00BF1D8B"/>
    <w:rsid w:val="00BF3F10"/>
    <w:rsid w:val="00BF445B"/>
    <w:rsid w:val="00C0235F"/>
    <w:rsid w:val="00C0240B"/>
    <w:rsid w:val="00C02F28"/>
    <w:rsid w:val="00C048FB"/>
    <w:rsid w:val="00C07F1F"/>
    <w:rsid w:val="00C1121C"/>
    <w:rsid w:val="00C129FA"/>
    <w:rsid w:val="00C17946"/>
    <w:rsid w:val="00C268B2"/>
    <w:rsid w:val="00C35801"/>
    <w:rsid w:val="00C35849"/>
    <w:rsid w:val="00C40D65"/>
    <w:rsid w:val="00C44713"/>
    <w:rsid w:val="00C46195"/>
    <w:rsid w:val="00C46207"/>
    <w:rsid w:val="00C46FD4"/>
    <w:rsid w:val="00C47A50"/>
    <w:rsid w:val="00C5010C"/>
    <w:rsid w:val="00C505E9"/>
    <w:rsid w:val="00C5401B"/>
    <w:rsid w:val="00C54DEF"/>
    <w:rsid w:val="00C671D9"/>
    <w:rsid w:val="00C6728A"/>
    <w:rsid w:val="00C71A69"/>
    <w:rsid w:val="00C80F67"/>
    <w:rsid w:val="00C840D0"/>
    <w:rsid w:val="00C903CE"/>
    <w:rsid w:val="00C90A61"/>
    <w:rsid w:val="00C92C91"/>
    <w:rsid w:val="00C94463"/>
    <w:rsid w:val="00C95CE2"/>
    <w:rsid w:val="00C97689"/>
    <w:rsid w:val="00CA1301"/>
    <w:rsid w:val="00CA2963"/>
    <w:rsid w:val="00CB217D"/>
    <w:rsid w:val="00CB30AD"/>
    <w:rsid w:val="00CB352F"/>
    <w:rsid w:val="00CB5127"/>
    <w:rsid w:val="00CC0BE2"/>
    <w:rsid w:val="00CC0EDC"/>
    <w:rsid w:val="00CC1F5E"/>
    <w:rsid w:val="00CC22F7"/>
    <w:rsid w:val="00CC2B3E"/>
    <w:rsid w:val="00CC491B"/>
    <w:rsid w:val="00CD01FC"/>
    <w:rsid w:val="00CD3D21"/>
    <w:rsid w:val="00CE0B14"/>
    <w:rsid w:val="00CF25C7"/>
    <w:rsid w:val="00CF50BA"/>
    <w:rsid w:val="00D01CD3"/>
    <w:rsid w:val="00D22E07"/>
    <w:rsid w:val="00D2471D"/>
    <w:rsid w:val="00D27007"/>
    <w:rsid w:val="00D32D88"/>
    <w:rsid w:val="00D32E67"/>
    <w:rsid w:val="00D3472F"/>
    <w:rsid w:val="00D512E3"/>
    <w:rsid w:val="00D54C34"/>
    <w:rsid w:val="00D54CFD"/>
    <w:rsid w:val="00D560F3"/>
    <w:rsid w:val="00D60CA9"/>
    <w:rsid w:val="00D60FCB"/>
    <w:rsid w:val="00D677F5"/>
    <w:rsid w:val="00D6792C"/>
    <w:rsid w:val="00D67F0D"/>
    <w:rsid w:val="00D703EA"/>
    <w:rsid w:val="00D72567"/>
    <w:rsid w:val="00D75BB2"/>
    <w:rsid w:val="00D75BBA"/>
    <w:rsid w:val="00D75C50"/>
    <w:rsid w:val="00D75DD1"/>
    <w:rsid w:val="00D805D0"/>
    <w:rsid w:val="00D834C8"/>
    <w:rsid w:val="00D910B2"/>
    <w:rsid w:val="00D94DBE"/>
    <w:rsid w:val="00D94E01"/>
    <w:rsid w:val="00D95E5E"/>
    <w:rsid w:val="00D9781D"/>
    <w:rsid w:val="00DA6BE7"/>
    <w:rsid w:val="00DC2127"/>
    <w:rsid w:val="00DC257D"/>
    <w:rsid w:val="00DC74F5"/>
    <w:rsid w:val="00DD115E"/>
    <w:rsid w:val="00DD18BA"/>
    <w:rsid w:val="00DD76F2"/>
    <w:rsid w:val="00DE0BED"/>
    <w:rsid w:val="00DE0D47"/>
    <w:rsid w:val="00DE18E0"/>
    <w:rsid w:val="00DE5648"/>
    <w:rsid w:val="00DE7B3D"/>
    <w:rsid w:val="00DF5987"/>
    <w:rsid w:val="00DF6A78"/>
    <w:rsid w:val="00E00611"/>
    <w:rsid w:val="00E01A2F"/>
    <w:rsid w:val="00E056E0"/>
    <w:rsid w:val="00E05BFA"/>
    <w:rsid w:val="00E065D6"/>
    <w:rsid w:val="00E13D16"/>
    <w:rsid w:val="00E141D6"/>
    <w:rsid w:val="00E14247"/>
    <w:rsid w:val="00E14B5A"/>
    <w:rsid w:val="00E157B2"/>
    <w:rsid w:val="00E16530"/>
    <w:rsid w:val="00E21FC9"/>
    <w:rsid w:val="00E232A4"/>
    <w:rsid w:val="00E31CCD"/>
    <w:rsid w:val="00E321F2"/>
    <w:rsid w:val="00E4044C"/>
    <w:rsid w:val="00E40C58"/>
    <w:rsid w:val="00E416E4"/>
    <w:rsid w:val="00E41D7E"/>
    <w:rsid w:val="00E42BC0"/>
    <w:rsid w:val="00E442E8"/>
    <w:rsid w:val="00E52FD6"/>
    <w:rsid w:val="00E53818"/>
    <w:rsid w:val="00E553DC"/>
    <w:rsid w:val="00E564F5"/>
    <w:rsid w:val="00E727E5"/>
    <w:rsid w:val="00E768B5"/>
    <w:rsid w:val="00E82926"/>
    <w:rsid w:val="00E82B85"/>
    <w:rsid w:val="00E85880"/>
    <w:rsid w:val="00E90F91"/>
    <w:rsid w:val="00E95705"/>
    <w:rsid w:val="00EA728F"/>
    <w:rsid w:val="00EB0FF3"/>
    <w:rsid w:val="00EB134B"/>
    <w:rsid w:val="00EC61CF"/>
    <w:rsid w:val="00ED2F85"/>
    <w:rsid w:val="00ED52D8"/>
    <w:rsid w:val="00ED56D8"/>
    <w:rsid w:val="00EE7BD6"/>
    <w:rsid w:val="00EF51CE"/>
    <w:rsid w:val="00EF75B4"/>
    <w:rsid w:val="00F0217D"/>
    <w:rsid w:val="00F05042"/>
    <w:rsid w:val="00F05B9D"/>
    <w:rsid w:val="00F156C5"/>
    <w:rsid w:val="00F16105"/>
    <w:rsid w:val="00F20F4F"/>
    <w:rsid w:val="00F247B6"/>
    <w:rsid w:val="00F31466"/>
    <w:rsid w:val="00F32EAE"/>
    <w:rsid w:val="00F33FAF"/>
    <w:rsid w:val="00F45861"/>
    <w:rsid w:val="00F46F59"/>
    <w:rsid w:val="00F55F53"/>
    <w:rsid w:val="00F653AF"/>
    <w:rsid w:val="00F7297C"/>
    <w:rsid w:val="00F744B2"/>
    <w:rsid w:val="00F75988"/>
    <w:rsid w:val="00F778DB"/>
    <w:rsid w:val="00F81469"/>
    <w:rsid w:val="00F8460D"/>
    <w:rsid w:val="00F905A9"/>
    <w:rsid w:val="00F946F5"/>
    <w:rsid w:val="00F961AB"/>
    <w:rsid w:val="00FA3CA2"/>
    <w:rsid w:val="00FA513F"/>
    <w:rsid w:val="00FA562D"/>
    <w:rsid w:val="00FA64DB"/>
    <w:rsid w:val="00FA6E31"/>
    <w:rsid w:val="00FA742E"/>
    <w:rsid w:val="00FB7F80"/>
    <w:rsid w:val="00FC2AEC"/>
    <w:rsid w:val="00FC7D11"/>
    <w:rsid w:val="00FD0B37"/>
    <w:rsid w:val="00FD0DE4"/>
    <w:rsid w:val="00FD14F5"/>
    <w:rsid w:val="00FD1BC1"/>
    <w:rsid w:val="00FD31F3"/>
    <w:rsid w:val="00FD5A82"/>
    <w:rsid w:val="00FE01A9"/>
    <w:rsid w:val="00FE0AE5"/>
    <w:rsid w:val="00FE0EA2"/>
    <w:rsid w:val="00FE143C"/>
    <w:rsid w:val="00FE547B"/>
    <w:rsid w:val="00FE603A"/>
    <w:rsid w:val="00FE605C"/>
    <w:rsid w:val="00FF32D0"/>
    <w:rsid w:val="00FF3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047A"/>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0A047A"/>
    <w:pPr>
      <w:keepNext/>
      <w:tabs>
        <w:tab w:val="left" w:pos="-720"/>
      </w:tabs>
      <w:suppressAutoHyphens/>
      <w:spacing w:line="480" w:lineRule="atLeast"/>
      <w:outlineLvl w:val="0"/>
    </w:pPr>
    <w:rPr>
      <w:b/>
      <w:bCs/>
    </w:rPr>
  </w:style>
  <w:style w:type="paragraph" w:styleId="Heading3">
    <w:name w:val="heading 3"/>
    <w:basedOn w:val="Normal"/>
    <w:next w:val="Normal"/>
    <w:link w:val="Heading3Char"/>
    <w:semiHidden/>
    <w:unhideWhenUsed/>
    <w:qFormat/>
    <w:rsid w:val="00921B0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A047A"/>
    <w:rPr>
      <w:sz w:val="20"/>
    </w:rPr>
  </w:style>
  <w:style w:type="character" w:styleId="EndnoteReference">
    <w:name w:val="endnote reference"/>
    <w:basedOn w:val="DefaultParagraphFont"/>
    <w:semiHidden/>
    <w:rsid w:val="000A047A"/>
    <w:rPr>
      <w:rFonts w:ascii="Courier" w:hAnsi="Courier"/>
      <w:sz w:val="24"/>
      <w:szCs w:val="24"/>
      <w:vertAlign w:val="superscript"/>
      <w:lang w:val="en-US"/>
    </w:rPr>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qFormat/>
    <w:rsid w:val="00E05BFA"/>
    <w:pPr>
      <w:tabs>
        <w:tab w:val="left" w:pos="-720"/>
      </w:tabs>
      <w:suppressAutoHyphens/>
      <w:spacing w:line="240" w:lineRule="atLeast"/>
    </w:pPr>
    <w:rPr>
      <w:rFonts w:ascii="Times New Roman" w:hAnsi="Times New Roman"/>
      <w:szCs w:val="20"/>
    </w:rPr>
  </w:style>
  <w:style w:type="character" w:styleId="FootnoteReference">
    <w:name w:val="footnote reference"/>
    <w:aliases w:val="fr,Style 19,Style 16,Style 39,Style 14,Style 35,12,Style 6,Footnote Reference Superscript,SUPERS,BVI fnr,Footnote symbol,(Footnote Reference),Footnote reference number,note TESI,EN Footnote Reference,Voetnootverwijzing"/>
    <w:basedOn w:val="DefaultParagraphFont"/>
    <w:uiPriority w:val="99"/>
    <w:qFormat/>
    <w:rsid w:val="000A047A"/>
    <w:rPr>
      <w:rFonts w:ascii="Courier" w:hAnsi="Courier"/>
      <w:sz w:val="24"/>
      <w:szCs w:val="24"/>
      <w:vertAlign w:val="superscript"/>
      <w:lang w:val="en-US"/>
    </w:rPr>
  </w:style>
  <w:style w:type="character" w:customStyle="1" w:styleId="2">
    <w:name w:val="2"/>
    <w:basedOn w:val="DefaultParagraphFont"/>
    <w:rsid w:val="000A047A"/>
    <w:rPr>
      <w:rFonts w:ascii="Courier" w:hAnsi="Courier"/>
      <w:sz w:val="24"/>
      <w:szCs w:val="24"/>
      <w:lang w:val="en-US"/>
    </w:rPr>
  </w:style>
  <w:style w:type="character" w:customStyle="1" w:styleId="Heading">
    <w:name w:val="Heading"/>
    <w:basedOn w:val="DefaultParagraphFont"/>
    <w:rsid w:val="000A047A"/>
  </w:style>
  <w:style w:type="character" w:customStyle="1" w:styleId="RightPar">
    <w:name w:val="Right Par"/>
    <w:basedOn w:val="DefaultParagraphFont"/>
    <w:rsid w:val="000A047A"/>
  </w:style>
  <w:style w:type="character" w:customStyle="1" w:styleId="Bibliogrphy">
    <w:name w:val="Bibliogrphy"/>
    <w:basedOn w:val="DefaultParagraphFont"/>
    <w:rsid w:val="000A047A"/>
  </w:style>
  <w:style w:type="character" w:customStyle="1" w:styleId="Subheading">
    <w:name w:val="Subheading"/>
    <w:basedOn w:val="DefaultParagraphFont"/>
    <w:rsid w:val="000A047A"/>
  </w:style>
  <w:style w:type="character" w:customStyle="1" w:styleId="1">
    <w:name w:val="1"/>
    <w:basedOn w:val="DefaultParagraphFont"/>
    <w:rsid w:val="000A047A"/>
    <w:rPr>
      <w:rFonts w:ascii="Courier" w:hAnsi="Courier"/>
      <w:sz w:val="24"/>
      <w:szCs w:val="24"/>
      <w:lang w:val="en-US"/>
    </w:rPr>
  </w:style>
  <w:style w:type="character" w:customStyle="1" w:styleId="Document8">
    <w:name w:val="Document 8"/>
    <w:basedOn w:val="DefaultParagraphFont"/>
    <w:rsid w:val="000A047A"/>
  </w:style>
  <w:style w:type="character" w:customStyle="1" w:styleId="Document4">
    <w:name w:val="Document 4"/>
    <w:basedOn w:val="DefaultParagraphFont"/>
    <w:rsid w:val="000A047A"/>
    <w:rPr>
      <w:b/>
      <w:bCs/>
      <w:i/>
      <w:iCs/>
      <w:sz w:val="24"/>
      <w:szCs w:val="24"/>
    </w:rPr>
  </w:style>
  <w:style w:type="character" w:customStyle="1" w:styleId="Document6">
    <w:name w:val="Document 6"/>
    <w:basedOn w:val="DefaultParagraphFont"/>
    <w:rsid w:val="000A047A"/>
  </w:style>
  <w:style w:type="character" w:customStyle="1" w:styleId="Document5">
    <w:name w:val="Document 5"/>
    <w:basedOn w:val="DefaultParagraphFont"/>
    <w:rsid w:val="000A047A"/>
  </w:style>
  <w:style w:type="character" w:customStyle="1" w:styleId="Document2">
    <w:name w:val="Document 2"/>
    <w:basedOn w:val="DefaultParagraphFont"/>
    <w:rsid w:val="000A047A"/>
    <w:rPr>
      <w:rFonts w:ascii="Courier" w:hAnsi="Courier"/>
      <w:sz w:val="24"/>
      <w:szCs w:val="24"/>
      <w:lang w:val="en-US"/>
    </w:rPr>
  </w:style>
  <w:style w:type="character" w:customStyle="1" w:styleId="Document7">
    <w:name w:val="Document 7"/>
    <w:basedOn w:val="DefaultParagraphFont"/>
    <w:rsid w:val="000A047A"/>
  </w:style>
  <w:style w:type="character" w:customStyle="1" w:styleId="RightPar1">
    <w:name w:val="Right Par 1"/>
    <w:basedOn w:val="DefaultParagraphFont"/>
    <w:rsid w:val="000A047A"/>
  </w:style>
  <w:style w:type="character" w:customStyle="1" w:styleId="RightPar2">
    <w:name w:val="Right Par 2"/>
    <w:basedOn w:val="DefaultParagraphFont"/>
    <w:rsid w:val="000A047A"/>
  </w:style>
  <w:style w:type="character" w:customStyle="1" w:styleId="Document3">
    <w:name w:val="Document 3"/>
    <w:basedOn w:val="DefaultParagraphFont"/>
    <w:rsid w:val="000A047A"/>
    <w:rPr>
      <w:rFonts w:ascii="Courier" w:hAnsi="Courier"/>
      <w:sz w:val="24"/>
      <w:szCs w:val="24"/>
      <w:lang w:val="en-US"/>
    </w:rPr>
  </w:style>
  <w:style w:type="character" w:customStyle="1" w:styleId="RightPar3">
    <w:name w:val="Right Par 3"/>
    <w:basedOn w:val="DefaultParagraphFont"/>
    <w:rsid w:val="000A047A"/>
  </w:style>
  <w:style w:type="character" w:customStyle="1" w:styleId="RightPar4">
    <w:name w:val="Right Par 4"/>
    <w:basedOn w:val="DefaultParagraphFont"/>
    <w:rsid w:val="000A047A"/>
  </w:style>
  <w:style w:type="character" w:customStyle="1" w:styleId="RightPar5">
    <w:name w:val="Right Par 5"/>
    <w:basedOn w:val="DefaultParagraphFont"/>
    <w:rsid w:val="000A047A"/>
  </w:style>
  <w:style w:type="character" w:customStyle="1" w:styleId="RightPar6">
    <w:name w:val="Right Par 6"/>
    <w:basedOn w:val="DefaultParagraphFont"/>
    <w:rsid w:val="000A047A"/>
  </w:style>
  <w:style w:type="character" w:customStyle="1" w:styleId="RightPar7">
    <w:name w:val="Right Par 7"/>
    <w:basedOn w:val="DefaultParagraphFont"/>
    <w:rsid w:val="000A047A"/>
  </w:style>
  <w:style w:type="character" w:customStyle="1" w:styleId="RightPar8">
    <w:name w:val="Right Par 8"/>
    <w:basedOn w:val="DefaultParagraphFont"/>
    <w:rsid w:val="000A047A"/>
  </w:style>
  <w:style w:type="paragraph" w:customStyle="1" w:styleId="Document1">
    <w:name w:val="Document 1"/>
    <w:rsid w:val="000A047A"/>
    <w:pPr>
      <w:keepNext/>
      <w:keepLines/>
      <w:widowControl w:val="0"/>
      <w:tabs>
        <w:tab w:val="left" w:pos="-720"/>
      </w:tabs>
      <w:suppressAutoHyphens/>
      <w:autoSpaceDE w:val="0"/>
      <w:autoSpaceDN w:val="0"/>
      <w:adjustRightInd w:val="0"/>
      <w:spacing w:line="240" w:lineRule="atLeast"/>
    </w:pPr>
    <w:rPr>
      <w:rFonts w:ascii="Courier" w:hAnsi="Courier"/>
      <w:sz w:val="24"/>
      <w:szCs w:val="24"/>
    </w:rPr>
  </w:style>
  <w:style w:type="character" w:customStyle="1" w:styleId="DocInit">
    <w:name w:val="Doc Init"/>
    <w:basedOn w:val="DefaultParagraphFont"/>
    <w:rsid w:val="000A047A"/>
  </w:style>
  <w:style w:type="character" w:customStyle="1" w:styleId="TechInit">
    <w:name w:val="Tech Init"/>
    <w:basedOn w:val="DefaultParagraphFont"/>
    <w:rsid w:val="000A047A"/>
    <w:rPr>
      <w:rFonts w:ascii="Courier" w:hAnsi="Courier"/>
      <w:sz w:val="24"/>
      <w:szCs w:val="24"/>
      <w:lang w:val="en-US"/>
    </w:rPr>
  </w:style>
  <w:style w:type="character" w:customStyle="1" w:styleId="Technical5">
    <w:name w:val="Technical 5"/>
    <w:basedOn w:val="DefaultParagraphFont"/>
    <w:rsid w:val="000A047A"/>
  </w:style>
  <w:style w:type="character" w:customStyle="1" w:styleId="Technical6">
    <w:name w:val="Technical 6"/>
    <w:basedOn w:val="DefaultParagraphFont"/>
    <w:rsid w:val="000A047A"/>
  </w:style>
  <w:style w:type="character" w:customStyle="1" w:styleId="Technical2">
    <w:name w:val="Technical 2"/>
    <w:basedOn w:val="DefaultParagraphFont"/>
    <w:rsid w:val="000A047A"/>
    <w:rPr>
      <w:rFonts w:ascii="Courier" w:hAnsi="Courier"/>
      <w:sz w:val="24"/>
      <w:szCs w:val="24"/>
      <w:lang w:val="en-US"/>
    </w:rPr>
  </w:style>
  <w:style w:type="character" w:customStyle="1" w:styleId="Technical3">
    <w:name w:val="Technical 3"/>
    <w:basedOn w:val="DefaultParagraphFont"/>
    <w:rsid w:val="000A047A"/>
    <w:rPr>
      <w:rFonts w:ascii="Courier" w:hAnsi="Courier"/>
      <w:sz w:val="24"/>
      <w:szCs w:val="24"/>
      <w:lang w:val="en-US"/>
    </w:rPr>
  </w:style>
  <w:style w:type="character" w:customStyle="1" w:styleId="Technical4">
    <w:name w:val="Technical 4"/>
    <w:basedOn w:val="DefaultParagraphFont"/>
    <w:rsid w:val="000A047A"/>
  </w:style>
  <w:style w:type="character" w:customStyle="1" w:styleId="Technical1">
    <w:name w:val="Technical 1"/>
    <w:basedOn w:val="DefaultParagraphFont"/>
    <w:rsid w:val="000A047A"/>
    <w:rPr>
      <w:rFonts w:ascii="Courier" w:hAnsi="Courier"/>
      <w:sz w:val="24"/>
      <w:szCs w:val="24"/>
      <w:lang w:val="en-US"/>
    </w:rPr>
  </w:style>
  <w:style w:type="character" w:customStyle="1" w:styleId="Technical7">
    <w:name w:val="Technical 7"/>
    <w:basedOn w:val="DefaultParagraphFont"/>
    <w:rsid w:val="000A047A"/>
  </w:style>
  <w:style w:type="character" w:customStyle="1" w:styleId="Technical8">
    <w:name w:val="Technical 8"/>
    <w:basedOn w:val="DefaultParagraphFont"/>
    <w:rsid w:val="000A047A"/>
  </w:style>
  <w:style w:type="paragraph" w:customStyle="1" w:styleId="text">
    <w:name w:val="text"/>
    <w:rsid w:val="000A047A"/>
    <w:pPr>
      <w:widowControl w:val="0"/>
      <w:tabs>
        <w:tab w:val="left" w:pos="-720"/>
      </w:tabs>
      <w:suppressAutoHyphens/>
      <w:autoSpaceDE w:val="0"/>
      <w:autoSpaceDN w:val="0"/>
      <w:adjustRightInd w:val="0"/>
      <w:spacing w:line="240" w:lineRule="atLeast"/>
      <w:jc w:val="both"/>
    </w:pPr>
    <w:rPr>
      <w:rFonts w:ascii="Kino MT" w:hAnsi="Kino MT"/>
      <w:spacing w:val="-3"/>
      <w:sz w:val="24"/>
      <w:szCs w:val="24"/>
    </w:rPr>
  </w:style>
  <w:style w:type="paragraph" w:customStyle="1" w:styleId="footnotes">
    <w:name w:val="footnotes"/>
    <w:rsid w:val="000A047A"/>
    <w:pPr>
      <w:widowControl w:val="0"/>
      <w:tabs>
        <w:tab w:val="left" w:pos="-720"/>
      </w:tabs>
      <w:suppressAutoHyphens/>
      <w:autoSpaceDE w:val="0"/>
      <w:autoSpaceDN w:val="0"/>
      <w:adjustRightInd w:val="0"/>
      <w:spacing w:line="240" w:lineRule="atLeast"/>
      <w:jc w:val="both"/>
    </w:pPr>
    <w:rPr>
      <w:rFonts w:ascii="Arial" w:hAnsi="Arial" w:cs="Arial"/>
      <w:spacing w:val="-2"/>
      <w:sz w:val="16"/>
      <w:szCs w:val="16"/>
    </w:rPr>
  </w:style>
  <w:style w:type="character" w:customStyle="1" w:styleId="DefaultParagraphFo">
    <w:name w:val="Default Paragraph Fo"/>
    <w:basedOn w:val="DefaultParagraphFont"/>
    <w:rsid w:val="000A047A"/>
  </w:style>
  <w:style w:type="character" w:customStyle="1" w:styleId="EquationCaption">
    <w:name w:val="_Equation Caption"/>
    <w:basedOn w:val="DefaultParagraphFont"/>
    <w:rsid w:val="000A047A"/>
  </w:style>
  <w:style w:type="paragraph" w:styleId="Header">
    <w:name w:val="header"/>
    <w:basedOn w:val="Normal"/>
    <w:rsid w:val="000A047A"/>
    <w:pPr>
      <w:tabs>
        <w:tab w:val="left" w:pos="0"/>
        <w:tab w:val="center" w:pos="4320"/>
        <w:tab w:val="right" w:pos="8640"/>
        <w:tab w:val="left" w:pos="9360"/>
      </w:tabs>
      <w:suppressAutoHyphens/>
      <w:spacing w:line="240" w:lineRule="atLeast"/>
    </w:pPr>
  </w:style>
  <w:style w:type="paragraph" w:styleId="Footer">
    <w:name w:val="footer"/>
    <w:basedOn w:val="Normal"/>
    <w:rsid w:val="000A047A"/>
    <w:pPr>
      <w:tabs>
        <w:tab w:val="left" w:pos="0"/>
        <w:tab w:val="center" w:pos="4320"/>
        <w:tab w:val="right" w:pos="8640"/>
        <w:tab w:val="left" w:pos="9360"/>
      </w:tabs>
      <w:suppressAutoHyphens/>
      <w:spacing w:line="240" w:lineRule="atLeast"/>
    </w:pPr>
  </w:style>
  <w:style w:type="character" w:styleId="PageNumber">
    <w:name w:val="page number"/>
    <w:basedOn w:val="DefaultParagraphFont"/>
    <w:rsid w:val="000A047A"/>
  </w:style>
  <w:style w:type="paragraph" w:customStyle="1" w:styleId="item">
    <w:name w:val="item"/>
    <w:rsid w:val="000A047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w:hAnsi="Courier"/>
      <w:spacing w:val="-3"/>
      <w:sz w:val="24"/>
      <w:szCs w:val="24"/>
    </w:rPr>
  </w:style>
  <w:style w:type="character" w:customStyle="1" w:styleId="14B">
    <w:name w:val="14B"/>
    <w:basedOn w:val="DefaultParagraphFont"/>
    <w:rsid w:val="000A047A"/>
    <w:rPr>
      <w:rFonts w:ascii="Footlight MT Light" w:hAnsi="Footlight MT Light"/>
      <w:b/>
      <w:bCs/>
      <w:sz w:val="28"/>
      <w:szCs w:val="28"/>
      <w:lang w:val="en-US"/>
    </w:rPr>
  </w:style>
  <w:style w:type="character" w:customStyle="1" w:styleId="12B">
    <w:name w:val="12B"/>
    <w:basedOn w:val="DefaultParagraphFont"/>
    <w:rsid w:val="000A047A"/>
    <w:rPr>
      <w:rFonts w:ascii="Footlight MT Light" w:hAnsi="Footlight MT Light"/>
      <w:b/>
      <w:bCs/>
      <w:sz w:val="24"/>
      <w:szCs w:val="24"/>
      <w:lang w:val="en-US"/>
    </w:rPr>
  </w:style>
  <w:style w:type="character" w:customStyle="1" w:styleId="18b">
    <w:name w:val="18b"/>
    <w:basedOn w:val="DefaultParagraphFont"/>
    <w:rsid w:val="000A047A"/>
    <w:rPr>
      <w:rFonts w:ascii="Footlight MT Light" w:hAnsi="Footlight MT Light"/>
      <w:b/>
      <w:bCs/>
      <w:sz w:val="36"/>
      <w:szCs w:val="36"/>
      <w:lang w:val="en-US"/>
    </w:rPr>
  </w:style>
  <w:style w:type="character" w:customStyle="1" w:styleId="Unnamed1">
    <w:name w:val="Unnamed 1"/>
    <w:basedOn w:val="DefaultParagraphFont"/>
    <w:rsid w:val="000A047A"/>
    <w:rPr>
      <w:rFonts w:ascii="Courier" w:hAnsi="Courier"/>
      <w:sz w:val="24"/>
      <w:szCs w:val="24"/>
      <w:lang w:val="en-US"/>
    </w:rPr>
  </w:style>
  <w:style w:type="character" w:customStyle="1" w:styleId="3">
    <w:name w:val="3"/>
    <w:basedOn w:val="DefaultParagraphFont"/>
    <w:rsid w:val="000A047A"/>
    <w:rPr>
      <w:rFonts w:ascii="Courier" w:hAnsi="Courier"/>
      <w:sz w:val="24"/>
      <w:szCs w:val="24"/>
      <w:lang w:val="en-US"/>
    </w:rPr>
  </w:style>
  <w:style w:type="paragraph" w:customStyle="1" w:styleId="LETTERS">
    <w:name w:val="LETTERS"/>
    <w:rsid w:val="000A047A"/>
    <w:pPr>
      <w:widowControl w:val="0"/>
      <w:tabs>
        <w:tab w:val="left" w:pos="1440"/>
        <w:tab w:val="left" w:pos="2160"/>
        <w:tab w:val="left" w:pos="2880"/>
        <w:tab w:val="left" w:pos="4608"/>
        <w:tab w:val="right" w:pos="8928"/>
      </w:tabs>
      <w:suppressAutoHyphens/>
      <w:autoSpaceDE w:val="0"/>
      <w:autoSpaceDN w:val="0"/>
      <w:adjustRightInd w:val="0"/>
      <w:spacing w:line="240" w:lineRule="atLeast"/>
    </w:pPr>
    <w:rPr>
      <w:rFonts w:ascii="Courier" w:hAnsi="Courier"/>
      <w:sz w:val="24"/>
      <w:szCs w:val="24"/>
    </w:rPr>
  </w:style>
  <w:style w:type="character" w:customStyle="1" w:styleId="SINGLE">
    <w:name w:val="SINGLE"/>
    <w:basedOn w:val="DefaultParagraphFont"/>
    <w:rsid w:val="000A047A"/>
    <w:rPr>
      <w:rFonts w:ascii="Courier" w:hAnsi="Courier"/>
      <w:sz w:val="24"/>
      <w:szCs w:val="24"/>
      <w:lang w:val="en-US"/>
    </w:rPr>
  </w:style>
  <w:style w:type="paragraph" w:customStyle="1" w:styleId="DOUBLE">
    <w:name w:val="DOUBLE"/>
    <w:rsid w:val="000A047A"/>
    <w:pPr>
      <w:widowControl w:val="0"/>
      <w:tabs>
        <w:tab w:val="left" w:pos="-720"/>
      </w:tabs>
      <w:suppressAutoHyphens/>
      <w:autoSpaceDE w:val="0"/>
      <w:autoSpaceDN w:val="0"/>
      <w:adjustRightInd w:val="0"/>
      <w:spacing w:line="480" w:lineRule="atLeast"/>
    </w:pPr>
    <w:rPr>
      <w:rFonts w:ascii="Courier" w:hAnsi="Courier"/>
      <w:sz w:val="24"/>
      <w:szCs w:val="24"/>
    </w:rPr>
  </w:style>
  <w:style w:type="character" w:customStyle="1" w:styleId="STQUOTE1">
    <w:name w:val="STQUOTE1"/>
    <w:basedOn w:val="DefaultParagraphFont"/>
    <w:rsid w:val="000A047A"/>
    <w:rPr>
      <w:rFonts w:ascii="Courier" w:hAnsi="Courier"/>
      <w:sz w:val="24"/>
      <w:szCs w:val="24"/>
      <w:lang w:val="en-US"/>
    </w:rPr>
  </w:style>
  <w:style w:type="paragraph" w:customStyle="1" w:styleId="STQUOTE2">
    <w:name w:val="STQUOTE2"/>
    <w:rsid w:val="000A047A"/>
    <w:pPr>
      <w:widowControl w:val="0"/>
      <w:tabs>
        <w:tab w:val="left" w:pos="720"/>
        <w:tab w:val="left" w:pos="1440"/>
        <w:tab w:val="left" w:pos="2160"/>
        <w:tab w:val="left" w:pos="2880"/>
        <w:tab w:val="left" w:pos="4608"/>
        <w:tab w:val="right" w:pos="8928"/>
      </w:tabs>
      <w:suppressAutoHyphens/>
      <w:autoSpaceDE w:val="0"/>
      <w:autoSpaceDN w:val="0"/>
      <w:adjustRightInd w:val="0"/>
      <w:spacing w:line="240" w:lineRule="atLeast"/>
      <w:ind w:left="1440" w:right="720" w:hanging="1440"/>
    </w:pPr>
    <w:rPr>
      <w:rFonts w:ascii="Courier" w:hAnsi="Courier"/>
      <w:sz w:val="24"/>
      <w:szCs w:val="24"/>
    </w:rPr>
  </w:style>
  <w:style w:type="paragraph" w:customStyle="1" w:styleId="PERSONAL">
    <w:name w:val="PERSONAL"/>
    <w:rsid w:val="000A047A"/>
    <w:pPr>
      <w:widowControl w:val="0"/>
      <w:tabs>
        <w:tab w:val="left" w:pos="1440"/>
      </w:tabs>
      <w:suppressAutoHyphens/>
      <w:autoSpaceDE w:val="0"/>
      <w:autoSpaceDN w:val="0"/>
      <w:adjustRightInd w:val="0"/>
      <w:spacing w:line="240" w:lineRule="atLeast"/>
    </w:pPr>
    <w:rPr>
      <w:rFonts w:ascii="Courier" w:hAnsi="Courier"/>
      <w:sz w:val="24"/>
      <w:szCs w:val="24"/>
    </w:rPr>
  </w:style>
  <w:style w:type="paragraph" w:customStyle="1" w:styleId="TABSI10">
    <w:name w:val="TABSI10"/>
    <w:rsid w:val="000A047A"/>
    <w:pPr>
      <w:widowControl w:val="0"/>
      <w:tabs>
        <w:tab w:val="left" w:pos="1440"/>
        <w:tab w:val="left" w:pos="2160"/>
        <w:tab w:val="left" w:pos="2880"/>
        <w:tab w:val="left" w:pos="4608"/>
        <w:tab w:val="right" w:pos="8928"/>
      </w:tabs>
      <w:suppressAutoHyphens/>
      <w:autoSpaceDE w:val="0"/>
      <w:autoSpaceDN w:val="0"/>
      <w:adjustRightInd w:val="0"/>
      <w:spacing w:line="240" w:lineRule="atLeast"/>
    </w:pPr>
    <w:rPr>
      <w:rFonts w:ascii="Courier" w:hAnsi="Courier"/>
      <w:sz w:val="24"/>
      <w:szCs w:val="24"/>
    </w:rPr>
  </w:style>
  <w:style w:type="paragraph" w:customStyle="1" w:styleId="TABSI5">
    <w:name w:val="TABSI5"/>
    <w:rsid w:val="000A047A"/>
    <w:pPr>
      <w:widowControl w:val="0"/>
      <w:tabs>
        <w:tab w:val="left" w:pos="720"/>
        <w:tab w:val="left" w:pos="1440"/>
        <w:tab w:val="left" w:pos="2160"/>
        <w:tab w:val="left" w:pos="2880"/>
        <w:tab w:val="left" w:pos="4608"/>
        <w:tab w:val="right" w:pos="8928"/>
      </w:tabs>
      <w:suppressAutoHyphens/>
      <w:autoSpaceDE w:val="0"/>
      <w:autoSpaceDN w:val="0"/>
      <w:adjustRightInd w:val="0"/>
      <w:spacing w:line="240" w:lineRule="atLeast"/>
    </w:pPr>
    <w:rPr>
      <w:rFonts w:ascii="Courier" w:hAnsi="Courier"/>
      <w:sz w:val="24"/>
      <w:szCs w:val="24"/>
    </w:rPr>
  </w:style>
  <w:style w:type="paragraph" w:customStyle="1" w:styleId="Tearsheetp2">
    <w:name w:val="Tearsheet.p2"/>
    <w:rsid w:val="000A047A"/>
    <w:pPr>
      <w:widowControl w:val="0"/>
      <w:tabs>
        <w:tab w:val="left" w:pos="7200"/>
        <w:tab w:val="left" w:pos="11232"/>
      </w:tabs>
      <w:suppressAutoHyphens/>
      <w:autoSpaceDE w:val="0"/>
      <w:autoSpaceDN w:val="0"/>
      <w:adjustRightInd w:val="0"/>
      <w:spacing w:line="240" w:lineRule="atLeast"/>
    </w:pPr>
    <w:rPr>
      <w:rFonts w:ascii="Courier" w:hAnsi="Courier"/>
      <w:sz w:val="24"/>
      <w:szCs w:val="24"/>
    </w:rPr>
  </w:style>
  <w:style w:type="paragraph" w:customStyle="1" w:styleId="Tearsheetp1">
    <w:name w:val="Tearsheet.p1"/>
    <w:rsid w:val="000A047A"/>
    <w:pPr>
      <w:widowControl w:val="0"/>
      <w:tabs>
        <w:tab w:val="left" w:pos="3312"/>
        <w:tab w:val="left" w:pos="5184"/>
        <w:tab w:val="left" w:pos="8784"/>
      </w:tabs>
      <w:suppressAutoHyphens/>
      <w:autoSpaceDE w:val="0"/>
      <w:autoSpaceDN w:val="0"/>
      <w:adjustRightInd w:val="0"/>
      <w:spacing w:line="240" w:lineRule="atLeast"/>
    </w:pPr>
    <w:rPr>
      <w:rFonts w:ascii="Courier New" w:hAnsi="Courier New" w:cs="Courier New"/>
      <w:sz w:val="24"/>
      <w:szCs w:val="24"/>
    </w:rPr>
  </w:style>
  <w:style w:type="character" w:customStyle="1" w:styleId="CAPaper">
    <w:name w:val="CA Paper"/>
    <w:basedOn w:val="DefaultParagraphFont"/>
    <w:rsid w:val="000A047A"/>
    <w:rPr>
      <w:rFonts w:ascii="Courier" w:hAnsi="Courier"/>
      <w:sz w:val="24"/>
      <w:szCs w:val="24"/>
      <w:lang w:val="en-US"/>
    </w:rPr>
  </w:style>
  <w:style w:type="character" w:customStyle="1" w:styleId="BulletList">
    <w:name w:val="Bullet List"/>
    <w:basedOn w:val="DefaultParagraphFont"/>
    <w:rsid w:val="000A047A"/>
  </w:style>
  <w:style w:type="character" w:customStyle="1" w:styleId="kkc1">
    <w:name w:val="kkc 1"/>
    <w:basedOn w:val="DefaultParagraphFont"/>
    <w:rsid w:val="000A047A"/>
  </w:style>
  <w:style w:type="paragraph" w:styleId="TOC1">
    <w:name w:val="toc 1"/>
    <w:basedOn w:val="Normal"/>
    <w:next w:val="Normal"/>
    <w:autoRedefine/>
    <w:semiHidden/>
    <w:rsid w:val="000A047A"/>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0A047A"/>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0A047A"/>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0A047A"/>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0A047A"/>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0A047A"/>
    <w:pPr>
      <w:tabs>
        <w:tab w:val="right" w:pos="9360"/>
      </w:tabs>
      <w:suppressAutoHyphens/>
      <w:spacing w:line="240" w:lineRule="atLeast"/>
      <w:ind w:left="720" w:hanging="720"/>
    </w:pPr>
  </w:style>
  <w:style w:type="paragraph" w:styleId="TOC7">
    <w:name w:val="toc 7"/>
    <w:basedOn w:val="Normal"/>
    <w:next w:val="Normal"/>
    <w:autoRedefine/>
    <w:semiHidden/>
    <w:rsid w:val="000A047A"/>
    <w:pPr>
      <w:suppressAutoHyphens/>
      <w:spacing w:line="240" w:lineRule="atLeast"/>
      <w:ind w:left="720" w:hanging="720"/>
    </w:pPr>
  </w:style>
  <w:style w:type="paragraph" w:styleId="TOC8">
    <w:name w:val="toc 8"/>
    <w:basedOn w:val="Normal"/>
    <w:next w:val="Normal"/>
    <w:autoRedefine/>
    <w:semiHidden/>
    <w:rsid w:val="000A047A"/>
    <w:pPr>
      <w:tabs>
        <w:tab w:val="right" w:pos="9360"/>
      </w:tabs>
      <w:suppressAutoHyphens/>
      <w:spacing w:line="240" w:lineRule="atLeast"/>
      <w:ind w:left="720" w:hanging="720"/>
    </w:pPr>
  </w:style>
  <w:style w:type="paragraph" w:styleId="TOC9">
    <w:name w:val="toc 9"/>
    <w:basedOn w:val="Normal"/>
    <w:next w:val="Normal"/>
    <w:autoRedefine/>
    <w:semiHidden/>
    <w:rsid w:val="000A047A"/>
    <w:pPr>
      <w:tabs>
        <w:tab w:val="right" w:leader="dot" w:pos="9360"/>
      </w:tabs>
      <w:suppressAutoHyphens/>
      <w:spacing w:line="240" w:lineRule="atLeast"/>
      <w:ind w:left="720" w:hanging="720"/>
    </w:pPr>
  </w:style>
  <w:style w:type="paragraph" w:styleId="Index1">
    <w:name w:val="index 1"/>
    <w:basedOn w:val="Normal"/>
    <w:next w:val="Normal"/>
    <w:autoRedefine/>
    <w:semiHidden/>
    <w:rsid w:val="000A047A"/>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0A047A"/>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0A047A"/>
    <w:pPr>
      <w:tabs>
        <w:tab w:val="right" w:pos="9360"/>
      </w:tabs>
      <w:suppressAutoHyphens/>
      <w:spacing w:line="240" w:lineRule="atLeast"/>
    </w:pPr>
  </w:style>
  <w:style w:type="paragraph" w:styleId="Caption">
    <w:name w:val="caption"/>
    <w:basedOn w:val="Normal"/>
    <w:next w:val="Normal"/>
    <w:qFormat/>
    <w:rsid w:val="000A047A"/>
    <w:rPr>
      <w:sz w:val="20"/>
    </w:rPr>
  </w:style>
  <w:style w:type="character" w:customStyle="1" w:styleId="EquationCaption1">
    <w:name w:val="_Equation Caption1"/>
    <w:rsid w:val="000A047A"/>
  </w:style>
  <w:style w:type="paragraph" w:styleId="BodyTextIndent">
    <w:name w:val="Body Text Indent"/>
    <w:basedOn w:val="Normal"/>
    <w:rsid w:val="000A047A"/>
    <w:pPr>
      <w:keepNext/>
      <w:keepLines/>
      <w:tabs>
        <w:tab w:val="left" w:pos="-720"/>
        <w:tab w:val="left" w:pos="0"/>
      </w:tabs>
      <w:suppressAutoHyphens/>
      <w:ind w:left="720" w:hanging="720"/>
    </w:pPr>
    <w:rPr>
      <w:b/>
      <w:bCs/>
    </w:rPr>
  </w:style>
  <w:style w:type="paragraph" w:styleId="BalloonText">
    <w:name w:val="Balloon Text"/>
    <w:basedOn w:val="Normal"/>
    <w:semiHidden/>
    <w:rsid w:val="0014041E"/>
    <w:rPr>
      <w:rFonts w:ascii="Tahoma" w:hAnsi="Tahoma" w:cs="Tahoma"/>
      <w:sz w:val="16"/>
      <w:szCs w:val="16"/>
    </w:rPr>
  </w:style>
  <w:style w:type="paragraph" w:styleId="DocumentMap">
    <w:name w:val="Document Map"/>
    <w:basedOn w:val="Normal"/>
    <w:semiHidden/>
    <w:rsid w:val="004713FA"/>
    <w:pPr>
      <w:shd w:val="clear" w:color="auto" w:fill="000080"/>
    </w:pPr>
    <w:rPr>
      <w:rFonts w:ascii="Tahoma" w:hAnsi="Tahoma" w:cs="Tahoma"/>
      <w:sz w:val="20"/>
      <w:szCs w:val="20"/>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rsid w:val="00E05BFA"/>
    <w:rPr>
      <w:sz w:val="24"/>
    </w:rPr>
  </w:style>
  <w:style w:type="paragraph" w:styleId="NormalWeb">
    <w:name w:val="Normal (Web)"/>
    <w:basedOn w:val="Normal"/>
    <w:unhideWhenUsed/>
    <w:rsid w:val="006E3DE1"/>
    <w:pPr>
      <w:widowControl/>
      <w:autoSpaceDE/>
      <w:autoSpaceDN/>
      <w:adjustRightInd/>
      <w:spacing w:before="100" w:beforeAutospacing="1" w:after="100" w:afterAutospacing="1"/>
    </w:pPr>
    <w:rPr>
      <w:rFonts w:ascii="Verdana" w:hAnsi="Verdana"/>
      <w:sz w:val="20"/>
      <w:szCs w:val="20"/>
    </w:rPr>
  </w:style>
  <w:style w:type="character" w:styleId="CommentReference">
    <w:name w:val="annotation reference"/>
    <w:basedOn w:val="DefaultParagraphFont"/>
    <w:rsid w:val="00E14B5A"/>
    <w:rPr>
      <w:sz w:val="16"/>
      <w:szCs w:val="16"/>
    </w:rPr>
  </w:style>
  <w:style w:type="paragraph" w:styleId="CommentText">
    <w:name w:val="annotation text"/>
    <w:basedOn w:val="Normal"/>
    <w:link w:val="CommentTextChar"/>
    <w:rsid w:val="00E14B5A"/>
    <w:rPr>
      <w:sz w:val="20"/>
      <w:szCs w:val="20"/>
    </w:rPr>
  </w:style>
  <w:style w:type="character" w:customStyle="1" w:styleId="CommentTextChar">
    <w:name w:val="Comment Text Char"/>
    <w:basedOn w:val="DefaultParagraphFont"/>
    <w:link w:val="CommentText"/>
    <w:rsid w:val="00E14B5A"/>
    <w:rPr>
      <w:rFonts w:ascii="Courier" w:hAnsi="Courier"/>
    </w:rPr>
  </w:style>
  <w:style w:type="paragraph" w:styleId="CommentSubject">
    <w:name w:val="annotation subject"/>
    <w:basedOn w:val="CommentText"/>
    <w:next w:val="CommentText"/>
    <w:link w:val="CommentSubjectChar"/>
    <w:rsid w:val="00E14B5A"/>
    <w:rPr>
      <w:b/>
      <w:bCs/>
    </w:rPr>
  </w:style>
  <w:style w:type="character" w:customStyle="1" w:styleId="CommentSubjectChar">
    <w:name w:val="Comment Subject Char"/>
    <w:basedOn w:val="CommentTextChar"/>
    <w:link w:val="CommentSubject"/>
    <w:rsid w:val="00E14B5A"/>
    <w:rPr>
      <w:rFonts w:ascii="Courier" w:hAnsi="Courier"/>
      <w:b/>
      <w:bCs/>
    </w:rPr>
  </w:style>
  <w:style w:type="paragraph" w:styleId="ListParagraph">
    <w:name w:val="List Paragraph"/>
    <w:basedOn w:val="Normal"/>
    <w:uiPriority w:val="34"/>
    <w:qFormat/>
    <w:rsid w:val="00793E1A"/>
    <w:pPr>
      <w:ind w:left="720"/>
      <w:contextualSpacing/>
    </w:pPr>
  </w:style>
  <w:style w:type="character" w:customStyle="1" w:styleId="Heading3Char">
    <w:name w:val="Heading 3 Char"/>
    <w:basedOn w:val="DefaultParagraphFont"/>
    <w:link w:val="Heading3"/>
    <w:uiPriority w:val="99"/>
    <w:rsid w:val="00921B06"/>
    <w:rPr>
      <w:rFonts w:asciiTheme="majorHAnsi" w:eastAsiaTheme="majorEastAsia" w:hAnsiTheme="majorHAnsi" w:cstheme="majorBidi"/>
      <w:b/>
      <w:bCs/>
      <w:color w:val="4F81BD" w:themeColor="accent1"/>
      <w:sz w:val="24"/>
      <w:szCs w:val="24"/>
    </w:rPr>
  </w:style>
  <w:style w:type="paragraph" w:styleId="BodyText">
    <w:name w:val="Body Text"/>
    <w:basedOn w:val="Normal"/>
    <w:link w:val="BodyTextChar"/>
    <w:rsid w:val="00E13D16"/>
    <w:pPr>
      <w:spacing w:after="120"/>
    </w:pPr>
  </w:style>
  <w:style w:type="character" w:customStyle="1" w:styleId="BodyTextChar">
    <w:name w:val="Body Text Char"/>
    <w:basedOn w:val="DefaultParagraphFont"/>
    <w:link w:val="BodyText"/>
    <w:rsid w:val="00E13D16"/>
    <w:rPr>
      <w:rFonts w:ascii="Courier" w:hAnsi="Courier"/>
      <w:sz w:val="24"/>
      <w:szCs w:val="24"/>
    </w:rPr>
  </w:style>
  <w:style w:type="paragraph" w:customStyle="1" w:styleId="Default">
    <w:name w:val="Default"/>
    <w:rsid w:val="004219EE"/>
    <w:pPr>
      <w:autoSpaceDE w:val="0"/>
      <w:autoSpaceDN w:val="0"/>
      <w:adjustRightInd w:val="0"/>
    </w:pPr>
    <w:rPr>
      <w:color w:val="000000"/>
      <w:sz w:val="24"/>
      <w:szCs w:val="24"/>
    </w:rPr>
  </w:style>
  <w:style w:type="paragraph" w:styleId="Revision">
    <w:name w:val="Revision"/>
    <w:hidden/>
    <w:uiPriority w:val="99"/>
    <w:semiHidden/>
    <w:rsid w:val="00B72572"/>
    <w:rPr>
      <w:rFonts w:ascii="Courier" w:hAnsi="Courier"/>
      <w:sz w:val="24"/>
      <w:szCs w:val="24"/>
    </w:rPr>
  </w:style>
  <w:style w:type="table" w:styleId="TableGrid">
    <w:name w:val="Table Grid"/>
    <w:basedOn w:val="TableNormal"/>
    <w:rsid w:val="00744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5571E"/>
    <w:rPr>
      <w:rFonts w:cs="Times New Roman"/>
      <w:color w:val="0000FF"/>
      <w:u w:val="single"/>
    </w:rPr>
  </w:style>
  <w:style w:type="paragraph" w:customStyle="1" w:styleId="Footnote">
    <w:name w:val="Footnote"/>
    <w:basedOn w:val="FootnoteText"/>
    <w:link w:val="FootnoteChar"/>
    <w:qFormat/>
    <w:rsid w:val="0065571E"/>
    <w:pPr>
      <w:widowControl/>
      <w:tabs>
        <w:tab w:val="clear" w:pos="-720"/>
      </w:tabs>
      <w:suppressAutoHyphens w:val="0"/>
      <w:autoSpaceDE/>
      <w:autoSpaceDN/>
      <w:adjustRightInd/>
      <w:spacing w:line="240" w:lineRule="auto"/>
      <w:ind w:left="720" w:hanging="720"/>
    </w:pPr>
    <w:rPr>
      <w:rFonts w:eastAsia="Calibri"/>
      <w:sz w:val="20"/>
    </w:rPr>
  </w:style>
  <w:style w:type="character" w:customStyle="1" w:styleId="FootnoteChar">
    <w:name w:val="Footnote Char"/>
    <w:basedOn w:val="DefaultParagraphFont"/>
    <w:link w:val="Footnote"/>
    <w:rsid w:val="0065571E"/>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047A"/>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0A047A"/>
    <w:pPr>
      <w:keepNext/>
      <w:tabs>
        <w:tab w:val="left" w:pos="-720"/>
      </w:tabs>
      <w:suppressAutoHyphens/>
      <w:spacing w:line="480" w:lineRule="atLeast"/>
      <w:outlineLvl w:val="0"/>
    </w:pPr>
    <w:rPr>
      <w:b/>
      <w:bCs/>
    </w:rPr>
  </w:style>
  <w:style w:type="paragraph" w:styleId="Heading3">
    <w:name w:val="heading 3"/>
    <w:basedOn w:val="Normal"/>
    <w:next w:val="Normal"/>
    <w:link w:val="Heading3Char"/>
    <w:semiHidden/>
    <w:unhideWhenUsed/>
    <w:qFormat/>
    <w:rsid w:val="00921B0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A047A"/>
    <w:rPr>
      <w:sz w:val="20"/>
    </w:rPr>
  </w:style>
  <w:style w:type="character" w:styleId="EndnoteReference">
    <w:name w:val="endnote reference"/>
    <w:basedOn w:val="DefaultParagraphFont"/>
    <w:semiHidden/>
    <w:rsid w:val="000A047A"/>
    <w:rPr>
      <w:rFonts w:ascii="Courier" w:hAnsi="Courier"/>
      <w:sz w:val="24"/>
      <w:szCs w:val="24"/>
      <w:vertAlign w:val="superscript"/>
      <w:lang w:val="en-US"/>
    </w:rPr>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qFormat/>
    <w:rsid w:val="00E05BFA"/>
    <w:pPr>
      <w:tabs>
        <w:tab w:val="left" w:pos="-720"/>
      </w:tabs>
      <w:suppressAutoHyphens/>
      <w:spacing w:line="240" w:lineRule="atLeast"/>
    </w:pPr>
    <w:rPr>
      <w:rFonts w:ascii="Times New Roman" w:hAnsi="Times New Roman"/>
      <w:szCs w:val="20"/>
    </w:rPr>
  </w:style>
  <w:style w:type="character" w:styleId="FootnoteReference">
    <w:name w:val="footnote reference"/>
    <w:aliases w:val="fr,Style 19,Style 16,Style 39,Style 14,Style 35,12,Style 6,Footnote Reference Superscript,SUPERS,BVI fnr,Footnote symbol,(Footnote Reference),Footnote reference number,note TESI,EN Footnote Reference,Voetnootverwijzing"/>
    <w:basedOn w:val="DefaultParagraphFont"/>
    <w:uiPriority w:val="99"/>
    <w:qFormat/>
    <w:rsid w:val="000A047A"/>
    <w:rPr>
      <w:rFonts w:ascii="Courier" w:hAnsi="Courier"/>
      <w:sz w:val="24"/>
      <w:szCs w:val="24"/>
      <w:vertAlign w:val="superscript"/>
      <w:lang w:val="en-US"/>
    </w:rPr>
  </w:style>
  <w:style w:type="character" w:customStyle="1" w:styleId="2">
    <w:name w:val="2"/>
    <w:basedOn w:val="DefaultParagraphFont"/>
    <w:rsid w:val="000A047A"/>
    <w:rPr>
      <w:rFonts w:ascii="Courier" w:hAnsi="Courier"/>
      <w:sz w:val="24"/>
      <w:szCs w:val="24"/>
      <w:lang w:val="en-US"/>
    </w:rPr>
  </w:style>
  <w:style w:type="character" w:customStyle="1" w:styleId="Heading">
    <w:name w:val="Heading"/>
    <w:basedOn w:val="DefaultParagraphFont"/>
    <w:rsid w:val="000A047A"/>
  </w:style>
  <w:style w:type="character" w:customStyle="1" w:styleId="RightPar">
    <w:name w:val="Right Par"/>
    <w:basedOn w:val="DefaultParagraphFont"/>
    <w:rsid w:val="000A047A"/>
  </w:style>
  <w:style w:type="character" w:customStyle="1" w:styleId="Bibliogrphy">
    <w:name w:val="Bibliogrphy"/>
    <w:basedOn w:val="DefaultParagraphFont"/>
    <w:rsid w:val="000A047A"/>
  </w:style>
  <w:style w:type="character" w:customStyle="1" w:styleId="Subheading">
    <w:name w:val="Subheading"/>
    <w:basedOn w:val="DefaultParagraphFont"/>
    <w:rsid w:val="000A047A"/>
  </w:style>
  <w:style w:type="character" w:customStyle="1" w:styleId="1">
    <w:name w:val="1"/>
    <w:basedOn w:val="DefaultParagraphFont"/>
    <w:rsid w:val="000A047A"/>
    <w:rPr>
      <w:rFonts w:ascii="Courier" w:hAnsi="Courier"/>
      <w:sz w:val="24"/>
      <w:szCs w:val="24"/>
      <w:lang w:val="en-US"/>
    </w:rPr>
  </w:style>
  <w:style w:type="character" w:customStyle="1" w:styleId="Document8">
    <w:name w:val="Document 8"/>
    <w:basedOn w:val="DefaultParagraphFont"/>
    <w:rsid w:val="000A047A"/>
  </w:style>
  <w:style w:type="character" w:customStyle="1" w:styleId="Document4">
    <w:name w:val="Document 4"/>
    <w:basedOn w:val="DefaultParagraphFont"/>
    <w:rsid w:val="000A047A"/>
    <w:rPr>
      <w:b/>
      <w:bCs/>
      <w:i/>
      <w:iCs/>
      <w:sz w:val="24"/>
      <w:szCs w:val="24"/>
    </w:rPr>
  </w:style>
  <w:style w:type="character" w:customStyle="1" w:styleId="Document6">
    <w:name w:val="Document 6"/>
    <w:basedOn w:val="DefaultParagraphFont"/>
    <w:rsid w:val="000A047A"/>
  </w:style>
  <w:style w:type="character" w:customStyle="1" w:styleId="Document5">
    <w:name w:val="Document 5"/>
    <w:basedOn w:val="DefaultParagraphFont"/>
    <w:rsid w:val="000A047A"/>
  </w:style>
  <w:style w:type="character" w:customStyle="1" w:styleId="Document2">
    <w:name w:val="Document 2"/>
    <w:basedOn w:val="DefaultParagraphFont"/>
    <w:rsid w:val="000A047A"/>
    <w:rPr>
      <w:rFonts w:ascii="Courier" w:hAnsi="Courier"/>
      <w:sz w:val="24"/>
      <w:szCs w:val="24"/>
      <w:lang w:val="en-US"/>
    </w:rPr>
  </w:style>
  <w:style w:type="character" w:customStyle="1" w:styleId="Document7">
    <w:name w:val="Document 7"/>
    <w:basedOn w:val="DefaultParagraphFont"/>
    <w:rsid w:val="000A047A"/>
  </w:style>
  <w:style w:type="character" w:customStyle="1" w:styleId="RightPar1">
    <w:name w:val="Right Par 1"/>
    <w:basedOn w:val="DefaultParagraphFont"/>
    <w:rsid w:val="000A047A"/>
  </w:style>
  <w:style w:type="character" w:customStyle="1" w:styleId="RightPar2">
    <w:name w:val="Right Par 2"/>
    <w:basedOn w:val="DefaultParagraphFont"/>
    <w:rsid w:val="000A047A"/>
  </w:style>
  <w:style w:type="character" w:customStyle="1" w:styleId="Document3">
    <w:name w:val="Document 3"/>
    <w:basedOn w:val="DefaultParagraphFont"/>
    <w:rsid w:val="000A047A"/>
    <w:rPr>
      <w:rFonts w:ascii="Courier" w:hAnsi="Courier"/>
      <w:sz w:val="24"/>
      <w:szCs w:val="24"/>
      <w:lang w:val="en-US"/>
    </w:rPr>
  </w:style>
  <w:style w:type="character" w:customStyle="1" w:styleId="RightPar3">
    <w:name w:val="Right Par 3"/>
    <w:basedOn w:val="DefaultParagraphFont"/>
    <w:rsid w:val="000A047A"/>
  </w:style>
  <w:style w:type="character" w:customStyle="1" w:styleId="RightPar4">
    <w:name w:val="Right Par 4"/>
    <w:basedOn w:val="DefaultParagraphFont"/>
    <w:rsid w:val="000A047A"/>
  </w:style>
  <w:style w:type="character" w:customStyle="1" w:styleId="RightPar5">
    <w:name w:val="Right Par 5"/>
    <w:basedOn w:val="DefaultParagraphFont"/>
    <w:rsid w:val="000A047A"/>
  </w:style>
  <w:style w:type="character" w:customStyle="1" w:styleId="RightPar6">
    <w:name w:val="Right Par 6"/>
    <w:basedOn w:val="DefaultParagraphFont"/>
    <w:rsid w:val="000A047A"/>
  </w:style>
  <w:style w:type="character" w:customStyle="1" w:styleId="RightPar7">
    <w:name w:val="Right Par 7"/>
    <w:basedOn w:val="DefaultParagraphFont"/>
    <w:rsid w:val="000A047A"/>
  </w:style>
  <w:style w:type="character" w:customStyle="1" w:styleId="RightPar8">
    <w:name w:val="Right Par 8"/>
    <w:basedOn w:val="DefaultParagraphFont"/>
    <w:rsid w:val="000A047A"/>
  </w:style>
  <w:style w:type="paragraph" w:customStyle="1" w:styleId="Document1">
    <w:name w:val="Document 1"/>
    <w:rsid w:val="000A047A"/>
    <w:pPr>
      <w:keepNext/>
      <w:keepLines/>
      <w:widowControl w:val="0"/>
      <w:tabs>
        <w:tab w:val="left" w:pos="-720"/>
      </w:tabs>
      <w:suppressAutoHyphens/>
      <w:autoSpaceDE w:val="0"/>
      <w:autoSpaceDN w:val="0"/>
      <w:adjustRightInd w:val="0"/>
      <w:spacing w:line="240" w:lineRule="atLeast"/>
    </w:pPr>
    <w:rPr>
      <w:rFonts w:ascii="Courier" w:hAnsi="Courier"/>
      <w:sz w:val="24"/>
      <w:szCs w:val="24"/>
    </w:rPr>
  </w:style>
  <w:style w:type="character" w:customStyle="1" w:styleId="DocInit">
    <w:name w:val="Doc Init"/>
    <w:basedOn w:val="DefaultParagraphFont"/>
    <w:rsid w:val="000A047A"/>
  </w:style>
  <w:style w:type="character" w:customStyle="1" w:styleId="TechInit">
    <w:name w:val="Tech Init"/>
    <w:basedOn w:val="DefaultParagraphFont"/>
    <w:rsid w:val="000A047A"/>
    <w:rPr>
      <w:rFonts w:ascii="Courier" w:hAnsi="Courier"/>
      <w:sz w:val="24"/>
      <w:szCs w:val="24"/>
      <w:lang w:val="en-US"/>
    </w:rPr>
  </w:style>
  <w:style w:type="character" w:customStyle="1" w:styleId="Technical5">
    <w:name w:val="Technical 5"/>
    <w:basedOn w:val="DefaultParagraphFont"/>
    <w:rsid w:val="000A047A"/>
  </w:style>
  <w:style w:type="character" w:customStyle="1" w:styleId="Technical6">
    <w:name w:val="Technical 6"/>
    <w:basedOn w:val="DefaultParagraphFont"/>
    <w:rsid w:val="000A047A"/>
  </w:style>
  <w:style w:type="character" w:customStyle="1" w:styleId="Technical2">
    <w:name w:val="Technical 2"/>
    <w:basedOn w:val="DefaultParagraphFont"/>
    <w:rsid w:val="000A047A"/>
    <w:rPr>
      <w:rFonts w:ascii="Courier" w:hAnsi="Courier"/>
      <w:sz w:val="24"/>
      <w:szCs w:val="24"/>
      <w:lang w:val="en-US"/>
    </w:rPr>
  </w:style>
  <w:style w:type="character" w:customStyle="1" w:styleId="Technical3">
    <w:name w:val="Technical 3"/>
    <w:basedOn w:val="DefaultParagraphFont"/>
    <w:rsid w:val="000A047A"/>
    <w:rPr>
      <w:rFonts w:ascii="Courier" w:hAnsi="Courier"/>
      <w:sz w:val="24"/>
      <w:szCs w:val="24"/>
      <w:lang w:val="en-US"/>
    </w:rPr>
  </w:style>
  <w:style w:type="character" w:customStyle="1" w:styleId="Technical4">
    <w:name w:val="Technical 4"/>
    <w:basedOn w:val="DefaultParagraphFont"/>
    <w:rsid w:val="000A047A"/>
  </w:style>
  <w:style w:type="character" w:customStyle="1" w:styleId="Technical1">
    <w:name w:val="Technical 1"/>
    <w:basedOn w:val="DefaultParagraphFont"/>
    <w:rsid w:val="000A047A"/>
    <w:rPr>
      <w:rFonts w:ascii="Courier" w:hAnsi="Courier"/>
      <w:sz w:val="24"/>
      <w:szCs w:val="24"/>
      <w:lang w:val="en-US"/>
    </w:rPr>
  </w:style>
  <w:style w:type="character" w:customStyle="1" w:styleId="Technical7">
    <w:name w:val="Technical 7"/>
    <w:basedOn w:val="DefaultParagraphFont"/>
    <w:rsid w:val="000A047A"/>
  </w:style>
  <w:style w:type="character" w:customStyle="1" w:styleId="Technical8">
    <w:name w:val="Technical 8"/>
    <w:basedOn w:val="DefaultParagraphFont"/>
    <w:rsid w:val="000A047A"/>
  </w:style>
  <w:style w:type="paragraph" w:customStyle="1" w:styleId="text">
    <w:name w:val="text"/>
    <w:rsid w:val="000A047A"/>
    <w:pPr>
      <w:widowControl w:val="0"/>
      <w:tabs>
        <w:tab w:val="left" w:pos="-720"/>
      </w:tabs>
      <w:suppressAutoHyphens/>
      <w:autoSpaceDE w:val="0"/>
      <w:autoSpaceDN w:val="0"/>
      <w:adjustRightInd w:val="0"/>
      <w:spacing w:line="240" w:lineRule="atLeast"/>
      <w:jc w:val="both"/>
    </w:pPr>
    <w:rPr>
      <w:rFonts w:ascii="Kino MT" w:hAnsi="Kino MT"/>
      <w:spacing w:val="-3"/>
      <w:sz w:val="24"/>
      <w:szCs w:val="24"/>
    </w:rPr>
  </w:style>
  <w:style w:type="paragraph" w:customStyle="1" w:styleId="footnotes">
    <w:name w:val="footnotes"/>
    <w:rsid w:val="000A047A"/>
    <w:pPr>
      <w:widowControl w:val="0"/>
      <w:tabs>
        <w:tab w:val="left" w:pos="-720"/>
      </w:tabs>
      <w:suppressAutoHyphens/>
      <w:autoSpaceDE w:val="0"/>
      <w:autoSpaceDN w:val="0"/>
      <w:adjustRightInd w:val="0"/>
      <w:spacing w:line="240" w:lineRule="atLeast"/>
      <w:jc w:val="both"/>
    </w:pPr>
    <w:rPr>
      <w:rFonts w:ascii="Arial" w:hAnsi="Arial" w:cs="Arial"/>
      <w:spacing w:val="-2"/>
      <w:sz w:val="16"/>
      <w:szCs w:val="16"/>
    </w:rPr>
  </w:style>
  <w:style w:type="character" w:customStyle="1" w:styleId="DefaultParagraphFo">
    <w:name w:val="Default Paragraph Fo"/>
    <w:basedOn w:val="DefaultParagraphFont"/>
    <w:rsid w:val="000A047A"/>
  </w:style>
  <w:style w:type="character" w:customStyle="1" w:styleId="EquationCaption">
    <w:name w:val="_Equation Caption"/>
    <w:basedOn w:val="DefaultParagraphFont"/>
    <w:rsid w:val="000A047A"/>
  </w:style>
  <w:style w:type="paragraph" w:styleId="Header">
    <w:name w:val="header"/>
    <w:basedOn w:val="Normal"/>
    <w:rsid w:val="000A047A"/>
    <w:pPr>
      <w:tabs>
        <w:tab w:val="left" w:pos="0"/>
        <w:tab w:val="center" w:pos="4320"/>
        <w:tab w:val="right" w:pos="8640"/>
        <w:tab w:val="left" w:pos="9360"/>
      </w:tabs>
      <w:suppressAutoHyphens/>
      <w:spacing w:line="240" w:lineRule="atLeast"/>
    </w:pPr>
  </w:style>
  <w:style w:type="paragraph" w:styleId="Footer">
    <w:name w:val="footer"/>
    <w:basedOn w:val="Normal"/>
    <w:rsid w:val="000A047A"/>
    <w:pPr>
      <w:tabs>
        <w:tab w:val="left" w:pos="0"/>
        <w:tab w:val="center" w:pos="4320"/>
        <w:tab w:val="right" w:pos="8640"/>
        <w:tab w:val="left" w:pos="9360"/>
      </w:tabs>
      <w:suppressAutoHyphens/>
      <w:spacing w:line="240" w:lineRule="atLeast"/>
    </w:pPr>
  </w:style>
  <w:style w:type="character" w:styleId="PageNumber">
    <w:name w:val="page number"/>
    <w:basedOn w:val="DefaultParagraphFont"/>
    <w:rsid w:val="000A047A"/>
  </w:style>
  <w:style w:type="paragraph" w:customStyle="1" w:styleId="item">
    <w:name w:val="item"/>
    <w:rsid w:val="000A047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w:hAnsi="Courier"/>
      <w:spacing w:val="-3"/>
      <w:sz w:val="24"/>
      <w:szCs w:val="24"/>
    </w:rPr>
  </w:style>
  <w:style w:type="character" w:customStyle="1" w:styleId="14B">
    <w:name w:val="14B"/>
    <w:basedOn w:val="DefaultParagraphFont"/>
    <w:rsid w:val="000A047A"/>
    <w:rPr>
      <w:rFonts w:ascii="Footlight MT Light" w:hAnsi="Footlight MT Light"/>
      <w:b/>
      <w:bCs/>
      <w:sz w:val="28"/>
      <w:szCs w:val="28"/>
      <w:lang w:val="en-US"/>
    </w:rPr>
  </w:style>
  <w:style w:type="character" w:customStyle="1" w:styleId="12B">
    <w:name w:val="12B"/>
    <w:basedOn w:val="DefaultParagraphFont"/>
    <w:rsid w:val="000A047A"/>
    <w:rPr>
      <w:rFonts w:ascii="Footlight MT Light" w:hAnsi="Footlight MT Light"/>
      <w:b/>
      <w:bCs/>
      <w:sz w:val="24"/>
      <w:szCs w:val="24"/>
      <w:lang w:val="en-US"/>
    </w:rPr>
  </w:style>
  <w:style w:type="character" w:customStyle="1" w:styleId="18b">
    <w:name w:val="18b"/>
    <w:basedOn w:val="DefaultParagraphFont"/>
    <w:rsid w:val="000A047A"/>
    <w:rPr>
      <w:rFonts w:ascii="Footlight MT Light" w:hAnsi="Footlight MT Light"/>
      <w:b/>
      <w:bCs/>
      <w:sz w:val="36"/>
      <w:szCs w:val="36"/>
      <w:lang w:val="en-US"/>
    </w:rPr>
  </w:style>
  <w:style w:type="character" w:customStyle="1" w:styleId="Unnamed1">
    <w:name w:val="Unnamed 1"/>
    <w:basedOn w:val="DefaultParagraphFont"/>
    <w:rsid w:val="000A047A"/>
    <w:rPr>
      <w:rFonts w:ascii="Courier" w:hAnsi="Courier"/>
      <w:sz w:val="24"/>
      <w:szCs w:val="24"/>
      <w:lang w:val="en-US"/>
    </w:rPr>
  </w:style>
  <w:style w:type="character" w:customStyle="1" w:styleId="3">
    <w:name w:val="3"/>
    <w:basedOn w:val="DefaultParagraphFont"/>
    <w:rsid w:val="000A047A"/>
    <w:rPr>
      <w:rFonts w:ascii="Courier" w:hAnsi="Courier"/>
      <w:sz w:val="24"/>
      <w:szCs w:val="24"/>
      <w:lang w:val="en-US"/>
    </w:rPr>
  </w:style>
  <w:style w:type="paragraph" w:customStyle="1" w:styleId="LETTERS">
    <w:name w:val="LETTERS"/>
    <w:rsid w:val="000A047A"/>
    <w:pPr>
      <w:widowControl w:val="0"/>
      <w:tabs>
        <w:tab w:val="left" w:pos="1440"/>
        <w:tab w:val="left" w:pos="2160"/>
        <w:tab w:val="left" w:pos="2880"/>
        <w:tab w:val="left" w:pos="4608"/>
        <w:tab w:val="right" w:pos="8928"/>
      </w:tabs>
      <w:suppressAutoHyphens/>
      <w:autoSpaceDE w:val="0"/>
      <w:autoSpaceDN w:val="0"/>
      <w:adjustRightInd w:val="0"/>
      <w:spacing w:line="240" w:lineRule="atLeast"/>
    </w:pPr>
    <w:rPr>
      <w:rFonts w:ascii="Courier" w:hAnsi="Courier"/>
      <w:sz w:val="24"/>
      <w:szCs w:val="24"/>
    </w:rPr>
  </w:style>
  <w:style w:type="character" w:customStyle="1" w:styleId="SINGLE">
    <w:name w:val="SINGLE"/>
    <w:basedOn w:val="DefaultParagraphFont"/>
    <w:rsid w:val="000A047A"/>
    <w:rPr>
      <w:rFonts w:ascii="Courier" w:hAnsi="Courier"/>
      <w:sz w:val="24"/>
      <w:szCs w:val="24"/>
      <w:lang w:val="en-US"/>
    </w:rPr>
  </w:style>
  <w:style w:type="paragraph" w:customStyle="1" w:styleId="DOUBLE">
    <w:name w:val="DOUBLE"/>
    <w:rsid w:val="000A047A"/>
    <w:pPr>
      <w:widowControl w:val="0"/>
      <w:tabs>
        <w:tab w:val="left" w:pos="-720"/>
      </w:tabs>
      <w:suppressAutoHyphens/>
      <w:autoSpaceDE w:val="0"/>
      <w:autoSpaceDN w:val="0"/>
      <w:adjustRightInd w:val="0"/>
      <w:spacing w:line="480" w:lineRule="atLeast"/>
    </w:pPr>
    <w:rPr>
      <w:rFonts w:ascii="Courier" w:hAnsi="Courier"/>
      <w:sz w:val="24"/>
      <w:szCs w:val="24"/>
    </w:rPr>
  </w:style>
  <w:style w:type="character" w:customStyle="1" w:styleId="STQUOTE1">
    <w:name w:val="STQUOTE1"/>
    <w:basedOn w:val="DefaultParagraphFont"/>
    <w:rsid w:val="000A047A"/>
    <w:rPr>
      <w:rFonts w:ascii="Courier" w:hAnsi="Courier"/>
      <w:sz w:val="24"/>
      <w:szCs w:val="24"/>
      <w:lang w:val="en-US"/>
    </w:rPr>
  </w:style>
  <w:style w:type="paragraph" w:customStyle="1" w:styleId="STQUOTE2">
    <w:name w:val="STQUOTE2"/>
    <w:rsid w:val="000A047A"/>
    <w:pPr>
      <w:widowControl w:val="0"/>
      <w:tabs>
        <w:tab w:val="left" w:pos="720"/>
        <w:tab w:val="left" w:pos="1440"/>
        <w:tab w:val="left" w:pos="2160"/>
        <w:tab w:val="left" w:pos="2880"/>
        <w:tab w:val="left" w:pos="4608"/>
        <w:tab w:val="right" w:pos="8928"/>
      </w:tabs>
      <w:suppressAutoHyphens/>
      <w:autoSpaceDE w:val="0"/>
      <w:autoSpaceDN w:val="0"/>
      <w:adjustRightInd w:val="0"/>
      <w:spacing w:line="240" w:lineRule="atLeast"/>
      <w:ind w:left="1440" w:right="720" w:hanging="1440"/>
    </w:pPr>
    <w:rPr>
      <w:rFonts w:ascii="Courier" w:hAnsi="Courier"/>
      <w:sz w:val="24"/>
      <w:szCs w:val="24"/>
    </w:rPr>
  </w:style>
  <w:style w:type="paragraph" w:customStyle="1" w:styleId="PERSONAL">
    <w:name w:val="PERSONAL"/>
    <w:rsid w:val="000A047A"/>
    <w:pPr>
      <w:widowControl w:val="0"/>
      <w:tabs>
        <w:tab w:val="left" w:pos="1440"/>
      </w:tabs>
      <w:suppressAutoHyphens/>
      <w:autoSpaceDE w:val="0"/>
      <w:autoSpaceDN w:val="0"/>
      <w:adjustRightInd w:val="0"/>
      <w:spacing w:line="240" w:lineRule="atLeast"/>
    </w:pPr>
    <w:rPr>
      <w:rFonts w:ascii="Courier" w:hAnsi="Courier"/>
      <w:sz w:val="24"/>
      <w:szCs w:val="24"/>
    </w:rPr>
  </w:style>
  <w:style w:type="paragraph" w:customStyle="1" w:styleId="TABSI10">
    <w:name w:val="TABSI10"/>
    <w:rsid w:val="000A047A"/>
    <w:pPr>
      <w:widowControl w:val="0"/>
      <w:tabs>
        <w:tab w:val="left" w:pos="1440"/>
        <w:tab w:val="left" w:pos="2160"/>
        <w:tab w:val="left" w:pos="2880"/>
        <w:tab w:val="left" w:pos="4608"/>
        <w:tab w:val="right" w:pos="8928"/>
      </w:tabs>
      <w:suppressAutoHyphens/>
      <w:autoSpaceDE w:val="0"/>
      <w:autoSpaceDN w:val="0"/>
      <w:adjustRightInd w:val="0"/>
      <w:spacing w:line="240" w:lineRule="atLeast"/>
    </w:pPr>
    <w:rPr>
      <w:rFonts w:ascii="Courier" w:hAnsi="Courier"/>
      <w:sz w:val="24"/>
      <w:szCs w:val="24"/>
    </w:rPr>
  </w:style>
  <w:style w:type="paragraph" w:customStyle="1" w:styleId="TABSI5">
    <w:name w:val="TABSI5"/>
    <w:rsid w:val="000A047A"/>
    <w:pPr>
      <w:widowControl w:val="0"/>
      <w:tabs>
        <w:tab w:val="left" w:pos="720"/>
        <w:tab w:val="left" w:pos="1440"/>
        <w:tab w:val="left" w:pos="2160"/>
        <w:tab w:val="left" w:pos="2880"/>
        <w:tab w:val="left" w:pos="4608"/>
        <w:tab w:val="right" w:pos="8928"/>
      </w:tabs>
      <w:suppressAutoHyphens/>
      <w:autoSpaceDE w:val="0"/>
      <w:autoSpaceDN w:val="0"/>
      <w:adjustRightInd w:val="0"/>
      <w:spacing w:line="240" w:lineRule="atLeast"/>
    </w:pPr>
    <w:rPr>
      <w:rFonts w:ascii="Courier" w:hAnsi="Courier"/>
      <w:sz w:val="24"/>
      <w:szCs w:val="24"/>
    </w:rPr>
  </w:style>
  <w:style w:type="paragraph" w:customStyle="1" w:styleId="Tearsheetp2">
    <w:name w:val="Tearsheet.p2"/>
    <w:rsid w:val="000A047A"/>
    <w:pPr>
      <w:widowControl w:val="0"/>
      <w:tabs>
        <w:tab w:val="left" w:pos="7200"/>
        <w:tab w:val="left" w:pos="11232"/>
      </w:tabs>
      <w:suppressAutoHyphens/>
      <w:autoSpaceDE w:val="0"/>
      <w:autoSpaceDN w:val="0"/>
      <w:adjustRightInd w:val="0"/>
      <w:spacing w:line="240" w:lineRule="atLeast"/>
    </w:pPr>
    <w:rPr>
      <w:rFonts w:ascii="Courier" w:hAnsi="Courier"/>
      <w:sz w:val="24"/>
      <w:szCs w:val="24"/>
    </w:rPr>
  </w:style>
  <w:style w:type="paragraph" w:customStyle="1" w:styleId="Tearsheetp1">
    <w:name w:val="Tearsheet.p1"/>
    <w:rsid w:val="000A047A"/>
    <w:pPr>
      <w:widowControl w:val="0"/>
      <w:tabs>
        <w:tab w:val="left" w:pos="3312"/>
        <w:tab w:val="left" w:pos="5184"/>
        <w:tab w:val="left" w:pos="8784"/>
      </w:tabs>
      <w:suppressAutoHyphens/>
      <w:autoSpaceDE w:val="0"/>
      <w:autoSpaceDN w:val="0"/>
      <w:adjustRightInd w:val="0"/>
      <w:spacing w:line="240" w:lineRule="atLeast"/>
    </w:pPr>
    <w:rPr>
      <w:rFonts w:ascii="Courier New" w:hAnsi="Courier New" w:cs="Courier New"/>
      <w:sz w:val="24"/>
      <w:szCs w:val="24"/>
    </w:rPr>
  </w:style>
  <w:style w:type="character" w:customStyle="1" w:styleId="CAPaper">
    <w:name w:val="CA Paper"/>
    <w:basedOn w:val="DefaultParagraphFont"/>
    <w:rsid w:val="000A047A"/>
    <w:rPr>
      <w:rFonts w:ascii="Courier" w:hAnsi="Courier"/>
      <w:sz w:val="24"/>
      <w:szCs w:val="24"/>
      <w:lang w:val="en-US"/>
    </w:rPr>
  </w:style>
  <w:style w:type="character" w:customStyle="1" w:styleId="BulletList">
    <w:name w:val="Bullet List"/>
    <w:basedOn w:val="DefaultParagraphFont"/>
    <w:rsid w:val="000A047A"/>
  </w:style>
  <w:style w:type="character" w:customStyle="1" w:styleId="kkc1">
    <w:name w:val="kkc 1"/>
    <w:basedOn w:val="DefaultParagraphFont"/>
    <w:rsid w:val="000A047A"/>
  </w:style>
  <w:style w:type="paragraph" w:styleId="TOC1">
    <w:name w:val="toc 1"/>
    <w:basedOn w:val="Normal"/>
    <w:next w:val="Normal"/>
    <w:autoRedefine/>
    <w:semiHidden/>
    <w:rsid w:val="000A047A"/>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0A047A"/>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0A047A"/>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0A047A"/>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0A047A"/>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0A047A"/>
    <w:pPr>
      <w:tabs>
        <w:tab w:val="right" w:pos="9360"/>
      </w:tabs>
      <w:suppressAutoHyphens/>
      <w:spacing w:line="240" w:lineRule="atLeast"/>
      <w:ind w:left="720" w:hanging="720"/>
    </w:pPr>
  </w:style>
  <w:style w:type="paragraph" w:styleId="TOC7">
    <w:name w:val="toc 7"/>
    <w:basedOn w:val="Normal"/>
    <w:next w:val="Normal"/>
    <w:autoRedefine/>
    <w:semiHidden/>
    <w:rsid w:val="000A047A"/>
    <w:pPr>
      <w:suppressAutoHyphens/>
      <w:spacing w:line="240" w:lineRule="atLeast"/>
      <w:ind w:left="720" w:hanging="720"/>
    </w:pPr>
  </w:style>
  <w:style w:type="paragraph" w:styleId="TOC8">
    <w:name w:val="toc 8"/>
    <w:basedOn w:val="Normal"/>
    <w:next w:val="Normal"/>
    <w:autoRedefine/>
    <w:semiHidden/>
    <w:rsid w:val="000A047A"/>
    <w:pPr>
      <w:tabs>
        <w:tab w:val="right" w:pos="9360"/>
      </w:tabs>
      <w:suppressAutoHyphens/>
      <w:spacing w:line="240" w:lineRule="atLeast"/>
      <w:ind w:left="720" w:hanging="720"/>
    </w:pPr>
  </w:style>
  <w:style w:type="paragraph" w:styleId="TOC9">
    <w:name w:val="toc 9"/>
    <w:basedOn w:val="Normal"/>
    <w:next w:val="Normal"/>
    <w:autoRedefine/>
    <w:semiHidden/>
    <w:rsid w:val="000A047A"/>
    <w:pPr>
      <w:tabs>
        <w:tab w:val="right" w:leader="dot" w:pos="9360"/>
      </w:tabs>
      <w:suppressAutoHyphens/>
      <w:spacing w:line="240" w:lineRule="atLeast"/>
      <w:ind w:left="720" w:hanging="720"/>
    </w:pPr>
  </w:style>
  <w:style w:type="paragraph" w:styleId="Index1">
    <w:name w:val="index 1"/>
    <w:basedOn w:val="Normal"/>
    <w:next w:val="Normal"/>
    <w:autoRedefine/>
    <w:semiHidden/>
    <w:rsid w:val="000A047A"/>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0A047A"/>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0A047A"/>
    <w:pPr>
      <w:tabs>
        <w:tab w:val="right" w:pos="9360"/>
      </w:tabs>
      <w:suppressAutoHyphens/>
      <w:spacing w:line="240" w:lineRule="atLeast"/>
    </w:pPr>
  </w:style>
  <w:style w:type="paragraph" w:styleId="Caption">
    <w:name w:val="caption"/>
    <w:basedOn w:val="Normal"/>
    <w:next w:val="Normal"/>
    <w:qFormat/>
    <w:rsid w:val="000A047A"/>
    <w:rPr>
      <w:sz w:val="20"/>
    </w:rPr>
  </w:style>
  <w:style w:type="character" w:customStyle="1" w:styleId="EquationCaption1">
    <w:name w:val="_Equation Caption1"/>
    <w:rsid w:val="000A047A"/>
  </w:style>
  <w:style w:type="paragraph" w:styleId="BodyTextIndent">
    <w:name w:val="Body Text Indent"/>
    <w:basedOn w:val="Normal"/>
    <w:rsid w:val="000A047A"/>
    <w:pPr>
      <w:keepNext/>
      <w:keepLines/>
      <w:tabs>
        <w:tab w:val="left" w:pos="-720"/>
        <w:tab w:val="left" w:pos="0"/>
      </w:tabs>
      <w:suppressAutoHyphens/>
      <w:ind w:left="720" w:hanging="720"/>
    </w:pPr>
    <w:rPr>
      <w:b/>
      <w:bCs/>
    </w:rPr>
  </w:style>
  <w:style w:type="paragraph" w:styleId="BalloonText">
    <w:name w:val="Balloon Text"/>
    <w:basedOn w:val="Normal"/>
    <w:semiHidden/>
    <w:rsid w:val="0014041E"/>
    <w:rPr>
      <w:rFonts w:ascii="Tahoma" w:hAnsi="Tahoma" w:cs="Tahoma"/>
      <w:sz w:val="16"/>
      <w:szCs w:val="16"/>
    </w:rPr>
  </w:style>
  <w:style w:type="paragraph" w:styleId="DocumentMap">
    <w:name w:val="Document Map"/>
    <w:basedOn w:val="Normal"/>
    <w:semiHidden/>
    <w:rsid w:val="004713FA"/>
    <w:pPr>
      <w:shd w:val="clear" w:color="auto" w:fill="000080"/>
    </w:pPr>
    <w:rPr>
      <w:rFonts w:ascii="Tahoma" w:hAnsi="Tahoma" w:cs="Tahoma"/>
      <w:sz w:val="20"/>
      <w:szCs w:val="20"/>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rsid w:val="00E05BFA"/>
    <w:rPr>
      <w:sz w:val="24"/>
    </w:rPr>
  </w:style>
  <w:style w:type="paragraph" w:styleId="NormalWeb">
    <w:name w:val="Normal (Web)"/>
    <w:basedOn w:val="Normal"/>
    <w:unhideWhenUsed/>
    <w:rsid w:val="006E3DE1"/>
    <w:pPr>
      <w:widowControl/>
      <w:autoSpaceDE/>
      <w:autoSpaceDN/>
      <w:adjustRightInd/>
      <w:spacing w:before="100" w:beforeAutospacing="1" w:after="100" w:afterAutospacing="1"/>
    </w:pPr>
    <w:rPr>
      <w:rFonts w:ascii="Verdana" w:hAnsi="Verdana"/>
      <w:sz w:val="20"/>
      <w:szCs w:val="20"/>
    </w:rPr>
  </w:style>
  <w:style w:type="character" w:styleId="CommentReference">
    <w:name w:val="annotation reference"/>
    <w:basedOn w:val="DefaultParagraphFont"/>
    <w:rsid w:val="00E14B5A"/>
    <w:rPr>
      <w:sz w:val="16"/>
      <w:szCs w:val="16"/>
    </w:rPr>
  </w:style>
  <w:style w:type="paragraph" w:styleId="CommentText">
    <w:name w:val="annotation text"/>
    <w:basedOn w:val="Normal"/>
    <w:link w:val="CommentTextChar"/>
    <w:rsid w:val="00E14B5A"/>
    <w:rPr>
      <w:sz w:val="20"/>
      <w:szCs w:val="20"/>
    </w:rPr>
  </w:style>
  <w:style w:type="character" w:customStyle="1" w:styleId="CommentTextChar">
    <w:name w:val="Comment Text Char"/>
    <w:basedOn w:val="DefaultParagraphFont"/>
    <w:link w:val="CommentText"/>
    <w:rsid w:val="00E14B5A"/>
    <w:rPr>
      <w:rFonts w:ascii="Courier" w:hAnsi="Courier"/>
    </w:rPr>
  </w:style>
  <w:style w:type="paragraph" w:styleId="CommentSubject">
    <w:name w:val="annotation subject"/>
    <w:basedOn w:val="CommentText"/>
    <w:next w:val="CommentText"/>
    <w:link w:val="CommentSubjectChar"/>
    <w:rsid w:val="00E14B5A"/>
    <w:rPr>
      <w:b/>
      <w:bCs/>
    </w:rPr>
  </w:style>
  <w:style w:type="character" w:customStyle="1" w:styleId="CommentSubjectChar">
    <w:name w:val="Comment Subject Char"/>
    <w:basedOn w:val="CommentTextChar"/>
    <w:link w:val="CommentSubject"/>
    <w:rsid w:val="00E14B5A"/>
    <w:rPr>
      <w:rFonts w:ascii="Courier" w:hAnsi="Courier"/>
      <w:b/>
      <w:bCs/>
    </w:rPr>
  </w:style>
  <w:style w:type="paragraph" w:styleId="ListParagraph">
    <w:name w:val="List Paragraph"/>
    <w:basedOn w:val="Normal"/>
    <w:uiPriority w:val="34"/>
    <w:qFormat/>
    <w:rsid w:val="00793E1A"/>
    <w:pPr>
      <w:ind w:left="720"/>
      <w:contextualSpacing/>
    </w:pPr>
  </w:style>
  <w:style w:type="character" w:customStyle="1" w:styleId="Heading3Char">
    <w:name w:val="Heading 3 Char"/>
    <w:basedOn w:val="DefaultParagraphFont"/>
    <w:link w:val="Heading3"/>
    <w:uiPriority w:val="99"/>
    <w:rsid w:val="00921B06"/>
    <w:rPr>
      <w:rFonts w:asciiTheme="majorHAnsi" w:eastAsiaTheme="majorEastAsia" w:hAnsiTheme="majorHAnsi" w:cstheme="majorBidi"/>
      <w:b/>
      <w:bCs/>
      <w:color w:val="4F81BD" w:themeColor="accent1"/>
      <w:sz w:val="24"/>
      <w:szCs w:val="24"/>
    </w:rPr>
  </w:style>
  <w:style w:type="paragraph" w:styleId="BodyText">
    <w:name w:val="Body Text"/>
    <w:basedOn w:val="Normal"/>
    <w:link w:val="BodyTextChar"/>
    <w:rsid w:val="00E13D16"/>
    <w:pPr>
      <w:spacing w:after="120"/>
    </w:pPr>
  </w:style>
  <w:style w:type="character" w:customStyle="1" w:styleId="BodyTextChar">
    <w:name w:val="Body Text Char"/>
    <w:basedOn w:val="DefaultParagraphFont"/>
    <w:link w:val="BodyText"/>
    <w:rsid w:val="00E13D16"/>
    <w:rPr>
      <w:rFonts w:ascii="Courier" w:hAnsi="Courier"/>
      <w:sz w:val="24"/>
      <w:szCs w:val="24"/>
    </w:rPr>
  </w:style>
  <w:style w:type="paragraph" w:customStyle="1" w:styleId="Default">
    <w:name w:val="Default"/>
    <w:rsid w:val="004219EE"/>
    <w:pPr>
      <w:autoSpaceDE w:val="0"/>
      <w:autoSpaceDN w:val="0"/>
      <w:adjustRightInd w:val="0"/>
    </w:pPr>
    <w:rPr>
      <w:color w:val="000000"/>
      <w:sz w:val="24"/>
      <w:szCs w:val="24"/>
    </w:rPr>
  </w:style>
  <w:style w:type="paragraph" w:styleId="Revision">
    <w:name w:val="Revision"/>
    <w:hidden/>
    <w:uiPriority w:val="99"/>
    <w:semiHidden/>
    <w:rsid w:val="00B72572"/>
    <w:rPr>
      <w:rFonts w:ascii="Courier" w:hAnsi="Courier"/>
      <w:sz w:val="24"/>
      <w:szCs w:val="24"/>
    </w:rPr>
  </w:style>
  <w:style w:type="table" w:styleId="TableGrid">
    <w:name w:val="Table Grid"/>
    <w:basedOn w:val="TableNormal"/>
    <w:rsid w:val="00744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5571E"/>
    <w:rPr>
      <w:rFonts w:cs="Times New Roman"/>
      <w:color w:val="0000FF"/>
      <w:u w:val="single"/>
    </w:rPr>
  </w:style>
  <w:style w:type="paragraph" w:customStyle="1" w:styleId="Footnote">
    <w:name w:val="Footnote"/>
    <w:basedOn w:val="FootnoteText"/>
    <w:link w:val="FootnoteChar"/>
    <w:qFormat/>
    <w:rsid w:val="0065571E"/>
    <w:pPr>
      <w:widowControl/>
      <w:tabs>
        <w:tab w:val="clear" w:pos="-720"/>
      </w:tabs>
      <w:suppressAutoHyphens w:val="0"/>
      <w:autoSpaceDE/>
      <w:autoSpaceDN/>
      <w:adjustRightInd/>
      <w:spacing w:line="240" w:lineRule="auto"/>
      <w:ind w:left="720" w:hanging="720"/>
    </w:pPr>
    <w:rPr>
      <w:rFonts w:eastAsia="Calibri"/>
      <w:sz w:val="20"/>
    </w:rPr>
  </w:style>
  <w:style w:type="character" w:customStyle="1" w:styleId="FootnoteChar">
    <w:name w:val="Footnote Char"/>
    <w:basedOn w:val="DefaultParagraphFont"/>
    <w:link w:val="Footnote"/>
    <w:rsid w:val="0065571E"/>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565168">
      <w:bodyDiv w:val="1"/>
      <w:marLeft w:val="0"/>
      <w:marRight w:val="0"/>
      <w:marTop w:val="0"/>
      <w:marBottom w:val="0"/>
      <w:divBdr>
        <w:top w:val="none" w:sz="0" w:space="0" w:color="auto"/>
        <w:left w:val="none" w:sz="0" w:space="0" w:color="auto"/>
        <w:bottom w:val="none" w:sz="0" w:space="0" w:color="auto"/>
        <w:right w:val="none" w:sz="0" w:space="0" w:color="auto"/>
      </w:divBdr>
    </w:div>
    <w:div w:id="342753661">
      <w:bodyDiv w:val="1"/>
      <w:marLeft w:val="0"/>
      <w:marRight w:val="0"/>
      <w:marTop w:val="0"/>
      <w:marBottom w:val="0"/>
      <w:divBdr>
        <w:top w:val="none" w:sz="0" w:space="0" w:color="auto"/>
        <w:left w:val="none" w:sz="0" w:space="0" w:color="auto"/>
        <w:bottom w:val="none" w:sz="0" w:space="0" w:color="auto"/>
        <w:right w:val="none" w:sz="0" w:space="0" w:color="auto"/>
      </w:divBdr>
    </w:div>
    <w:div w:id="408500013">
      <w:bodyDiv w:val="1"/>
      <w:marLeft w:val="0"/>
      <w:marRight w:val="0"/>
      <w:marTop w:val="0"/>
      <w:marBottom w:val="0"/>
      <w:divBdr>
        <w:top w:val="none" w:sz="0" w:space="0" w:color="auto"/>
        <w:left w:val="none" w:sz="0" w:space="0" w:color="auto"/>
        <w:bottom w:val="none" w:sz="0" w:space="0" w:color="auto"/>
        <w:right w:val="none" w:sz="0" w:space="0" w:color="auto"/>
      </w:divBdr>
    </w:div>
    <w:div w:id="711923666">
      <w:bodyDiv w:val="1"/>
      <w:marLeft w:val="0"/>
      <w:marRight w:val="0"/>
      <w:marTop w:val="0"/>
      <w:marBottom w:val="0"/>
      <w:divBdr>
        <w:top w:val="none" w:sz="0" w:space="0" w:color="auto"/>
        <w:left w:val="none" w:sz="0" w:space="0" w:color="auto"/>
        <w:bottom w:val="none" w:sz="0" w:space="0" w:color="auto"/>
        <w:right w:val="none" w:sz="0" w:space="0" w:color="auto"/>
      </w:divBdr>
    </w:div>
    <w:div w:id="735975480">
      <w:bodyDiv w:val="1"/>
      <w:marLeft w:val="0"/>
      <w:marRight w:val="0"/>
      <w:marTop w:val="0"/>
      <w:marBottom w:val="0"/>
      <w:divBdr>
        <w:top w:val="none" w:sz="0" w:space="0" w:color="auto"/>
        <w:left w:val="none" w:sz="0" w:space="0" w:color="auto"/>
        <w:bottom w:val="none" w:sz="0" w:space="0" w:color="auto"/>
        <w:right w:val="none" w:sz="0" w:space="0" w:color="auto"/>
      </w:divBdr>
    </w:div>
    <w:div w:id="963542168">
      <w:bodyDiv w:val="1"/>
      <w:marLeft w:val="0"/>
      <w:marRight w:val="0"/>
      <w:marTop w:val="0"/>
      <w:marBottom w:val="0"/>
      <w:divBdr>
        <w:top w:val="none" w:sz="0" w:space="0" w:color="auto"/>
        <w:left w:val="none" w:sz="0" w:space="0" w:color="auto"/>
        <w:bottom w:val="none" w:sz="0" w:space="0" w:color="auto"/>
        <w:right w:val="none" w:sz="0" w:space="0" w:color="auto"/>
      </w:divBdr>
    </w:div>
    <w:div w:id="965089111">
      <w:bodyDiv w:val="1"/>
      <w:marLeft w:val="0"/>
      <w:marRight w:val="0"/>
      <w:marTop w:val="0"/>
      <w:marBottom w:val="0"/>
      <w:divBdr>
        <w:top w:val="none" w:sz="0" w:space="0" w:color="auto"/>
        <w:left w:val="none" w:sz="0" w:space="0" w:color="auto"/>
        <w:bottom w:val="none" w:sz="0" w:space="0" w:color="auto"/>
        <w:right w:val="none" w:sz="0" w:space="0" w:color="auto"/>
      </w:divBdr>
    </w:div>
    <w:div w:id="1047333692">
      <w:bodyDiv w:val="1"/>
      <w:marLeft w:val="0"/>
      <w:marRight w:val="0"/>
      <w:marTop w:val="0"/>
      <w:marBottom w:val="0"/>
      <w:divBdr>
        <w:top w:val="none" w:sz="0" w:space="0" w:color="auto"/>
        <w:left w:val="none" w:sz="0" w:space="0" w:color="auto"/>
        <w:bottom w:val="none" w:sz="0" w:space="0" w:color="auto"/>
        <w:right w:val="none" w:sz="0" w:space="0" w:color="auto"/>
      </w:divBdr>
    </w:div>
    <w:div w:id="1589458334">
      <w:bodyDiv w:val="1"/>
      <w:marLeft w:val="0"/>
      <w:marRight w:val="0"/>
      <w:marTop w:val="30"/>
      <w:marBottom w:val="750"/>
      <w:divBdr>
        <w:top w:val="none" w:sz="0" w:space="0" w:color="auto"/>
        <w:left w:val="none" w:sz="0" w:space="0" w:color="auto"/>
        <w:bottom w:val="none" w:sz="0" w:space="0" w:color="auto"/>
        <w:right w:val="none" w:sz="0" w:space="0" w:color="auto"/>
      </w:divBdr>
      <w:divsChild>
        <w:div w:id="560405865">
          <w:marLeft w:val="0"/>
          <w:marRight w:val="0"/>
          <w:marTop w:val="0"/>
          <w:marBottom w:val="0"/>
          <w:divBdr>
            <w:top w:val="none" w:sz="0" w:space="0" w:color="auto"/>
            <w:left w:val="none" w:sz="0" w:space="0" w:color="auto"/>
            <w:bottom w:val="none" w:sz="0" w:space="0" w:color="auto"/>
            <w:right w:val="none" w:sz="0" w:space="0" w:color="auto"/>
          </w:divBdr>
        </w:div>
      </w:divsChild>
    </w:div>
    <w:div w:id="1867331155">
      <w:bodyDiv w:val="1"/>
      <w:marLeft w:val="0"/>
      <w:marRight w:val="0"/>
      <w:marTop w:val="0"/>
      <w:marBottom w:val="0"/>
      <w:divBdr>
        <w:top w:val="none" w:sz="0" w:space="0" w:color="auto"/>
        <w:left w:val="none" w:sz="0" w:space="0" w:color="auto"/>
        <w:bottom w:val="none" w:sz="0" w:space="0" w:color="auto"/>
        <w:right w:val="none" w:sz="0" w:space="0" w:color="auto"/>
      </w:divBdr>
    </w:div>
    <w:div w:id="1989086905">
      <w:bodyDiv w:val="1"/>
      <w:marLeft w:val="0"/>
      <w:marRight w:val="0"/>
      <w:marTop w:val="0"/>
      <w:marBottom w:val="0"/>
      <w:divBdr>
        <w:top w:val="none" w:sz="0" w:space="0" w:color="auto"/>
        <w:left w:val="none" w:sz="0" w:space="0" w:color="auto"/>
        <w:bottom w:val="none" w:sz="0" w:space="0" w:color="auto"/>
        <w:right w:val="none" w:sz="0" w:space="0" w:color="auto"/>
      </w:divBdr>
    </w:div>
    <w:div w:id="208321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B3580EC8B93841B7DD95F732B566B5" ma:contentTypeVersion="0" ma:contentTypeDescription="Create a new document." ma:contentTypeScope="" ma:versionID="f09fa184a5cf4cfe0a7f3c4cabb0cc1e">
  <xsd:schema xmlns:xsd="http://www.w3.org/2001/XMLSchema" xmlns:p="http://schemas.microsoft.com/office/2006/metadata/properties" xmlns:ns2="0E58B320-B9C8-4138-B7DD-95F732B566B5" targetNamespace="http://schemas.microsoft.com/office/2006/metadata/properties" ma:root="true" ma:fieldsID="41fe7d92c0f12ba929db58748e568492" ns2:_="">
    <xsd:import namespace="0E58B320-B9C8-4138-B7DD-95F732B566B5"/>
    <xsd:element name="properties">
      <xsd:complexType>
        <xsd:sequence>
          <xsd:element name="documentManagement">
            <xsd:complexType>
              <xsd:all>
                <xsd:element ref="ns2:OMB_x0020_Number" minOccurs="0"/>
                <xsd:element ref="ns2:SEC_x0020_Number" minOccurs="0"/>
              </xsd:all>
            </xsd:complexType>
          </xsd:element>
        </xsd:sequence>
      </xsd:complexType>
    </xsd:element>
  </xsd:schema>
  <xsd:schema xmlns:xsd="http://www.w3.org/2001/XMLSchema" xmlns:dms="http://schemas.microsoft.com/office/2006/documentManagement/types" targetNamespace="0E58B320-B9C8-4138-B7DD-95F732B566B5" elementFormDefault="qualified">
    <xsd:import namespace="http://schemas.microsoft.com/office/2006/documentManagement/types"/>
    <xsd:element name="OMB_x0020_Number" ma:index="8" nillable="true" ma:displayName="OMB Number" ma:internalName="OMB_x0020_Number">
      <xsd:simpleType>
        <xsd:restriction base="dms:Text">
          <xsd:maxLength value="15"/>
        </xsd:restriction>
      </xsd:simpleType>
    </xsd:element>
    <xsd:element name="SEC_x0020_Number" ma:index="9" nillable="true" ma:displayName="SEC Number" ma:internalName="SEC_x0020_Number">
      <xsd:simpleType>
        <xsd:restriction base="dms:Text">
          <xsd:maxLength value="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MB_x0020_Number xmlns="0E58B320-B9C8-4138-B7DD-95F732B566B5" xsi:nil="true"/>
    <SEC_x0020_Number xmlns="0E58B320-B9C8-4138-B7DD-95F732B566B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155BE-1F8A-4E12-9D76-78B99B78D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8B320-B9C8-4138-B7DD-95F732B566B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D195DD5-C6D6-49B0-AA12-06ECFD8EC1F6}">
  <ds:schemaRefs>
    <ds:schemaRef ds:uri="http://schemas.microsoft.com/sharepoint/v3/contenttype/forms"/>
  </ds:schemaRefs>
</ds:datastoreItem>
</file>

<file path=customXml/itemProps3.xml><?xml version="1.0" encoding="utf-8"?>
<ds:datastoreItem xmlns:ds="http://schemas.openxmlformats.org/officeDocument/2006/customXml" ds:itemID="{74ED5A8A-B96F-41F5-A289-FEE57D8D5F82}">
  <ds:schemaRefs>
    <ds:schemaRef ds:uri="http://purl.org/dc/terms/"/>
    <ds:schemaRef ds:uri="http://schemas.openxmlformats.org/package/2006/metadata/core-properties"/>
    <ds:schemaRef ds:uri="http://purl.org/dc/dcmitype/"/>
    <ds:schemaRef ds:uri="0E58B320-B9C8-4138-B7DD-95F732B566B5"/>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3B477D3-D8A1-4D09-AA91-C4E1F80DB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7</Pages>
  <Words>2390</Words>
  <Characters>13617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U.S. Securities and Exchange Commission</Company>
  <LinksUpToDate>false</LinksUpToDate>
  <CharactersWithSpaces>15976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Ogershok, Michael</dc:creator>
  <cp:lastModifiedBy>Tontz, Jennifer</cp:lastModifiedBy>
  <cp:revision>5</cp:revision>
  <cp:lastPrinted>2016-07-26T15:26:00Z</cp:lastPrinted>
  <dcterms:created xsi:type="dcterms:W3CDTF">2016-07-26T15:25:00Z</dcterms:created>
  <dcterms:modified xsi:type="dcterms:W3CDTF">2016-07-26T17:38:00Z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GEAAO+/T9t20xwlS0exGg1od+YTEN0HZTzWBZX24K6ZkwHZbKkPhVCHoVwGetVEx7ofegQyP9BoLPpM6
myU1LlwaKai3ZpF+5jNelE3XnuadyXk+mjSoVeMXIWq79poLJDdCRgh+hBXyzLiJ9qED3RNat1rR
2sYnvHbPtf6OsO38Mage39zk+e2pVkeoeJUxUsXqgyQmKiBTKUVGJbOg97BpNcIa8atlFRBRdzZW
n+m3lefC5PEH5AVeZ</vt:lpwstr>
  </property>
  <property fmtid="{D5CDD505-2E9C-101B-9397-08002B2CF9AE}" pid="3" name="MAIL_MSG_ID2">
    <vt:lpwstr>9jb+HamSw2h</vt:lpwstr>
  </property>
  <property fmtid="{D5CDD505-2E9C-101B-9397-08002B2CF9AE}" pid="4" name="RESPONSE_SENDER_NAME">
    <vt:lpwstr>gAAAdya76B99d4hLGUR1rQ+8TxTv0GGEPdix</vt:lpwstr>
  </property>
  <property fmtid="{D5CDD505-2E9C-101B-9397-08002B2CF9AE}" pid="5" name="EMAIL_OWNER_ADDRESS">
    <vt:lpwstr>sAAAE9kkUq3pEoLvczR+gwULoRJCEYyHZPZQs15hk10/NoM=</vt:lpwstr>
  </property>
</Properties>
</file>